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15"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1" w:lineRule="exact"/>
        <w:rPr>
          <w:sz w:val="24"/>
          <w:szCs w:val="24"/>
          <w:color w:val="auto"/>
        </w:rPr>
      </w:pPr>
    </w:p>
    <w:p>
      <w:pPr>
        <w:ind w:left="3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86360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6"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ANNUAL REPORT PURSUANT TO SECTION 13 OR 15(d) OF THE SECURITIES EXCHANGE ACT OF 1934 FOR THE FISCAL YEAR ENDED DECEMBER 31, 2008 OR</w:t>
      </w:r>
    </w:p>
    <w:p>
      <w:pPr>
        <w:spacing w:after="0" w:line="207"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19" w:lineRule="exact"/>
        <w:rPr>
          <w:sz w:val="24"/>
          <w:szCs w:val="24"/>
          <w:color w:val="auto"/>
        </w:rPr>
      </w:pPr>
    </w:p>
    <w:tbl>
      <w:tblPr>
        <w:tblLayout w:type="fixed"/>
        <w:tblInd w:w="2140" w:type="dxa"/>
        <w:tblCellMar>
          <w:top w:w="0" w:type="dxa"/>
          <w:left w:w="0" w:type="dxa"/>
          <w:bottom w:w="0" w:type="dxa"/>
          <w:right w:w="0" w:type="dxa"/>
        </w:tblCellMar>
      </w:tblPr>
      <w:tr>
        <w:trPr>
          <w:trHeight w:val="211"/>
        </w:trPr>
        <w:tc>
          <w:tcPr>
            <w:tcW w:w="3800" w:type="dxa"/>
            <w:vAlign w:val="bottom"/>
            <w:gridSpan w:val="3"/>
          </w:tcPr>
          <w:p>
            <w:pPr>
              <w:spacing w:after="0"/>
              <w:rPr>
                <w:sz w:val="20"/>
                <w:szCs w:val="20"/>
                <w:color w:val="auto"/>
              </w:rPr>
            </w:pPr>
            <w:r>
              <w:rPr>
                <w:rFonts w:ascii="Arial" w:cs="Arial" w:eastAsia="Arial" w:hAnsi="Arial"/>
                <w:sz w:val="18"/>
                <w:szCs w:val="18"/>
                <w:color w:val="auto"/>
              </w:rPr>
              <w:t>FOR THE TRANSITION PERIOD FROM</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TO</w:t>
            </w:r>
          </w:p>
        </w:tc>
      </w:tr>
      <w:tr>
        <w:trPr>
          <w:trHeight w:val="365"/>
        </w:trPr>
        <w:tc>
          <w:tcPr>
            <w:tcW w:w="3800" w:type="dxa"/>
            <w:vAlign w:val="bottom"/>
            <w:gridSpan w:val="3"/>
          </w:tcPr>
          <w:p>
            <w:pPr>
              <w:ind w:left="960"/>
              <w:spacing w:after="0"/>
              <w:rPr>
                <w:sz w:val="20"/>
                <w:szCs w:val="20"/>
                <w:color w:val="auto"/>
              </w:rPr>
            </w:pPr>
            <w:r>
              <w:rPr>
                <w:rFonts w:ascii="Arial" w:cs="Arial" w:eastAsia="Arial" w:hAnsi="Arial"/>
                <w:sz w:val="18"/>
                <w:szCs w:val="18"/>
                <w:color w:val="auto"/>
                <w:w w:val="99"/>
              </w:rPr>
              <w:t>Commission file number 001-32871</w:t>
            </w:r>
          </w:p>
        </w:tc>
        <w:tc>
          <w:tcPr>
            <w:tcW w:w="280" w:type="dxa"/>
            <w:vAlign w:val="bottom"/>
          </w:tcPr>
          <w:p>
            <w:pPr>
              <w:spacing w:after="0"/>
              <w:rPr>
                <w:sz w:val="24"/>
                <w:szCs w:val="24"/>
                <w:color w:val="auto"/>
              </w:rPr>
            </w:pPr>
          </w:p>
        </w:tc>
      </w:tr>
      <w:tr>
        <w:trPr>
          <w:trHeight w:val="83"/>
        </w:trPr>
        <w:tc>
          <w:tcPr>
            <w:tcW w:w="116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2205990</wp:posOffset>
            </wp:positionH>
            <wp:positionV relativeFrom="paragraph">
              <wp:posOffset>77470</wp:posOffset>
            </wp:positionV>
            <wp:extent cx="129476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900" w:space="320"/>
            <w:col w:w="10200"/>
          </w:cols>
          <w:pgMar w:left="240" w:top="230" w:right="23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203"/>
        </w:trPr>
        <w:tc>
          <w:tcPr>
            <w:tcW w:w="690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6"/>
              </w:rPr>
              <w:t>PENNSYLVANIA</w:t>
            </w:r>
          </w:p>
        </w:tc>
        <w:tc>
          <w:tcPr>
            <w:tcW w:w="4520" w:type="dxa"/>
            <w:vAlign w:val="bottom"/>
          </w:tcPr>
          <w:p>
            <w:pPr>
              <w:jc w:val="center"/>
              <w:ind w:right="866"/>
              <w:spacing w:after="0" w:line="202" w:lineRule="exact"/>
              <w:rPr>
                <w:sz w:val="20"/>
                <w:szCs w:val="20"/>
                <w:color w:val="auto"/>
              </w:rPr>
            </w:pPr>
            <w:r>
              <w:rPr>
                <w:rFonts w:ascii="Arial" w:cs="Arial" w:eastAsia="Arial" w:hAnsi="Arial"/>
                <w:sz w:val="18"/>
                <w:szCs w:val="18"/>
                <w:b w:val="1"/>
                <w:bCs w:val="1"/>
                <w:color w:val="auto"/>
                <w:w w:val="97"/>
              </w:rPr>
              <w:t>27-0000798</w:t>
            </w:r>
          </w:p>
        </w:tc>
      </w:tr>
      <w:tr>
        <w:trPr>
          <w:trHeight w:val="194"/>
        </w:trPr>
        <w:tc>
          <w:tcPr>
            <w:tcW w:w="6900" w:type="dxa"/>
            <w:vAlign w:val="bottom"/>
            <w:gridSpan w:val="2"/>
          </w:tcPr>
          <w:p>
            <w:pPr>
              <w:jc w:val="center"/>
              <w:ind w:right="1180"/>
              <w:spacing w:after="0" w:line="195" w:lineRule="exact"/>
              <w:rPr>
                <w:sz w:val="20"/>
                <w:szCs w:val="20"/>
                <w:color w:val="auto"/>
              </w:rPr>
            </w:pPr>
            <w:r>
              <w:rPr>
                <w:rFonts w:ascii="Arial" w:cs="Arial" w:eastAsia="Arial" w:hAnsi="Arial"/>
                <w:sz w:val="18"/>
                <w:szCs w:val="18"/>
                <w:color w:val="auto"/>
                <w:w w:val="97"/>
              </w:rPr>
              <w:t>(State or other jurisdiction of incorporation or organization)</w:t>
            </w:r>
          </w:p>
        </w:tc>
        <w:tc>
          <w:tcPr>
            <w:tcW w:w="4520" w:type="dxa"/>
            <w:vAlign w:val="bottom"/>
          </w:tcPr>
          <w:p>
            <w:pPr>
              <w:jc w:val="center"/>
              <w:ind w:right="866"/>
              <w:spacing w:after="0" w:line="195" w:lineRule="exact"/>
              <w:rPr>
                <w:sz w:val="20"/>
                <w:szCs w:val="20"/>
                <w:color w:val="auto"/>
              </w:rPr>
            </w:pPr>
            <w:r>
              <w:rPr>
                <w:rFonts w:ascii="Arial" w:cs="Arial" w:eastAsia="Arial" w:hAnsi="Arial"/>
                <w:sz w:val="18"/>
                <w:szCs w:val="18"/>
                <w:color w:val="auto"/>
                <w:w w:val="97"/>
              </w:rPr>
              <w:t>(I.R.S. Employer Identification No.)</w:t>
            </w:r>
          </w:p>
        </w:tc>
      </w:tr>
      <w:tr>
        <w:trPr>
          <w:trHeight w:val="225"/>
        </w:trPr>
        <w:tc>
          <w:tcPr>
            <w:tcW w:w="69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6"/>
              </w:rPr>
              <w:t>One Comcast Center, Philadelphia, PA</w:t>
            </w:r>
          </w:p>
        </w:tc>
        <w:tc>
          <w:tcPr>
            <w:tcW w:w="4520" w:type="dxa"/>
            <w:vAlign w:val="bottom"/>
          </w:tcPr>
          <w:p>
            <w:pPr>
              <w:jc w:val="center"/>
              <w:ind w:right="866"/>
              <w:spacing w:after="0"/>
              <w:rPr>
                <w:sz w:val="20"/>
                <w:szCs w:val="20"/>
                <w:color w:val="auto"/>
              </w:rPr>
            </w:pPr>
            <w:r>
              <w:rPr>
                <w:rFonts w:ascii="Arial" w:cs="Arial" w:eastAsia="Arial" w:hAnsi="Arial"/>
                <w:sz w:val="18"/>
                <w:szCs w:val="18"/>
                <w:b w:val="1"/>
                <w:bCs w:val="1"/>
                <w:color w:val="auto"/>
                <w:w w:val="97"/>
              </w:rPr>
              <w:t>19103-2838</w:t>
            </w:r>
          </w:p>
        </w:tc>
      </w:tr>
      <w:tr>
        <w:trPr>
          <w:trHeight w:val="211"/>
        </w:trPr>
        <w:tc>
          <w:tcPr>
            <w:tcW w:w="6900" w:type="dxa"/>
            <w:vAlign w:val="bottom"/>
            <w:gridSpan w:val="2"/>
          </w:tcPr>
          <w:p>
            <w:pPr>
              <w:jc w:val="center"/>
              <w:ind w:right="1180"/>
              <w:spacing w:after="0"/>
              <w:rPr>
                <w:sz w:val="20"/>
                <w:szCs w:val="20"/>
                <w:color w:val="auto"/>
              </w:rPr>
            </w:pPr>
            <w:r>
              <w:rPr>
                <w:rFonts w:ascii="Arial" w:cs="Arial" w:eastAsia="Arial" w:hAnsi="Arial"/>
                <w:sz w:val="18"/>
                <w:szCs w:val="18"/>
                <w:color w:val="auto"/>
                <w:w w:val="97"/>
              </w:rPr>
              <w:t>(Address of principal executive offices)</w:t>
            </w:r>
          </w:p>
        </w:tc>
        <w:tc>
          <w:tcPr>
            <w:tcW w:w="4520" w:type="dxa"/>
            <w:vAlign w:val="bottom"/>
          </w:tcPr>
          <w:p>
            <w:pPr>
              <w:jc w:val="center"/>
              <w:ind w:right="866"/>
              <w:spacing w:after="0"/>
              <w:rPr>
                <w:sz w:val="20"/>
                <w:szCs w:val="20"/>
                <w:color w:val="auto"/>
              </w:rPr>
            </w:pPr>
            <w:r>
              <w:rPr>
                <w:rFonts w:ascii="Arial" w:cs="Arial" w:eastAsia="Arial" w:hAnsi="Arial"/>
                <w:sz w:val="18"/>
                <w:szCs w:val="18"/>
                <w:color w:val="auto"/>
                <w:w w:val="96"/>
              </w:rPr>
              <w:t>(Zip Code)</w:t>
            </w:r>
          </w:p>
        </w:tc>
      </w:tr>
      <w:tr>
        <w:trPr>
          <w:trHeight w:val="216"/>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7"/>
              </w:rPr>
              <w:t>Registrant’s telephone number, including area code: (215) 286-1700</w:t>
            </w:r>
          </w:p>
        </w:tc>
      </w:tr>
      <w:tr>
        <w:trPr>
          <w:trHeight w:val="137"/>
        </w:trPr>
        <w:tc>
          <w:tcPr>
            <w:tcW w:w="452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r>
      <w:tr>
        <w:trPr>
          <w:trHeight w:val="248"/>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r>
      <w:tr>
        <w:trPr>
          <w:trHeight w:val="191"/>
        </w:trPr>
        <w:tc>
          <w:tcPr>
            <w:tcW w:w="690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4"/>
                <w:szCs w:val="14"/>
                <w:color w:val="auto"/>
                <w:w w:val="95"/>
              </w:rPr>
              <w:t>Title of Each Class</w:t>
            </w:r>
          </w:p>
        </w:tc>
        <w:tc>
          <w:tcPr>
            <w:tcW w:w="4520" w:type="dxa"/>
            <w:vAlign w:val="bottom"/>
            <w:tcBorders>
              <w:bottom w:val="single" w:sz="8" w:color="auto"/>
            </w:tcBorders>
          </w:tcPr>
          <w:p>
            <w:pPr>
              <w:jc w:val="center"/>
              <w:ind w:right="766"/>
              <w:spacing w:after="0"/>
              <w:rPr>
                <w:sz w:val="20"/>
                <w:szCs w:val="20"/>
                <w:color w:val="auto"/>
              </w:rPr>
            </w:pPr>
            <w:r>
              <w:rPr>
                <w:rFonts w:ascii="Arial" w:cs="Arial" w:eastAsia="Arial" w:hAnsi="Arial"/>
                <w:sz w:val="14"/>
                <w:szCs w:val="14"/>
                <w:color w:val="auto"/>
                <w:w w:val="96"/>
              </w:rPr>
              <w:t>Name of Each Exchange on which Registered</w:t>
            </w:r>
          </w:p>
        </w:tc>
      </w:tr>
      <w:tr>
        <w:trPr>
          <w:trHeight w:val="141"/>
        </w:trPr>
        <w:tc>
          <w:tcPr>
            <w:tcW w:w="6900" w:type="dxa"/>
            <w:vAlign w:val="bottom"/>
            <w:gridSpan w:val="2"/>
          </w:tcPr>
          <w:p>
            <w:pPr>
              <w:jc w:val="center"/>
              <w:ind w:right="1060"/>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4520" w:type="dxa"/>
            <w:vAlign w:val="bottom"/>
          </w:tcPr>
          <w:p>
            <w:pPr>
              <w:jc w:val="center"/>
              <w:ind w:right="766"/>
              <w:spacing w:after="0" w:line="141"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Class A Special Common Stock, $0.01 par value</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690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5"/>
              </w:rPr>
              <w:t>6.625% Notes due 2056</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5"/>
              </w:rPr>
              <w:t>7.00% Notes due 2055</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7.00% Notes due 2055, Series B</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8.375% Guaranteed Notes due 2013</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6900" w:type="dxa"/>
            <w:vAlign w:val="bottom"/>
            <w:gridSpan w:val="2"/>
          </w:tcPr>
          <w:p>
            <w:pPr>
              <w:jc w:val="center"/>
              <w:ind w:right="1060"/>
              <w:spacing w:after="0"/>
              <w:rPr>
                <w:sz w:val="20"/>
                <w:szCs w:val="20"/>
                <w:color w:val="auto"/>
              </w:rPr>
            </w:pPr>
            <w:r>
              <w:rPr>
                <w:rFonts w:ascii="Arial" w:cs="Arial" w:eastAsia="Arial" w:hAnsi="Arial"/>
                <w:sz w:val="14"/>
                <w:szCs w:val="14"/>
                <w:color w:val="auto"/>
                <w:w w:val="96"/>
              </w:rPr>
              <w:t>9.455% Guaranteed Notes due 2022</w:t>
            </w:r>
          </w:p>
        </w:tc>
        <w:tc>
          <w:tcPr>
            <w:tcW w:w="4520" w:type="dxa"/>
            <w:vAlign w:val="bottom"/>
          </w:tcPr>
          <w:p>
            <w:pPr>
              <w:jc w:val="center"/>
              <w:ind w:right="766"/>
              <w:spacing w:after="0"/>
              <w:rPr>
                <w:sz w:val="20"/>
                <w:szCs w:val="20"/>
                <w:color w:val="auto"/>
              </w:rPr>
            </w:pPr>
            <w:r>
              <w:rPr>
                <w:rFonts w:ascii="Arial" w:cs="Arial" w:eastAsia="Arial" w:hAnsi="Arial"/>
                <w:sz w:val="14"/>
                <w:szCs w:val="14"/>
                <w:color w:val="auto"/>
                <w:w w:val="96"/>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46355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7" w:lineRule="exact"/>
        <w:rPr>
          <w:sz w:val="24"/>
          <w:szCs w:val="24"/>
          <w:color w:val="auto"/>
        </w:rPr>
      </w:pPr>
    </w:p>
    <w:p>
      <w:pPr>
        <w:ind w:right="1140"/>
        <w:spacing w:after="0" w:line="28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 w:lineRule="exact"/>
        <w:rPr>
          <w:sz w:val="24"/>
          <w:szCs w:val="24"/>
          <w:color w:val="auto"/>
        </w:rPr>
      </w:pPr>
    </w:p>
    <w:p>
      <w:pPr>
        <w:ind w:right="1060" w:firstLine="1059"/>
        <w:spacing w:after="0" w:line="26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As of June 30, 2008, the aggregate market value of the Class A common stock and Class A Special common stock held by non-affiliates of the Registrant was $39.033 billion and $15.656 billion, respectively.</w:t>
      </w:r>
    </w:p>
    <w:p>
      <w:pPr>
        <w:spacing w:after="0" w:line="74"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As of December 31, 2008, there were 2,060,982,734 shares of Class A common stock, 810,211,190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Part III—The Registrant’s definitive Proxy Statement for its annual meeting of shareholders presently scheduled to be held in May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2008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Table of Contents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60" w:type="dxa"/>
            <w:vAlign w:val="bottom"/>
            <w:gridSpan w:val="6"/>
          </w:tcPr>
          <w:p>
            <w:pPr>
              <w:spacing w:after="0"/>
              <w:rPr>
                <w:sz w:val="17"/>
                <w:szCs w:val="17"/>
                <w:color w:val="auto"/>
              </w:rPr>
            </w:pPr>
          </w:p>
        </w:tc>
        <w:tc>
          <w:tcPr>
            <w:tcW w:w="97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Business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62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Item 1A</w:t>
              </w:r>
            </w:hyperlink>
          </w:p>
        </w:tc>
        <w:tc>
          <w:tcPr>
            <w:tcW w:w="220" w:type="dxa"/>
            <w:vAlign w:val="bottom"/>
            <w:gridSpan w:val="3"/>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Risk Factors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62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Item 1B</w:t>
              </w:r>
            </w:hyperlink>
          </w:p>
        </w:tc>
        <w:tc>
          <w:tcPr>
            <w:tcW w:w="220" w:type="dxa"/>
            <w:vAlign w:val="bottom"/>
            <w:gridSpan w:val="4"/>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Unresolved Staff Comments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Item 2</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Properties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Item 3</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Legal Proceedings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500" w:type="dxa"/>
            <w:vAlign w:val="bottom"/>
            <w:tcBorders>
              <w:bottom w:val="single" w:sz="8" w:color="0000EE"/>
            </w:tcBorders>
          </w:tcPr>
          <w:p>
            <w:pPr>
              <w:spacing w:after="0" w:line="182"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Item 4</w:t>
              </w:r>
            </w:hyperlink>
          </w:p>
        </w:tc>
        <w:tc>
          <w:tcPr>
            <w:tcW w:w="340" w:type="dxa"/>
            <w:vAlign w:val="bottom"/>
            <w:gridSpan w:val="8"/>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Submission of Matters to a Vote of Security Holders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399"/>
        </w:trPr>
        <w:tc>
          <w:tcPr>
            <w:tcW w:w="620" w:type="dxa"/>
            <w:vAlign w:val="bottom"/>
            <w:tcBorders>
              <w:bottom w:val="single" w:sz="8" w:color="0000EE"/>
            </w:tcBorders>
            <w:gridSpan w:val="6"/>
          </w:tcPr>
          <w:p>
            <w:pPr>
              <w:spacing w:after="0"/>
              <w:rPr>
                <w:rFonts w:ascii="Arial" w:cs="Arial" w:eastAsia="Arial" w:hAnsi="Arial"/>
                <w:sz w:val="18"/>
                <w:szCs w:val="18"/>
                <w:b w:val="1"/>
                <w:bCs w:val="1"/>
                <w:color w:val="0000EE"/>
                <w:w w:val="93"/>
              </w:rPr>
            </w:pPr>
            <w:hyperlink w:anchor="page21">
              <w:r>
                <w:rPr>
                  <w:rFonts w:ascii="Arial" w:cs="Arial" w:eastAsia="Arial" w:hAnsi="Arial"/>
                  <w:sz w:val="18"/>
                  <w:szCs w:val="18"/>
                  <w:b w:val="1"/>
                  <w:bCs w:val="1"/>
                  <w:color w:val="0000EE"/>
                  <w:w w:val="93"/>
                </w:rPr>
                <w:t>PART II</w:t>
              </w:r>
            </w:hyperlink>
          </w:p>
        </w:tc>
        <w:tc>
          <w:tcPr>
            <w:tcW w:w="220" w:type="dxa"/>
            <w:vAlign w:val="bottom"/>
            <w:gridSpan w:val="3"/>
          </w:tcPr>
          <w:p>
            <w:pPr>
              <w:spacing w:after="0"/>
              <w:rPr>
                <w:sz w:val="24"/>
                <w:szCs w:val="24"/>
                <w:color w:val="auto"/>
              </w:rPr>
            </w:pPr>
          </w:p>
        </w:tc>
        <w:tc>
          <w:tcPr>
            <w:tcW w:w="9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Item 5</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Market for the Registrant’s Common Equity, Related Stockholder Matters and Issuer Purchases of Equity Securities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Item 6</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Selected Financial Data</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Item 7</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62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Item 7A</w:t>
              </w:r>
            </w:hyperlink>
          </w:p>
        </w:tc>
        <w:tc>
          <w:tcPr>
            <w:tcW w:w="220" w:type="dxa"/>
            <w:vAlign w:val="bottom"/>
            <w:gridSpan w:val="4"/>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Item 8</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Financial Statements and Supplementary Data</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Item 9</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62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Item 9A</w:t>
              </w:r>
            </w:hyperlink>
          </w:p>
        </w:tc>
        <w:tc>
          <w:tcPr>
            <w:tcW w:w="220" w:type="dxa"/>
            <w:vAlign w:val="bottom"/>
            <w:gridSpan w:val="3"/>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Controls and Procedures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62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Item 9B</w:t>
              </w:r>
            </w:hyperlink>
          </w:p>
        </w:tc>
        <w:tc>
          <w:tcPr>
            <w:tcW w:w="220" w:type="dxa"/>
            <w:vAlign w:val="bottom"/>
            <w:gridSpan w:val="3"/>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Other Information</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399"/>
        </w:trPr>
        <w:tc>
          <w:tcPr>
            <w:tcW w:w="840" w:type="dxa"/>
            <w:vAlign w:val="bottom"/>
            <w:gridSpan w:val="9"/>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III</w:t>
              </w:r>
            </w:hyperlink>
          </w:p>
        </w:tc>
        <w:tc>
          <w:tcPr>
            <w:tcW w:w="9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Item 10</w:t>
              </w:r>
            </w:hyperlink>
          </w:p>
        </w:tc>
        <w:tc>
          <w:tcPr>
            <w:tcW w:w="60" w:type="dxa"/>
            <w:vAlign w:val="bottom"/>
            <w:tcBorders>
              <w:top w:val="single" w:sz="8" w:color="0000EE"/>
            </w:tcBorders>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Directors and Executive Officers of the Registrant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183"/>
        </w:trPr>
        <w:tc>
          <w:tcPr>
            <w:tcW w:w="6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Item 11</w:t>
              </w:r>
            </w:hyperlink>
          </w:p>
        </w:tc>
        <w:tc>
          <w:tcPr>
            <w:tcW w:w="240" w:type="dxa"/>
            <w:vAlign w:val="bottom"/>
            <w:gridSpan w:val="5"/>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Executive Compensation</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6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Item 12</w:t>
              </w:r>
            </w:hyperlink>
          </w:p>
        </w:tc>
        <w:tc>
          <w:tcPr>
            <w:tcW w:w="240" w:type="dxa"/>
            <w:vAlign w:val="bottom"/>
            <w:gridSpan w:val="5"/>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Security Ownership of Certain Beneficial Owners and Management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6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Item 13</w:t>
              </w:r>
            </w:hyperlink>
          </w:p>
        </w:tc>
        <w:tc>
          <w:tcPr>
            <w:tcW w:w="240" w:type="dxa"/>
            <w:vAlign w:val="bottom"/>
            <w:gridSpan w:val="5"/>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Certain Relationships and Related Transactions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6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Item 14</w:t>
              </w:r>
            </w:hyperlink>
          </w:p>
        </w:tc>
        <w:tc>
          <w:tcPr>
            <w:tcW w:w="240" w:type="dxa"/>
            <w:vAlign w:val="bottom"/>
            <w:gridSpan w:val="5"/>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Principal Accountant Fees and Services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399"/>
        </w:trPr>
        <w:tc>
          <w:tcPr>
            <w:tcW w:w="840" w:type="dxa"/>
            <w:vAlign w:val="bottom"/>
            <w:gridSpan w:val="9"/>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IV</w:t>
              </w:r>
            </w:hyperlink>
          </w:p>
        </w:tc>
        <w:tc>
          <w:tcPr>
            <w:tcW w:w="9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Item 15</w:t>
              </w:r>
            </w:hyperlink>
          </w:p>
        </w:tc>
        <w:tc>
          <w:tcPr>
            <w:tcW w:w="80" w:type="dxa"/>
            <w:vAlign w:val="bottom"/>
            <w:tcBorders>
              <w:top w:val="single" w:sz="8" w:color="0000EE"/>
            </w:tcBorders>
            <w:gridSpan w:val="4"/>
          </w:tcPr>
          <w:p>
            <w:pPr>
              <w:spacing w:after="0"/>
              <w:rPr>
                <w:sz w:val="15"/>
                <w:szCs w:val="15"/>
                <w:color w:val="auto"/>
              </w:rPr>
            </w:pPr>
          </w:p>
        </w:tc>
        <w:tc>
          <w:tcPr>
            <w:tcW w:w="160" w:type="dxa"/>
            <w:vAlign w:val="bottom"/>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Exhibits and Financial Statement Schedules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183"/>
        </w:trPr>
        <w:tc>
          <w:tcPr>
            <w:tcW w:w="840" w:type="dxa"/>
            <w:vAlign w:val="bottom"/>
            <w:tcBorders>
              <w:bottom w:val="single" w:sz="8" w:color="0000EE"/>
            </w:tcBorders>
            <w:gridSpan w:val="9"/>
          </w:tcPr>
          <w:p>
            <w:pPr>
              <w:spacing w:after="0" w:line="182"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Signatures</w:t>
              </w:r>
            </w:hyperlink>
          </w:p>
        </w:tc>
        <w:tc>
          <w:tcPr>
            <w:tcW w:w="972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r>
    </w:tbl>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Annual Report on Form 10-K is for the year ended December 31, 2008. This Annual Report on Form 10-K modifies and supersedes documents filed before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Comcast Corporation as “Comcast;” Comcast and its consolidated subsidiaries as “we,” “us” and “our;” and Comcast Holdings Corporation as “Comcast Holdings.”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Comcast and the Comcast logo. Our trademarks include Fancast and FEARnet.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 Business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the nation’s leading provider of cable services, offering a variety of entertainment, information and communications services to residential and commercial customers. As of December 31, 2008, our cable systems served approximately 24.2 million video customers, 14.9 million high-speed Internet customers and 6.5 million phone customers and passed over 50.6 million homes in 39 states and the District of Columbia. We report the results of these operations as our Cable segment, which generates approximately 95% of our consolidated revenue. Our Cable segment also includes the operations of our regional sports networks. Our other reportable segment, Programming, consists primarily of our national programming networks, including E!, Golf Channel, VERSUS, G4 and Style. We were incorporated under the laws of Pennsylvania in December 2001. Through our predecessors, we have developed, managed and operated cable systems since 1963.</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Comcast’s Internet businesses focused on entertainment, information and communication, including Comcast.net, Fancast, thePlatform, Fandango, Plaxo and DailyCandy. Comcast Spectacor owns two professional sports teams and two large, multipurpose arenas, and manages other facilities for sporting events, concerts and other events. Comcast Interactive Media, Comcast Spectacor and all other consolidated businesses not included in our Cable or Programming segment are included in “Corporate and Other” activities.</w:t>
      </w:r>
    </w:p>
    <w:p>
      <w:pPr>
        <w:spacing w:after="0" w:line="161" w:lineRule="exact"/>
        <w:rPr>
          <w:sz w:val="20"/>
          <w:szCs w:val="20"/>
          <w:color w:val="auto"/>
        </w:rPr>
      </w:pPr>
    </w:p>
    <w:p>
      <w:pPr>
        <w:jc w:val="both"/>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For financial and other information about our reportable segments, refer to </w:t>
      </w:r>
      <w:hyperlink w:anchor="page71">
        <w:r>
          <w:rPr>
            <w:rFonts w:ascii="Arial" w:cs="Arial" w:eastAsia="Arial" w:hAnsi="Arial"/>
            <w:sz w:val="18"/>
            <w:szCs w:val="18"/>
            <w:u w:val="single" w:color="auto"/>
            <w:color w:val="0000EE"/>
          </w:rPr>
          <w:t>Item 8, 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included in this Annual Report on Form 10-K.</w:t>
      </w: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 Sites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phone number is (215) 286-1700, and our principal executive offices are located at One Comcast Center, Philadelphia, PA 19103-2838. The public may read and copy any materials we file with the SEC at the SEC’s Public Reference Room at 100 F Street, NE, Washington, DC 20549. The public may obtain information on the operation of the Public Reference Room by calling the SEC at 1-800-SEC-0330.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 site at www.sec.gov and on our Web site at www.comcast.com as soon as reasonably practicable after such reports are electronically filed with the SEC. The information posted on our Web site is not incorporated into our SEC filings.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4"/>
          <w:szCs w:val="24"/>
          <w:color w:val="auto"/>
        </w:rPr>
        <w:t>General Developments of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-986790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are the more significant developments in our businesses in 2008:</w:t>
      </w:r>
    </w:p>
    <w:p>
      <w:pPr>
        <w:spacing w:after="0" w:line="195" w:lineRule="exact"/>
        <w:rPr>
          <w:sz w:val="20"/>
          <w:szCs w:val="20"/>
          <w:color w:val="auto"/>
        </w:rPr>
      </w:pPr>
    </w:p>
    <w:p>
      <w:pPr>
        <w:jc w:val="both"/>
        <w:ind w:left="120" w:right="120" w:hanging="119"/>
        <w:spacing w:after="0" w:line="238"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in consolidated revenue of 10.9% to approximately $34.3 billion and an increase in consolidated operating income of 20.7% to approximately $6.7 billion</w:t>
      </w:r>
    </w:p>
    <w:p>
      <w:pPr>
        <w:spacing w:after="0" w:line="194" w:lineRule="exact"/>
        <w:rPr>
          <w:rFonts w:ascii="Arial" w:cs="Arial" w:eastAsia="Arial" w:hAnsi="Arial"/>
          <w:sz w:val="18"/>
          <w:szCs w:val="18"/>
          <w:color w:val="auto"/>
        </w:rPr>
      </w:pPr>
    </w:p>
    <w:p>
      <w:pPr>
        <w:jc w:val="both"/>
        <w:ind w:left="120" w:right="140" w:hanging="119"/>
        <w:spacing w:after="0" w:line="238"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in Cable segment revenue of 10.7% to approximately $32.4 billion and an increase in operating income before depreciation and amortization of 10.5% to approximately $13.2 billion</w:t>
      </w:r>
    </w:p>
    <w:p>
      <w:pPr>
        <w:spacing w:after="0" w:line="194" w:lineRule="exact"/>
        <w:rPr>
          <w:rFonts w:ascii="Arial" w:cs="Arial" w:eastAsia="Arial" w:hAnsi="Arial"/>
          <w:sz w:val="18"/>
          <w:szCs w:val="18"/>
          <w:color w:val="auto"/>
        </w:rPr>
      </w:pPr>
    </w:p>
    <w:p>
      <w:pPr>
        <w:jc w:val="both"/>
        <w:ind w:left="120" w:right="140" w:hanging="119"/>
        <w:spacing w:after="0" w:line="236"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addition of approximately 1.5 million digital video customers, approximately 1.3 million high-speed Internet customers, approximately 2.0 million digital phone customers and a decrease of approximately 575,000 video customers (excluding in each case customers obtained through acquisitions)</w:t>
      </w:r>
    </w:p>
    <w:p>
      <w:pPr>
        <w:spacing w:after="0" w:line="197" w:lineRule="exact"/>
        <w:rPr>
          <w:rFonts w:ascii="Arial" w:cs="Arial" w:eastAsia="Arial" w:hAnsi="Arial"/>
          <w:sz w:val="18"/>
          <w:szCs w:val="18"/>
          <w:color w:val="auto"/>
        </w:rPr>
      </w:pPr>
    </w:p>
    <w:p>
      <w:pPr>
        <w:ind w:left="120" w:right="140" w:hanging="119"/>
        <w:spacing w:after="0" w:line="239"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7.5% to approximately $5.5 billion</w:t>
      </w:r>
    </w:p>
    <w:p>
      <w:pPr>
        <w:spacing w:after="0" w:line="195" w:lineRule="exact"/>
        <w:rPr>
          <w:rFonts w:ascii="Arial" w:cs="Arial" w:eastAsia="Arial" w:hAnsi="Arial"/>
          <w:sz w:val="18"/>
          <w:szCs w:val="18"/>
          <w:color w:val="auto"/>
        </w:rPr>
      </w:pPr>
    </w:p>
    <w:p>
      <w:pPr>
        <w:jc w:val="both"/>
        <w:ind w:left="120" w:right="140" w:hanging="119"/>
        <w:spacing w:after="0" w:line="238"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transition of more of our programming to digital transmission rather than analog transmission in order to recapture bandwidth that will allow us to continue to expand our service offerings</w:t>
      </w:r>
    </w:p>
    <w:p>
      <w:pPr>
        <w:spacing w:after="0" w:line="194" w:lineRule="exact"/>
        <w:rPr>
          <w:rFonts w:ascii="Arial" w:cs="Arial" w:eastAsia="Arial" w:hAnsi="Arial"/>
          <w:sz w:val="18"/>
          <w:szCs w:val="18"/>
          <w:color w:val="auto"/>
        </w:rPr>
      </w:pPr>
    </w:p>
    <w:p>
      <w:pPr>
        <w:ind w:left="120" w:right="140" w:hanging="119"/>
        <w:spacing w:after="0" w:line="239"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initial deployment of DOCSIS 3.0 high-speed Internet technology, also referred to as Wideband</w:t>
      </w:r>
    </w:p>
    <w:p>
      <w:pPr>
        <w:spacing w:after="0" w:line="195" w:lineRule="exact"/>
        <w:rPr>
          <w:rFonts w:ascii="Arial" w:cs="Arial" w:eastAsia="Arial" w:hAnsi="Arial"/>
          <w:sz w:val="18"/>
          <w:szCs w:val="18"/>
          <w:color w:val="auto"/>
        </w:rPr>
      </w:pPr>
    </w:p>
    <w:p>
      <w:pPr>
        <w:jc w:val="both"/>
        <w:ind w:left="120" w:right="140" w:hanging="119"/>
        <w:spacing w:after="0" w:line="237"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acquisition of cable systems serving Illinois and Indiana (approximately 696,000 video customers), as a result of the dissolution of Insight Midwest, LP (the “Insight transaction”), in January 2008</w:t>
      </w:r>
    </w:p>
    <w:p>
      <w:pPr>
        <w:spacing w:after="0" w:line="195" w:lineRule="exact"/>
        <w:rPr>
          <w:rFonts w:ascii="Arial" w:cs="Arial" w:eastAsia="Arial" w:hAnsi="Arial"/>
          <w:sz w:val="18"/>
          <w:szCs w:val="18"/>
          <w:color w:val="auto"/>
        </w:rPr>
      </w:pPr>
    </w:p>
    <w:p>
      <w:pPr>
        <w:jc w:val="both"/>
        <w:ind w:left="120" w:right="140" w:hanging="119"/>
        <w:spacing w:after="0" w:line="235"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investment as part of an investor group in a new entity named Clearwire that is focusing on the deployment of a nationwide 4G wireless network using its significant wireless spectrum holdings and was formed through the combination of the 4G wireless broadband businesses of Clearwire’s legal predecessor and Sprint Nextel (“Sprint”); through related agreements entered into in connection with our investment, we will be able to offer wireless services utilizing Clearwire’s 4G and certain of Sprint’s existing wireless networks</w:t>
      </w:r>
    </w:p>
    <w:p>
      <w:pPr>
        <w:spacing w:after="0" w:line="201" w:lineRule="exact"/>
        <w:rPr>
          <w:rFonts w:ascii="Arial" w:cs="Arial" w:eastAsia="Arial" w:hAnsi="Arial"/>
          <w:sz w:val="18"/>
          <w:szCs w:val="18"/>
          <w:color w:val="auto"/>
        </w:rPr>
      </w:pPr>
    </w:p>
    <w:p>
      <w:pPr>
        <w:jc w:val="both"/>
        <w:ind w:left="120" w:right="120" w:hanging="119"/>
        <w:spacing w:after="0" w:line="237" w:lineRule="auto"/>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completion of various transactions, including the acquisition of Internet-related businesses, which include Plaxo and DailyCandy, and the purchase of an additional ownership interest in Comcast SportsNet Bay Area</w:t>
      </w:r>
    </w:p>
    <w:p>
      <w:pPr>
        <w:spacing w:after="0" w:line="195" w:lineRule="exact"/>
        <w:rPr>
          <w:rFonts w:ascii="Arial" w:cs="Arial" w:eastAsia="Arial" w:hAnsi="Arial"/>
          <w:sz w:val="18"/>
          <w:szCs w:val="18"/>
          <w:color w:val="auto"/>
        </w:rPr>
      </w:pPr>
    </w:p>
    <w:p>
      <w:pPr>
        <w:jc w:val="both"/>
        <w:ind w:left="120" w:right="140" w:hanging="119"/>
        <w:spacing w:after="0" w:line="281" w:lineRule="auto"/>
        <w:tabs>
          <w:tab w:leader="none" w:pos="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repurchase of approximately 141 million shares of our Class A common stock and Class A Special common stock for approximately $2.8 billion under our share repurchase authorization</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06"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left="220" w:hanging="212"/>
        <w:spacing w:after="0" w:line="23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of a quarterly dividend of $0.0625 per share in February 2008; we declared dividends of approximately $727 million in 2008, of which $547 million were paid during 2008</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operate our businesses in an intensely competitive environment. Competition for the cable services we offer consists primarily of direct broadcast satellite (“DBS”) operators and phone companies. In 2008, our competitors continued to add features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and adopt aggressive pricing and packaging for services that are comparable to the services we offer and the local phone companies have continued to expand their service areas. A substantial portion of our revenue comes from residential customers whose spending patterns may be affected by prevailing economic conditions. Intensifying competition and a weakening economy affected our net customer additions in 2008 and may, if these conditions continue, adversely impact our results of operations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-1670050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352"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customer and penetration data for our cable operations as of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2008</w:t>
            </w: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2007</w:t>
            </w: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2006</w:t>
            </w: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2005</w:t>
            </w: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2004</w:t>
            </w:r>
          </w:p>
        </w:tc>
      </w:tr>
      <w:tr>
        <w:trPr>
          <w:trHeight w:val="199"/>
        </w:trPr>
        <w:tc>
          <w:tcPr>
            <w:tcW w:w="4580" w:type="dxa"/>
            <w:vAlign w:val="bottom"/>
          </w:tcPr>
          <w:p>
            <w:pPr>
              <w:spacing w:after="0" w:line="200" w:lineRule="exact"/>
              <w:rPr>
                <w:sz w:val="20"/>
                <w:szCs w:val="20"/>
                <w:color w:val="auto"/>
              </w:rPr>
            </w:pPr>
            <w:r>
              <w:rPr>
                <w:rFonts w:ascii="Arial" w:cs="Arial" w:eastAsia="Arial" w:hAnsi="Arial"/>
                <w:sz w:val="18"/>
                <w:szCs w:val="18"/>
                <w:color w:val="auto"/>
              </w:rPr>
              <w:t>Homes passed</w:t>
            </w:r>
            <w:r>
              <w:rPr>
                <w:rFonts w:ascii="Arial" w:cs="Arial" w:eastAsia="Arial" w:hAnsi="Arial"/>
                <w:sz w:val="22"/>
                <w:szCs w:val="22"/>
                <w:color w:val="auto"/>
                <w:vertAlign w:val="superscript"/>
              </w:rPr>
              <w:t>(a)</w:t>
            </w:r>
          </w:p>
        </w:tc>
        <w:tc>
          <w:tcPr>
            <w:tcW w:w="3080" w:type="dxa"/>
            <w:vAlign w:val="bottom"/>
          </w:tcPr>
          <w:p>
            <w:pPr>
              <w:jc w:val="right"/>
              <w:ind w:right="314"/>
              <w:spacing w:after="0" w:line="200" w:lineRule="exact"/>
              <w:rPr>
                <w:sz w:val="20"/>
                <w:szCs w:val="20"/>
                <w:color w:val="auto"/>
              </w:rPr>
            </w:pPr>
            <w:r>
              <w:rPr>
                <w:rFonts w:ascii="Arial" w:cs="Arial" w:eastAsia="Arial" w:hAnsi="Arial"/>
                <w:sz w:val="18"/>
                <w:szCs w:val="18"/>
                <w:color w:val="auto"/>
              </w:rPr>
              <w:t>50.6</w:t>
            </w:r>
          </w:p>
        </w:tc>
        <w:tc>
          <w:tcPr>
            <w:tcW w:w="1000" w:type="dxa"/>
            <w:vAlign w:val="bottom"/>
          </w:tcPr>
          <w:p>
            <w:pPr>
              <w:jc w:val="right"/>
              <w:ind w:right="314"/>
              <w:spacing w:after="0" w:line="200" w:lineRule="exact"/>
              <w:rPr>
                <w:sz w:val="20"/>
                <w:szCs w:val="20"/>
                <w:color w:val="auto"/>
              </w:rPr>
            </w:pPr>
            <w:r>
              <w:rPr>
                <w:rFonts w:ascii="Arial" w:cs="Arial" w:eastAsia="Arial" w:hAnsi="Arial"/>
                <w:sz w:val="18"/>
                <w:szCs w:val="18"/>
                <w:color w:val="auto"/>
              </w:rPr>
              <w:t>48.5</w:t>
            </w:r>
          </w:p>
        </w:tc>
        <w:tc>
          <w:tcPr>
            <w:tcW w:w="1000" w:type="dxa"/>
            <w:vAlign w:val="bottom"/>
          </w:tcPr>
          <w:p>
            <w:pPr>
              <w:jc w:val="right"/>
              <w:ind w:right="314"/>
              <w:spacing w:after="0" w:line="200" w:lineRule="exact"/>
              <w:rPr>
                <w:sz w:val="20"/>
                <w:szCs w:val="20"/>
                <w:color w:val="auto"/>
              </w:rPr>
            </w:pPr>
            <w:r>
              <w:rPr>
                <w:rFonts w:ascii="Arial" w:cs="Arial" w:eastAsia="Arial" w:hAnsi="Arial"/>
                <w:sz w:val="18"/>
                <w:szCs w:val="18"/>
                <w:color w:val="auto"/>
              </w:rPr>
              <w:t>45.7</w:t>
            </w:r>
          </w:p>
        </w:tc>
        <w:tc>
          <w:tcPr>
            <w:tcW w:w="1000" w:type="dxa"/>
            <w:vAlign w:val="bottom"/>
          </w:tcPr>
          <w:p>
            <w:pPr>
              <w:jc w:val="right"/>
              <w:ind w:right="314"/>
              <w:spacing w:after="0" w:line="200" w:lineRule="exact"/>
              <w:rPr>
                <w:sz w:val="20"/>
                <w:szCs w:val="20"/>
                <w:color w:val="auto"/>
              </w:rPr>
            </w:pPr>
            <w:r>
              <w:rPr>
                <w:rFonts w:ascii="Arial" w:cs="Arial" w:eastAsia="Arial" w:hAnsi="Arial"/>
                <w:sz w:val="18"/>
                <w:szCs w:val="18"/>
                <w:color w:val="auto"/>
              </w:rPr>
              <w:t>38.6</w:t>
            </w:r>
          </w:p>
        </w:tc>
        <w:tc>
          <w:tcPr>
            <w:tcW w:w="760" w:type="dxa"/>
            <w:vAlign w:val="bottom"/>
          </w:tcPr>
          <w:p>
            <w:pPr>
              <w:jc w:val="right"/>
              <w:ind w:right="74"/>
              <w:spacing w:after="0" w:line="200" w:lineRule="exact"/>
              <w:rPr>
                <w:sz w:val="20"/>
                <w:szCs w:val="20"/>
                <w:color w:val="auto"/>
              </w:rPr>
            </w:pPr>
            <w:r>
              <w:rPr>
                <w:rFonts w:ascii="Arial" w:cs="Arial" w:eastAsia="Arial" w:hAnsi="Arial"/>
                <w:sz w:val="18"/>
                <w:szCs w:val="18"/>
                <w:color w:val="auto"/>
              </w:rPr>
              <w:t>37.8</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Video</w:t>
            </w:r>
          </w:p>
        </w:tc>
        <w:tc>
          <w:tcPr>
            <w:tcW w:w="3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80" w:type="dxa"/>
            <w:vAlign w:val="bottom"/>
          </w:tcPr>
          <w:p>
            <w:pPr>
              <w:ind w:left="220"/>
              <w:spacing w:after="0" w:line="203" w:lineRule="exact"/>
              <w:rPr>
                <w:sz w:val="20"/>
                <w:szCs w:val="20"/>
                <w:color w:val="auto"/>
              </w:rPr>
            </w:pPr>
            <w:r>
              <w:rPr>
                <w:rFonts w:ascii="Arial" w:cs="Arial" w:eastAsia="Arial" w:hAnsi="Arial"/>
                <w:sz w:val="18"/>
                <w:szCs w:val="18"/>
                <w:color w:val="auto"/>
              </w:rPr>
              <w:t>Video customers</w:t>
            </w:r>
            <w:r>
              <w:rPr>
                <w:rFonts w:ascii="Arial" w:cs="Arial" w:eastAsia="Arial" w:hAnsi="Arial"/>
                <w:sz w:val="22"/>
                <w:szCs w:val="22"/>
                <w:color w:val="auto"/>
                <w:vertAlign w:val="superscript"/>
              </w:rPr>
              <w:t>(b)</w:t>
            </w:r>
          </w:p>
        </w:tc>
        <w:tc>
          <w:tcPr>
            <w:tcW w:w="30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24.2</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24.1</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23.4</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20.3</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20.5</w:t>
            </w:r>
          </w:p>
        </w:tc>
      </w:tr>
      <w:tr>
        <w:trPr>
          <w:trHeight w:val="203"/>
        </w:trPr>
        <w:tc>
          <w:tcPr>
            <w:tcW w:w="4580" w:type="dxa"/>
            <w:vAlign w:val="bottom"/>
          </w:tcPr>
          <w:p>
            <w:pPr>
              <w:ind w:left="220"/>
              <w:spacing w:after="0" w:line="203" w:lineRule="exact"/>
              <w:rPr>
                <w:sz w:val="20"/>
                <w:szCs w:val="20"/>
                <w:color w:val="auto"/>
              </w:rPr>
            </w:pPr>
            <w:r>
              <w:rPr>
                <w:rFonts w:ascii="Arial" w:cs="Arial" w:eastAsia="Arial" w:hAnsi="Arial"/>
                <w:sz w:val="18"/>
                <w:szCs w:val="18"/>
                <w:color w:val="auto"/>
              </w:rPr>
              <w:t>Penetration</w:t>
            </w:r>
            <w:r>
              <w:rPr>
                <w:rFonts w:ascii="Arial" w:cs="Arial" w:eastAsia="Arial" w:hAnsi="Arial"/>
                <w:sz w:val="22"/>
                <w:szCs w:val="22"/>
                <w:color w:val="auto"/>
                <w:vertAlign w:val="superscript"/>
              </w:rPr>
              <w:t>(c)</w:t>
            </w:r>
          </w:p>
        </w:tc>
        <w:tc>
          <w:tcPr>
            <w:tcW w:w="30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47.8%</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49.6%</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51.3%</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52.7%</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54.1%</w:t>
            </w:r>
          </w:p>
        </w:tc>
      </w:tr>
      <w:tr>
        <w:trPr>
          <w:trHeight w:val="203"/>
        </w:trPr>
        <w:tc>
          <w:tcPr>
            <w:tcW w:w="4580" w:type="dxa"/>
            <w:vAlign w:val="bottom"/>
          </w:tcPr>
          <w:p>
            <w:pPr>
              <w:ind w:left="220"/>
              <w:spacing w:after="0" w:line="203" w:lineRule="exact"/>
              <w:rPr>
                <w:sz w:val="20"/>
                <w:szCs w:val="20"/>
                <w:color w:val="auto"/>
              </w:rPr>
            </w:pPr>
            <w:r>
              <w:rPr>
                <w:rFonts w:ascii="Arial" w:cs="Arial" w:eastAsia="Arial" w:hAnsi="Arial"/>
                <w:sz w:val="18"/>
                <w:szCs w:val="18"/>
                <w:color w:val="auto"/>
              </w:rPr>
              <w:t>Digital video customers</w:t>
            </w:r>
            <w:r>
              <w:rPr>
                <w:rFonts w:ascii="Arial" w:cs="Arial" w:eastAsia="Arial" w:hAnsi="Arial"/>
                <w:sz w:val="22"/>
                <w:szCs w:val="22"/>
                <w:color w:val="auto"/>
                <w:vertAlign w:val="superscript"/>
              </w:rPr>
              <w:t>(d)</w:t>
            </w:r>
          </w:p>
        </w:tc>
        <w:tc>
          <w:tcPr>
            <w:tcW w:w="30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17.0</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15.2</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12.1</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9.1</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8.1</w:t>
            </w:r>
          </w:p>
        </w:tc>
      </w:tr>
      <w:tr>
        <w:trPr>
          <w:trHeight w:val="203"/>
        </w:trPr>
        <w:tc>
          <w:tcPr>
            <w:tcW w:w="4580" w:type="dxa"/>
            <w:vAlign w:val="bottom"/>
          </w:tcPr>
          <w:p>
            <w:pPr>
              <w:ind w:left="220"/>
              <w:spacing w:after="0" w:line="203" w:lineRule="exact"/>
              <w:rPr>
                <w:sz w:val="20"/>
                <w:szCs w:val="20"/>
                <w:color w:val="auto"/>
              </w:rPr>
            </w:pPr>
            <w:r>
              <w:rPr>
                <w:rFonts w:ascii="Arial" w:cs="Arial" w:eastAsia="Arial" w:hAnsi="Arial"/>
                <w:sz w:val="18"/>
                <w:szCs w:val="18"/>
                <w:color w:val="auto"/>
              </w:rPr>
              <w:t>Digital video penetration</w:t>
            </w:r>
            <w:r>
              <w:rPr>
                <w:rFonts w:ascii="Arial" w:cs="Arial" w:eastAsia="Arial" w:hAnsi="Arial"/>
                <w:sz w:val="22"/>
                <w:szCs w:val="22"/>
                <w:color w:val="auto"/>
                <w:vertAlign w:val="superscript"/>
              </w:rPr>
              <w:t>(c)</w:t>
            </w:r>
          </w:p>
        </w:tc>
        <w:tc>
          <w:tcPr>
            <w:tcW w:w="30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70.3%</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63.1%</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51.9%</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44.8%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3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80" w:type="dxa"/>
            <w:vAlign w:val="bottom"/>
          </w:tcPr>
          <w:p>
            <w:pPr>
              <w:ind w:left="220"/>
              <w:spacing w:after="0" w:line="203" w:lineRule="exact"/>
              <w:rPr>
                <w:sz w:val="20"/>
                <w:szCs w:val="20"/>
                <w:color w:val="auto"/>
              </w:rPr>
            </w:pPr>
            <w:r>
              <w:rPr>
                <w:rFonts w:ascii="Arial" w:cs="Arial" w:eastAsia="Arial" w:hAnsi="Arial"/>
                <w:sz w:val="18"/>
                <w:szCs w:val="18"/>
                <w:color w:val="auto"/>
              </w:rPr>
              <w:t>Available homes</w:t>
            </w:r>
            <w:r>
              <w:rPr>
                <w:rFonts w:ascii="Arial" w:cs="Arial" w:eastAsia="Arial" w:hAnsi="Arial"/>
                <w:sz w:val="22"/>
                <w:szCs w:val="22"/>
                <w:color w:val="auto"/>
                <w:vertAlign w:val="superscript"/>
              </w:rPr>
              <w:t>(e)</w:t>
            </w:r>
          </w:p>
        </w:tc>
        <w:tc>
          <w:tcPr>
            <w:tcW w:w="30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50.3</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48.1</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45.2</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38.2</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37.1</w:t>
            </w: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Internet customers</w:t>
            </w:r>
          </w:p>
        </w:tc>
        <w:tc>
          <w:tcPr>
            <w:tcW w:w="30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14.9</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13.2</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11.0</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8.1</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6.6</w:t>
            </w:r>
          </w:p>
        </w:tc>
      </w:tr>
      <w:tr>
        <w:trPr>
          <w:trHeight w:val="203"/>
        </w:trPr>
        <w:tc>
          <w:tcPr>
            <w:tcW w:w="4580" w:type="dxa"/>
            <w:vAlign w:val="bottom"/>
          </w:tcPr>
          <w:p>
            <w:pPr>
              <w:ind w:left="220"/>
              <w:spacing w:after="0" w:line="203" w:lineRule="exact"/>
              <w:rPr>
                <w:sz w:val="20"/>
                <w:szCs w:val="20"/>
                <w:color w:val="auto"/>
              </w:rPr>
            </w:pPr>
            <w:r>
              <w:rPr>
                <w:rFonts w:ascii="Arial" w:cs="Arial" w:eastAsia="Arial" w:hAnsi="Arial"/>
                <w:sz w:val="18"/>
                <w:szCs w:val="18"/>
                <w:color w:val="auto"/>
              </w:rPr>
              <w:t>Penetration</w:t>
            </w:r>
            <w:r>
              <w:rPr>
                <w:rFonts w:ascii="Arial" w:cs="Arial" w:eastAsia="Arial" w:hAnsi="Arial"/>
                <w:sz w:val="22"/>
                <w:szCs w:val="22"/>
                <w:color w:val="auto"/>
                <w:vertAlign w:val="superscript"/>
              </w:rPr>
              <w:t>(c)</w:t>
            </w:r>
          </w:p>
        </w:tc>
        <w:tc>
          <w:tcPr>
            <w:tcW w:w="308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29.7%</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27.5%</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24.4%</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21.1%</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3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80" w:type="dxa"/>
            <w:vAlign w:val="bottom"/>
          </w:tcPr>
          <w:p>
            <w:pPr>
              <w:ind w:left="220"/>
              <w:spacing w:after="0" w:line="203" w:lineRule="exact"/>
              <w:rPr>
                <w:sz w:val="20"/>
                <w:szCs w:val="20"/>
                <w:color w:val="auto"/>
              </w:rPr>
            </w:pPr>
            <w:r>
              <w:rPr>
                <w:rFonts w:ascii="Arial" w:cs="Arial" w:eastAsia="Arial" w:hAnsi="Arial"/>
                <w:sz w:val="18"/>
                <w:szCs w:val="18"/>
                <w:color w:val="auto"/>
              </w:rPr>
              <w:t>Available homes</w:t>
            </w:r>
            <w:r>
              <w:rPr>
                <w:rFonts w:ascii="Arial" w:cs="Arial" w:eastAsia="Arial" w:hAnsi="Arial"/>
                <w:sz w:val="22"/>
                <w:szCs w:val="22"/>
                <w:color w:val="auto"/>
                <w:vertAlign w:val="superscript"/>
              </w:rPr>
              <w:t>(e)</w:t>
            </w:r>
          </w:p>
        </w:tc>
        <w:tc>
          <w:tcPr>
            <w:tcW w:w="30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46.7</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42.2</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31.5</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19.6</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8.9</w:t>
            </w: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Phone customers</w:t>
            </w:r>
          </w:p>
        </w:tc>
        <w:tc>
          <w:tcPr>
            <w:tcW w:w="30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6.5</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4.6</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2.4</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1.2</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1.1</w:t>
            </w:r>
          </w:p>
        </w:tc>
      </w:tr>
      <w:tr>
        <w:trPr>
          <w:trHeight w:val="199"/>
        </w:trPr>
        <w:tc>
          <w:tcPr>
            <w:tcW w:w="45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Penetration</w:t>
            </w:r>
            <w:r>
              <w:rPr>
                <w:rFonts w:ascii="Arial" w:cs="Arial" w:eastAsia="Arial" w:hAnsi="Arial"/>
                <w:sz w:val="22"/>
                <w:szCs w:val="22"/>
                <w:color w:val="auto"/>
                <w:vertAlign w:val="superscript"/>
              </w:rPr>
              <w:t>(c)</w:t>
            </w:r>
          </w:p>
        </w:tc>
        <w:tc>
          <w:tcPr>
            <w:tcW w:w="308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13.9%</w:t>
            </w:r>
          </w:p>
        </w:tc>
        <w:tc>
          <w:tcPr>
            <w:tcW w:w="100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10.8%</w:t>
            </w:r>
          </w:p>
        </w:tc>
        <w:tc>
          <w:tcPr>
            <w:tcW w:w="100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7.6%</w:t>
            </w:r>
          </w:p>
        </w:tc>
        <w:tc>
          <w:tcPr>
            <w:tcW w:w="100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6.0%</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12.2%</w:t>
            </w: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41" w:lineRule="exact"/>
        <w:rPr>
          <w:sz w:val="20"/>
          <w:szCs w:val="20"/>
          <w:color w:val="auto"/>
        </w:rPr>
      </w:pPr>
    </w:p>
    <w:p>
      <w:pPr>
        <w:jc w:val="both"/>
        <w:ind w:left="300" w:right="20" w:hanging="292"/>
        <w:spacing w:after="0" w:line="226"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Homes are considered passed (“homes passed”) if we can connect them to our distribution system without further extending the transmission lines. As described in Note (b) below, in the case of certain multiple dwelling units (“MDUs”), such as apartment buildings and condominium complexes, homes passed are counted on an adjusted basis. Homes passed is an estimate based on the best available information. Homes passed and available homes do not include the number of small and medium-sized businesses passed, which cannot be reasonably estimated at this time.</w:t>
      </w:r>
    </w:p>
    <w:p>
      <w:pPr>
        <w:spacing w:after="0" w:line="41"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In the case of some MDUs, we count homes passed and video customers on a Federal Communications Commission (“FCC”) equivalent basis by dividing total revenue received from a contract with an MDU by the standard residential rate where the specific MDU is located.</w:t>
      </w:r>
    </w:p>
    <w:p>
      <w:pPr>
        <w:spacing w:after="0" w:line="40"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passed or available homes, as appropriate. The number of customers includes our small and medium-sized business customers.</w:t>
      </w:r>
    </w:p>
    <w:p>
      <w:pPr>
        <w:spacing w:after="0" w:line="41"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Digital video customers are those who receive any level of video service via digital transmissions. A dwelling with one or more digital set-top boxes counts as one digital video customer. On average, as of December 31, 2008, each digital video customer had 1.6 digital set-top boxes.</w:t>
      </w:r>
    </w:p>
    <w:p>
      <w:pPr>
        <w:spacing w:after="0" w:line="41" w:lineRule="exact"/>
        <w:rPr>
          <w:rFonts w:ascii="Arial" w:cs="Arial" w:eastAsia="Arial" w:hAnsi="Arial"/>
          <w:sz w:val="14"/>
          <w:szCs w:val="14"/>
          <w:color w:val="auto"/>
        </w:rPr>
      </w:pPr>
    </w:p>
    <w:p>
      <w:pPr>
        <w:ind w:left="300" w:right="20" w:hanging="292"/>
        <w:spacing w:after="0" w:line="231" w:lineRule="auto"/>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Homes are considered available (“available homes”) if we can connect them to our distribution system without further upgrading the transmission lines and if we offer the service in that area. Available homes for phone include digital and circuit-switched homes. See also note (a) above.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offer a variety of services over our cable systems, including video, high-speed Internet and phone services (“cable services”) and market these services individually and in packages. Substantially all of our customers are residential customers. We have traditionally offered our video services to restaurants and hotels, and we are now offering our cable services to small and medium-sized businesses. Monthly subscription rates and related charges vary according to the service selected and the type of equipment the customer uses, and customers typically pay us on a monthly basis. While residential customers may discontinue services at any time, business customers may only discontinue their services in accordance with the terms of their respective contracts, which typically have one to three year terms.</w:t>
      </w:r>
    </w:p>
    <w:p>
      <w:pPr>
        <w:spacing w:after="0" w:line="34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focusing our technology initiatives on extending the capacity and efficiency of our networks, increasing the capacity and functionality of advanced set-top boxes, developing and integrating cross-service features and functionality, and developing interactive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Video Services</w:t>
      </w:r>
    </w:p>
    <w:p>
      <w:pPr>
        <w:jc w:val="both"/>
        <w:spacing w:after="0" w:line="236" w:lineRule="auto"/>
        <w:rPr>
          <w:sz w:val="20"/>
          <w:szCs w:val="20"/>
          <w:color w:val="auto"/>
        </w:rPr>
      </w:pPr>
      <w:r>
        <w:rPr>
          <w:rFonts w:ascii="Arial" w:cs="Arial" w:eastAsia="Arial" w:hAnsi="Arial"/>
          <w:sz w:val="18"/>
          <w:szCs w:val="18"/>
          <w:color w:val="auto"/>
        </w:rPr>
        <w:t>Our video service offerings range from a limited analog service to a full digital service, as well as advanced services, including high-definition television (“HDTV”) and digital video recorder (“DVR”). We tailor our channel offerings for each system serving a particular geographic area according to applicable local and federal regulatory requirements, programming preferences and demographics.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video services consist of a limited analog service, which generally includes access to between 20 and 40 channels of programming, an expanded analog service, which generally includes access to between 60 and 80 channels of programming, and digital video services with access to over 250 channels, depending on the level of service selected. Our video services generally include programming provided by national and local broadcast networks, national and regional cable networks, and governmental and public access programming. Our digital video services generally include access to multiple music channels; our On Demand service; and an interactive, on-screen program guide. We also offer some specialty tiers with sports, family or international themes.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customers may also subscribe to premium channel programming. Premium channels include cable networks such as HBO, Showtime, Starz and Cinemax, which generally offer, without commercial interruption, movies, original programming, live and taped sporting events, concerts and other special features.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On Demand service allows our digital video customers the opportunity to choose from a selection of more than 10,000 standard-definition and high-definition programs over the course of a month; start the programs at whatever time is convenient; and pause, rewind and fast-forward the programs. The majority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60" w:right="120"/>
        <w:spacing w:after="0" w:line="235" w:lineRule="auto"/>
        <w:rPr>
          <w:sz w:val="20"/>
          <w:szCs w:val="20"/>
          <w:color w:val="auto"/>
        </w:rPr>
      </w:pPr>
      <w:r>
        <w:rPr>
          <w:rFonts w:ascii="Arial" w:cs="Arial" w:eastAsia="Arial" w:hAnsi="Arial"/>
          <w:sz w:val="18"/>
          <w:szCs w:val="18"/>
          <w:color w:val="auto"/>
        </w:rPr>
        <w:t>On Demand content is available to our digital video customers at no additional charge, with additional content available on a pay-per-view basis. Digital video customers subscribing to premium channels generally have access to the premium channel’s On Demand content without additional fees. Our pay-per-view On Demand service allows our video customers to order, for a separate fee, individual new release and library movies and special-event programs, such as professional boxing, professional wrestling and concerts. We are continuing to expand the number of On Demand choices, including HDTV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-1922780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jc w:val="both"/>
        <w:ind w:left="160" w:right="120"/>
        <w:spacing w:after="0" w:line="267" w:lineRule="auto"/>
        <w:rPr>
          <w:sz w:val="20"/>
          <w:szCs w:val="20"/>
          <w:color w:val="auto"/>
        </w:rPr>
      </w:pPr>
      <w:r>
        <w:rPr>
          <w:rFonts w:ascii="Arial" w:cs="Arial" w:eastAsia="Arial" w:hAnsi="Arial"/>
          <w:sz w:val="16"/>
          <w:szCs w:val="16"/>
          <w:color w:val="auto"/>
        </w:rPr>
        <w:t>Video customers may also subscribe to our advanced services, HDTV and DVR. Our HDTV service provides our video customers with improved, high-resolution picture quality, improved audio quality and a wide-screen format. Our HDTV service offers our digital video customers a broad selection of high-definition programming, including most major broadcast networks, leading national cable networks, premium channels and regional sports networks. In addition, our On Demand service provides over 1,000 HDTV programming choices. We are continuing to expand our HDTV programming choices. Our DVR service lets digital video customers select, record and store programs and play them at whatever time is convenient. Our DVR service also provides the ability to pause and rewind “live” television.</w:t>
      </w:r>
    </w:p>
    <w:p>
      <w:pPr>
        <w:spacing w:after="0" w:line="337" w:lineRule="exact"/>
        <w:rPr>
          <w:sz w:val="20"/>
          <w:szCs w:val="20"/>
          <w:color w:val="auto"/>
        </w:rPr>
      </w:pPr>
    </w:p>
    <w:p>
      <w:pPr>
        <w:ind w:left="160"/>
        <w:spacing w:after="0"/>
        <w:rPr>
          <w:sz w:val="20"/>
          <w:szCs w:val="20"/>
          <w:color w:val="auto"/>
        </w:rPr>
      </w:pPr>
      <w:r>
        <w:rPr>
          <w:rFonts w:ascii="Arial" w:cs="Arial" w:eastAsia="Arial" w:hAnsi="Arial"/>
          <w:sz w:val="18"/>
          <w:szCs w:val="18"/>
          <w:color w:val="52A2DD"/>
        </w:rPr>
        <w:t>High-Speed Internet Services</w:t>
      </w:r>
    </w:p>
    <w:p>
      <w:pPr>
        <w:jc w:val="both"/>
        <w:ind w:left="160" w:right="120"/>
        <w:spacing w:after="0" w:line="235" w:lineRule="auto"/>
        <w:rPr>
          <w:sz w:val="20"/>
          <w:szCs w:val="20"/>
          <w:color w:val="auto"/>
        </w:rPr>
      </w:pPr>
      <w:r>
        <w:rPr>
          <w:rFonts w:ascii="Arial" w:cs="Arial" w:eastAsia="Arial" w:hAnsi="Arial"/>
          <w:sz w:val="18"/>
          <w:szCs w:val="18"/>
          <w:color w:val="auto"/>
        </w:rPr>
        <w:t>We offer high-speed Internet services with Internet access at downstream speeds of up to 24 Mbps, depending on the service selected, and up to 50 Mbps with the introduction of DOCSIS 3.0 technology, also referred to as Wideband, based on geographic market availability. These services also include our interactive portal, Comcast.net, which provides multiple e-mail addresses and online storage, as well as a variety of content and value-added features and enhancements that are designed to take advantage of the speed of the Internet services we provide.</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color w:val="52A2DD"/>
        </w:rPr>
        <w:t>Phone Services</w:t>
      </w:r>
    </w:p>
    <w:p>
      <w:pPr>
        <w:jc w:val="both"/>
        <w:ind w:left="160" w:right="120"/>
        <w:spacing w:after="0" w:line="236" w:lineRule="auto"/>
        <w:rPr>
          <w:sz w:val="20"/>
          <w:szCs w:val="20"/>
          <w:color w:val="auto"/>
        </w:rPr>
      </w:pPr>
      <w:r>
        <w:rPr>
          <w:rFonts w:ascii="Arial" w:cs="Arial" w:eastAsia="Arial" w:hAnsi="Arial"/>
          <w:sz w:val="18"/>
          <w:szCs w:val="18"/>
          <w:color w:val="auto"/>
        </w:rPr>
        <w:t>We offer a Voice over Internet Protocol (“VoIP”) digital phone service that provides either usage-based or unlimited local and domestic long-distance calling, including features such as voice mail, caller ID and call waiting. We phased out substantially all of our circuit-switched phone service in 2008.</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ind w:left="160" w:right="120"/>
        <w:spacing w:after="0" w:line="235" w:lineRule="auto"/>
        <w:rPr>
          <w:sz w:val="20"/>
          <w:szCs w:val="20"/>
          <w:color w:val="auto"/>
        </w:rPr>
      </w:pPr>
      <w:r>
        <w:rPr>
          <w:rFonts w:ascii="Arial" w:cs="Arial" w:eastAsia="Arial" w:hAnsi="Arial"/>
          <w:sz w:val="18"/>
          <w:szCs w:val="18"/>
          <w:color w:val="auto"/>
        </w:rPr>
        <w:t>As part of our programming license agreements with programming networks, we often receive an allocation of scheduled advertising time that we may sell to local, regional and national advertisers. We also coordinate the advertising sales efforts of other cable operators in some markets, and in some markets we operate advertising interconnects. These interconnects establish a physical, direct link between multiple cable systems and provide for the sale of regional and national advertising across larger geographic areas than could be provided by a single cable company. We are also in the process of developing technology for interactive advertising.</w:t>
      </w:r>
    </w:p>
    <w:p>
      <w:pPr>
        <w:spacing w:after="0" w:line="236"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180"/>
            <w:col w:w="576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Sports Networks</w:t>
      </w:r>
    </w:p>
    <w:p>
      <w:pPr>
        <w:spacing w:after="0" w:line="13" w:lineRule="exact"/>
        <w:rPr>
          <w:sz w:val="20"/>
          <w:szCs w:val="20"/>
          <w:color w:val="auto"/>
        </w:rPr>
      </w:pPr>
    </w:p>
    <w:p>
      <w:pPr>
        <w:spacing w:after="0"/>
        <w:tabs>
          <w:tab w:leader="none" w:pos="500" w:val="left"/>
          <w:tab w:leader="none" w:pos="1360" w:val="left"/>
          <w:tab w:leader="none" w:pos="2060" w:val="left"/>
          <w:tab w:leader="none" w:pos="2980" w:val="left"/>
          <w:tab w:leader="none" w:pos="3760" w:val="left"/>
          <w:tab w:leader="none" w:pos="4680" w:val="left"/>
        </w:tabs>
        <w:rPr>
          <w:sz w:val="20"/>
          <w:szCs w:val="20"/>
          <w:color w:val="auto"/>
        </w:rPr>
      </w:pPr>
      <w:r>
        <w:rPr>
          <w:rFonts w:ascii="Arial" w:cs="Arial" w:eastAsia="Arial" w:hAnsi="Arial"/>
          <w:sz w:val="18"/>
          <w:szCs w:val="18"/>
          <w:color w:val="auto"/>
        </w:rPr>
        <w:t>Our</w:t>
        <w:tab/>
        <w:t>regional</w:t>
        <w:tab/>
        <w:t>sports</w:t>
        <w:tab/>
        <w:t>networks</w:t>
        <w:tab/>
        <w:t>include</w:t>
        <w:tab/>
        <w:t>Comcast</w:t>
      </w:r>
      <w:r>
        <w:rPr>
          <w:sz w:val="20"/>
          <w:szCs w:val="20"/>
          <w:color w:val="auto"/>
        </w:rPr>
        <w:tab/>
      </w:r>
      <w:r>
        <w:rPr>
          <w:rFonts w:ascii="Arial" w:cs="Arial" w:eastAsia="Arial" w:hAnsi="Arial"/>
          <w:sz w:val="16"/>
          <w:szCs w:val="16"/>
          <w:color w:val="auto"/>
        </w:rPr>
        <w:t>SportsNet</w:t>
      </w:r>
    </w:p>
    <w:p>
      <w:pPr>
        <w:jc w:val="both"/>
        <w:spacing w:after="0" w:line="269" w:lineRule="auto"/>
        <w:rPr>
          <w:sz w:val="20"/>
          <w:szCs w:val="20"/>
          <w:color w:val="auto"/>
        </w:rPr>
      </w:pPr>
      <w:r>
        <w:rPr>
          <w:rFonts w:ascii="Arial" w:cs="Arial" w:eastAsia="Arial" w:hAnsi="Arial"/>
          <w:sz w:val="16"/>
          <w:szCs w:val="16"/>
          <w:color w:val="auto"/>
        </w:rPr>
        <w:t>(Philadelphia), Comcast SportsNet Mid-Atlantic (Baltimore/Washington), Cable Sports Southeast, Comcast SportsNet Chicago, MountainWest Sports Network, Comcast SportsNet California (Sacramento), Comcast SportsNet New England (Boston), Comcast SportsNet Northwest (Portland) and Comcast SportsNet Bay Area (San Francisco). These networks generate revenue from monthly per subscriber license fees paid by multichannel video providers and through the sale of advertising time.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 Sources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generate revenue from our digital media center, installation services, commissions from electronic retailing networks and fees from other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 offer our video services, we license from programming networks the substantial majority of the programming channels and the associated On Demand offerings we distribute, and we generally pay a monthly fee for such programming on a per video subscriber, per channel basis. We attempt to secure long-term programming licenses with volume discounts and/or marketing support and incentives. We also license individual programs or packages of programs from programming suppliers for our On Demand service, generally under shorter-term agreements.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programming expenses depend on the number of our video customers, the number of channels and programs we provide, and the programming license fees we are charged. We expect our programming expenses to continue to be our largest single expense item and to increase in the future.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purchase a significant number of the set-top boxes and network equipment from a limited number of suppliers that we use in providing our video services.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our high-speed Internet portal, Comcast.net, we license software products (such as e-mail and security software) and content (such as news feeds) from a variety of suppliers under contracts in which we generally pay on a fixed-fee basis, or on a per customer basis in the case of software product licenses, or on a video advertising revenue share basis in the case of content licenses.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offer our phone services, we license software products (such as voice mail) from a variety of suppliers under multiyear contracts. The fees we pay are based on the consumption of the related services.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our provision of cable services, we license all of our billing software from two vendors.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We service our customers through local, regional and national call and technical centers. These call centers provide 24/7 call-answering capability, telemarketing and other services. Our technical services group performs various tasks, including installations, transmission and distribution plant maintenance, plant upgrades, and activities related to customer service.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systems employ a network architecture of hybrid fiber coax that we believe is sufficiently flexible and scalable to support our future requirements. This network allows the two-way delivery of transmissions, which is essential to providing interactive video services, such as On Demand, and high-speed Internet and digital phone services.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work on technology initiatives, including:</w:t>
      </w:r>
    </w:p>
    <w:p>
      <w:pPr>
        <w:spacing w:after="0" w:line="198" w:lineRule="exact"/>
        <w:rPr>
          <w:sz w:val="20"/>
          <w:szCs w:val="20"/>
          <w:color w:val="auto"/>
        </w:rPr>
      </w:pPr>
    </w:p>
    <w:p>
      <w:pPr>
        <w:ind w:left="120" w:right="20" w:hanging="119"/>
        <w:spacing w:after="0" w:line="239"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cross-platform functionality that will integrate key features of two or more of our services</w:t>
      </w:r>
    </w:p>
    <w:p>
      <w:pPr>
        <w:spacing w:after="0" w:line="195" w:lineRule="exact"/>
        <w:rPr>
          <w:rFonts w:ascii="Arial" w:cs="Arial" w:eastAsia="Arial" w:hAnsi="Arial"/>
          <w:sz w:val="18"/>
          <w:szCs w:val="18"/>
          <w:color w:val="auto"/>
        </w:rPr>
      </w:pPr>
    </w:p>
    <w:p>
      <w:pPr>
        <w:jc w:val="both"/>
        <w:ind w:left="120" w:right="20" w:hanging="119"/>
        <w:spacing w:after="0" w:line="238"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recapture of bandwidth available in our network, both by delivering more of our programming through digital, as opposed to analog, transmission and by exploiting digital optimization</w:t>
      </w:r>
    </w:p>
    <w:p>
      <w:pPr>
        <w:spacing w:after="0" w:line="194" w:lineRule="exact"/>
        <w:rPr>
          <w:rFonts w:ascii="Arial" w:cs="Arial" w:eastAsia="Arial" w:hAnsi="Arial"/>
          <w:sz w:val="18"/>
          <w:szCs w:val="18"/>
          <w:color w:val="auto"/>
        </w:rPr>
      </w:pPr>
    </w:p>
    <w:p>
      <w:pPr>
        <w:jc w:val="both"/>
        <w:ind w:left="120" w:right="20" w:hanging="119"/>
        <w:spacing w:after="0" w:line="238"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technology that provides early detection of problems within our network and provides our technicians with enhanced diagnostic tools</w:t>
      </w:r>
    </w:p>
    <w:p>
      <w:pPr>
        <w:spacing w:after="0" w:line="194" w:lineRule="exact"/>
        <w:rPr>
          <w:rFonts w:ascii="Arial" w:cs="Arial" w:eastAsia="Arial" w:hAnsi="Arial"/>
          <w:sz w:val="18"/>
          <w:szCs w:val="18"/>
          <w:color w:val="auto"/>
        </w:rPr>
      </w:pPr>
    </w:p>
    <w:p>
      <w:pPr>
        <w:jc w:val="both"/>
        <w:ind w:left="120" w:hanging="119"/>
        <w:spacing w:after="0" w:line="238"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software for our network and for set-top boxes that measures the reliability and quality of our video signals and identifies video problems for particular customers</w:t>
      </w:r>
    </w:p>
    <w:p>
      <w:pPr>
        <w:spacing w:after="0" w:line="194" w:lineRule="exact"/>
        <w:rPr>
          <w:rFonts w:ascii="Arial" w:cs="Arial" w:eastAsia="Arial" w:hAnsi="Arial"/>
          <w:sz w:val="18"/>
          <w:szCs w:val="18"/>
          <w:color w:val="auto"/>
        </w:rPr>
      </w:pPr>
    </w:p>
    <w:p>
      <w:pPr>
        <w:jc w:val="both"/>
        <w:ind w:left="120" w:right="20" w:hanging="119"/>
        <w:spacing w:after="0" w:line="238"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internal development of strategically important software and technologies, as well as technology specifications that integrate third-party software</w:t>
      </w:r>
    </w:p>
    <w:p>
      <w:pPr>
        <w:spacing w:after="0" w:line="194" w:lineRule="exact"/>
        <w:rPr>
          <w:rFonts w:ascii="Arial" w:cs="Arial" w:eastAsia="Arial" w:hAnsi="Arial"/>
          <w:sz w:val="18"/>
          <w:szCs w:val="18"/>
          <w:color w:val="auto"/>
        </w:rPr>
      </w:pPr>
    </w:p>
    <w:p>
      <w:pPr>
        <w:ind w:left="120" w:right="20" w:hanging="119"/>
        <w:spacing w:after="0" w:line="239"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use of open technology solutions that allow multiple vendors to more easily integrate with our technology</w:t>
      </w:r>
    </w:p>
    <w:p>
      <w:pPr>
        <w:spacing w:after="0" w:line="195" w:lineRule="exact"/>
        <w:rPr>
          <w:rFonts w:ascii="Arial" w:cs="Arial" w:eastAsia="Arial" w:hAnsi="Arial"/>
          <w:sz w:val="18"/>
          <w:szCs w:val="18"/>
          <w:color w:val="auto"/>
        </w:rPr>
      </w:pPr>
    </w:p>
    <w:p>
      <w:pPr>
        <w:jc w:val="both"/>
        <w:ind w:left="120" w:hanging="119"/>
        <w:spacing w:after="0" w:line="271" w:lineRule="auto"/>
        <w:tabs>
          <w:tab w:leader="none" w:pos="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working with members of CableLabs, a nonprofit research and development consortium founded by members of the cable industry, to develop and integrate a common software platform, known as tru2way, that enables cable companies, content developers, network programmers, consumer electronics companies and others to extend interactivity to the TV set and other types of devices</w:t>
      </w:r>
    </w:p>
    <w:p>
      <w:pPr>
        <w:spacing w:after="0" w:line="171" w:lineRule="exact"/>
        <w:rPr>
          <w:rFonts w:ascii="Arial" w:cs="Arial" w:eastAsia="Arial" w:hAnsi="Arial"/>
          <w:sz w:val="16"/>
          <w:szCs w:val="16"/>
          <w:color w:val="auto"/>
        </w:rPr>
      </w:pPr>
    </w:p>
    <w:p>
      <w:pPr>
        <w:jc w:val="both"/>
        <w:ind w:left="120" w:hanging="119"/>
        <w:spacing w:after="0" w:line="236"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exploring wireless options to extend our services outside the home to provide mobility and create new features that integrate with our services, including our November 2008 investment in a new entity named Clearwire that is focusing on the deployment of a nationwide 4G wireless network and our purchase of wireless spectrum, both directly and through a consortium</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300"/>
          </w:cols>
          <w:pgMar w:left="240" w:top="459" w:right="3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offer our products and services directly to customers through our call centers, door-to-door selling, direct mail advertising, television advertising, local media advertising, telemarketing and retail outlets. We also market our video, high-speed Internet and digital phone services individually and as bundled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operate our businesses in an intensely competitive environment. We compete with a number of different companies that offer a broad range of services through increasingly diverse means. Competition for the cable services we offer consists primarily of DBS operators and local phone companies. In 2008, our competitors continued to add features and adopt aggressive pricing and packaging for services that are comparable to the services we offer, and the local phone companies have continued to expand their service areas. These competitive factors have had an impact on and are likely to continue to affect our results of operations. In addition, we operate in a technologically complex environment where it is likely that new technologies will further increase the number of competitors we face for our video, high-speed Internet and phone services, and for our advertising business. We expect advances in communications technology, such as video streaming over the Internet, to continue in the future, and we are unable to predict what effects these developments will have on our businesses and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Video Services</w:t>
      </w:r>
    </w:p>
    <w:p>
      <w:pPr>
        <w:jc w:val="both"/>
        <w:spacing w:after="0" w:line="238" w:lineRule="auto"/>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95" w:lineRule="exact"/>
        <w:rPr>
          <w:sz w:val="20"/>
          <w:szCs w:val="20"/>
          <w:color w:val="auto"/>
        </w:rPr>
      </w:pPr>
    </w:p>
    <w:p>
      <w:pPr>
        <w:jc w:val="both"/>
        <w:ind w:left="120" w:right="20" w:hanging="112"/>
        <w:spacing w:after="0" w:line="23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data and other information to receiving dishes located on the customer’s premises</w:t>
      </w:r>
    </w:p>
    <w:p>
      <w:pPr>
        <w:spacing w:after="0" w:line="194" w:lineRule="exact"/>
        <w:rPr>
          <w:rFonts w:ascii="Arial" w:cs="Arial" w:eastAsia="Arial" w:hAnsi="Arial"/>
          <w:sz w:val="18"/>
          <w:szCs w:val="18"/>
          <w:color w:val="auto"/>
        </w:rPr>
      </w:pPr>
    </w:p>
    <w:p>
      <w:pPr>
        <w:jc w:val="both"/>
        <w:ind w:left="120" w:hanging="112"/>
        <w:spacing w:after="0" w:line="236"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local phone companies that have built and are continuing to build wireline fiber-optic-based networks, in some cases using Internet protocol (“IP”) technology, to provide video and data services in substantial portions of their service areas and in an increasing number of our service areas, in addition to marketing DBS service in certain areas</w:t>
      </w:r>
    </w:p>
    <w:p>
      <w:pPr>
        <w:spacing w:after="0" w:line="196"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194" w:lineRule="exact"/>
        <w:rPr>
          <w:rFonts w:ascii="Arial" w:cs="Arial" w:eastAsia="Arial" w:hAnsi="Arial"/>
          <w:sz w:val="18"/>
          <w:szCs w:val="18"/>
          <w:color w:val="auto"/>
        </w:rPr>
      </w:pPr>
    </w:p>
    <w:p>
      <w:pPr>
        <w:jc w:val="both"/>
        <w:ind w:left="120" w:right="20" w:hanging="112"/>
        <w:spacing w:after="0" w:line="23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services that offer Internet video streaming, downloading and distribution of movies, television shows and other video programming</w:t>
      </w:r>
    </w:p>
    <w:p>
      <w:pPr>
        <w:spacing w:after="0" w:line="194"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satellite master antenna television systems, known as SMATVs, that generally serve condominiums, apartment and office complexes, and residential developments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0" w:right="140" w:hanging="119"/>
        <w:spacing w:after="0" w:line="239"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television broadcast stations that provide free over-the-air programming</w:t>
      </w:r>
    </w:p>
    <w:p>
      <w:pPr>
        <w:spacing w:after="0" w:line="195" w:lineRule="exact"/>
        <w:rPr>
          <w:rFonts w:ascii="Arial" w:cs="Arial" w:eastAsia="Arial" w:hAnsi="Arial"/>
          <w:sz w:val="18"/>
          <w:szCs w:val="18"/>
          <w:color w:val="auto"/>
        </w:rPr>
      </w:pPr>
    </w:p>
    <w:p>
      <w:pPr>
        <w:ind w:left="280" w:right="140" w:hanging="119"/>
        <w:spacing w:after="0" w:line="239"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and other emerging mobile technologies that provide for the distribution and viewing of video programming</w:t>
      </w:r>
    </w:p>
    <w:p>
      <w:pPr>
        <w:spacing w:after="0" w:line="195" w:lineRule="exact"/>
        <w:rPr>
          <w:rFonts w:ascii="Arial" w:cs="Arial" w:eastAsia="Arial" w:hAnsi="Arial"/>
          <w:sz w:val="18"/>
          <w:szCs w:val="18"/>
          <w:color w:val="auto"/>
        </w:rPr>
      </w:pPr>
    </w:p>
    <w:p>
      <w:pPr>
        <w:ind w:left="280" w:hanging="1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rental services and home video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-1539240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8" w:lineRule="exact"/>
        <w:rPr>
          <w:sz w:val="20"/>
          <w:szCs w:val="20"/>
          <w:color w:val="auto"/>
        </w:rPr>
      </w:pPr>
    </w:p>
    <w:p>
      <w:pPr>
        <w:jc w:val="both"/>
        <w:ind w:left="160" w:right="120"/>
        <w:spacing w:after="0" w:line="235"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In recent years, Congress has enacted legislation and the FCC has adopted regulatory policies intended to provide a favorable operating environment for existing competitors and for potential new competitors to our cable systems. The FCC adopted rules favoring new investment by local phone companies in networks capable of distributing video programming and rules allocating and auctioning spectrum for new wireless services that may compete with our video service offerings. Furthermore, the FCC and various state governments have adopted measures that reduce or eliminate local franchising requirements for new entrants into the multichannel video marketplace, including local phone companies. Certain of these franchising entry measures have already been adopted in many states in which we operate. We could be materially disadvantaged if FCC and state franchising rules continue to set a different, less burdensome standard for some of our </w:t>
      </w:r>
      <w:hyperlink w:anchor="page10">
        <w:r>
          <w:rPr>
            <w:rFonts w:ascii="Arial" w:cs="Arial" w:eastAsia="Arial" w:hAnsi="Arial"/>
            <w:sz w:val="18"/>
            <w:szCs w:val="18"/>
            <w:color w:val="auto"/>
          </w:rPr>
          <w:t xml:space="preserve">competitors than for ourselves </w:t>
        </w:r>
        <w:r>
          <w:rPr>
            <w:rFonts w:ascii="Arial" w:cs="Arial" w:eastAsia="Arial" w:hAnsi="Arial"/>
            <w:sz w:val="18"/>
            <w:szCs w:val="18"/>
            <w:u w:val="single" w:color="auto"/>
            <w:color w:val="0000EE"/>
          </w:rPr>
          <w:t>(see “Legislation and Regulation”</w:t>
        </w:r>
      </w:hyperlink>
      <w:r>
        <w:rPr>
          <w:rFonts w:ascii="Arial" w:cs="Arial" w:eastAsia="Arial" w:hAnsi="Arial"/>
          <w:sz w:val="18"/>
          <w:szCs w:val="18"/>
          <w:color w:val="auto"/>
        </w:rPr>
        <w:t xml:space="preserve"> </w:t>
      </w:r>
      <w:hyperlink w:anchor="page10">
        <w:r>
          <w:rPr>
            <w:rFonts w:ascii="Arial" w:cs="Arial" w:eastAsia="Arial" w:hAnsi="Arial"/>
            <w:sz w:val="18"/>
            <w:szCs w:val="18"/>
            <w:u w:val="single" w:color="auto"/>
            <w:color w:val="0000EE"/>
          </w:rPr>
          <w:t>below).</w:t>
        </w:r>
      </w:hyperlink>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52A2DD"/>
        </w:rPr>
        <w:t>Direct broadcast satellite systems</w:t>
      </w:r>
    </w:p>
    <w:p>
      <w:pPr>
        <w:spacing w:after="0" w:line="14" w:lineRule="exact"/>
        <w:rPr>
          <w:sz w:val="20"/>
          <w:szCs w:val="20"/>
          <w:color w:val="auto"/>
        </w:rPr>
      </w:pPr>
    </w:p>
    <w:p>
      <w:pPr>
        <w:jc w:val="both"/>
        <w:ind w:left="160" w:right="120"/>
        <w:spacing w:after="0" w:line="236" w:lineRule="auto"/>
        <w:rPr>
          <w:sz w:val="20"/>
          <w:szCs w:val="20"/>
          <w:color w:val="auto"/>
        </w:rPr>
      </w:pPr>
      <w:r>
        <w:rPr>
          <w:rFonts w:ascii="Arial" w:cs="Arial" w:eastAsia="Arial" w:hAnsi="Arial"/>
          <w:sz w:val="18"/>
          <w:szCs w:val="18"/>
          <w:color w:val="auto"/>
        </w:rPr>
        <w:t>According to recent government and industry reports, conventional, medium-power and high-power satellites provide video programming to over 35 million customers in the United States. DBS providers with high-power satellites typically offer more than 250 channels of programming, including programming services substantially similar to those our cable systems provide. Two companies, DIRECTV and DISH Network, provide service to substantially all of these DBS customers.</w:t>
      </w:r>
    </w:p>
    <w:p>
      <w:pPr>
        <w:spacing w:after="0" w:line="154" w:lineRule="exact"/>
        <w:rPr>
          <w:sz w:val="20"/>
          <w:szCs w:val="20"/>
          <w:color w:val="auto"/>
        </w:rPr>
      </w:pPr>
    </w:p>
    <w:p>
      <w:pPr>
        <w:jc w:val="both"/>
        <w:ind w:left="160" w:right="120"/>
        <w:spacing w:after="0" w:line="236" w:lineRule="auto"/>
        <w:rPr>
          <w:sz w:val="20"/>
          <w:szCs w:val="20"/>
          <w:color w:val="auto"/>
        </w:rPr>
      </w:pPr>
      <w:r>
        <w:rPr>
          <w:rFonts w:ascii="Arial" w:cs="Arial" w:eastAsia="Arial" w:hAnsi="Arial"/>
          <w:sz w:val="18"/>
          <w:szCs w:val="18"/>
          <w:color w:val="auto"/>
        </w:rPr>
        <w:t>High-power satellite service can be received throughout the continental United States through small rooftop or side-mounted outdoor antennas. Satellite systems use video compression technology to increase channel capacity and digital technology to improve the quality and quantity of the signals transmitted to their customers. Our digital cable service is competitive with the programming, channel capacity and quality of signals currently delivered to customers by DBS providers.</w:t>
      </w:r>
    </w:p>
    <w:p>
      <w:pPr>
        <w:spacing w:after="0" w:line="154" w:lineRule="exact"/>
        <w:rPr>
          <w:sz w:val="20"/>
          <w:szCs w:val="20"/>
          <w:color w:val="auto"/>
        </w:rPr>
      </w:pPr>
    </w:p>
    <w:p>
      <w:pPr>
        <w:jc w:val="both"/>
        <w:ind w:left="160" w:right="120"/>
        <w:spacing w:after="0" w:line="268" w:lineRule="auto"/>
        <w:rPr>
          <w:sz w:val="20"/>
          <w:szCs w:val="20"/>
          <w:color w:val="auto"/>
        </w:rPr>
      </w:pPr>
      <w:r>
        <w:rPr>
          <w:rFonts w:ascii="Arial" w:cs="Arial" w:eastAsia="Arial" w:hAnsi="Arial"/>
          <w:sz w:val="16"/>
          <w:szCs w:val="16"/>
          <w:color w:val="auto"/>
        </w:rPr>
        <w:t>Federal legislation establishes, among other things, a compulsory copyright license that permits satellite systems to retransmit local broadcast television signals to customers who reside in the local television station’s market. These companies are currently transmitting local broadcast signals in most markets that we serve. Additionally, federal law generally provides satellite systems with access to cable-affiliated video programming services delivered by satellite. DBS providers also have arrangements with local phone companies in which the DBS provider’s video services are sold together with a local phone company’s high-speed Internet and phone services.</w:t>
      </w:r>
    </w:p>
    <w:p>
      <w:pPr>
        <w:spacing w:after="0" w:line="200" w:lineRule="exact"/>
        <w:rPr>
          <w:sz w:val="20"/>
          <w:szCs w:val="20"/>
          <w:color w:val="auto"/>
        </w:rPr>
      </w:pPr>
    </w:p>
    <w:p>
      <w:pPr>
        <w:spacing w:after="0" w:line="240"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180"/>
            <w:col w:w="5760"/>
          </w:cols>
          <w:pgMar w:left="240" w:top="459"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Local phone companies</w:t>
      </w:r>
    </w:p>
    <w:p>
      <w:pPr>
        <w:spacing w:after="0" w:line="14" w:lineRule="exact"/>
        <w:rPr>
          <w:sz w:val="20"/>
          <w:szCs w:val="20"/>
          <w:color w:val="auto"/>
        </w:rPr>
      </w:pPr>
    </w:p>
    <w:p>
      <w:pPr>
        <w:jc w:val="both"/>
        <w:spacing w:after="0" w:line="235"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Local phone companies, in particular AT&amp;T and Verizon, have built and continue to build fiber-optic-based networks to provide video services in substantial portions of their service areas. These local phone companies have continued to offer video services in an increasing number of our service areas, and we anticipate that local phone companies’ video services will be offered in a substantial portion of our service areas in the near future. In certain areas, video services are being offered in addition to joint marketing arrangements local phone companies have entered into with DBS providers. Local phone companies have taken various positions on the question of whether they need a local cable television franchise to provide video services. Some, like Verizon, have applied for local cable franchises while others, like AT&amp;T, claim that they can provide their video services without a local cable franchise. Notwithstanding their positions, both AT&amp;T and Verizon have filed for video service </w:t>
      </w:r>
      <w:hyperlink w:anchor="page10">
        <w:r>
          <w:rPr>
            <w:rFonts w:ascii="Arial" w:cs="Arial" w:eastAsia="Arial" w:hAnsi="Arial"/>
            <w:sz w:val="18"/>
            <w:szCs w:val="18"/>
            <w:color w:val="auto"/>
          </w:rPr>
          <w:t xml:space="preserve">franchise certificates under state franchising laws </w:t>
        </w:r>
        <w:r>
          <w:rPr>
            <w:rFonts w:ascii="Arial" w:cs="Arial" w:eastAsia="Arial" w:hAnsi="Arial"/>
            <w:sz w:val="18"/>
            <w:szCs w:val="18"/>
            <w:u w:val="single" w:color="auto"/>
            <w:color w:val="0000EE"/>
          </w:rPr>
          <w:t>(see “Legislation</w:t>
        </w:r>
      </w:hyperlink>
      <w:r>
        <w:rPr>
          <w:rFonts w:ascii="Arial" w:cs="Arial" w:eastAsia="Arial" w:hAnsi="Arial"/>
          <w:sz w:val="18"/>
          <w:szCs w:val="18"/>
          <w:color w:val="auto"/>
        </w:rPr>
        <w:t xml:space="preserve"> </w:t>
      </w:r>
      <w:hyperlink w:anchor="page10">
        <w:r>
          <w:rPr>
            <w:rFonts w:ascii="Arial" w:cs="Arial" w:eastAsia="Arial" w:hAnsi="Arial"/>
            <w:sz w:val="18"/>
            <w:szCs w:val="18"/>
            <w:u w:val="single" w:color="auto"/>
            <w:color w:val="0000EE"/>
          </w:rPr>
          <w:t>and Regulation” below).</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 providers</w:t>
      </w:r>
    </w:p>
    <w:p>
      <w:pPr>
        <w:spacing w:after="0" w:line="1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operate our cable systems under nonexclusive franchises that are issued by a local community governing body, such as a city council or county board of supervisors or, in some cases, by a state regulatory agency. Federal law prohibits franchising authorities from unreasonably denying requests for additional franchises, and it permits franchising authorities to operate cable systems. In addition to local phone companies, various other companies, including those that traditionally have not provided cable services and have substantial financial resources (such as public utilities, including those that own some of the poles to which our cables are attached), have obtained cable franchises and provide competing cable services. These and other cable systems offer cable services in various areas where we hold franchises. We anticipate that facilities-based competitors will emerge in other franchise areas that we serve.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Satellite master antenna television systems</w:t>
      </w:r>
    </w:p>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cable systems also compete for customers with SMATV systems. SMATV system operators typically are not subject to regulation in the same manner as local, franchised cable system operators. SMATV systems offer customers both improved reception of local television stations and much of the programming offered by our cable systems. In addition, some SMATV operators offer packages of video, Internet and phone services to residential and commercial developments.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Local broadcast services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Local broadcast stations have the ability to broadcast multiple streams of free programming in their digital broadcast spectrum, and some broadcasters are providing such services in markets that we serve. The increasing use of such free multicast services could present competitive challenges to our cable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52A2DD"/>
        </w:rPr>
        <w:t>High-Speed Internet Services</w:t>
      </w:r>
    </w:p>
    <w:p>
      <w:pPr>
        <w:spacing w:after="0" w:line="239" w:lineRule="auto"/>
        <w:rPr>
          <w:sz w:val="20"/>
          <w:szCs w:val="20"/>
          <w:color w:val="auto"/>
        </w:rPr>
      </w:pPr>
      <w:r>
        <w:rPr>
          <w:rFonts w:ascii="Arial" w:cs="Arial" w:eastAsia="Arial" w:hAnsi="Arial"/>
          <w:sz w:val="18"/>
          <w:szCs w:val="18"/>
          <w:color w:val="auto"/>
        </w:rPr>
        <w:t>We compete with a number of other companies, many of which have substantial resources, including:</w:t>
      </w:r>
    </w:p>
    <w:p>
      <w:pPr>
        <w:spacing w:after="0" w:line="195" w:lineRule="exact"/>
        <w:rPr>
          <w:sz w:val="20"/>
          <w:szCs w:val="20"/>
          <w:color w:val="auto"/>
        </w:rPr>
      </w:pPr>
    </w:p>
    <w:p>
      <w:pPr>
        <w:ind w:left="120" w:hanging="119"/>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phone companies</w:t>
      </w:r>
    </w:p>
    <w:p>
      <w:pPr>
        <w:spacing w:after="0" w:line="198" w:lineRule="exact"/>
        <w:rPr>
          <w:rFonts w:ascii="Arial" w:cs="Arial" w:eastAsia="Arial" w:hAnsi="Arial"/>
          <w:sz w:val="18"/>
          <w:szCs w:val="18"/>
          <w:color w:val="auto"/>
        </w:rPr>
      </w:pPr>
    </w:p>
    <w:p>
      <w:pPr>
        <w:ind w:left="120" w:right="20" w:hanging="119"/>
        <w:spacing w:after="0" w:line="239" w:lineRule="auto"/>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service providers (“ISPs”), such as AOL, Earthlink and Microsoft</w:t>
      </w:r>
    </w:p>
    <w:p>
      <w:pPr>
        <w:spacing w:after="0" w:line="195" w:lineRule="exact"/>
        <w:rPr>
          <w:rFonts w:ascii="Arial" w:cs="Arial" w:eastAsia="Arial" w:hAnsi="Arial"/>
          <w:sz w:val="18"/>
          <w:szCs w:val="18"/>
          <w:color w:val="auto"/>
        </w:rPr>
      </w:pPr>
    </w:p>
    <w:p>
      <w:pPr>
        <w:ind w:left="120" w:right="20" w:hanging="119"/>
        <w:spacing w:after="0" w:line="239" w:lineRule="auto"/>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95" w:lineRule="exact"/>
        <w:rPr>
          <w:rFonts w:ascii="Arial" w:cs="Arial" w:eastAsia="Arial" w:hAnsi="Arial"/>
          <w:sz w:val="18"/>
          <w:szCs w:val="18"/>
          <w:color w:val="auto"/>
        </w:rPr>
      </w:pPr>
    </w:p>
    <w:p>
      <w:pPr>
        <w:ind w:left="120" w:hanging="119"/>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Digital subscriber line (“DSL”) technology allows Internet access to be provided to customers over telephone lines at data transmission speeds substantially greater than those of dial-up modems. Local phone companies and other companies offer DSL service, and several of them have increased transmission speeds, lowered prices or created bundled service packages. In addition, some local phone companies, such as AT&amp;T and Verizon, have built and are continuing to build fiber-optic-based networks that allow them to provide data transmission speeds that exceed those that can be provided with DSL technology and are now offering these higher speed services in many of our markets. The FCC has reduced the obligations of local phone companies to offer their broadband facilities on a wholesale or retail basis to competitors, and it has freed their DSL services of common carrier regulation.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Various wireless phone companies are offering wireless high-speed Internet services. In addition, in a growing number of commercial areas, such as retail malls, restaurants and airports, Wi-Fi Internet service is available. Numerous local governments are also considering or actively pursuing publicly subsidized Wi-Fi and WiMAX Internet access networks, and commercial WiMAX offerings are being rolled out.</w:t>
      </w:r>
    </w:p>
    <w:p>
      <w:pPr>
        <w:spacing w:after="0" w:line="155" w:lineRule="exact"/>
        <w:rPr>
          <w:sz w:val="20"/>
          <w:szCs w:val="20"/>
          <w:color w:val="auto"/>
        </w:rPr>
      </w:pPr>
    </w:p>
    <w:p>
      <w:pPr>
        <w:jc w:val="both"/>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The FCC has adopted an order that prohibits us from engaging in certain high-speed Internet network management practices, and Congress and the FCC are considering creating certain rights for Internet content providers and for users of high-speed Internet services by imposing “net neutrality” requirements on service providers. These requirements, as well as any other measures adopted by Congress or the FCC that impose additional obligations on high-speed Internet service providers, could adversely affect our high-speed Internet business </w:t>
      </w:r>
      <w:hyperlink w:anchor="page10">
        <w:r>
          <w:rPr>
            <w:rFonts w:ascii="Arial" w:cs="Arial" w:eastAsia="Arial" w:hAnsi="Arial"/>
            <w:sz w:val="16"/>
            <w:szCs w:val="16"/>
            <w:u w:val="single" w:color="auto"/>
            <w:color w:val="0000EE"/>
          </w:rPr>
          <w:t>(see “Legislation and Regulation” below).</w:t>
        </w:r>
      </w:hyperlink>
    </w:p>
    <w:p>
      <w:pPr>
        <w:spacing w:after="0" w:line="1188"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300"/>
          </w:cols>
          <w:pgMar w:left="240" w:top="459" w:right="3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52A2DD"/>
        </w:rPr>
        <w:t>Phone Services</w:t>
      </w:r>
    </w:p>
    <w:p>
      <w:pPr>
        <w:jc w:val="both"/>
        <w:spacing w:after="0" w:line="236" w:lineRule="auto"/>
        <w:rPr>
          <w:sz w:val="20"/>
          <w:szCs w:val="20"/>
          <w:color w:val="auto"/>
        </w:rPr>
      </w:pPr>
      <w:r>
        <w:rPr>
          <w:rFonts w:ascii="Arial" w:cs="Arial" w:eastAsia="Arial" w:hAnsi="Arial"/>
          <w:sz w:val="18"/>
          <w:szCs w:val="18"/>
          <w:color w:val="auto"/>
        </w:rPr>
        <w:t>Our digital phone service competes against local phone companies, wireless phone service providers, competitive local exchange carriers (“CLECs”) and other VoIP service providers. The local phone companies have substantial capital and other resources, longstanding customer relationships, and extensive existing facilities and network rights-of-way. A few CLECs also have existing local networks and significant financial resources.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52A2DD"/>
        </w:rPr>
        <w:t>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-764540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36" w:lineRule="auto"/>
        <w:rPr>
          <w:sz w:val="20"/>
          <w:szCs w:val="20"/>
          <w:color w:val="auto"/>
        </w:rPr>
      </w:pPr>
      <w:r>
        <w:rPr>
          <w:rFonts w:ascii="Arial" w:cs="Arial" w:eastAsia="Arial" w:hAnsi="Arial"/>
          <w:sz w:val="18"/>
          <w:szCs w:val="18"/>
          <w:color w:val="auto"/>
        </w:rPr>
        <w:t>We compete for the sale of advertising against a wide variety of media, including local broadcast stations, national broadcast networks, national and regional programming networks, local radio broadcast stations, local and regional newspapers, magazines and Internet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809625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9"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The table below presents a summary of our most significant consolidated national programming networks as of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260" w:type="dxa"/>
            <w:vAlign w:val="bottom"/>
          </w:tcPr>
          <w:p>
            <w:pPr>
              <w:jc w:val="right"/>
              <w:ind w:right="681"/>
              <w:spacing w:after="0"/>
              <w:rPr>
                <w:sz w:val="20"/>
                <w:szCs w:val="20"/>
                <w:color w:val="auto"/>
              </w:rPr>
            </w:pPr>
            <w:r>
              <w:rPr>
                <w:rFonts w:ascii="Arial" w:cs="Arial" w:eastAsia="Arial" w:hAnsi="Arial"/>
                <w:sz w:val="14"/>
                <w:szCs w:val="14"/>
                <w:color w:val="auto"/>
              </w:rPr>
              <w:t>Approximate</w:t>
            </w:r>
          </w:p>
        </w:tc>
        <w:tc>
          <w:tcPr>
            <w:tcW w:w="5080" w:type="dxa"/>
            <w:vAlign w:val="bottom"/>
          </w:tcPr>
          <w:p>
            <w:pPr>
              <w:spacing w:after="0"/>
              <w:rPr>
                <w:sz w:val="14"/>
                <w:szCs w:val="14"/>
                <w:color w:val="auto"/>
              </w:rPr>
            </w:pPr>
          </w:p>
        </w:tc>
      </w:tr>
      <w:tr>
        <w:trPr>
          <w:trHeight w:val="149"/>
        </w:trPr>
        <w:tc>
          <w:tcPr>
            <w:tcW w:w="3080" w:type="dxa"/>
            <w:vAlign w:val="bottom"/>
          </w:tcPr>
          <w:p>
            <w:pPr>
              <w:spacing w:after="0"/>
              <w:rPr>
                <w:sz w:val="12"/>
                <w:szCs w:val="12"/>
                <w:color w:val="auto"/>
              </w:rPr>
            </w:pPr>
          </w:p>
        </w:tc>
        <w:tc>
          <w:tcPr>
            <w:tcW w:w="3260" w:type="dxa"/>
            <w:vAlign w:val="bottom"/>
          </w:tcPr>
          <w:p>
            <w:pPr>
              <w:jc w:val="right"/>
              <w:ind w:right="681"/>
              <w:spacing w:after="0" w:line="149" w:lineRule="exact"/>
              <w:rPr>
                <w:sz w:val="20"/>
                <w:szCs w:val="20"/>
                <w:color w:val="auto"/>
              </w:rPr>
            </w:pPr>
            <w:r>
              <w:rPr>
                <w:rFonts w:ascii="Arial" w:cs="Arial" w:eastAsia="Arial" w:hAnsi="Arial"/>
                <w:sz w:val="14"/>
                <w:szCs w:val="14"/>
                <w:color w:val="auto"/>
              </w:rPr>
              <w:t>U.S.</w:t>
            </w:r>
          </w:p>
        </w:tc>
        <w:tc>
          <w:tcPr>
            <w:tcW w:w="5080" w:type="dxa"/>
            <w:vAlign w:val="bottom"/>
          </w:tcPr>
          <w:p>
            <w:pPr>
              <w:spacing w:after="0"/>
              <w:rPr>
                <w:sz w:val="12"/>
                <w:szCs w:val="12"/>
                <w:color w:val="auto"/>
              </w:rPr>
            </w:pPr>
          </w:p>
        </w:tc>
      </w:tr>
      <w:tr>
        <w:trPr>
          <w:trHeight w:val="149"/>
        </w:trPr>
        <w:tc>
          <w:tcPr>
            <w:tcW w:w="3080" w:type="dxa"/>
            <w:vAlign w:val="bottom"/>
          </w:tcPr>
          <w:p>
            <w:pPr>
              <w:spacing w:after="0"/>
              <w:rPr>
                <w:sz w:val="12"/>
                <w:szCs w:val="12"/>
                <w:color w:val="auto"/>
              </w:rPr>
            </w:pPr>
          </w:p>
        </w:tc>
        <w:tc>
          <w:tcPr>
            <w:tcW w:w="3260" w:type="dxa"/>
            <w:vAlign w:val="bottom"/>
          </w:tcPr>
          <w:p>
            <w:pPr>
              <w:jc w:val="right"/>
              <w:ind w:right="681"/>
              <w:spacing w:after="0" w:line="149" w:lineRule="exact"/>
              <w:rPr>
                <w:sz w:val="20"/>
                <w:szCs w:val="20"/>
                <w:color w:val="auto"/>
              </w:rPr>
            </w:pPr>
            <w:r>
              <w:rPr>
                <w:rFonts w:ascii="Arial" w:cs="Arial" w:eastAsia="Arial" w:hAnsi="Arial"/>
                <w:sz w:val="14"/>
                <w:szCs w:val="14"/>
                <w:color w:val="auto"/>
              </w:rPr>
              <w:t>Subscribers</w:t>
            </w:r>
          </w:p>
        </w:tc>
        <w:tc>
          <w:tcPr>
            <w:tcW w:w="5080" w:type="dxa"/>
            <w:vAlign w:val="bottom"/>
          </w:tcPr>
          <w:p>
            <w:pPr>
              <w:spacing w:after="0"/>
              <w:rPr>
                <w:sz w:val="12"/>
                <w:szCs w:val="12"/>
                <w:color w:val="auto"/>
              </w:rPr>
            </w:pPr>
          </w:p>
        </w:tc>
      </w:tr>
      <w:tr>
        <w:trPr>
          <w:trHeight w:val="163"/>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2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(in millions)</w:t>
            </w:r>
          </w:p>
        </w:tc>
        <w:tc>
          <w:tcPr>
            <w:tcW w:w="50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Description</w:t>
            </w:r>
          </w:p>
        </w:tc>
      </w:tr>
      <w:tr>
        <w:trPr>
          <w:trHeight w:val="199"/>
        </w:trPr>
        <w:tc>
          <w:tcPr>
            <w:tcW w:w="308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260" w:type="dxa"/>
            <w:vAlign w:val="bottom"/>
          </w:tcPr>
          <w:p>
            <w:pPr>
              <w:jc w:val="right"/>
              <w:ind w:right="681"/>
              <w:spacing w:after="0" w:line="200" w:lineRule="exact"/>
              <w:rPr>
                <w:sz w:val="20"/>
                <w:szCs w:val="20"/>
                <w:color w:val="auto"/>
              </w:rPr>
            </w:pPr>
            <w:r>
              <w:rPr>
                <w:rFonts w:ascii="Arial" w:cs="Arial" w:eastAsia="Arial" w:hAnsi="Arial"/>
                <w:sz w:val="18"/>
                <w:szCs w:val="18"/>
                <w:color w:val="auto"/>
              </w:rPr>
              <w:t>85</w:t>
            </w:r>
          </w:p>
        </w:tc>
        <w:tc>
          <w:tcPr>
            <w:tcW w:w="5080" w:type="dxa"/>
            <w:vAlign w:val="bottom"/>
          </w:tcPr>
          <w:p>
            <w:pPr>
              <w:ind w:left="740"/>
              <w:spacing w:after="0" w:line="200" w:lineRule="exact"/>
              <w:rPr>
                <w:sz w:val="20"/>
                <w:szCs w:val="20"/>
                <w:color w:val="auto"/>
              </w:rPr>
            </w:pPr>
            <w:r>
              <w:rPr>
                <w:rFonts w:ascii="Arial" w:cs="Arial" w:eastAsia="Arial" w:hAnsi="Arial"/>
                <w:sz w:val="18"/>
                <w:szCs w:val="18"/>
                <w:color w:val="auto"/>
              </w:rPr>
              <w:t>Pop culture and entertainment-related programming</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260" w:type="dxa"/>
            <w:vAlign w:val="bottom"/>
          </w:tcPr>
          <w:p>
            <w:pPr>
              <w:jc w:val="right"/>
              <w:ind w:right="681"/>
              <w:spacing w:after="0" w:line="202" w:lineRule="exact"/>
              <w:rPr>
                <w:sz w:val="20"/>
                <w:szCs w:val="20"/>
                <w:color w:val="auto"/>
              </w:rPr>
            </w:pPr>
            <w:r>
              <w:rPr>
                <w:rFonts w:ascii="Arial" w:cs="Arial" w:eastAsia="Arial" w:hAnsi="Arial"/>
                <w:sz w:val="18"/>
                <w:szCs w:val="18"/>
                <w:color w:val="auto"/>
              </w:rPr>
              <w:t>73</w:t>
            </w:r>
          </w:p>
        </w:tc>
        <w:tc>
          <w:tcPr>
            <w:tcW w:w="5080" w:type="dxa"/>
            <w:vAlign w:val="bottom"/>
          </w:tcPr>
          <w:p>
            <w:pPr>
              <w:ind w:left="740"/>
              <w:spacing w:after="0" w:line="202" w:lineRule="exact"/>
              <w:rPr>
                <w:sz w:val="20"/>
                <w:szCs w:val="20"/>
                <w:color w:val="auto"/>
              </w:rPr>
            </w:pPr>
            <w:r>
              <w:rPr>
                <w:rFonts w:ascii="Arial" w:cs="Arial" w:eastAsia="Arial" w:hAnsi="Arial"/>
                <w:sz w:val="18"/>
                <w:szCs w:val="18"/>
                <w:color w:val="auto"/>
              </w:rPr>
              <w:t>Golf and golf-related programming</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260" w:type="dxa"/>
            <w:vAlign w:val="bottom"/>
          </w:tcPr>
          <w:p>
            <w:pPr>
              <w:jc w:val="right"/>
              <w:ind w:right="681"/>
              <w:spacing w:after="0" w:line="202" w:lineRule="exact"/>
              <w:rPr>
                <w:sz w:val="20"/>
                <w:szCs w:val="20"/>
                <w:color w:val="auto"/>
              </w:rPr>
            </w:pPr>
            <w:r>
              <w:rPr>
                <w:rFonts w:ascii="Arial" w:cs="Arial" w:eastAsia="Arial" w:hAnsi="Arial"/>
                <w:sz w:val="18"/>
                <w:szCs w:val="18"/>
                <w:color w:val="auto"/>
              </w:rPr>
              <w:t>66</w:t>
            </w:r>
          </w:p>
        </w:tc>
        <w:tc>
          <w:tcPr>
            <w:tcW w:w="5080" w:type="dxa"/>
            <w:vAlign w:val="bottom"/>
          </w:tcPr>
          <w:p>
            <w:pPr>
              <w:ind w:left="740"/>
              <w:spacing w:after="0" w:line="202" w:lineRule="exact"/>
              <w:rPr>
                <w:sz w:val="20"/>
                <w:szCs w:val="20"/>
                <w:color w:val="auto"/>
              </w:rPr>
            </w:pPr>
            <w:r>
              <w:rPr>
                <w:rFonts w:ascii="Arial" w:cs="Arial" w:eastAsia="Arial" w:hAnsi="Arial"/>
                <w:sz w:val="18"/>
                <w:szCs w:val="18"/>
                <w:color w:val="auto"/>
              </w:rPr>
              <w:t>Sports and leisure programming</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260" w:type="dxa"/>
            <w:vAlign w:val="bottom"/>
          </w:tcPr>
          <w:p>
            <w:pPr>
              <w:jc w:val="right"/>
              <w:ind w:right="681"/>
              <w:spacing w:after="0" w:line="202" w:lineRule="exact"/>
              <w:rPr>
                <w:sz w:val="20"/>
                <w:szCs w:val="20"/>
                <w:color w:val="auto"/>
              </w:rPr>
            </w:pPr>
            <w:r>
              <w:rPr>
                <w:rFonts w:ascii="Arial" w:cs="Arial" w:eastAsia="Arial" w:hAnsi="Arial"/>
                <w:sz w:val="18"/>
                <w:szCs w:val="18"/>
                <w:color w:val="auto"/>
              </w:rPr>
              <w:t>57</w:t>
            </w:r>
          </w:p>
        </w:tc>
        <w:tc>
          <w:tcPr>
            <w:tcW w:w="5080" w:type="dxa"/>
            <w:vAlign w:val="bottom"/>
          </w:tcPr>
          <w:p>
            <w:pPr>
              <w:ind w:left="740"/>
              <w:spacing w:after="0" w:line="202" w:lineRule="exact"/>
              <w:rPr>
                <w:sz w:val="20"/>
                <w:szCs w:val="20"/>
                <w:color w:val="auto"/>
              </w:rPr>
            </w:pPr>
            <w:r>
              <w:rPr>
                <w:rFonts w:ascii="Arial" w:cs="Arial" w:eastAsia="Arial" w:hAnsi="Arial"/>
                <w:sz w:val="18"/>
                <w:szCs w:val="18"/>
                <w:color w:val="auto"/>
              </w:rPr>
              <w:t>Gamer lifestyle programming</w:t>
            </w:r>
          </w:p>
        </w:tc>
      </w:tr>
      <w:tr>
        <w:trPr>
          <w:trHeight w:val="199"/>
        </w:trPr>
        <w:tc>
          <w:tcPr>
            <w:tcW w:w="30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Style</w:t>
            </w:r>
          </w:p>
        </w:tc>
        <w:tc>
          <w:tcPr>
            <w:tcW w:w="3260" w:type="dxa"/>
            <w:vAlign w:val="bottom"/>
            <w:tcBorders>
              <w:bottom w:val="single" w:sz="8" w:color="auto"/>
            </w:tcBorders>
          </w:tcPr>
          <w:p>
            <w:pPr>
              <w:jc w:val="right"/>
              <w:ind w:right="681"/>
              <w:spacing w:after="0" w:line="200" w:lineRule="exact"/>
              <w:rPr>
                <w:sz w:val="20"/>
                <w:szCs w:val="20"/>
                <w:color w:val="auto"/>
              </w:rPr>
            </w:pPr>
            <w:r>
              <w:rPr>
                <w:rFonts w:ascii="Arial" w:cs="Arial" w:eastAsia="Arial" w:hAnsi="Arial"/>
                <w:sz w:val="18"/>
                <w:szCs w:val="18"/>
                <w:color w:val="auto"/>
              </w:rPr>
              <w:t>51</w:t>
            </w:r>
          </w:p>
        </w:tc>
        <w:tc>
          <w:tcPr>
            <w:tcW w:w="5080" w:type="dxa"/>
            <w:vAlign w:val="bottom"/>
            <w:tcBorders>
              <w:bottom w:val="single" w:sz="8" w:color="auto"/>
            </w:tcBorders>
          </w:tcPr>
          <w:p>
            <w:pPr>
              <w:ind w:left="740"/>
              <w:spacing w:after="0" w:line="200" w:lineRule="exact"/>
              <w:rPr>
                <w:sz w:val="20"/>
                <w:szCs w:val="20"/>
                <w:color w:val="auto"/>
              </w:rPr>
            </w:pPr>
            <w:r>
              <w:rPr>
                <w:rFonts w:ascii="Arial" w:cs="Arial" w:eastAsia="Arial" w:hAnsi="Arial"/>
                <w:sz w:val="18"/>
                <w:szCs w:val="18"/>
                <w:color w:val="auto"/>
              </w:rPr>
              <w:t>Lifestyle-related programming</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 for our programming networks is primarily generated from the sale of advertising and from monthly per subscriber license fees paid by multichannel video providers that have typically entered into multiyear contracts to distribute our programming networks. To obtain long-term contracts with distributors, we may make cash payments, provide an initial period in which license fee payments are waived or do both. Our programming networks assist distributors with ongoing marketing and promotional activities to retain existing customers and acquire new customers. Although we believe prospects of continued carriage and marketing of our programming networks by larger distributors are generally good, the loss of one or more of such distributors could have a material adverse effect on our programming networks.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networks often produce their own television programs and broadcasts of live events. This often requires us to acquire the rights to the content that is used in such productions (such as rights to screenplays or sporting events). In other cases, our programming networks license the cable telecast rights to television programs produced by third 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programming networks compete with other television programming services for distribution and programming. In addition, our programming networks compete for audience share with</w:t>
      </w:r>
    </w:p>
    <w:p>
      <w:pPr>
        <w:spacing w:after="0" w:line="20" w:lineRule="exact"/>
        <w:rPr>
          <w:sz w:val="20"/>
          <w:szCs w:val="20"/>
          <w:color w:val="auto"/>
        </w:rPr>
      </w:pPr>
      <w:r>
        <w:rPr>
          <w:sz w:val="20"/>
          <w:szCs w:val="20"/>
          <w:color w:val="auto"/>
        </w:rPr>
        <w:br w:type="column"/>
      </w:r>
    </w:p>
    <w:p>
      <w:pPr>
        <w:jc w:val="both"/>
        <w:ind w:right="120"/>
        <w:spacing w:after="0" w:line="236" w:lineRule="auto"/>
        <w:rPr>
          <w:sz w:val="20"/>
          <w:szCs w:val="20"/>
          <w:color w:val="auto"/>
        </w:rPr>
      </w:pPr>
      <w:r>
        <w:rPr>
          <w:rFonts w:ascii="Arial" w:cs="Arial" w:eastAsia="Arial" w:hAnsi="Arial"/>
          <w:sz w:val="18"/>
          <w:szCs w:val="18"/>
          <w:color w:val="auto"/>
        </w:rPr>
        <w:t>all other forms of programming provided to viewers, including broadcast networks; local broadcast stations; pay and other cable networks; home video, pay-per-view and video on demand services; and Internet sites. Finally, our programming networks compete for advertising revenue with other national and local media, including other television networks, television stations, radio stations, newspapers, Internet sites and direct mail.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Comcast’s Internet businesses focused on entertainment, information and communication, including Comcast.net, Fancast, thePlatform, Fandango, Plaxo and DailyCandy. Comcast Spectacor owns two professional sports teams and two large, multipurpose arenas, and manages other facilities for sporting events, concerts and other events.</w:t>
      </w:r>
    </w:p>
    <w:p>
      <w:pPr>
        <w:spacing w:after="0" w:line="15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also own noncontrolling interests in certain networks and content providers, including MGM, iN DEMAND, TV One, PBS KIDS Sprout, FEARnet, New England Cable News, Pittsburgh Cable News Channel, Music Choice and SportsNet New York. In addition, we have noncontrolling interests in wireless-related companies, including Clearwire and SpectrumCo, LLC.</w:t>
      </w:r>
    </w:p>
    <w:p>
      <w:pPr>
        <w:spacing w:after="0" w:line="26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9"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Cable segment is subject to regulation by federal, state and local governmental authorities under federal and state laws and regulations as well as agreements we enter into with franchising authorities. The Communications Act of 1934, as amended (the “Communications Act” or “Act”) and FCC regulations and policies affect significant aspects of our Cable segment, including cable system ownership, video customer rates, carriage of broadcast television stations, the way we sell our programming packages to customers, access to cable system channels by franchising authorities and other parties, the use of utility poles and conduits and the offering of our high-speed Internet and phone services. Our Programming segment is subject to more limited governmental regulation.</w:t>
      </w:r>
    </w:p>
    <w:p>
      <w:pPr>
        <w:spacing w:after="0" w:line="34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Federal regulation and regulatory scrutiny of our Cable and Programming segments have increased over the last three years, even as the cable industry is subject to increasing competition from DBS providers, phone companies and others for video, high-speed Internet and phone services. Meanwhile, the FCC has provided regulatory relief and various regulatory advantages to our competitors, examples of which are provided below. Further, in some areas, the Communications Act treats certain multichannel video programming distributors (“MVPDs”) differently from others. For example, ownership limits, pricing and packaging regulation, must-carry and franchising are not applicable to our DBS competitors. Regulation continues to present significant adverse risks to our businesses.</w:t>
      </w:r>
    </w:p>
    <w:p>
      <w:pPr>
        <w:spacing w:after="0" w:line="34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Regulators at all levels of government frequently consider changing, and sometimes do change, existing rules or interpretations of existing rules, or prescribe new ones. The transition to a new administration under President Obama will likely lead to turnover in the leadership of many federal agencies, including the FCC. We are unable to predict how new leadership in these agencies will ultimately affect regulation of our businesses. In addition, we always face the risk that Congress or one or more states will approve legislation significantly affecting our businesses, such as proposed federal legislation referred to as the Employee Free Choice Act, which would substantially liberalize the procedures for union organization.</w:t>
      </w:r>
    </w:p>
    <w:p>
      <w:pPr>
        <w:spacing w:after="0" w:line="3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paragraphs describe existing and potential future legal and regulatory requirements for our businesses.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Video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FCC adopted an order in 2007 establishing a 30% limit on the percentage of multichannel video customers that any single 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provider can serve nationwide. Because we currently serve approximately 26% of multichannel video customers nationwide, the 30% ownership limit constrains our ability to take advantage of future growth opportunities. A federal appellate court struck down a similar 30% limit in a 2001 decision, and we have appealed the new limit in court. The FCC is also assessing whether it should reinstate a limit on the number of affiliated programming networks a cable operator may carry on its cable systems. The FCC’s previous limit of 40% of the first 75 channels was also struck down by the federal appellate court in the 2001 decision. The percentage of affiliated programming networks we currently carry is well below the previous 40% limit. It is uncertain when the FCC will rule on this issue or how any regulation it adopts might affect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and Packaging</w:t>
      </w:r>
    </w:p>
    <w:p>
      <w:pPr>
        <w:spacing w:after="0" w:line="18" w:lineRule="exact"/>
        <w:rPr>
          <w:sz w:val="20"/>
          <w:szCs w:val="20"/>
          <w:color w:val="auto"/>
        </w:rPr>
      </w:pPr>
    </w:p>
    <w:p>
      <w:pPr>
        <w:jc w:val="both"/>
        <w:spacing w:after="0" w:line="265" w:lineRule="auto"/>
        <w:rPr>
          <w:rFonts w:ascii="Arial" w:cs="Arial" w:eastAsia="Arial" w:hAnsi="Arial"/>
          <w:sz w:val="16"/>
          <w:szCs w:val="16"/>
          <w:color w:val="auto"/>
        </w:rPr>
      </w:pPr>
      <w:r>
        <w:rPr>
          <w:rFonts w:ascii="Arial" w:cs="Arial" w:eastAsia="Arial" w:hAnsi="Arial"/>
          <w:sz w:val="16"/>
          <w:szCs w:val="16"/>
          <w:color w:val="auto"/>
        </w:rPr>
        <w:t>The Communications Act and FCC regulations and policies limit the prices that cable operators may charge for limited basic service, equipment and installation, as well as the manner in which cable operators may package premium or pay-per-view services with other tiers of service. These rules do not apply to cable systems that the FCC determines are subject to effective competition. The FCC has made this determination for systems covering 33% of our customers, and, as of December 31, 2008, we have pending before the FCC additional petitions for determination of effective competition for systems covering another 12% of our customers. An additional 35% of our customers are not subject to rate regulation because numerous local franchising authorities have chosen not to make the FCC certification filing necessary to regulate rates. From time to time, Congress and the FCC consider imposing new pricing or packaging regulations on the cable industry, including proposals that would require cable operators to offer programming networks on an a la carte or themed-tier basis instead of, or in addition to, our current packaged offerings. As discussed under “</w:t>
      </w:r>
      <w:hyperlink w:anchor="page19">
        <w:r>
          <w:rPr>
            <w:rFonts w:ascii="Arial" w:cs="Arial" w:eastAsia="Arial" w:hAnsi="Arial"/>
            <w:sz w:val="16"/>
            <w:szCs w:val="16"/>
            <w:u w:val="single" w:color="auto"/>
            <w:color w:val="0000EE"/>
          </w:rPr>
          <w:t>Legal Proceedings</w:t>
        </w:r>
      </w:hyperlink>
      <w:r>
        <w:rPr>
          <w:rFonts w:ascii="Arial" w:cs="Arial" w:eastAsia="Arial" w:hAnsi="Arial"/>
          <w:sz w:val="16"/>
          <w:szCs w:val="16"/>
          <w:color w:val="auto"/>
        </w:rPr>
        <w:t>” in Item 3, we and others are currently involved in litigation that could force us and other MVPDs to offer programming networks on an a la carte basis. Additionally, uniform pricing requirements under the Communications Act may affect our ability to respond to increased competition through offers, promotions or other discounts that aim to retain existing customers or regain those we have lost. In October 2008, the FCC initiated several inquiries regarding the cable industry’s transition from analog to digital transmission and the potential impact of these transition efforts on pricing and packaging for customers who lack the equipment necessary to receive digital programming. We believe that our product and service offerings will improve as we deliver more of our programming through digital transmission, because we will be able to provide more high-definition programming and video on demand services, better picture quality of our video services, faster Internet speeds and other services. There is a risk that the FCC could pursue regulatory or enforcement actions in this area, which could complicate or delay our transition to digital technology and could have an adverse effect on our business.</w:t>
      </w:r>
    </w:p>
    <w:p>
      <w:pPr>
        <w:spacing w:after="0" w:line="242"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300"/>
          </w:cols>
          <w:pgMar w:left="240" w:top="459" w:right="3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Cable operators are currently required to carry, without compensation, the programming transmitted by most local commercial and noncommercial television stations. Alternatively, local television stations may insist that a cable operator negotiate for retransmission consent, which may enable popular stations to demand cash payments or other significant concessions (such as the carriage of, and payment for, other programming networks affiliated with the broadcaster) as a condition of transmitting the TV broadcast signals that video customers expect to receive. As part of the transition from analog to digital broadcast transmission, Congress and the FCC gave each local broadcast station a digital channel, capable of carrying multiple programming streams, in addition to its current analog channel. After the broadcasters’ transition to digital (the current transition date is June 12, 2009, although broadcasters have the option of making the transition earlier), cable operators will have to carry the primary digital programming stream of local broadcast stations, as well as an analog version of the primary digital programming stream. These requirements will last for at least three years from the date of the digital transition. The FCC has provided a limited exemption from these requirements for cable systems with an activated channel capacity of 552 MHz or less. Under this exemption, which applies to certain of our cable systems, the operator is only obligated to carry the analog version of the broadcaster’s primary digital programming stream. The FCC is also considering proposals to require cable operators to carry, after the 2009 transition date, some or all of the multiple programming streams transmitted in the broadcaster’s digital signal. Such expanded must-carry obligations would further constrain our ability to allocate bandwidth to more high-definition channels, faster Internet speeds and other services. In addition, the FCC is considering proposals that would require cable operators to carry certain low power broadcast television stations that, under current regulations, generally lack must-carry rights.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Access/Program Carriage/License Agreements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Communications Act and the FCC’s program access rules generally prevent video programmers affiliated with cable operators from favoring cable operators over competing MVPDs, such as DBS providers, and limit the ability of such affiliated programmers to offer exclusive programming arrangements to cable operators. The FCC has extended the exclusivity restrictions through October 2012. We have challenged this FCC action in federal court. In addition, the Communications Act and the FCC’s program carriage rules prohibit cable operators and other MVPDs from requiring a financial interest in, or exclusive distribution rights for, any video programming network as a condition of carriage, or from unreasonably restraining the ability of an unaffiliated programming network to compete fairly by discriminating against the network on the basis of its nonaffiliation in the selection, terms or conditions for carriage. The FCC is considering proposals to expand its program access and program carriage regulations that, if adopted, could have an adverse effect on our businesses. In addition, under the FCC’s July 2006 order approving our acquis-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60" w:right="120"/>
        <w:spacing w:after="0" w:line="268" w:lineRule="auto"/>
        <w:rPr>
          <w:sz w:val="20"/>
          <w:szCs w:val="20"/>
          <w:color w:val="auto"/>
        </w:rPr>
      </w:pPr>
      <w:r>
        <w:rPr>
          <w:rFonts w:ascii="Arial" w:cs="Arial" w:eastAsia="Arial" w:hAnsi="Arial"/>
          <w:sz w:val="16"/>
          <w:szCs w:val="16"/>
          <w:color w:val="auto"/>
        </w:rPr>
        <w:t>ition of Adelphia cable systems and related Time Warner transactions, until July 2012 our regional sports networks are generally covered by the program access rules, and MVPDs may invoke commercial arbitration against such regional sports networks as an alternative to filing a program access complaint with the FCC. In addition, we are a party to program carriage disputes at the FCC involving three programming networks (NFL Network, WealthTV and Mid-Atlantic Sports Network). Adverse decisions in these disputes could increase our costs and curtail our flexibility to deliver services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-1810385</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Leased Access</w:t>
      </w:r>
    </w:p>
    <w:p>
      <w:pPr>
        <w:spacing w:after="0" w:line="18" w:lineRule="exact"/>
        <w:rPr>
          <w:sz w:val="20"/>
          <w:szCs w:val="20"/>
          <w:color w:val="auto"/>
        </w:rPr>
      </w:pPr>
    </w:p>
    <w:p>
      <w:pPr>
        <w:jc w:val="both"/>
        <w:ind w:left="160" w:right="120"/>
        <w:spacing w:after="0" w:line="235" w:lineRule="auto"/>
        <w:rPr>
          <w:sz w:val="20"/>
          <w:szCs w:val="20"/>
          <w:color w:val="auto"/>
        </w:rPr>
      </w:pPr>
      <w:r>
        <w:rPr>
          <w:rFonts w:ascii="Arial" w:cs="Arial" w:eastAsia="Arial" w:hAnsi="Arial"/>
          <w:sz w:val="18"/>
          <w:szCs w:val="18"/>
          <w:color w:val="auto"/>
        </w:rPr>
        <w:t>The Communications Act requires a cable system to make available up to 15% of its channel capacity for commercial leased access by third parties to provide programming that may compete with services offered directly by the cable operator. To date, we have not been required to devote significant channel capacity to leased access. However, the FCC adopted rules in 2007 that dramatically reduce the rates we can charge for leased access channels. Although the lower rates initially will not apply to home shopping or infomercial programmers, the FCC has issued a further notice to determine if such programming should also have the benefit of the lower rates. These new FCC rules, which have been stayed by a federal court pending the outcome of a challenge brought by us and other cable operators and which also have been blocked by the Office of Management and Budget, could adversely affect our business by significantly increasing the number of cable system channels occupied by leased access users and by significantly increasing the administrative burdens and costs associated with complying with such rules.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Cable Equipment</w:t>
      </w:r>
    </w:p>
    <w:p>
      <w:pPr>
        <w:spacing w:after="0" w:line="18" w:lineRule="exact"/>
        <w:rPr>
          <w:sz w:val="20"/>
          <w:szCs w:val="20"/>
          <w:color w:val="auto"/>
        </w:rPr>
      </w:pPr>
    </w:p>
    <w:p>
      <w:pPr>
        <w:jc w:val="both"/>
        <w:ind w:left="160" w:right="120"/>
        <w:spacing w:after="0" w:line="266" w:lineRule="auto"/>
        <w:rPr>
          <w:sz w:val="20"/>
          <w:szCs w:val="20"/>
          <w:color w:val="auto"/>
        </w:rPr>
      </w:pPr>
      <w:r>
        <w:rPr>
          <w:rFonts w:ascii="Arial" w:cs="Arial" w:eastAsia="Arial" w:hAnsi="Arial"/>
          <w:sz w:val="16"/>
          <w:szCs w:val="16"/>
          <w:color w:val="auto"/>
        </w:rPr>
        <w:t>The FCC has adopted regulations aimed at promoting the retail sale of set-top boxes and other equipment that can be used to receive digital video services. Effective July 2007, cable operators were prohibited from acquiring for deployment set-top boxes that perform both channel navigation and security functions. Set-top boxes purchased after that date must rely on a separate security device known as a CableCARD, which adds to the cost of set-top boxes. In addition, the FCC has adopted rules to implement an agreement between the cable and consumer electronics industries aimed at promoting the manufacture of plug-and-play TV sets that can connect directly to a cable network and receive one-way analog and digital video services without the need for a set-top box. The FCC is also considering proposals to establish regulations for plug-and-play retail devices that can access two-way cable services. Some of the proposals, if adopted, would impose substantial costs on us and impair our ability to innovate. In April 2008, we joined major consumer electronics companies, information technology companies and other major cable operators in an agreement to use certain technology to enable retail devices to access two-way cable services. We believe that this inter-industry agreement makes it less likely the FCC will adopt two-way plug-and-play requirements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180"/>
            <w:col w:w="576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MDUs and Inside Wiring</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October 2007, the FCC adopted an order prohibiting the enforcement of exclusive video service access agreements between cable operators and MDUs and other private real estate developments. The order also prohibits the execution of new exclusive access agreements. The order has been appealed by the National Cable &amp; Telecommunications Association (“NCTA”), the cable industry’s trade organization. The FCC is also considering proposals to extend these prohibitions to non-cable MVPDs and to expand the scope of the rules to prohibit exclusive marketing and bulk billing agreements. Because we have a significant number of exclusive access agreements, the FCC’s order to abrogate the exclusivity provisions of those agreements could negatively affect our business, as would adoption of new limits on exclusive marketing and bulk billing. The FCC has also adopted rules facilitating competitors’ access to the cable wiring inside such MDUs. These rules could also have an adverse impact on our business as they allow our competitors to use wiring we have deployed to reach potential customers more quickly and inexpensively.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 Attachments</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Communications Act permits the FCC to regulate the rate that pole-owning utility companies (with the exception of municipal utilities and rural cooperatives) charge cable systems for attachments to their poles. States are permitted to preempt FCC jurisdiction and regulate the terms of attachments themselves, and many states in which we operate have done so. Most of these states have generally followed the FCC’s pole rate standards. The FCC or a state could increase pole attachment rates paid by cable operators. Additionally, higher pole attachment rates apply to pole attachments that are subject to the FCC’s telecommunications services pole rates. The applicability of and method for calculating those rates for cable systems over which phone services are transmitted remain unclear, and there is a risk that we could face materially higher pole attachment costs. In November 2007, the FCC initiated a proceeding to consider whether to modify its rules governing prices for pole attachments. Among other issues, the FCC is considering establishing a new unified pole attachment rate that would apply to cable system attachments where the cable operator provides high-speed Internet services and, perhaps, phone services as well. The proposed rate would be higher than the current rate paid by cable service providers but lower than the rate that applies to attachments used to provide telecommunications services. If adopted, this proposal could materially increase our costs by increasing our existing payments for pole attachments.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Comcast 2008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meet service quality, customer service and other requirements; and are terminable if the franchisee fails to comply with material provisions. The Communications Act permits franchising authorities to establish reasonable requirements for public, educational and governmental access programming, and many of our franchises require substantial channel capacity and financial support for this programming. The Communications Act also contains provisions governing the franchising process, including, among other things, renewal procedures designed to protect incumbent franchisees against arbitrary denials of renewal. We believe that our franchise renewal prospects generally are 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-2051685</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There has been considerable activity at both the federal and state levels addressing franchise requirements imposed on new entrants. This activity is primarily directed at facilitating local phone companies’ entry into cable services. In December 2006, the FCC adopted new rules designed to ease the franchising process and reduce franchising burdens for new entrants by, among other things, limiting the range of financial, construction and other commitments that franchising authorities can request of new entrants, requiring franchising authorities to act on franchise applications by new entrants within 90 days, and preempting certain local “level playing field” franchising requirements. The FCC subsequently adopted more modest franchising relief for existing cable operators. We could be materially disadvantaged if the rules continue to set a different, less burdensome standard for some of our competitors than for ourselves. From time to time, Congress has also considered proposals to eliminate or streamline local franchising requirements for local phone companies and other new entrants. We cannot predict whether such legislation will be enacted or what effect it would have on our business.</w:t>
      </w:r>
    </w:p>
    <w:p>
      <w:pPr>
        <w:spacing w:after="0" w:line="342"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In addition, approximately half of the states in which we operate have enacted legislation to provide statewide franchising or to simplify local franchising requirements for new entrants, thus relieving new entrants of many of the local franchising burdens faced by incumbent operators. Some of these statutes also allow new entrants to operate on more favorable terms than our current operations, for instance by not requiring that the applicant provide service to all parts of the franchise area or permitting the applicant to designate only those portions it wishes to serve. Certain of these state statutes allow incumbent cable operators to opt into the new state franchise where a competing state franchise has been issued for the incumbent’s franchise area. However, even in those states where incumbent cable operators are allowed to opt into a state franchise, we often are required to retain certain franchise obligations that are more burdensome than the new entrant’s state franchise.</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Copyright Regulation</w:t>
      </w:r>
    </w:p>
    <w:p>
      <w:pPr>
        <w:spacing w:after="0" w:line="1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exchange for filing reports and contributing a percentage of revenue to a federal copyright royalty pool, cable operators can obtain blanket permission to retransmit copyrighted material contained in broadcast signals. The possible modification or</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2">
            <w:col w:w="5480" w:space="220"/>
            <w:col w:w="5600"/>
          </w:cols>
          <w:pgMar w:left="240" w:top="459" w:right="3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elimination of this copyright license is the subject of ongoing legislative and administrative review. In June 2008, the Copyright Office issued a report to Congress in which it recommended eliminating the compulsory copyright license in favor of free market negotiations between cable operators and copyright owners. If adopted, this proposal could adversely affect our ability to obtain certain programming and substantially increase our programming costs. In May 2008, the Copyright Office rejected a cable industry request to clarify that copyright fees associated with the retransmission of out-of-market broadcast signals should be limited to system customers who actually receive those signals. The Copyright Office concluded it did not have authority under the governing statute to adopt that interpretation. There is a risk that the Copyright Office’s determination on this issue could materially increase the copyright royalty fees that we and other cable operators pay to retransmit out-of-market broadcast signals. Further, in June 2008, the Copyright Office issued a Notice of Proposed Rulemaking addressing how the compulsory license will apply to digital broadcast signals and services. In this notice, the Copyright Office proposed to require royalty fees from cable operators for carriage of each digital multicast stream of programming from an out-of-market television broadcast station. If adopted, this proposal could significantly increase our royalty fees for the carriage of out-of-market television stations. In addition, we pay standard industry licensing fees to use music in the programs we create, including our Cable segment’s local advertising and local origination programming, and our Programming segment’s original programs. These licensing fees have been the source of litigation with music performance rights organizations in the past and we cannot predict with certainty whether license fee disputes may arise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High-Speed Internet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provide high-speed Internet services by means of our existing cable systems. In 2002, the FCC ruled that this was an interstate information service that is not subject to regulation as a telecommunications service under federal law or to state or local utility regulation. However, our high-speed Internet services are subject to a number of regulatory obligations, including compliance with the Communications Assistance for Law Enforcement Act (“CALEA”) requirement that high-speed Internet service providers must implement certain network capabilities to assist law enforcement in conducting surveillance of persons suspected of criminal activity.</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Several parties are advocating that Congress and the FCC adopt so-called “net neutrality” rules that would define certain rights for users of high-speed Internet services and regulate or restrict some types of commercial agreements between service providers and providers of Internet content. In 2005, the FCC issued what was characterized at the time as a nonbinding policy statement identifying four principles that will guide its policymaking regarding high-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speed Internet and related services. These principles provide that consumers are entitled to: (i) access lawful Internet content of their choice; (ii) run applications and services of their choice, subject to the needs of law enforcement; (iii) connect their choice of legal devices that do not harm the network; and (iv) enjoy competition among network providers, application and service providers, and content providers. Some have proposed that Congress and the FCC adopt these principles as formal rules and also impose nondiscrimination and disclosure requirements on high-speed Internet service providers. Congress has rejected similar proposals in the past, but such proposals may be revisited and possibly broadened. Any such rules or statutes could limit our ability to manage our cable systems (including use for other services), obtain value for use of our cable systems or respond to competitive conditions. We cannot predict whether “net neutrality” rules or statutes will be adopted.</w:t>
      </w:r>
    </w:p>
    <w:p>
      <w:pPr>
        <w:spacing w:after="0" w:line="346"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All networks must be managed to provide high-quality, consistent and safe high-speed Internet services. In August 2008, the FCC found that we had violated “federal Internet policies” by engaging in certain network management practices intended to address congestion on our high-speed Internet network. As a result, we were ordered to disclose certain information about our network management practices to the FCC, and to cease the practices at issue by December 31, 2008. We are challenging that decision in federal court. In the interim, we complied with the disclosure requirements imposed by the FCC. In addition, as of December 31, 2008, we stopped using our earlier techniques in favor of a new set of protocol-agnostic network management congestion practices, and we have so informed the FCC. Continued FCC regulation of our high-speed Internet network management practices could adversely affect our business by impairing our ability to manage our network efficiently.</w:t>
      </w:r>
    </w:p>
    <w:p>
      <w:pPr>
        <w:spacing w:after="0" w:line="346"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A federal program known as the Universal Service program generally requires telecommunications service providers to collect and pay a fee based on their revenue from telecommunications services (in recent years, roughly 10% of revenue) into a fund used to subsidize the provision of telecommunications services in high-cost areas and Internet and telecommunications services to schools, libraries and certain health care providers. Congress is considering proposals that could result in high-speed Internet services being subject to Universal Service fees. We cannot predict whether or how the Universal Service funding system might be extended to cover high-speed Internet services or, if that occurs, how it will affect us.</w:t>
      </w:r>
    </w:p>
    <w:p>
      <w:pPr>
        <w:spacing w:after="0" w:line="161"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Congress and federal regulators have adopted a wide range of measures affecting Internet use, including, for example, consumer privacy, copyright protection, defamation liability, taxation, obscenity and unsolicited commercial e-mail. State and local governments have also adopted Internet-related regulations. Furthermore, Congress, the FCC and certain state and local governments are also considering proposals to impose customer</w:t>
      </w:r>
    </w:p>
    <w:p>
      <w:pPr>
        <w:spacing w:after="0" w:line="200" w:lineRule="exact"/>
        <w:rPr>
          <w:sz w:val="20"/>
          <w:szCs w:val="20"/>
          <w:color w:val="auto"/>
        </w:rPr>
      </w:pPr>
    </w:p>
    <w:p>
      <w:pPr>
        <w:spacing w:after="0" w:line="20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service, quality of service, taxation, child safety, privacy and standard pricing regulations on high-speed Internet service providers. It is uncertain whether any of these proposals will be adopted. The adoption of new laws or the application of existing laws to the Internet could have a material adverse effect on our high-speed Internet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lenged our interconnection rights at the FCC and various state commissions and these proceedings remain unresolved.</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uncertain whether and when the FCC or Congress will adopt further rules regarding interconnection rights and arrangements and how such rules would affect our voice services.</w:t>
      </w:r>
    </w:p>
    <w:p>
      <w:pPr>
        <w:spacing w:after="0" w:line="238"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Phone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currently offer phone services using interconnected VoIP technology. Upon receipt of requested approvals for two remaining service areas, we will no longer provide circuit-switched phone service. The FCC has adopted a number of orders addressing regulatory issues relating to providers of nontraditional voice services such as ours, including regulations relating to customer proprietary network information, local number portability duties and benefits, disability access, E911, CALEA, and contributions to the federal Universal Service Fund, but has not yet ruled on the appropriate classification of the specific type of voice services that we provide. The regulatory environment for interconnected VoIP services therefore remains uncertain at both the federal and state level. Until the FCC definitively classifies interconnected VoIP services for state and federal regulatory purposes, state regulatory commissions and legislatures may continue to investigate imposing regulatory requirements on such services.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and two other cable operators filed a complaint with the FCC against Verizon in 2008 claiming that Verizon had violated a statutory carrier proprietary information requirement in processing requests from us to transfer Verizon customers who had selected us to be their voice provider. The FCC subsequently upheld the complaint, and a federal appellate court rejected Verizon’s appeal of the FCC’s order. Verizon could seek additional judicial review and, if the order were overturned on further appeal, our ability to increase our voice services customer base could be adversely affected.</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FCC and Congress also are considering how nontraditional voice services should interconnect with local phone companies’ phone networks. Since the FCC has not determined the appropriate classification of these services, the precise scope of local phone company interconnection rules applicable to providers of nontraditional voice services is not entirely clear. As a result, some local phone companies may resist interconnecting directly with these providers. In light of these concerns, providers of these services typically either secure CLEC authorization or obtain interconnection to local phone company networks by contracting with an existing CLEC, whose right, as a telecommunications carrier, to request and obtain interconnection with local phone companies is set forth in the Communications Act. We have arranged for such interconnection rights through our own CLECs and through third party CLECs, however certain parties have chal-</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Comcast 2008 Annual Report on Form 10-K</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Other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FCC actively regulates other aspects of our Cable segment and limited aspects of our Programming segment, including the mandatory blackout of syndicated, network and sports programming; customer service standards; political advertising; indecent or obscene programming; Emergency Alert System requirements for analog and digital services; closed captioning requirements for the hearing impaired; commercial restrictions on children’s programming; origination cablecasting (i.e., programming locally originated by and under the control of the cable operator); sponsorship identification; equal employment opportunity; lottery programming; recordkeeping and public file access requirements; telemarketing; technical standards relating to operation of the cable network; and regulatory fees. We are unable to predict how these regulations might be changed in the future and how any such changes might affect our Cable and Programming businesses. In addition, while we believe that we are in substantial compliance with FCC rules, we are occasionally subject to enforcement actions at the FCC, which can result in our having to pay fines to the agency.</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 and Local Taxes</w:t>
      </w:r>
    </w:p>
    <w:p>
      <w:pPr>
        <w:spacing w:after="0" w:line="18"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Some states and localities have imposed or are considering imposing new or additional taxes or fees on the services we offer, or imposing adverse methodologies by which taxes or fees are computed. These include combined reporting or other changes to general business taxes, central assessments for property tax, and taxes and fees on video and voice services. We and other cable industry members are challenging certain of these taxes through administrative and court proceedings. In addition, in some situations our DBS competitors do not face similar state tax and fee burdens. Congress has also considered, and may consider again, proposals to bar states from imposing taxes on DBS providers that are equivalent to the taxes or fees that we pay.</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Privacy and Security Regulation</w:t>
      </w:r>
    </w:p>
    <w:p>
      <w:pPr>
        <w:spacing w:after="0" w:line="18"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cable customers’ personally identifiable information by cable operators. There are exceptions that permit the collection and disclosure of this information for rendering service, conducting legitimate business activities related to the service, and responding to legal requests. The Telecommunications Act of 1996 provides additional privacy protections for customer proprietary network information, commonly known as CPNI, related to our digital phone services.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2">
            <w:col w:w="5480" w:space="220"/>
            <w:col w:w="5600"/>
          </w:cols>
          <w:pgMar w:left="240" w:top="459" w:right="35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handful of states and the District of Columbia have enacted privacy laws that apply to cable services.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also subject to state and federal rules and laws regarding information security. Most of these rules and laws apply to customer information that could be used to commit identity theft. Forty-five states and the District of Columbia have enacted security breach notification laws. These laws generally require that a business give notice to its customers whose financial account information has been disclosed because of a security breach. The Federal Trade Commission (“FTC”) is applying the “red flag rules” in the Fair and Accurate Credit Transactions Act of 2003 to both financial institutions and creditors. Because we permit customers to pay us for services usually 30 days after they receive them, we are considered a creditor according to the FTC’s interpretation of the rules. We intend to comply with these rules, which become effective for us on May 1, 2009, by using an identity theft prevention program to identify, detect and respond to patterns, practices or specific activities that could indicate identity theft.</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Additional and more restrictive requirements may be imposed if and to the extent that state or local authorities establish their own privacy or security standards or if Congress enacts new privacy or security legislation.</w:t>
      </w:r>
    </w:p>
    <w:p>
      <w:pPr>
        <w:spacing w:after="0" w:line="392"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2008, we employed approximately 100,000 employees, including part-time employees. Of these employees, approximately 89,000 were associated with our Cable business and the remainder were associated with our Programming and other businesses. Approximately 6,000 of our employees (including part-time employees) are covered by collective bargaining agreements or have organized but are not covered by collective bargaining agreements. We believe we have good relationships with our employees.</w:t>
      </w:r>
    </w:p>
    <w:p>
      <w:pPr>
        <w:spacing w:after="0" w:line="397" w:lineRule="exact"/>
        <w:rPr>
          <w:sz w:val="20"/>
          <w:szCs w:val="20"/>
          <w:color w:val="auto"/>
        </w:rPr>
      </w:pPr>
    </w:p>
    <w:p>
      <w:pPr>
        <w:ind w:right="1440"/>
        <w:spacing w:after="0" w:line="260" w:lineRule="auto"/>
        <w:rPr>
          <w:sz w:val="20"/>
          <w:szCs w:val="20"/>
          <w:color w:val="auto"/>
        </w:rPr>
      </w:pPr>
      <w:r>
        <w:rPr>
          <w:rFonts w:ascii="Arial" w:cs="Arial" w:eastAsia="Arial" w:hAnsi="Arial"/>
          <w:sz w:val="24"/>
          <w:szCs w:val="24"/>
          <w:color w:val="auto"/>
        </w:rPr>
        <w:t>Caution Concerning Forward-Looking Statements</w:t>
      </w:r>
    </w:p>
    <w:p>
      <w:pPr>
        <w:spacing w:after="0" w:line="1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“potential,” or “continue,” or the negative of these words, and other comparable words. You should be aware that those statements are only our predictions. In evaluating those statements, you should specifically consider various factors, including the risks and uncertainties listed in </w:t>
      </w:r>
      <w:r>
        <w:rPr>
          <w:rFonts w:ascii="Arial" w:cs="Arial" w:eastAsia="Arial" w:hAnsi="Arial"/>
          <w:sz w:val="18"/>
          <w:szCs w:val="18"/>
          <w:i w:val="1"/>
          <w:iCs w:val="1"/>
          <w:color w:val="auto"/>
        </w:rPr>
        <w:t>“</w:t>
      </w:r>
      <w:hyperlink w:anchor="page15">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under Item 1A and in other reports we file with the SEC. Actual events or our actual results may differ materially from any of our forward-looking statements.</w:t>
      </w:r>
    </w:p>
    <w:p>
      <w:pPr>
        <w:spacing w:after="0" w:line="155"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management’s expectations because of changes in such factors. Other factors and risks could adversely affect our operations, business or financial results of our businesses in the future and could also cause actual results to differ materially from those contained in the forward-looking statements. We undertake no obligation to update any forward-looking statements.</w:t>
      </w:r>
    </w:p>
    <w:p>
      <w:pPr>
        <w:spacing w:after="0" w:line="397" w:lineRule="exact"/>
        <w:rPr>
          <w:sz w:val="20"/>
          <w:szCs w:val="20"/>
          <w:color w:val="auto"/>
        </w:rPr>
      </w:pPr>
    </w:p>
    <w:p>
      <w:pPr>
        <w:ind w:left="140"/>
        <w:spacing w:after="0"/>
        <w:rPr>
          <w:sz w:val="20"/>
          <w:szCs w:val="20"/>
          <w:color w:val="auto"/>
        </w:rPr>
      </w:pPr>
      <w:r>
        <w:rPr>
          <w:rFonts w:ascii="Arial" w:cs="Arial" w:eastAsia="Arial" w:hAnsi="Arial"/>
          <w:sz w:val="24"/>
          <w:szCs w:val="24"/>
          <w:color w:val="52A2DD"/>
        </w:rPr>
        <w:t>Item 1A: Risk Factors</w:t>
      </w:r>
    </w:p>
    <w:p>
      <w:pPr>
        <w:spacing w:after="0" w:line="155" w:lineRule="exact"/>
        <w:rPr>
          <w:sz w:val="20"/>
          <w:szCs w:val="20"/>
          <w:color w:val="auto"/>
        </w:rPr>
      </w:pPr>
    </w:p>
    <w:p>
      <w:pPr>
        <w:jc w:val="both"/>
        <w:ind w:left="140" w:right="120"/>
        <w:spacing w:after="0" w:line="243" w:lineRule="auto"/>
        <w:rPr>
          <w:sz w:val="20"/>
          <w:szCs w:val="20"/>
          <w:color w:val="auto"/>
        </w:rPr>
      </w:pPr>
      <w:r>
        <w:rPr>
          <w:rFonts w:ascii="Arial" w:cs="Arial" w:eastAsia="Arial" w:hAnsi="Arial"/>
          <w:sz w:val="18"/>
          <w:szCs w:val="18"/>
          <w:b w:val="1"/>
          <w:bCs w:val="1"/>
          <w:color w:val="auto"/>
        </w:rPr>
        <w:t>All of the services offered by our cable systems face a wide range of competition that could adversely affect our future results of operations.</w:t>
      </w:r>
    </w:p>
    <w:p>
      <w:pPr>
        <w:spacing w:after="0" w:line="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operate in an intensely competitive industry. Our cable systems compete with a number of different sources that provide news, information and entertainment programming to consumers. We compete directly with other programming distributors, including DBS companies, phone companies, companies that build competing cable systems in the same communities we serve and companies that offer programming and other communications services to our customers and potential customers, including high-speed Internet and voice service providers. Our business and results of operations could be adversely affected if we do not compete effectively.</w:t>
      </w:r>
    </w:p>
    <w:p>
      <w:pPr>
        <w:spacing w:after="0" w:line="139" w:lineRule="exact"/>
        <w:rPr>
          <w:sz w:val="20"/>
          <w:szCs w:val="20"/>
          <w:color w:val="auto"/>
        </w:rPr>
      </w:pPr>
    </w:p>
    <w:p>
      <w:pPr>
        <w:jc w:val="both"/>
        <w:ind w:left="140" w:right="120"/>
        <w:spacing w:after="0" w:line="243" w:lineRule="auto"/>
        <w:rPr>
          <w:sz w:val="20"/>
          <w:szCs w:val="20"/>
          <w:color w:val="auto"/>
        </w:rPr>
      </w:pPr>
      <w:r>
        <w:rPr>
          <w:rFonts w:ascii="Arial" w:cs="Arial" w:eastAsia="Arial" w:hAnsi="Arial"/>
          <w:sz w:val="18"/>
          <w:szCs w:val="18"/>
          <w:b w:val="1"/>
          <w:bCs w:val="1"/>
          <w:color w:val="auto"/>
        </w:rPr>
        <w:t>We may face increased competition because of technological advances and new regulatory requirements, which could adversely affect our future results of operations.</w:t>
      </w:r>
    </w:p>
    <w:p>
      <w:pPr>
        <w:spacing w:after="0" w:line="1"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In addition to marketing DBS services in certain areas, local phone companies have built and are continuing to build wireline, fiber-optic-based networks and, in some cases, are using IP technology to provide video services in substantial portions of their service areas. Local phone companies and various other companies also offer DSL and other Internet services. We expect other advances in communications technology, as well as changes in the marketplace, to occur in the future. If we choose technology that is not as</w:t>
      </w:r>
    </w:p>
    <w:p>
      <w:pPr>
        <w:spacing w:after="0" w:line="200" w:lineRule="exact"/>
        <w:rPr>
          <w:sz w:val="20"/>
          <w:szCs w:val="20"/>
          <w:color w:val="auto"/>
        </w:rPr>
      </w:pPr>
    </w:p>
    <w:p>
      <w:pPr>
        <w:spacing w:after="0" w:line="353"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effective, cost-efficient or attractive to customers as that employed by our competitors, our business and results of operations could be adversely affected.</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new technologies and services have been developed, such as video streaming over the Internet, and may continue to be developed that compete with services that our cable systems offer, and such services may not be regulated in the same manner or to the same extent as our services. The success of these ongoing and future developments could have an adverse effect on our business and results of operations. Moreover, in recent years, Congress and various states have enacted legislation and the FCC has adopted regulatory policies that have had the effect of providing a more favorable operating environment for some of our existing and potential new competitors.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Programming expenses are increasing, which could adversely affect our future results of operations.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expect our programming expenses to continue to be our largest single expense item in the foreseeable future. The MVPD industry has continued to experience an increase in the cost of programming, especially sports programming. In addition, as we add programming to our video services or distribute existing programming to more of our customers, we face increased programming expenses. If we are unable to raise our customers’ rates or offset such programming cost increases through the sale of additional services, the increasing cost of programming could have an adverse impact on our results of operations.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expect to be subject to increasing demands, including demands for cash payments and other concessions, by broadcasters in exchange for their required consent for the retransmission of broadcast programming to our customers. We cannot predict the magnitude of these demands or the effect on our business and operations should we concede to certain of these demands or fail to obtain the required consents.</w:t>
      </w:r>
    </w:p>
    <w:p>
      <w:pPr>
        <w:spacing w:after="0" w:line="13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We are subject to regulation by federal, state and local governments, which may impose additional costs and restrictions.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Federal, state and local governments extensively regulate the video services industry and may increase the regulation of the Internet service and digital phone service industries. We expect that legislative enactments, court actions and regulatory proceedings will continue to clarify and in some cases adversely affect the rights and obligations of cable operators and other entities under the Communications Act and other laws. Congress considers new legislative requirements potentially affecting our businesses virtually every year. The results of these legislative, judicial and administrative actions may materially affect our business operations.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local authorities grant us franchises that permit us to operate our cable systems. We have to renew or renegotiate these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7" w:lineRule="auto"/>
        <w:rPr>
          <w:rFonts w:ascii="Arial" w:cs="Arial" w:eastAsia="Arial" w:hAnsi="Arial"/>
          <w:sz w:val="16"/>
          <w:szCs w:val="16"/>
          <w:color w:val="auto"/>
        </w:rPr>
      </w:pPr>
      <w:r>
        <w:rPr>
          <w:rFonts w:ascii="Arial" w:cs="Arial" w:eastAsia="Arial" w:hAnsi="Arial"/>
          <w:sz w:val="16"/>
          <w:szCs w:val="16"/>
          <w:color w:val="auto"/>
        </w:rPr>
        <w:t>franchises from time to time. Local franchising authorities often demand concessions or other commitments as a condition of renewal or transfer, and these concessions or other commitments could be costly to us. In addition, we could be materially disadvantaged if we remain subject to legal constraints that do not apply equally to our competitors, such as if local phone companies that provide video programming services are not subject to the local franchising requirements and other requirements that apply to us. For example, the FCC has adopted rules and several states have enacted legislation to ease the franchising process and reduce franchising burdens for new entrants. See “Legislation and Regulation” in Item 1 and refer to the “</w:t>
      </w:r>
      <w:hyperlink w:anchor="page12">
        <w:r>
          <w:rPr>
            <w:rFonts w:ascii="Arial" w:cs="Arial" w:eastAsia="Arial" w:hAnsi="Arial"/>
            <w:sz w:val="16"/>
            <w:szCs w:val="16"/>
            <w:u w:val="single" w:color="auto"/>
            <w:color w:val="0000EE"/>
          </w:rPr>
          <w:t>Franchising</w:t>
        </w:r>
      </w:hyperlink>
      <w:r>
        <w:rPr>
          <w:rFonts w:ascii="Arial" w:cs="Arial" w:eastAsia="Arial" w:hAnsi="Arial"/>
          <w:sz w:val="16"/>
          <w:szCs w:val="16"/>
          <w:color w:val="auto"/>
        </w:rPr>
        <w:t>” discussion within that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-2065655</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21" w:lineRule="exact"/>
        <w:rPr>
          <w:sz w:val="20"/>
          <w:szCs w:val="20"/>
          <w:color w:val="auto"/>
        </w:rPr>
      </w:pPr>
    </w:p>
    <w:p>
      <w:pPr>
        <w:jc w:val="both"/>
        <w:spacing w:after="0" w:line="270" w:lineRule="auto"/>
        <w:rPr>
          <w:rFonts w:ascii="Arial" w:cs="Arial" w:eastAsia="Arial" w:hAnsi="Arial"/>
          <w:sz w:val="16"/>
          <w:szCs w:val="16"/>
          <w:color w:val="auto"/>
        </w:rPr>
      </w:pPr>
      <w:r>
        <w:rPr>
          <w:rFonts w:ascii="Arial" w:cs="Arial" w:eastAsia="Arial" w:hAnsi="Arial"/>
          <w:sz w:val="16"/>
          <w:szCs w:val="16"/>
          <w:color w:val="auto"/>
        </w:rPr>
        <w:t>We also face other risks related to federal, state and local regulations. For example, Congress and the FCC are also considering various forms of “net neutrality” regulation. See “Legislation and Regulation” in Item 1 and refer to the “</w:t>
      </w:r>
      <w:hyperlink w:anchor="page13">
        <w:r>
          <w:rPr>
            <w:rFonts w:ascii="Arial" w:cs="Arial" w:eastAsia="Arial" w:hAnsi="Arial"/>
            <w:sz w:val="16"/>
            <w:szCs w:val="16"/>
            <w:u w:val="single" w:color="auto"/>
            <w:color w:val="0000EE"/>
          </w:rPr>
          <w:t>High-Speed Internet Services</w:t>
        </w:r>
      </w:hyperlink>
      <w:r>
        <w:rPr>
          <w:rFonts w:ascii="Arial" w:cs="Arial" w:eastAsia="Arial" w:hAnsi="Arial"/>
          <w:sz w:val="16"/>
          <w:szCs w:val="16"/>
          <w:color w:val="auto"/>
        </w:rPr>
        <w:t>” discussion within that section. For a more detailed discussion of the risks associated with our regulation by federal, state and local governments, see “</w:t>
      </w:r>
      <w:hyperlink w:anchor="page10">
        <w:r>
          <w:rPr>
            <w:rFonts w:ascii="Arial" w:cs="Arial" w:eastAsia="Arial" w:hAnsi="Arial"/>
            <w:sz w:val="16"/>
            <w:szCs w:val="16"/>
            <w:u w:val="single" w:color="auto"/>
            <w:color w:val="0000EE"/>
          </w:rPr>
          <w:t>Legislation and Regulation</w:t>
        </w:r>
      </w:hyperlink>
      <w:r>
        <w:rPr>
          <w:rFonts w:ascii="Arial" w:cs="Arial" w:eastAsia="Arial" w:hAnsi="Arial"/>
          <w:sz w:val="16"/>
          <w:szCs w:val="16"/>
          <w:color w:val="auto"/>
        </w:rPr>
        <w:t>” in Item 1.</w:t>
      </w:r>
    </w:p>
    <w:p>
      <w:pPr>
        <w:spacing w:after="0" w:line="3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Weakening economic conditions may have a negative impact on our results of operations and financial condition.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2008, the global financial markets were in turmoil, and the equity and credit markets experienced extreme volatility, which caused already weak economic conditions to worsen. A substantial portion of our revenue comes from residential customers whose spending patterns may be affected by prevailing economic conditions. To the extent these conditions continue, customers may reduce the advanced or premium services to which they subscribe, or may discontinue subscribing to one or more of our cable services. This risk may be worsened by the expanded availability of free or lower cost competitive services, such as video streaming over the Internet, or substitute services, such as wireless phones. The weakening economy affected our net customer additions during 2008 and also had a negative impact on the advertising revenue of our Cable segment. If these economic conditions continue to deteriorate, the growth of our business and results of operations may be adversely affected.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Further, because of the turmoil in the global financial markets, some financial and other institutions have experienced, and continue to experience, significant financial distress. Although we have attempted to be prudent in our investment strategy, it is not possible to predict how the financial market turmoil and the deteriorating economic conditions may affect our financial position. Additional financial institution failures could reduce amounts available under committed credit facilities, could cause losses to the extent cash amounts or the value of securities exceed government deposit insurance limits and could restrict our access to the public equity and debt markets.</w:t>
      </w:r>
    </w:p>
    <w:p>
      <w:pPr>
        <w:spacing w:after="0" w:line="705"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300"/>
          </w:cols>
          <w:pgMar w:left="240" w:top="459" w:right="3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We rely on network and information systems and other technology, and a disruption or failure of such networks, systems or technology may disrupt our business.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Network and information systems and other technologies are critical to our business activities. Network and information systems-related events, such as computer hackings,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cable services, excessive call volume to call centers or damage to our equipment and data. These network and information systems-related events also could result in large expenditures to repair or replace the damaged networks or information systems or to protect them from similar events in the future. Further, any security breaches, such as misappropriation, misuse, leakage, falsification or accidental release or loss of information maintained in our information technology systems and networks, including customer, personnel and vendor data, could damage our reputation and require us to expend significant capital and other resources to remedy any such security breach. The occurrence of any such network or information system-related events or security breaches could have a material adverse effect on our business and results of operations.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depend on third party vendors to supply us with a significant amount of the hardware, software and operational support necessary to provide certain of our services. Moreover,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if demand exceeds their capacity or they cannot otherwise meet our specifications, our ability to provide some services may be materially adversely affected, in which case, our business, results of operation and financial position may be adversely affected.</w:t>
      </w:r>
    </w:p>
    <w:p>
      <w:pPr>
        <w:spacing w:after="0" w:line="3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 depends on certain intellectual property rights and on not infringing the intellectual property rights of others.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liability or be enjoined preliminarily or permanently from further use of the intellectual property in question or from the continuation of our businesses as currently conducted, which could require us to change our business practices or limit our ability to compete effectively or could have an adverse effect on our results of operations. Even if we believe any such claims are without merit, they can be time-consuming and costly to defend and divert management’s attention and resources away from our business. Moreover, because of the rapid pace of technological change, we rely on technologies developed or licensed by third parties, and if we are unable to obtain or continue to obtain licenses from these third parties on reasonable terms, our business and results of operations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-2308860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9" w:lineRule="exact"/>
        <w:rPr>
          <w:sz w:val="20"/>
          <w:szCs w:val="20"/>
          <w:color w:val="auto"/>
        </w:rPr>
      </w:pPr>
    </w:p>
    <w:p>
      <w:pPr>
        <w:jc w:val="both"/>
        <w:ind w:left="140" w:right="120"/>
        <w:spacing w:after="0" w:line="247" w:lineRule="auto"/>
        <w:rPr>
          <w:sz w:val="20"/>
          <w:szCs w:val="20"/>
          <w:color w:val="auto"/>
        </w:rPr>
      </w:pPr>
      <w:r>
        <w:rPr>
          <w:rFonts w:ascii="Arial" w:cs="Arial" w:eastAsia="Arial" w:hAnsi="Arial"/>
          <w:sz w:val="18"/>
          <w:szCs w:val="18"/>
          <w:b w:val="1"/>
          <w:bCs w:val="1"/>
          <w:color w:val="auto"/>
        </w:rPr>
        <w:t>We face risks arising from the outcome of various litigation matters.</w:t>
      </w:r>
    </w:p>
    <w:p>
      <w:pPr>
        <w:spacing w:after="0" w:line="1" w:lineRule="exact"/>
        <w:rPr>
          <w:sz w:val="20"/>
          <w:szCs w:val="20"/>
          <w:color w:val="auto"/>
        </w:rPr>
      </w:pPr>
    </w:p>
    <w:p>
      <w:pPr>
        <w:jc w:val="both"/>
        <w:ind w:left="140" w:right="120"/>
        <w:spacing w:after="0" w:line="235" w:lineRule="auto"/>
        <w:rPr>
          <w:rFonts w:ascii="Arial" w:cs="Arial" w:eastAsia="Arial" w:hAnsi="Arial"/>
          <w:sz w:val="18"/>
          <w:szCs w:val="18"/>
          <w:color w:val="auto"/>
        </w:rPr>
      </w:pPr>
      <w:r>
        <w:rPr>
          <w:rFonts w:ascii="Arial" w:cs="Arial" w:eastAsia="Arial" w:hAnsi="Arial"/>
          <w:sz w:val="18"/>
          <w:szCs w:val="18"/>
          <w:color w:val="auto"/>
        </w:rPr>
        <w:t>We are subject to various legal proceedings and claims, including those described under the caption “</w:t>
      </w:r>
      <w:hyperlink w:anchor="page19">
        <w:r>
          <w:rPr>
            <w:rFonts w:ascii="Arial" w:cs="Arial" w:eastAsia="Arial" w:hAnsi="Arial"/>
            <w:sz w:val="18"/>
            <w:szCs w:val="18"/>
            <w:u w:val="single" w:color="auto"/>
            <w:color w:val="0000EE"/>
          </w:rPr>
          <w:t>Legal Proceedings</w:t>
        </w:r>
      </w:hyperlink>
      <w:r>
        <w:rPr>
          <w:rFonts w:ascii="Arial" w:cs="Arial" w:eastAsia="Arial" w:hAnsi="Arial"/>
          <w:sz w:val="18"/>
          <w:szCs w:val="18"/>
          <w:color w:val="auto"/>
        </w:rPr>
        <w:t>” in Item 3 and those arising in the ordinary course of business, including regulatory and administrative proceedings, claims and audits. While we do not expect the final disposition of any of these litigation matters will have a material effect on our consolidated financial position, an adverse outcome in one or more of these matters could be material to our consolidated results of operations and cash flows for any one period, and any litigation resulting from any such legal proceedings could be time consuming, costly and injure our reputation. Further, no assurance can be given that any adverse outcome would not be material to our financial position.</w:t>
      </w:r>
    </w:p>
    <w:p>
      <w:pPr>
        <w:spacing w:after="0" w:line="139" w:lineRule="exact"/>
        <w:rPr>
          <w:sz w:val="20"/>
          <w:szCs w:val="20"/>
          <w:color w:val="auto"/>
        </w:rPr>
      </w:pPr>
    </w:p>
    <w:p>
      <w:pPr>
        <w:jc w:val="both"/>
        <w:ind w:left="140" w:right="120"/>
        <w:spacing w:after="0" w:line="243"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w:t>
      </w:r>
    </w:p>
    <w:p>
      <w:pPr>
        <w:spacing w:after="0" w:line="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From time to time we make acquisitions and investments and enter into other strategic transactions. In connection with acquisitions and other strategic transactions, we may incur unanticipated expenses; fail to realize anticipated benefits; have difficulty incorporating the acquired businesses; disrupt relationships with current and new employees, customers and vendors; incur significant indebtedness; or have to delay or not proceed with announced transactions. These factors could have a material adverse effect on our business, results of operations, cash flows and financial position.</w:t>
      </w:r>
    </w:p>
    <w:p>
      <w:pPr>
        <w:spacing w:after="0" w:line="139" w:lineRule="exact"/>
        <w:rPr>
          <w:sz w:val="20"/>
          <w:szCs w:val="20"/>
          <w:color w:val="auto"/>
        </w:rPr>
      </w:pPr>
    </w:p>
    <w:p>
      <w:pPr>
        <w:jc w:val="both"/>
        <w:ind w:left="140" w:right="120"/>
        <w:spacing w:after="0" w:line="242" w:lineRule="auto"/>
        <w:rPr>
          <w:sz w:val="20"/>
          <w:szCs w:val="20"/>
          <w:color w:val="auto"/>
        </w:rPr>
      </w:pPr>
      <w:r>
        <w:rPr>
          <w:rFonts w:ascii="Arial" w:cs="Arial" w:eastAsia="Arial" w:hAnsi="Arial"/>
          <w:sz w:val="18"/>
          <w:szCs w:val="18"/>
          <w:b w:val="1"/>
          <w:bCs w:val="1"/>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18" w:lineRule="exact"/>
        <w:rPr>
          <w:sz w:val="20"/>
          <w:szCs w:val="20"/>
          <w:color w:val="auto"/>
        </w:rPr>
      </w:pPr>
    </w:p>
    <w:p>
      <w:pPr>
        <w:jc w:val="both"/>
        <w:ind w:left="140" w:right="120"/>
        <w:spacing w:after="0" w:line="229" w:lineRule="auto"/>
        <w:rPr>
          <w:sz w:val="20"/>
          <w:szCs w:val="20"/>
          <w:color w:val="auto"/>
        </w:rPr>
      </w:pPr>
      <w:r>
        <w:rPr>
          <w:rFonts w:ascii="Arial" w:cs="Arial" w:eastAsia="Arial" w:hAnsi="Arial"/>
          <w:sz w:val="18"/>
          <w:szCs w:val="18"/>
          <w:color w:val="auto"/>
        </w:rPr>
        <w:t xml:space="preserve">Our Class B common stock has a nondilutable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combined voting power of our common stock. This nondilutable voting power is subject to proportional decrease to the extent the number of shares of Class B common stock is reduced below 9,444,375, which was the number of shares of Class B common</w:t>
      </w:r>
    </w:p>
    <w:p>
      <w:pPr>
        <w:spacing w:after="0" w:line="272"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stock outstanding on the date of our 2002 acquisition of AT&amp;T Corp.’s cable business, subject to adjustment in specified situations. Stock dividends payable on the Class B common stock in</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form of Class B or Class A Special common stock do not decrease the nondilutable voting power of the Class B common stock. The Class B common stock also has separate approval rights over several potentially material transactions, even if they are approved by our Board of Directors or by our other stockholders and even if they might be in the best interests of our other stockholders.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Brian L. Roberts beneficially owns all of the outstanding shares of our Class B common stock and, accordingly, has considerable influence over our operations and the ability (subject to certain restrictions through November 17, 2012)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w:t>
      </w:r>
    </w:p>
    <w:p>
      <w:pPr>
        <w:spacing w:after="0" w:line="372" w:lineRule="exact"/>
        <w:rPr>
          <w:sz w:val="20"/>
          <w:szCs w:val="20"/>
          <w:color w:val="auto"/>
        </w:rPr>
      </w:pPr>
    </w:p>
    <w:p>
      <w:pPr>
        <w:spacing w:after="0"/>
        <w:rPr>
          <w:sz w:val="20"/>
          <w:szCs w:val="20"/>
          <w:color w:val="auto"/>
        </w:rPr>
      </w:pPr>
      <w:r>
        <w:rPr>
          <w:rFonts w:ascii="Arial" w:cs="Arial" w:eastAsia="Arial" w:hAnsi="Arial"/>
          <w:sz w:val="24"/>
          <w:szCs w:val="24"/>
          <w:color w:val="52A2DD"/>
        </w:rPr>
        <w:t>Item 1B: 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color w:val="52A2DD"/>
        </w:rPr>
        <w:t>Item 2: Properties</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substantially all of our physical assets are in good operating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principal physical assets consist of operating plant and equipment, including signal receiving, encoding and decoding devices; headends and distribution systems; and equipment at or near our customers’ homes. The signal receiving apparatus typically includes a tower, antenna, ancillary electronic equipment and earth stations for reception of satellite signals. Headends consist of electronic equipment necessary for the reception, amplification and</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Comcast 2008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0"/>
        <w:spacing w:after="0" w:line="268" w:lineRule="auto"/>
        <w:rPr>
          <w:sz w:val="20"/>
          <w:szCs w:val="20"/>
          <w:color w:val="auto"/>
        </w:rPr>
      </w:pPr>
      <w:r>
        <w:rPr>
          <w:rFonts w:ascii="Arial" w:cs="Arial" w:eastAsia="Arial" w:hAnsi="Arial"/>
          <w:sz w:val="16"/>
          <w:szCs w:val="16"/>
          <w:color w:val="auto"/>
        </w:rPr>
        <w:t>modulation of signals and are located near the receiving devices. Our distribution system consists primarily of coaxial and fiber-optic cables, lasers, routers, switches and related electronic equipment. Our cable plants and related equipment generally are connected to utility poles under pole rental agreements with local public utilities, although in some areas the distribution cable is buried in underground ducts or trenches. Customer premises equipment (“CPE”) consists primarily of set-top boxes and cable modems. The physical components of cable systems require periodic maintenance and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-1810385</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signal reception sites, primarily antenna towers and headends, and microwave facilities, are located on owned and leased parcels of land, and we own or lease space on the towers on which certain of our equipment is located. We own most of our service vehicles.</w:t>
      </w:r>
    </w:p>
    <w:p>
      <w:pPr>
        <w:spacing w:after="0" w:line="15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high-speed Internet network consists of fiber-optic cables owned by us and related equipment. We also operate regional data centers with equipment that is used to provide services (such as e-mail, news and web services) to our high-speed Internet customers and digital phone service customers. In addition, we maintain a network operations center with equipment necessary to monitor and manage the status of our high-speed Internet network.</w:t>
      </w:r>
    </w:p>
    <w:p>
      <w:pPr>
        <w:spacing w:after="0" w:line="155" w:lineRule="exact"/>
        <w:rPr>
          <w:sz w:val="20"/>
          <w:szCs w:val="20"/>
          <w:color w:val="auto"/>
        </w:rPr>
      </w:pPr>
    </w:p>
    <w:p>
      <w:pPr>
        <w:jc w:val="both"/>
        <w:ind w:left="120"/>
        <w:spacing w:after="0" w:line="270" w:lineRule="auto"/>
        <w:rPr>
          <w:sz w:val="20"/>
          <w:szCs w:val="20"/>
          <w:color w:val="auto"/>
        </w:rPr>
      </w:pPr>
      <w:r>
        <w:rPr>
          <w:rFonts w:ascii="Arial" w:cs="Arial" w:eastAsia="Arial" w:hAnsi="Arial"/>
          <w:sz w:val="16"/>
          <w:szCs w:val="16"/>
          <w:color w:val="auto"/>
        </w:rPr>
        <w:t>Throughout the country we own buildings that contain call centers, service centers, warehouses and administrative space. We also own a building that houses our media center. The media center contains equipment that we own or lease, including equipment related to network origination, global transmission via satellite and terrestrial fiber-optics, a broadcast studio, mobile and post-production services, interactive television services and streaming distribution services.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Television studios and business offices are the principal physical assets of our Programming operations. We own or lease the television studios and business offices of our Programming operations.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Two large, multipurpose arenas that we own are the principal physical assets of our other operations.</w:t>
      </w:r>
    </w:p>
    <w:p>
      <w:pPr>
        <w:spacing w:after="0" w:line="15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As of December 31, 2008, we leased locations for our corporate offices in Philadelphia, Pennsylvania as well as numerous business offices, warehouses and properties housing divisional information technology operations throughout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2">
            <w:col w:w="5480" w:space="220"/>
            <w:col w:w="560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3: Legal Proceedings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Antitrust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motion to dismiss the Pennsylvania case on the pleadings was denied in December 2006 and classes of Philadelphia Cluster and Chicago Cluster subscribers were certified in May 2007 and October 2007, respectively. Our motion to dismiss the Massachusetts case, which was transferred to the Eastern District of Pennsylvania in December 2006, was denied in July 2007. We are proceeding with discovery on plaintiffs’ claims concerning the Philadelphia Cluster. Plaintiffs’ claims concerning the other two clusters are stayed pending determination of the Philadelphia Cluster claims.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(“Central District”) in September 2007. The plaintiffs allege that the defendants who produce video programming have entered into agreements with the defendants who distribute video programming via cable and satellite (including us, among others), which preclude the distributors from reselling channels to subscribers on an “unbundled” basis in violation of federal antitrust laws. The plaintiffs seek treble damages for the loss of their ability to pick and choose the specific “bundled” channels to which they wish to subscribe, and injunctive relief requiring each distributor defendant to resell certain channels to its subscribers on an “unbundled” basis. The potential class is comprised of all persons residing in the United States who have subscribed to an expanded basic level of video service provided by one of the distributor defendants. We and the other defendants filed motions to dismiss an amended complaint in April 2008. In June 2008, the Central District denied the motions to dismiss. In July 2008, we and the other defendants filed motions to certify certain issues decided in the Central District’s June 2008 order for interlocutory appeal to the Ninth Circuit Court of Appeals. On August 8, 2008, the Central District denied the certification motions. In January 2009, the Central District approved a stipulation between the parties dismissing the action as to one of the two plaintiffs identified in the amended complaint as a Comcast subscriber. Discovery relevant to plaintiffs’ anticipated motion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39" w:lineRule="auto"/>
        <w:rPr>
          <w:sz w:val="20"/>
          <w:szCs w:val="20"/>
          <w:color w:val="auto"/>
        </w:rPr>
      </w:pPr>
      <w:r>
        <w:rPr>
          <w:rFonts w:ascii="Arial" w:cs="Arial" w:eastAsia="Arial" w:hAnsi="Arial"/>
          <w:sz w:val="18"/>
          <w:szCs w:val="18"/>
          <w:color w:val="auto"/>
        </w:rPr>
        <w:t>class certification is currently proceeding, with plaintiffs scheduled to file their class certification motion in April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-897890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Securities and Related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and several of our current and former officers were named as defendants in a purported class action lawsuit filed in the United States District Court for the Eastern District of Pennsylvania (“Eastern District”) in January 2008. We filed a motion to dismiss the case in February 2008. The plaintiff did not respond, but instead sought leave to amend the complaint, which the court granted. The plaintiff filed an amended complaint in May 2008 naming only us and two current officers as defendants. The alleged class was comprised of purchasers of our publicly issued securities between February 1, 2007 and December 4, 2007. The plaintiff asserted that during the alleged class period, the defendants violated federal securities laws through alleged material misstatements and omissions relating to forecast results for 2007. The plaintiff sought unspecified damages. In June 2008, we filed a motion to dismiss the amended complaint. In an order dated August 25, 2008, the Court granted our motion to dismiss and denied the plaintiff permission to amend the complaint again. The plaintiff has not timely appealed the Court’s decision, so the dismissal of this case is final.</w:t>
      </w:r>
    </w:p>
    <w:p>
      <w:pPr>
        <w:spacing w:after="0" w:line="160"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and several of our current officers have been named as defendants in a separate purported class action lawsuit filed in the Eastern District in February 2008. The alleged class comprises participants in our retirement-investment (401(k)) plan that invested in the plan’s company stock account. The plaintiff asserts that the defendants breached their fiduciary duties in managing the plan. The plaintiff seeks unspecified damages. The plaintiff filed an amended complaint in June 2008, and in July 2008 we filed a motion to dismiss the amended complaint. On October 29, 2008, the Court granted in part and denied in part that motion. The Court dismissed a claim alleging that defendants failed to provide complete and accurate disclosures concerning the plan, but did not dismiss claims alleging that plan assets were imprudently invested in company stock. We filed an answer to the amended complaint on December 11, 2008, and discovery is proceeding in the action.</w:t>
      </w:r>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Patent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65" w:lineRule="exact"/>
        <w:rPr>
          <w:sz w:val="20"/>
          <w:szCs w:val="20"/>
          <w:color w:val="auto"/>
        </w:rPr>
      </w:pPr>
    </w:p>
    <w:p>
      <w:pPr>
        <w:jc w:val="center"/>
        <w:ind w:right="-19"/>
        <w:spacing w:after="0"/>
        <w:tabs>
          <w:tab w:leader="none" w:pos="220" w:val="left"/>
          <w:tab w:leader="none" w:pos="22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w:t>
      </w:r>
    </w:p>
    <w:p>
      <w:pPr>
        <w:spacing w:after="0" w:line="237"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believe the claims in each of the actions described above in this item are without merit and intend to defend the actions vigorously.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59"/>
        <w:spacing w:after="0" w:line="260" w:lineRule="auto"/>
        <w:rPr>
          <w:sz w:val="20"/>
          <w:szCs w:val="20"/>
          <w:color w:val="auto"/>
        </w:rPr>
      </w:pPr>
      <w:r>
        <w:rPr>
          <w:rFonts w:ascii="Arial" w:cs="Arial" w:eastAsia="Arial" w:hAnsi="Arial"/>
          <w:sz w:val="24"/>
          <w:szCs w:val="24"/>
          <w:color w:val="52A2DD"/>
        </w:rPr>
        <w:t>Item 4: 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-1010920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91" w:lineRule="exact"/>
        <w:rPr>
          <w:sz w:val="20"/>
          <w:szCs w:val="20"/>
          <w:color w:val="auto"/>
        </w:rPr>
      </w:pPr>
    </w:p>
    <w:p>
      <w:pPr>
        <w:sectPr>
          <w:pgSz w:w="11900" w:h="16838" w:orient="portrait"/>
          <w:cols w:equalWidth="0" w:num="2">
            <w:col w:w="5480" w:space="340"/>
            <w:col w:w="4399"/>
          </w:cols>
          <w:pgMar w:left="240" w:top="459" w:right="1440" w:bottom="144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0219"/>
          </w:cols>
          <w:pgMar w:left="240" w:top="45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w:t>
      </w:r>
    </w:p>
    <w:p>
      <w:pPr>
        <w:spacing w:after="0" w:line="156" w:lineRule="exact"/>
        <w:rPr>
          <w:sz w:val="20"/>
          <w:szCs w:val="20"/>
          <w:color w:val="auto"/>
        </w:rPr>
      </w:pPr>
    </w:p>
    <w:p>
      <w:pPr>
        <w:ind w:right="400"/>
        <w:spacing w:after="0" w:line="253" w:lineRule="auto"/>
        <w:rPr>
          <w:sz w:val="20"/>
          <w:szCs w:val="20"/>
          <w:color w:val="auto"/>
        </w:rPr>
      </w:pPr>
      <w:r>
        <w:rPr>
          <w:rFonts w:ascii="Arial" w:cs="Arial" w:eastAsia="Arial" w:hAnsi="Arial"/>
          <w:sz w:val="24"/>
          <w:szCs w:val="24"/>
          <w:color w:val="52A2DD"/>
        </w:rPr>
        <w:t>Item 5: Market for the Registrant’s Common Equity, Related Stockholder Matters and Issuer Purchases of Equity Securities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Class A common stock is listed on the Nasdaq Global Select Market under the symbol CMCSA and our Class A Special common stock is listed on the Nasdaq Global Select Market under the symbol CMCSK. There is no established public trading market for our Class B common stock. Our Class B common stock can be converted, on a share for share basis, into Class A or Class A Special common stock.</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February, May, August and December 2008, our Board of Directors approved quarterly dividends of $0.0625 per share.</w:t>
      </w:r>
    </w:p>
    <w:p>
      <w:pPr>
        <w:spacing w:after="0" w:line="18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Holders of our Class A common stock in the aggregate hold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our capital stock. The number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120"/>
        <w:spacing w:after="0" w:line="269" w:lineRule="auto"/>
        <w:rPr>
          <w:sz w:val="20"/>
          <w:szCs w:val="20"/>
          <w:color w:val="auto"/>
        </w:rPr>
      </w:pPr>
      <w:r>
        <w:rPr>
          <w:rFonts w:ascii="Arial" w:cs="Arial" w:eastAsia="Arial" w:hAnsi="Arial"/>
          <w:sz w:val="16"/>
          <w:szCs w:val="16"/>
          <w:color w:val="auto"/>
        </w:rPr>
        <w:t>votes that each share of our Class A common stock has at any given time depends on the number of shares of Class A common stock and Class B common stock then outstanding. Holders of shares of our Class A Special common stock cannot vote in the election of directors or otherwise, except where class voting is required by law. In that case, shares of our Class A Special common stock have the same number of votes per share as shares of Class A common stock.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-1732915</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30" w:lineRule="auto"/>
        <w:rPr>
          <w:sz w:val="20"/>
          <w:szCs w:val="20"/>
          <w:color w:val="auto"/>
        </w:rPr>
      </w:pPr>
      <w:r>
        <w:rPr>
          <w:rFonts w:ascii="Arial" w:cs="Arial" w:eastAsia="Arial" w:hAnsi="Arial"/>
          <w:sz w:val="18"/>
          <w:szCs w:val="18"/>
          <w:color w:val="auto"/>
        </w:rPr>
        <w:t xml:space="preserve">Class B common stock has a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97"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As of December 31, 2008, there were 798,947 record holders of our Class A common stock, 2,127 record holders of our Class A Special common stock and three record holders of our Class B Common Stock.</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under our Board-authorized share repurchase program during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4"/>
                <w:szCs w:val="14"/>
                <w:color w:val="auto"/>
              </w:rPr>
              <w:t>Total Number</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Maximum Dollar</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jc w:val="right"/>
              <w:ind w:right="83"/>
              <w:spacing w:after="0" w:line="123" w:lineRule="exact"/>
              <w:rPr>
                <w:sz w:val="20"/>
                <w:szCs w:val="20"/>
                <w:color w:val="auto"/>
              </w:rPr>
            </w:pPr>
            <w:r>
              <w:rPr>
                <w:rFonts w:ascii="Arial" w:cs="Arial" w:eastAsia="Arial" w:hAnsi="Arial"/>
                <w:sz w:val="14"/>
                <w:szCs w:val="14"/>
                <w:color w:val="auto"/>
              </w:rPr>
              <w:t>of Shares</w:t>
            </w: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83"/>
              <w:spacing w:after="0" w:line="149" w:lineRule="exact"/>
              <w:rPr>
                <w:sz w:val="20"/>
                <w:szCs w:val="20"/>
                <w:color w:val="auto"/>
              </w:rPr>
            </w:pPr>
            <w:r>
              <w:rPr>
                <w:rFonts w:ascii="Arial" w:cs="Arial" w:eastAsia="Arial" w:hAnsi="Arial"/>
                <w:sz w:val="14"/>
                <w:szCs w:val="14"/>
                <w:color w:val="auto"/>
              </w:rPr>
              <w:t>Purchased as</w:t>
            </w: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Value of Shares that</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660" w:type="dxa"/>
            <w:vAlign w:val="bottom"/>
          </w:tcPr>
          <w:p>
            <w:pPr>
              <w:jc w:val="right"/>
              <w:ind w:right="80"/>
              <w:spacing w:after="0" w:line="149" w:lineRule="exact"/>
              <w:rPr>
                <w:sz w:val="20"/>
                <w:szCs w:val="20"/>
                <w:color w:val="auto"/>
              </w:rPr>
            </w:pPr>
            <w:r>
              <w:rPr>
                <w:rFonts w:ascii="Arial" w:cs="Arial" w:eastAsia="Arial" w:hAnsi="Arial"/>
                <w:sz w:val="14"/>
                <w:szCs w:val="14"/>
                <w:color w:val="auto"/>
              </w:rPr>
              <w:t>Total Number</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83"/>
              <w:spacing w:after="0" w:line="149" w:lineRule="exact"/>
              <w:rPr>
                <w:sz w:val="20"/>
                <w:szCs w:val="20"/>
                <w:color w:val="auto"/>
              </w:rPr>
            </w:pPr>
            <w:r>
              <w:rPr>
                <w:rFonts w:ascii="Arial" w:cs="Arial" w:eastAsia="Arial" w:hAnsi="Arial"/>
                <w:sz w:val="14"/>
                <w:szCs w:val="14"/>
                <w:color w:val="auto"/>
              </w:rPr>
              <w:t>Part of Publicly</w:t>
            </w:r>
          </w:p>
        </w:tc>
        <w:tc>
          <w:tcPr>
            <w:tcW w:w="300" w:type="dxa"/>
            <w:vAlign w:val="bottom"/>
          </w:tcPr>
          <w:p>
            <w:pPr>
              <w:spacing w:after="0"/>
              <w:rPr>
                <w:sz w:val="12"/>
                <w:szCs w:val="12"/>
                <w:color w:val="auto"/>
              </w:rPr>
            </w:pPr>
          </w:p>
        </w:tc>
        <w:tc>
          <w:tcPr>
            <w:tcW w:w="1320" w:type="dxa"/>
            <w:vAlign w:val="bottom"/>
          </w:tcPr>
          <w:p>
            <w:pPr>
              <w:jc w:val="right"/>
              <w:ind w:right="80"/>
              <w:spacing w:after="0" w:line="149" w:lineRule="exact"/>
              <w:rPr>
                <w:sz w:val="20"/>
                <w:szCs w:val="20"/>
                <w:color w:val="auto"/>
              </w:rPr>
            </w:pPr>
            <w:r>
              <w:rPr>
                <w:rFonts w:ascii="Arial" w:cs="Arial" w:eastAsia="Arial" w:hAnsi="Arial"/>
                <w:sz w:val="14"/>
                <w:szCs w:val="14"/>
                <w:color w:val="auto"/>
              </w:rPr>
              <w:t>Total Dollars</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660" w:type="dxa"/>
            <w:vAlign w:val="bottom"/>
          </w:tcPr>
          <w:p>
            <w:pPr>
              <w:jc w:val="right"/>
              <w:ind w:right="80"/>
              <w:spacing w:after="0" w:line="149" w:lineRule="exact"/>
              <w:rPr>
                <w:sz w:val="20"/>
                <w:szCs w:val="20"/>
                <w:color w:val="auto"/>
              </w:rPr>
            </w:pPr>
            <w:r>
              <w:rPr>
                <w:rFonts w:ascii="Arial" w:cs="Arial" w:eastAsia="Arial" w:hAnsi="Arial"/>
                <w:sz w:val="14"/>
                <w:szCs w:val="14"/>
                <w:color w:val="auto"/>
              </w:rPr>
              <w:t>of Shares</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Average Price</w:t>
            </w:r>
          </w:p>
        </w:tc>
        <w:tc>
          <w:tcPr>
            <w:tcW w:w="1300" w:type="dxa"/>
            <w:vAlign w:val="bottom"/>
          </w:tcPr>
          <w:p>
            <w:pPr>
              <w:jc w:val="right"/>
              <w:ind w:right="83"/>
              <w:spacing w:after="0" w:line="149" w:lineRule="exact"/>
              <w:rPr>
                <w:sz w:val="20"/>
                <w:szCs w:val="20"/>
                <w:color w:val="auto"/>
              </w:rPr>
            </w:pPr>
            <w:r>
              <w:rPr>
                <w:rFonts w:ascii="Arial" w:cs="Arial" w:eastAsia="Arial" w:hAnsi="Arial"/>
                <w:sz w:val="14"/>
                <w:szCs w:val="14"/>
                <w:color w:val="auto"/>
              </w:rPr>
              <w:t>Announced</w:t>
            </w:r>
          </w:p>
        </w:tc>
        <w:tc>
          <w:tcPr>
            <w:tcW w:w="300" w:type="dxa"/>
            <w:vAlign w:val="bottom"/>
          </w:tcPr>
          <w:p>
            <w:pPr>
              <w:spacing w:after="0"/>
              <w:rPr>
                <w:sz w:val="12"/>
                <w:szCs w:val="12"/>
                <w:color w:val="auto"/>
              </w:rPr>
            </w:pPr>
          </w:p>
        </w:tc>
        <w:tc>
          <w:tcPr>
            <w:tcW w:w="1320" w:type="dxa"/>
            <w:vAlign w:val="bottom"/>
          </w:tcPr>
          <w:p>
            <w:pPr>
              <w:jc w:val="right"/>
              <w:ind w:right="80"/>
              <w:spacing w:after="0" w:line="149" w:lineRule="exact"/>
              <w:rPr>
                <w:sz w:val="20"/>
                <w:szCs w:val="20"/>
                <w:color w:val="auto"/>
              </w:rPr>
            </w:pPr>
            <w:r>
              <w:rPr>
                <w:rFonts w:ascii="Arial" w:cs="Arial" w:eastAsia="Arial" w:hAnsi="Arial"/>
                <w:sz w:val="14"/>
                <w:szCs w:val="14"/>
                <w:color w:val="auto"/>
              </w:rPr>
              <w:t>Purchased Under</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Purchased Under</w:t>
            </w:r>
          </w:p>
        </w:tc>
        <w:tc>
          <w:tcPr>
            <w:tcW w:w="0" w:type="dxa"/>
            <w:vAlign w:val="bottom"/>
          </w:tcPr>
          <w:p>
            <w:pPr>
              <w:spacing w:after="0"/>
              <w:rPr>
                <w:sz w:val="1"/>
                <w:szCs w:val="1"/>
                <w:color w:val="auto"/>
              </w:rPr>
            </w:pPr>
          </w:p>
        </w:tc>
      </w:tr>
      <w:tr>
        <w:trPr>
          <w:trHeight w:val="176"/>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6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Purchased</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per Share</w:t>
            </w: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Program</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the Program</w:t>
            </w:r>
          </w:p>
        </w:tc>
        <w:tc>
          <w:tcPr>
            <w:tcW w:w="1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color w:val="auto"/>
              </w:rPr>
              <w:t>the Program</w:t>
            </w:r>
            <w:r>
              <w:rPr>
                <w:rFonts w:ascii="Arial" w:cs="Arial" w:eastAsia="Arial" w:hAnsi="Arial"/>
                <w:sz w:val="20"/>
                <w:szCs w:val="20"/>
                <w:color w:val="auto"/>
                <w:vertAlign w:val="superscript"/>
              </w:rPr>
              <w:t>(a)</w:t>
            </w:r>
          </w:p>
        </w:tc>
        <w:tc>
          <w:tcPr>
            <w:tcW w:w="0" w:type="dxa"/>
            <w:vAlign w:val="bottom"/>
          </w:tcPr>
          <w:p>
            <w:pPr>
              <w:spacing w:after="0"/>
              <w:rPr>
                <w:sz w:val="1"/>
                <w:szCs w:val="1"/>
                <w:color w:val="auto"/>
              </w:rPr>
            </w:pPr>
          </w:p>
        </w:tc>
      </w:tr>
      <w:tr>
        <w:trPr>
          <w:trHeight w:val="199"/>
        </w:trPr>
        <w:tc>
          <w:tcPr>
            <w:tcW w:w="3220" w:type="dxa"/>
            <w:vAlign w:val="bottom"/>
          </w:tcPr>
          <w:p>
            <w:pPr>
              <w:spacing w:after="0" w:line="200" w:lineRule="exact"/>
              <w:rPr>
                <w:sz w:val="20"/>
                <w:szCs w:val="20"/>
                <w:color w:val="auto"/>
              </w:rPr>
            </w:pPr>
            <w:r>
              <w:rPr>
                <w:rFonts w:ascii="Arial" w:cs="Arial" w:eastAsia="Arial" w:hAnsi="Arial"/>
                <w:sz w:val="18"/>
                <w:szCs w:val="18"/>
                <w:color w:val="auto"/>
              </w:rPr>
              <w:t>First Quarter 2008</w:t>
            </w:r>
          </w:p>
        </w:tc>
        <w:tc>
          <w:tcPr>
            <w:tcW w:w="2660" w:type="dxa"/>
            <w:vAlign w:val="bottom"/>
          </w:tcPr>
          <w:p>
            <w:pPr>
              <w:jc w:val="right"/>
              <w:ind w:right="80"/>
              <w:spacing w:after="0" w:line="200" w:lineRule="exact"/>
              <w:rPr>
                <w:sz w:val="20"/>
                <w:szCs w:val="20"/>
                <w:color w:val="auto"/>
              </w:rPr>
            </w:pPr>
            <w:r>
              <w:rPr>
                <w:rFonts w:ascii="Arial" w:cs="Arial" w:eastAsia="Arial" w:hAnsi="Arial"/>
                <w:sz w:val="18"/>
                <w:szCs w:val="18"/>
                <w:color w:val="auto"/>
              </w:rPr>
              <w:t>53,240,452</w:t>
            </w:r>
          </w:p>
        </w:tc>
        <w:tc>
          <w:tcPr>
            <w:tcW w:w="34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6"/>
              <w:spacing w:after="0" w:line="200" w:lineRule="exact"/>
              <w:rPr>
                <w:sz w:val="20"/>
                <w:szCs w:val="20"/>
                <w:color w:val="auto"/>
              </w:rPr>
            </w:pPr>
            <w:r>
              <w:rPr>
                <w:rFonts w:ascii="Arial" w:cs="Arial" w:eastAsia="Arial" w:hAnsi="Arial"/>
                <w:sz w:val="18"/>
                <w:szCs w:val="18"/>
                <w:color w:val="auto"/>
              </w:rPr>
              <w:t>18.83</w:t>
            </w:r>
          </w:p>
        </w:tc>
        <w:tc>
          <w:tcPr>
            <w:tcW w:w="1300" w:type="dxa"/>
            <w:vAlign w:val="bottom"/>
          </w:tcPr>
          <w:p>
            <w:pPr>
              <w:jc w:val="right"/>
              <w:ind w:right="83"/>
              <w:spacing w:after="0" w:line="200" w:lineRule="exact"/>
              <w:rPr>
                <w:sz w:val="20"/>
                <w:szCs w:val="20"/>
                <w:color w:val="auto"/>
              </w:rPr>
            </w:pPr>
            <w:r>
              <w:rPr>
                <w:rFonts w:ascii="Arial" w:cs="Arial" w:eastAsia="Arial" w:hAnsi="Arial"/>
                <w:sz w:val="18"/>
                <w:szCs w:val="18"/>
                <w:color w:val="auto"/>
              </w:rPr>
              <w:t>53,108,431</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80"/>
              <w:spacing w:after="0" w:line="200" w:lineRule="exact"/>
              <w:rPr>
                <w:sz w:val="20"/>
                <w:szCs w:val="20"/>
                <w:color w:val="auto"/>
              </w:rPr>
            </w:pPr>
            <w:r>
              <w:rPr>
                <w:rFonts w:ascii="Arial" w:cs="Arial" w:eastAsia="Arial" w:hAnsi="Arial"/>
                <w:sz w:val="18"/>
                <w:szCs w:val="18"/>
                <w:color w:val="auto"/>
                <w:w w:val="99"/>
              </w:rPr>
              <w:t>1,000,000,000</w:t>
            </w:r>
          </w:p>
        </w:tc>
        <w:tc>
          <w:tcPr>
            <w:tcW w:w="1440" w:type="dxa"/>
            <w:vAlign w:val="bottom"/>
          </w:tcPr>
          <w:p>
            <w:pPr>
              <w:jc w:val="right"/>
              <w:spacing w:after="0" w:line="200" w:lineRule="exact"/>
              <w:rPr>
                <w:sz w:val="20"/>
                <w:szCs w:val="20"/>
                <w:color w:val="auto"/>
              </w:rPr>
            </w:pPr>
            <w:r>
              <w:rPr>
                <w:rFonts w:ascii="Arial" w:cs="Arial" w:eastAsia="Arial" w:hAnsi="Arial"/>
                <w:sz w:val="18"/>
                <w:szCs w:val="18"/>
                <w:color w:val="auto"/>
              </w:rPr>
              <w:t>$ 5,906,133,015</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Second Quarter 2008</w:t>
            </w:r>
          </w:p>
        </w:tc>
        <w:tc>
          <w:tcPr>
            <w:tcW w:w="2660" w:type="dxa"/>
            <w:vAlign w:val="bottom"/>
          </w:tcPr>
          <w:p>
            <w:pPr>
              <w:jc w:val="right"/>
              <w:ind w:right="80"/>
              <w:spacing w:after="0" w:line="202" w:lineRule="exact"/>
              <w:rPr>
                <w:sz w:val="20"/>
                <w:szCs w:val="20"/>
                <w:color w:val="auto"/>
              </w:rPr>
            </w:pPr>
            <w:r>
              <w:rPr>
                <w:rFonts w:ascii="Arial" w:cs="Arial" w:eastAsia="Arial" w:hAnsi="Arial"/>
                <w:sz w:val="18"/>
                <w:szCs w:val="18"/>
                <w:color w:val="auto"/>
              </w:rPr>
              <w:t>48,719,970</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20.79</w:t>
            </w:r>
          </w:p>
        </w:tc>
        <w:tc>
          <w:tcPr>
            <w:tcW w:w="1300" w:type="dxa"/>
            <w:vAlign w:val="bottom"/>
          </w:tcPr>
          <w:p>
            <w:pPr>
              <w:jc w:val="right"/>
              <w:ind w:right="83"/>
              <w:spacing w:after="0" w:line="202" w:lineRule="exact"/>
              <w:rPr>
                <w:sz w:val="20"/>
                <w:szCs w:val="20"/>
                <w:color w:val="auto"/>
              </w:rPr>
            </w:pPr>
            <w:r>
              <w:rPr>
                <w:rFonts w:ascii="Arial" w:cs="Arial" w:eastAsia="Arial" w:hAnsi="Arial"/>
                <w:sz w:val="18"/>
                <w:szCs w:val="18"/>
                <w:color w:val="auto"/>
              </w:rPr>
              <w:t>48,123,097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80"/>
              <w:spacing w:after="0" w:line="202" w:lineRule="exact"/>
              <w:rPr>
                <w:sz w:val="20"/>
                <w:szCs w:val="20"/>
                <w:color w:val="auto"/>
              </w:rPr>
            </w:pPr>
            <w:r>
              <w:rPr>
                <w:rFonts w:ascii="Arial" w:cs="Arial" w:eastAsia="Arial" w:hAnsi="Arial"/>
                <w:sz w:val="18"/>
                <w:szCs w:val="18"/>
                <w:color w:val="auto"/>
                <w:w w:val="99"/>
              </w:rPr>
              <w:t>1,000,086,833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$ 4,906,046,182</w:t>
            </w: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Third Quarter 2008</w:t>
            </w:r>
          </w:p>
        </w:tc>
        <w:tc>
          <w:tcPr>
            <w:tcW w:w="2660" w:type="dxa"/>
            <w:vAlign w:val="bottom"/>
          </w:tcPr>
          <w:p>
            <w:pPr>
              <w:jc w:val="right"/>
              <w:ind w:right="80"/>
              <w:spacing w:after="0" w:line="202" w:lineRule="exact"/>
              <w:rPr>
                <w:sz w:val="20"/>
                <w:szCs w:val="20"/>
                <w:color w:val="auto"/>
              </w:rPr>
            </w:pPr>
            <w:r>
              <w:rPr>
                <w:rFonts w:ascii="Arial" w:cs="Arial" w:eastAsia="Arial" w:hAnsi="Arial"/>
                <w:sz w:val="18"/>
                <w:szCs w:val="18"/>
                <w:color w:val="auto"/>
              </w:rPr>
              <w:t>39,678,437</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20.16</w:t>
            </w:r>
          </w:p>
        </w:tc>
        <w:tc>
          <w:tcPr>
            <w:tcW w:w="1300" w:type="dxa"/>
            <w:vAlign w:val="bottom"/>
          </w:tcPr>
          <w:p>
            <w:pPr>
              <w:jc w:val="right"/>
              <w:ind w:right="83"/>
              <w:spacing w:after="0" w:line="202" w:lineRule="exact"/>
              <w:rPr>
                <w:sz w:val="20"/>
                <w:szCs w:val="20"/>
                <w:color w:val="auto"/>
              </w:rPr>
            </w:pPr>
            <w:r>
              <w:rPr>
                <w:rFonts w:ascii="Arial" w:cs="Arial" w:eastAsia="Arial" w:hAnsi="Arial"/>
                <w:sz w:val="18"/>
                <w:szCs w:val="18"/>
                <w:color w:val="auto"/>
              </w:rPr>
              <w:t>39,678,437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80"/>
              <w:spacing w:after="0" w:line="202" w:lineRule="exact"/>
              <w:rPr>
                <w:sz w:val="20"/>
                <w:szCs w:val="20"/>
                <w:color w:val="auto"/>
              </w:rPr>
            </w:pPr>
            <w:r>
              <w:rPr>
                <w:rFonts w:ascii="Arial" w:cs="Arial" w:eastAsia="Arial" w:hAnsi="Arial"/>
                <w:sz w:val="18"/>
                <w:szCs w:val="18"/>
                <w:color w:val="auto"/>
              </w:rPr>
              <w:t>800,001,409</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$ 4,106,044,773</w:t>
            </w:r>
          </w:p>
        </w:tc>
        <w:tc>
          <w:tcPr>
            <w:tcW w:w="0" w:type="dxa"/>
            <w:vAlign w:val="bottom"/>
          </w:tcPr>
          <w:p>
            <w:pPr>
              <w:spacing w:after="0"/>
              <w:rPr>
                <w:sz w:val="1"/>
                <w:szCs w:val="1"/>
                <w:color w:val="auto"/>
              </w:rPr>
            </w:pPr>
          </w:p>
        </w:tc>
      </w:tr>
      <w:tr>
        <w:trPr>
          <w:trHeight w:val="199"/>
        </w:trPr>
        <w:tc>
          <w:tcPr>
            <w:tcW w:w="3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Fourth Quarter 2008</w:t>
            </w:r>
          </w:p>
        </w:tc>
        <w:tc>
          <w:tcPr>
            <w:tcW w:w="2660" w:type="dxa"/>
            <w:vAlign w:val="bottom"/>
            <w:tcBorders>
              <w:bottom w:val="single" w:sz="8" w:color="auto"/>
            </w:tcBorders>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8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$ 4,106,044,773</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 2008</w:t>
            </w:r>
          </w:p>
        </w:tc>
        <w:tc>
          <w:tcPr>
            <w:tcW w:w="2660" w:type="dxa"/>
            <w:vAlign w:val="bottom"/>
            <w:tcBorders>
              <w:bottom w:val="single" w:sz="8" w:color="52A2DD"/>
            </w:tcBorders>
          </w:tcPr>
          <w:p>
            <w:pPr>
              <w:jc w:val="right"/>
              <w:ind w:right="80"/>
              <w:spacing w:after="0" w:line="196" w:lineRule="exact"/>
              <w:rPr>
                <w:sz w:val="20"/>
                <w:szCs w:val="20"/>
                <w:color w:val="auto"/>
              </w:rPr>
            </w:pPr>
            <w:r>
              <w:rPr>
                <w:rFonts w:ascii="Arial" w:cs="Arial" w:eastAsia="Arial" w:hAnsi="Arial"/>
                <w:sz w:val="18"/>
                <w:szCs w:val="18"/>
                <w:color w:val="auto"/>
              </w:rPr>
              <w:t>141,638,859</w:t>
            </w:r>
          </w:p>
        </w:tc>
        <w:tc>
          <w:tcPr>
            <w:tcW w:w="340" w:type="dxa"/>
            <w:vAlign w:val="bottom"/>
            <w:tcBorders>
              <w:bottom w:val="single" w:sz="8" w:color="52A2DD"/>
            </w:tcBorders>
          </w:tcPr>
          <w:p>
            <w:pPr>
              <w:ind w:left="1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52A2DD"/>
            </w:tcBorders>
          </w:tcPr>
          <w:p>
            <w:pPr>
              <w:jc w:val="right"/>
              <w:ind w:right="76"/>
              <w:spacing w:after="0" w:line="196" w:lineRule="exact"/>
              <w:rPr>
                <w:sz w:val="20"/>
                <w:szCs w:val="20"/>
                <w:color w:val="auto"/>
              </w:rPr>
            </w:pPr>
            <w:r>
              <w:rPr>
                <w:rFonts w:ascii="Arial" w:cs="Arial" w:eastAsia="Arial" w:hAnsi="Arial"/>
                <w:sz w:val="18"/>
                <w:szCs w:val="18"/>
                <w:color w:val="auto"/>
              </w:rPr>
              <w:t>19.87</w:t>
            </w:r>
          </w:p>
        </w:tc>
        <w:tc>
          <w:tcPr>
            <w:tcW w:w="1300" w:type="dxa"/>
            <w:vAlign w:val="bottom"/>
            <w:tcBorders>
              <w:bottom w:val="single" w:sz="8" w:color="52A2DD"/>
            </w:tcBorders>
          </w:tcPr>
          <w:p>
            <w:pPr>
              <w:jc w:val="right"/>
              <w:ind w:right="83"/>
              <w:spacing w:after="0" w:line="196" w:lineRule="exact"/>
              <w:rPr>
                <w:sz w:val="20"/>
                <w:szCs w:val="20"/>
                <w:color w:val="auto"/>
              </w:rPr>
            </w:pPr>
            <w:r>
              <w:rPr>
                <w:rFonts w:ascii="Arial" w:cs="Arial" w:eastAsia="Arial" w:hAnsi="Arial"/>
                <w:sz w:val="18"/>
                <w:szCs w:val="18"/>
                <w:color w:val="auto"/>
              </w:rPr>
              <w:t>140,909,965</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52A2DD"/>
            </w:tcBorders>
          </w:tcPr>
          <w:p>
            <w:pPr>
              <w:jc w:val="right"/>
              <w:ind w:right="80"/>
              <w:spacing w:after="0" w:line="196" w:lineRule="exact"/>
              <w:rPr>
                <w:sz w:val="20"/>
                <w:szCs w:val="20"/>
                <w:color w:val="auto"/>
              </w:rPr>
            </w:pPr>
            <w:r>
              <w:rPr>
                <w:rFonts w:ascii="Arial" w:cs="Arial" w:eastAsia="Arial" w:hAnsi="Arial"/>
                <w:sz w:val="18"/>
                <w:szCs w:val="18"/>
                <w:color w:val="auto"/>
                <w:w w:val="99"/>
              </w:rPr>
              <w:t>2,800,088,242</w:t>
            </w:r>
          </w:p>
        </w:tc>
        <w:tc>
          <w:tcPr>
            <w:tcW w:w="1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$ 4,106,044,773</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6"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2007, the Board of Directors authorized a $7 billion addition to the existing share repurchase program. Under the authorization, we may repurchase shares in the open market or in private transactions subject to market conditions. As of December 31, 2008, we had approximately $4.1 billion of availability remaining under our share repurchase authorization. We have previously indicated our plan to fully use our remaining share repurchase authorization by the end of 2009, subject to market conditions. However, it is unlikely that we will complete our share repurchase authorization by the end of 2009 as previously planned.</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total number of shares purchased during 2008 includes 728,894 shares received in the administration of employee share-based compensation plans.</w:t>
      </w:r>
    </w:p>
    <w:p>
      <w:pPr>
        <w:spacing w:after="0" w:line="12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19</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for the indicated periods, the high and low sales prices of our Class A and Class A Special common stock.</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9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Class A</w:t>
            </w:r>
          </w:p>
        </w:tc>
        <w:tc>
          <w:tcPr>
            <w:tcW w:w="18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Class A Special</w:t>
            </w:r>
          </w:p>
        </w:tc>
      </w:tr>
      <w:tr>
        <w:trPr>
          <w:trHeight w:val="237"/>
        </w:trPr>
        <w:tc>
          <w:tcPr>
            <w:tcW w:w="1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High</w:t>
            </w:r>
          </w:p>
        </w:tc>
        <w:tc>
          <w:tcPr>
            <w:tcW w:w="10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w w:val="93"/>
              </w:rPr>
              <w:t>Low</w:t>
            </w:r>
          </w:p>
        </w:tc>
        <w:tc>
          <w:tcPr>
            <w:tcW w:w="1100" w:type="dxa"/>
            <w:vAlign w:val="bottom"/>
            <w:tcBorders>
              <w:bottom w:val="single" w:sz="8" w:color="auto"/>
            </w:tcBorders>
          </w:tcPr>
          <w:p>
            <w:pPr>
              <w:jc w:val="center"/>
              <w:ind w:left="136"/>
              <w:spacing w:after="0"/>
              <w:rPr>
                <w:sz w:val="20"/>
                <w:szCs w:val="20"/>
                <w:color w:val="auto"/>
              </w:rPr>
            </w:pPr>
            <w:r>
              <w:rPr>
                <w:rFonts w:ascii="Arial" w:cs="Arial" w:eastAsia="Arial" w:hAnsi="Arial"/>
                <w:sz w:val="14"/>
                <w:szCs w:val="14"/>
                <w:color w:val="auto"/>
                <w:w w:val="97"/>
              </w:rPr>
              <w:t>High</w:t>
            </w:r>
          </w:p>
        </w:tc>
        <w:tc>
          <w:tcPr>
            <w:tcW w:w="76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color w:val="auto"/>
                <w:w w:val="93"/>
              </w:rPr>
              <w:t>Low</w:t>
            </w:r>
          </w:p>
        </w:tc>
      </w:tr>
      <w:tr>
        <w:trPr>
          <w:trHeight w:val="199"/>
        </w:trPr>
        <w:tc>
          <w:tcPr>
            <w:tcW w:w="1640" w:type="dxa"/>
            <w:vAlign w:val="bottom"/>
          </w:tcPr>
          <w:p>
            <w:pPr>
              <w:ind w:left="20"/>
              <w:spacing w:after="0" w:line="200" w:lineRule="exact"/>
              <w:rPr>
                <w:sz w:val="20"/>
                <w:szCs w:val="20"/>
                <w:color w:val="auto"/>
              </w:rPr>
            </w:pPr>
            <w:r>
              <w:rPr>
                <w:rFonts w:ascii="Arial" w:cs="Arial" w:eastAsia="Arial" w:hAnsi="Arial"/>
                <w:sz w:val="18"/>
                <w:szCs w:val="18"/>
                <w:color w:val="auto"/>
              </w:rPr>
              <w:t>2008</w:t>
            </w: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640" w:type="dxa"/>
            <w:vAlign w:val="bottom"/>
          </w:tcPr>
          <w:p>
            <w:pPr>
              <w:ind w:left="20"/>
              <w:spacing w:after="0" w:line="202" w:lineRule="exact"/>
              <w:rPr>
                <w:sz w:val="20"/>
                <w:szCs w:val="20"/>
                <w:color w:val="auto"/>
              </w:rPr>
            </w:pPr>
            <w:r>
              <w:rPr>
                <w:rFonts w:ascii="Arial" w:cs="Arial" w:eastAsia="Arial" w:hAnsi="Arial"/>
                <w:sz w:val="18"/>
                <w:szCs w:val="18"/>
                <w:color w:val="auto"/>
              </w:rPr>
              <w:t>First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$ 20.70</w:t>
            </w:r>
          </w:p>
        </w:tc>
        <w:tc>
          <w:tcPr>
            <w:tcW w:w="108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$ 16.11</w:t>
            </w:r>
          </w:p>
        </w:tc>
        <w:tc>
          <w:tcPr>
            <w:tcW w:w="1100" w:type="dxa"/>
            <w:vAlign w:val="bottom"/>
          </w:tcPr>
          <w:p>
            <w:pPr>
              <w:jc w:val="center"/>
              <w:ind w:left="116"/>
              <w:spacing w:after="0" w:line="202" w:lineRule="exact"/>
              <w:rPr>
                <w:sz w:val="20"/>
                <w:szCs w:val="20"/>
                <w:color w:val="auto"/>
              </w:rPr>
            </w:pPr>
            <w:r>
              <w:rPr>
                <w:rFonts w:ascii="Arial" w:cs="Arial" w:eastAsia="Arial" w:hAnsi="Arial"/>
                <w:sz w:val="18"/>
                <w:szCs w:val="18"/>
                <w:color w:val="auto"/>
              </w:rPr>
              <w:t>$ 20.45</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$ 15.95</w:t>
            </w:r>
          </w:p>
        </w:tc>
      </w:tr>
      <w:tr>
        <w:trPr>
          <w:trHeight w:val="203"/>
        </w:trPr>
        <w:tc>
          <w:tcPr>
            <w:tcW w:w="164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$ 22.86</w:t>
            </w:r>
          </w:p>
        </w:tc>
        <w:tc>
          <w:tcPr>
            <w:tcW w:w="108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$ 18.48</w:t>
            </w:r>
          </w:p>
        </w:tc>
        <w:tc>
          <w:tcPr>
            <w:tcW w:w="1100" w:type="dxa"/>
            <w:vAlign w:val="bottom"/>
          </w:tcPr>
          <w:p>
            <w:pPr>
              <w:jc w:val="center"/>
              <w:ind w:left="116"/>
              <w:spacing w:after="0" w:line="202" w:lineRule="exact"/>
              <w:rPr>
                <w:sz w:val="20"/>
                <w:szCs w:val="20"/>
                <w:color w:val="auto"/>
              </w:rPr>
            </w:pPr>
            <w:r>
              <w:rPr>
                <w:rFonts w:ascii="Arial" w:cs="Arial" w:eastAsia="Arial" w:hAnsi="Arial"/>
                <w:sz w:val="18"/>
                <w:szCs w:val="18"/>
                <w:color w:val="auto"/>
              </w:rPr>
              <w:t>$ 22.52</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$ 18.28</w:t>
            </w:r>
          </w:p>
        </w:tc>
      </w:tr>
      <w:tr>
        <w:trPr>
          <w:trHeight w:val="203"/>
        </w:trPr>
        <w:tc>
          <w:tcPr>
            <w:tcW w:w="164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$ 22.54</w:t>
            </w:r>
          </w:p>
        </w:tc>
        <w:tc>
          <w:tcPr>
            <w:tcW w:w="108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$ 17.88</w:t>
            </w:r>
          </w:p>
        </w:tc>
        <w:tc>
          <w:tcPr>
            <w:tcW w:w="1100" w:type="dxa"/>
            <w:vAlign w:val="bottom"/>
          </w:tcPr>
          <w:p>
            <w:pPr>
              <w:jc w:val="center"/>
              <w:ind w:left="116"/>
              <w:spacing w:after="0" w:line="202" w:lineRule="exact"/>
              <w:rPr>
                <w:sz w:val="20"/>
                <w:szCs w:val="20"/>
                <w:color w:val="auto"/>
              </w:rPr>
            </w:pPr>
            <w:r>
              <w:rPr>
                <w:rFonts w:ascii="Arial" w:cs="Arial" w:eastAsia="Arial" w:hAnsi="Arial"/>
                <w:sz w:val="18"/>
                <w:szCs w:val="18"/>
                <w:color w:val="auto"/>
              </w:rPr>
              <w:t>$ 22.37</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$ 17.76</w:t>
            </w:r>
          </w:p>
        </w:tc>
      </w:tr>
      <w:tr>
        <w:trPr>
          <w:trHeight w:val="203"/>
        </w:trPr>
        <w:tc>
          <w:tcPr>
            <w:tcW w:w="1640" w:type="dxa"/>
            <w:vAlign w:val="bottom"/>
          </w:tcPr>
          <w:p>
            <w:pPr>
              <w:ind w:left="20"/>
              <w:spacing w:after="0" w:line="202" w:lineRule="exact"/>
              <w:rPr>
                <w:sz w:val="20"/>
                <w:szCs w:val="20"/>
                <w:color w:val="auto"/>
              </w:rPr>
            </w:pPr>
            <w:r>
              <w:rPr>
                <w:rFonts w:ascii="Arial" w:cs="Arial" w:eastAsia="Arial" w:hAnsi="Arial"/>
                <w:sz w:val="18"/>
                <w:szCs w:val="18"/>
                <w:color w:val="auto"/>
              </w:rPr>
              <w:t>Fourth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$ 19.62</w:t>
            </w:r>
          </w:p>
        </w:tc>
        <w:tc>
          <w:tcPr>
            <w:tcW w:w="108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$ 12.50</w:t>
            </w:r>
          </w:p>
        </w:tc>
        <w:tc>
          <w:tcPr>
            <w:tcW w:w="1100" w:type="dxa"/>
            <w:vAlign w:val="bottom"/>
          </w:tcPr>
          <w:p>
            <w:pPr>
              <w:jc w:val="center"/>
              <w:ind w:left="116"/>
              <w:spacing w:after="0" w:line="202" w:lineRule="exact"/>
              <w:rPr>
                <w:sz w:val="20"/>
                <w:szCs w:val="20"/>
                <w:color w:val="auto"/>
              </w:rPr>
            </w:pPr>
            <w:r>
              <w:rPr>
                <w:rFonts w:ascii="Arial" w:cs="Arial" w:eastAsia="Arial" w:hAnsi="Arial"/>
                <w:sz w:val="18"/>
                <w:szCs w:val="18"/>
                <w:color w:val="auto"/>
              </w:rPr>
              <w:t>$ 19.64</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$ 12.10</w:t>
            </w:r>
          </w:p>
        </w:tc>
      </w:tr>
      <w:tr>
        <w:trPr>
          <w:trHeight w:val="203"/>
        </w:trPr>
        <w:tc>
          <w:tcPr>
            <w:tcW w:w="1640" w:type="dxa"/>
            <w:vAlign w:val="bottom"/>
          </w:tcPr>
          <w:p>
            <w:pPr>
              <w:ind w:left="20"/>
              <w:spacing w:after="0" w:line="202" w:lineRule="exact"/>
              <w:rPr>
                <w:sz w:val="20"/>
                <w:szCs w:val="20"/>
                <w:color w:val="auto"/>
              </w:rPr>
            </w:pPr>
            <w:r>
              <w:rPr>
                <w:rFonts w:ascii="Arial" w:cs="Arial" w:eastAsia="Arial" w:hAnsi="Arial"/>
                <w:sz w:val="18"/>
                <w:szCs w:val="18"/>
                <w:color w:val="auto"/>
              </w:rPr>
              <w:t>2007</w:t>
            </w: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640" w:type="dxa"/>
            <w:vAlign w:val="bottom"/>
          </w:tcPr>
          <w:p>
            <w:pPr>
              <w:ind w:left="20"/>
              <w:spacing w:after="0" w:line="202" w:lineRule="exact"/>
              <w:rPr>
                <w:sz w:val="20"/>
                <w:szCs w:val="20"/>
                <w:color w:val="auto"/>
              </w:rPr>
            </w:pPr>
            <w:r>
              <w:rPr>
                <w:rFonts w:ascii="Arial" w:cs="Arial" w:eastAsia="Arial" w:hAnsi="Arial"/>
                <w:sz w:val="18"/>
                <w:szCs w:val="18"/>
                <w:color w:val="auto"/>
              </w:rPr>
              <w:t>First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$ 30.18</w:t>
            </w:r>
          </w:p>
        </w:tc>
        <w:tc>
          <w:tcPr>
            <w:tcW w:w="108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$ 24.73</w:t>
            </w:r>
          </w:p>
        </w:tc>
        <w:tc>
          <w:tcPr>
            <w:tcW w:w="1100" w:type="dxa"/>
            <w:vAlign w:val="bottom"/>
          </w:tcPr>
          <w:p>
            <w:pPr>
              <w:jc w:val="center"/>
              <w:ind w:left="116"/>
              <w:spacing w:after="0" w:line="202" w:lineRule="exact"/>
              <w:rPr>
                <w:sz w:val="20"/>
                <w:szCs w:val="20"/>
                <w:color w:val="auto"/>
              </w:rPr>
            </w:pPr>
            <w:r>
              <w:rPr>
                <w:rFonts w:ascii="Arial" w:cs="Arial" w:eastAsia="Arial" w:hAnsi="Arial"/>
                <w:sz w:val="18"/>
                <w:szCs w:val="18"/>
                <w:color w:val="auto"/>
              </w:rPr>
              <w:t>$ 29.64</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$ 24.54</w:t>
            </w:r>
          </w:p>
        </w:tc>
      </w:tr>
      <w:tr>
        <w:trPr>
          <w:trHeight w:val="203"/>
        </w:trPr>
        <w:tc>
          <w:tcPr>
            <w:tcW w:w="164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$ 28.84</w:t>
            </w:r>
          </w:p>
        </w:tc>
        <w:tc>
          <w:tcPr>
            <w:tcW w:w="108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$ 25.60</w:t>
            </w:r>
          </w:p>
        </w:tc>
        <w:tc>
          <w:tcPr>
            <w:tcW w:w="1100" w:type="dxa"/>
            <w:vAlign w:val="bottom"/>
          </w:tcPr>
          <w:p>
            <w:pPr>
              <w:jc w:val="center"/>
              <w:ind w:left="116"/>
              <w:spacing w:after="0" w:line="202" w:lineRule="exact"/>
              <w:rPr>
                <w:sz w:val="20"/>
                <w:szCs w:val="20"/>
                <w:color w:val="auto"/>
              </w:rPr>
            </w:pPr>
            <w:r>
              <w:rPr>
                <w:rFonts w:ascii="Arial" w:cs="Arial" w:eastAsia="Arial" w:hAnsi="Arial"/>
                <w:sz w:val="18"/>
                <w:szCs w:val="18"/>
                <w:color w:val="auto"/>
              </w:rPr>
              <w:t>$ 28.43</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$ 25.24</w:t>
            </w:r>
          </w:p>
        </w:tc>
      </w:tr>
      <w:tr>
        <w:trPr>
          <w:trHeight w:val="203"/>
        </w:trPr>
        <w:tc>
          <w:tcPr>
            <w:tcW w:w="164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$ 29.41</w:t>
            </w:r>
          </w:p>
        </w:tc>
        <w:tc>
          <w:tcPr>
            <w:tcW w:w="108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$ 23.08</w:t>
            </w:r>
          </w:p>
        </w:tc>
        <w:tc>
          <w:tcPr>
            <w:tcW w:w="1100" w:type="dxa"/>
            <w:vAlign w:val="bottom"/>
          </w:tcPr>
          <w:p>
            <w:pPr>
              <w:jc w:val="center"/>
              <w:ind w:left="116"/>
              <w:spacing w:after="0" w:line="202" w:lineRule="exact"/>
              <w:rPr>
                <w:sz w:val="20"/>
                <w:szCs w:val="20"/>
                <w:color w:val="auto"/>
              </w:rPr>
            </w:pPr>
            <w:r>
              <w:rPr>
                <w:rFonts w:ascii="Arial" w:cs="Arial" w:eastAsia="Arial" w:hAnsi="Arial"/>
                <w:sz w:val="18"/>
                <w:szCs w:val="18"/>
                <w:color w:val="auto"/>
              </w:rPr>
              <w:t>$ 29.19</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$ 22.85</w:t>
            </w:r>
          </w:p>
        </w:tc>
      </w:tr>
      <w:tr>
        <w:trPr>
          <w:trHeight w:val="199"/>
        </w:trPr>
        <w:tc>
          <w:tcPr>
            <w:tcW w:w="164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Fourth Quarter</w:t>
            </w:r>
          </w:p>
        </w:tc>
        <w:tc>
          <w:tcPr>
            <w:tcW w:w="90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9"/>
              </w:rPr>
              <w:t>$ 24.45</w:t>
            </w:r>
          </w:p>
        </w:tc>
        <w:tc>
          <w:tcPr>
            <w:tcW w:w="1080" w:type="dxa"/>
            <w:vAlign w:val="bottom"/>
            <w:tcBorders>
              <w:bottom w:val="single" w:sz="8" w:color="auto"/>
            </w:tcBorders>
          </w:tcPr>
          <w:p>
            <w:pPr>
              <w:jc w:val="center"/>
              <w:ind w:right="114"/>
              <w:spacing w:after="0" w:line="200" w:lineRule="exact"/>
              <w:rPr>
                <w:sz w:val="20"/>
                <w:szCs w:val="20"/>
                <w:color w:val="auto"/>
              </w:rPr>
            </w:pPr>
            <w:r>
              <w:rPr>
                <w:rFonts w:ascii="Arial" w:cs="Arial" w:eastAsia="Arial" w:hAnsi="Arial"/>
                <w:sz w:val="18"/>
                <w:szCs w:val="18"/>
                <w:color w:val="auto"/>
                <w:w w:val="99"/>
              </w:rPr>
              <w:t>$ 17.37</w:t>
            </w:r>
          </w:p>
        </w:tc>
        <w:tc>
          <w:tcPr>
            <w:tcW w:w="1100" w:type="dxa"/>
            <w:vAlign w:val="bottom"/>
            <w:tcBorders>
              <w:bottom w:val="single" w:sz="8" w:color="auto"/>
            </w:tcBorders>
          </w:tcPr>
          <w:p>
            <w:pPr>
              <w:jc w:val="center"/>
              <w:ind w:left="116"/>
              <w:spacing w:after="0" w:line="200" w:lineRule="exact"/>
              <w:rPr>
                <w:sz w:val="20"/>
                <w:szCs w:val="20"/>
                <w:color w:val="auto"/>
              </w:rPr>
            </w:pPr>
            <w:r>
              <w:rPr>
                <w:rFonts w:ascii="Arial" w:cs="Arial" w:eastAsia="Arial" w:hAnsi="Arial"/>
                <w:sz w:val="18"/>
                <w:szCs w:val="18"/>
                <w:color w:val="auto"/>
              </w:rPr>
              <w:t>$ 24.19</w:t>
            </w:r>
          </w:p>
        </w:tc>
        <w:tc>
          <w:tcPr>
            <w:tcW w:w="760" w:type="dxa"/>
            <w:vAlign w:val="bottom"/>
            <w:tcBorders>
              <w:bottom w:val="single" w:sz="8" w:color="auto"/>
            </w:tcBorders>
          </w:tcPr>
          <w:p>
            <w:pPr>
              <w:jc w:val="center"/>
              <w:ind w:left="74"/>
              <w:spacing w:after="0" w:line="200" w:lineRule="exact"/>
              <w:rPr>
                <w:sz w:val="20"/>
                <w:szCs w:val="20"/>
                <w:color w:val="auto"/>
              </w:rPr>
            </w:pPr>
            <w:r>
              <w:rPr>
                <w:rFonts w:ascii="Arial" w:cs="Arial" w:eastAsia="Arial" w:hAnsi="Arial"/>
                <w:sz w:val="18"/>
                <w:szCs w:val="18"/>
                <w:color w:val="auto"/>
                <w:w w:val="99"/>
              </w:rPr>
              <w:t>$ 17.31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Class A common stock and Class A Special common stock during the five years ended December 31, 2008 with the cumulative total return on the Standard &amp; Poor’s 500 Stock Index and with a selected peer group consisting of us and other companies engaged in the cable, communications and media industries. This peer group consists of Cablevision Systems Corporation (Class A), DISH Network Corporation, DirecTV Inc., Time Warner Cable Inc. and Time Warner Inc. The graph assumes $100 was invested on December 31, 2003 in our Class A common stock and Class A Special common stock and in each of the following indices and assumes the reinvestment of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3481705" cy="2143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1705" cy="2143760"/>
                    </a:xfrm>
                    <a:prstGeom prst="rect">
                      <a:avLst/>
                    </a:prstGeom>
                    <a:noFill/>
                  </pic:spPr>
                </pic:pic>
              </a:graphicData>
            </a:graphic>
          </wp:anchor>
        </w:drawing>
      </w:r>
    </w:p>
    <w:p>
      <w:pPr>
        <w:spacing w:after="0" w:line="55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dollars)</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2004</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2005</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2006</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2007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r>
      <w:tr>
        <w:trPr>
          <w:trHeight w:val="141"/>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0" w:type="dxa"/>
            <w:vAlign w:val="bottom"/>
          </w:tcPr>
          <w:p>
            <w:pPr>
              <w:spacing w:after="0" w:line="141" w:lineRule="exact"/>
              <w:rPr>
                <w:sz w:val="20"/>
                <w:szCs w:val="20"/>
                <w:color w:val="auto"/>
              </w:rPr>
            </w:pPr>
            <w:r>
              <w:rPr>
                <w:rFonts w:ascii="Arial" w:cs="Arial" w:eastAsia="Arial" w:hAnsi="Arial"/>
                <w:sz w:val="14"/>
                <w:szCs w:val="14"/>
                <w:color w:val="auto"/>
              </w:rPr>
              <w:t>Comcast Class A</w:t>
            </w:r>
          </w:p>
        </w:tc>
        <w:tc>
          <w:tcPr>
            <w:tcW w:w="12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101</w:t>
            </w:r>
          </w:p>
        </w:tc>
        <w:tc>
          <w:tcPr>
            <w:tcW w:w="4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79</w:t>
            </w:r>
          </w:p>
        </w:tc>
        <w:tc>
          <w:tcPr>
            <w:tcW w:w="4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129</w:t>
            </w:r>
          </w:p>
        </w:tc>
        <w:tc>
          <w:tcPr>
            <w:tcW w:w="4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84</w:t>
            </w:r>
          </w:p>
        </w:tc>
        <w:tc>
          <w:tcPr>
            <w:tcW w:w="400" w:type="dxa"/>
            <w:vAlign w:val="bottom"/>
          </w:tcPr>
          <w:p>
            <w:pPr>
              <w:jc w:val="right"/>
              <w:spacing w:after="0" w:line="141" w:lineRule="exact"/>
              <w:rPr>
                <w:sz w:val="20"/>
                <w:szCs w:val="20"/>
                <w:color w:val="auto"/>
              </w:rPr>
            </w:pPr>
            <w:r>
              <w:rPr>
                <w:rFonts w:ascii="Arial" w:cs="Arial" w:eastAsia="Arial" w:hAnsi="Arial"/>
                <w:sz w:val="14"/>
                <w:szCs w:val="14"/>
                <w:color w:val="auto"/>
              </w:rPr>
              <w:t>78</w:t>
            </w:r>
          </w:p>
        </w:tc>
      </w:tr>
      <w:tr>
        <w:trPr>
          <w:trHeight w:val="149"/>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Comcast Class A Special</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105</w:t>
            </w: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82</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134</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87</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9"/>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S&amp;P 500 Stock Index</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111</w:t>
            </w: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135</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142</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r>
      <w:tr>
        <w:trPr>
          <w:trHeight w:val="149"/>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Peer Group Index</w:t>
            </w:r>
          </w:p>
        </w:tc>
        <w:tc>
          <w:tcPr>
            <w:tcW w:w="12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105</w:t>
            </w:r>
          </w:p>
        </w:tc>
        <w:tc>
          <w:tcPr>
            <w:tcW w:w="4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89</w:t>
            </w:r>
          </w:p>
        </w:tc>
        <w:tc>
          <w:tcPr>
            <w:tcW w:w="4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131</w:t>
            </w: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98</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r>
      <w:tr>
        <w:trPr>
          <w:trHeight w:val="412"/>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4040" w:type="dxa"/>
            <w:vAlign w:val="bottom"/>
            <w:gridSpan w:val="2"/>
          </w:tcPr>
          <w:p>
            <w:pPr>
              <w:jc w:val="right"/>
              <w:ind w:right="2312"/>
              <w:spacing w:after="0"/>
              <w:rPr>
                <w:sz w:val="20"/>
                <w:szCs w:val="20"/>
                <w:color w:val="auto"/>
              </w:rPr>
            </w:pPr>
            <w:r>
              <w:rPr>
                <w:rFonts w:ascii="Arial" w:cs="Arial" w:eastAsia="Arial" w:hAnsi="Arial"/>
                <w:sz w:val="14"/>
                <w:szCs w:val="14"/>
                <w:b w:val="1"/>
                <w:bCs w:val="1"/>
                <w:color w:val="auto"/>
              </w:rPr>
              <w:t>20</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6: Selected Financial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1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2007</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2006</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2005</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r>
      <w:tr>
        <w:trPr>
          <w:trHeight w:val="199"/>
        </w:trPr>
        <w:tc>
          <w:tcPr>
            <w:tcW w:w="4740" w:type="dxa"/>
            <w:vAlign w:val="bottom"/>
          </w:tcPr>
          <w:p>
            <w:pPr>
              <w:spacing w:after="0" w:line="200" w:lineRule="exact"/>
              <w:rPr>
                <w:sz w:val="20"/>
                <w:szCs w:val="20"/>
                <w:color w:val="auto"/>
              </w:rPr>
            </w:pPr>
            <w:r>
              <w:rPr>
                <w:rFonts w:ascii="Arial" w:cs="Arial" w:eastAsia="Arial" w:hAnsi="Arial"/>
                <w:sz w:val="18"/>
                <w:szCs w:val="18"/>
                <w:color w:val="auto"/>
              </w:rPr>
              <w:t>Statement of Operations Data</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34,256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30,895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24,966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21,075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19,221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6,732</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5,578</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4,619</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3,521</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2,829</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2,547</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2,587</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2,235</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828</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r>
      <w:tr>
        <w:trPr>
          <w:trHeight w:val="203"/>
        </w:trPr>
        <w:tc>
          <w:tcPr>
            <w:tcW w:w="4740" w:type="dxa"/>
            <w:vAlign w:val="bottom"/>
          </w:tcPr>
          <w:p>
            <w:pPr>
              <w:spacing w:after="0" w:line="203"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298</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2,547</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2,587</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2,533</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928</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970</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0.87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0.84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0.71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0.25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r>
      <w:tr>
        <w:trPr>
          <w:trHeight w:val="199"/>
        </w:trPr>
        <w:tc>
          <w:tcPr>
            <w:tcW w:w="47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w:t>
            </w:r>
          </w:p>
        </w:tc>
        <w:tc>
          <w:tcPr>
            <w:tcW w:w="1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0.09</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0.03</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0.01</w:t>
            </w:r>
          </w:p>
        </w:tc>
      </w:tr>
      <w:tr>
        <w:trPr>
          <w:trHeight w:val="196"/>
        </w:trPr>
        <w:tc>
          <w:tcPr>
            <w:tcW w:w="4740" w:type="dxa"/>
            <w:vAlign w:val="bottom"/>
            <w:tcBorders>
              <w:bottom w:val="single" w:sz="8" w:color="52A2DD"/>
            </w:tcBorders>
          </w:tcPr>
          <w:p>
            <w:pPr>
              <w:ind w:left="220"/>
              <w:spacing w:after="0" w:line="196" w:lineRule="exact"/>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0.87</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0.84</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0.80</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0.28</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0.29</w:t>
            </w:r>
          </w:p>
        </w:tc>
      </w:tr>
      <w:tr>
        <w:trPr>
          <w:trHeight w:val="199"/>
        </w:trPr>
        <w:tc>
          <w:tcPr>
            <w:tcW w:w="4740" w:type="dxa"/>
            <w:vAlign w:val="bottom"/>
          </w:tcPr>
          <w:p>
            <w:pPr>
              <w:spacing w:after="0" w:line="200" w:lineRule="exact"/>
              <w:rPr>
                <w:sz w:val="20"/>
                <w:szCs w:val="20"/>
                <w:color w:val="auto"/>
              </w:rPr>
            </w:pPr>
            <w:r>
              <w:rPr>
                <w:rFonts w:ascii="Arial" w:cs="Arial" w:eastAsia="Arial" w:hAnsi="Arial"/>
                <w:sz w:val="18"/>
                <w:szCs w:val="18"/>
                <w:color w:val="auto"/>
              </w:rPr>
              <w:t>Diluted earnings per common share</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0.86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0.83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0.70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0.25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r>
      <w:tr>
        <w:trPr>
          <w:trHeight w:val="199"/>
        </w:trPr>
        <w:tc>
          <w:tcPr>
            <w:tcW w:w="47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w:t>
            </w:r>
          </w:p>
        </w:tc>
        <w:tc>
          <w:tcPr>
            <w:tcW w:w="1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0.09</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0.03</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0.01</w:t>
            </w:r>
          </w:p>
        </w:tc>
      </w:tr>
      <w:tr>
        <w:trPr>
          <w:trHeight w:val="196"/>
        </w:trPr>
        <w:tc>
          <w:tcPr>
            <w:tcW w:w="4740" w:type="dxa"/>
            <w:vAlign w:val="bottom"/>
            <w:tcBorders>
              <w:bottom w:val="single" w:sz="8" w:color="52A2DD"/>
            </w:tcBorders>
          </w:tcPr>
          <w:p>
            <w:pPr>
              <w:ind w:left="220"/>
              <w:spacing w:after="0" w:line="196" w:lineRule="exact"/>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0.86</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0.83</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0.79</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0.28</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0.29</w:t>
            </w:r>
          </w:p>
        </w:tc>
      </w:tr>
      <w:tr>
        <w:trPr>
          <w:trHeight w:val="196"/>
        </w:trPr>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Dividends declared per common share</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0.25</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9"/>
        </w:trPr>
        <w:tc>
          <w:tcPr>
            <w:tcW w:w="4740" w:type="dxa"/>
            <w:vAlign w:val="bottom"/>
          </w:tcPr>
          <w:p>
            <w:pPr>
              <w:spacing w:after="0" w:line="200" w:lineRule="exact"/>
              <w:rPr>
                <w:sz w:val="20"/>
                <w:szCs w:val="20"/>
                <w:color w:val="auto"/>
              </w:rPr>
            </w:pPr>
            <w:r>
              <w:rPr>
                <w:rFonts w:ascii="Arial" w:cs="Arial" w:eastAsia="Arial" w:hAnsi="Arial"/>
                <w:sz w:val="18"/>
                <w:szCs w:val="18"/>
                <w:color w:val="auto"/>
              </w:rPr>
              <w:t>Balance Sheet Data (at year end)</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113,017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w w:val="98"/>
              </w:rPr>
              <w:t>113,417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w w:val="98"/>
              </w:rPr>
              <w:t>110,405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w w:val="98"/>
              </w:rPr>
              <w:t>103,400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105,035</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30,178</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29,828</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27,992</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21,682</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20,093</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40,450</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41,340</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41,167</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40,219</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41,422</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Statement of Cash Flows Data</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Operating activities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10,231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8,189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6,618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4,835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5,402</w:t>
            </w: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7"/>
                <w:szCs w:val="17"/>
                <w:color w:val="auto"/>
              </w:rPr>
            </w:pPr>
          </w:p>
        </w:tc>
        <w:tc>
          <w:tcPr>
            <w:tcW w:w="9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(2,522)</w:t>
            </w:r>
          </w:p>
        </w:tc>
        <w:tc>
          <w:tcPr>
            <w:tcW w:w="28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(316)</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3,546</w:t>
            </w:r>
          </w:p>
        </w:tc>
        <w:tc>
          <w:tcPr>
            <w:tcW w:w="30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(933)</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(2,516)</w:t>
            </w:r>
          </w:p>
        </w:tc>
      </w:tr>
      <w:tr>
        <w:trPr>
          <w:trHeight w:val="199"/>
        </w:trPr>
        <w:tc>
          <w:tcPr>
            <w:tcW w:w="47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Investing activities</w:t>
            </w:r>
          </w:p>
        </w:tc>
        <w:tc>
          <w:tcPr>
            <w:tcW w:w="1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(7,477)</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(8,149)</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(9,872)</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line="200" w:lineRule="exact"/>
              <w:rPr>
                <w:sz w:val="20"/>
                <w:szCs w:val="20"/>
                <w:color w:val="auto"/>
              </w:rPr>
            </w:pPr>
            <w:r>
              <w:rPr>
                <w:rFonts w:ascii="Arial" w:cs="Arial" w:eastAsia="Arial" w:hAnsi="Arial"/>
                <w:sz w:val="18"/>
                <w:szCs w:val="18"/>
                <w:color w:val="auto"/>
              </w:rPr>
              <w:t>(3,748)</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(3,832)</w:t>
            </w:r>
          </w:p>
        </w:tc>
      </w:tr>
    </w:tbl>
    <w:p>
      <w:pPr>
        <w:spacing w:after="0" w:line="67" w:lineRule="exact"/>
        <w:rPr>
          <w:sz w:val="20"/>
          <w:szCs w:val="20"/>
          <w:color w:val="auto"/>
        </w:rPr>
      </w:pPr>
    </w:p>
    <w:p>
      <w:pPr>
        <w:jc w:val="both"/>
        <w:ind w:left="300" w:hanging="292"/>
        <w:spacing w:after="0" w:line="228"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July 2006, in connection with the transactions with Adelphia and Time Warner, we transferred our previously owned cable systems located in Los Angeles, Cleveland and Dallas to Time Warner Cable. These cable systems are presented as discontinued operations for the years ended on or before December 31, 2006 (</w:t>
      </w:r>
      <w:hyperlink w:anchor="page53">
        <w:r>
          <w:rPr>
            <w:rFonts w:ascii="Arial" w:cs="Arial" w:eastAsia="Arial" w:hAnsi="Arial"/>
            <w:sz w:val="14"/>
            <w:szCs w:val="14"/>
            <w:u w:val="single" w:color="auto"/>
            <w:color w:val="0000EE"/>
          </w:rPr>
          <w:t>see Item 8, Note 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w:t>
      </w:r>
    </w:p>
    <w:p>
      <w:pPr>
        <w:spacing w:after="0" w:line="119"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540"/>
        <w:spacing w:after="0" w:line="253" w:lineRule="auto"/>
        <w:rPr>
          <w:sz w:val="20"/>
          <w:szCs w:val="20"/>
          <w:color w:val="auto"/>
        </w:rPr>
      </w:pPr>
      <w:r>
        <w:rPr>
          <w:rFonts w:ascii="Arial" w:cs="Arial" w:eastAsia="Arial" w:hAnsi="Arial"/>
          <w:sz w:val="24"/>
          <w:szCs w:val="24"/>
          <w:color w:val="52A2DD"/>
        </w:rPr>
        <w:t>Item 7: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the nation’s leading provider of cable services, offering a variety of entertainment, information and communications services to residential and commercial customers. As of December 31, 2008, our cable systems served approximately 24.2 million video customers, 14.9 million high-speed Internet customers and 6.5 million phone customers and passed over 50.6 million homes in 39 states and the District of Columbia. We report the results of these operations as our Cable segment, which generates approximately 95% of our consolidated revenue. Our Cable segment also includes the operations of our regional sports networks. Our other reportable segment, Programming, consists primarily of our national programming networks. During 2008, our operations generated consolidated revenue of approximately $34.3 billion.</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segment generates revenue primarily through subscriptions to our video, high-speed Internet and phone services (“cable services”). We market our cable services individually and in packages, to residential customers and to small and medium-sized businesses. Our video services range from a limited analog service to a full digital service with access to hundreds of channels, including premium and pay-per-view channels; On Demand; music channels; and an interactive, on-screen program guide. Digital video customers may also subscribe to advanced digital video services, including digital video recorder (“DVR”) and high-definition television (“HDTV”). As of December 31, 2008, approximately 48% of the homes in the areas we serve subscribed to our video service and approximately 70% of those video customers subscribed to at least one of our digital video services. Our high-speed Internet services provide Internet access at downstream speeds of up to 24 Mbps, depending on the service selected, and up to 50 Mbps with the introduction of DOCSIS 3.0 technology, also referred to as Wideband, based on geographic market availability. As of December 31, 2008, approximately 30% of the homes in the areas we serve subscribed to our high-speed Internet services. Our digital phone services provide local and long-distance calling and other features. As of December 31, 2008, approximately 14% of the homes in the areas we serve subscribed to our digital phone services. In addition to cable services, other Cable segment revenue sources include advertising and the operation of our regional sports networks.</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Programming segment consists primarily of our consolidated national programming networks, including E!, Golf Channel, VERSUS, G4 and Style. Revenue from our Programming segment is generated primarily from the sale of advertising, from monthly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per subscriber license fees paid by multichannel video providers and from licensing our programming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-897890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Comcast’s Internet businesses, including Comcast.net, Fancast, thePlatform, Fandango, Plaxo and DailyCandy. Revenue from Comcast Interactive Media is generated primarily from the sale of advertising. Comcast Spectacor owns two professional sports teams, and two large, multipurpose arenas in Philadelphia, and manages other facilities for sporting events, concerts and other events. Comcast Interactive Media, Comcast Spectacor and all other consolidated businesses not included in our Cable or Programming segments are included in “Corporate and Other” activities.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operate our businesses in an intensely competitive environment. Competition for the cable services we offer consists primarily of direct broadcast satellite (“DBS”) operators and phone companies. In 2008, our competitors continued to add features and adopt aggressive pricing and packaging for services that are comparable to the services we offer and the local phone companies have continued to expand their service areas. A substantial portion of our revenue comes from residential customers whose spending patterns may be affected by prevailing economic conditions. Intensifying competition and a weakening economy affected our net customer additions in 2008 and may, if these conditions continue, adversely impact our results of operations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Developments</w:t>
      </w:r>
    </w:p>
    <w:p>
      <w:pPr>
        <w:spacing w:after="0" w:line="18" w:lineRule="exact"/>
        <w:rPr>
          <w:sz w:val="20"/>
          <w:szCs w:val="20"/>
          <w:color w:val="auto"/>
        </w:rPr>
      </w:pPr>
    </w:p>
    <w:p>
      <w:pPr>
        <w:jc w:val="both"/>
        <w:ind w:left="120" w:hanging="119"/>
        <w:spacing w:after="0" w:line="238"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consolidated revenue of 10.9% to approximately $34.3 billion and an increase in consolidated operating income of 20.7% to approximately $6.7 billion</w:t>
      </w:r>
    </w:p>
    <w:p>
      <w:pPr>
        <w:spacing w:after="0" w:line="194" w:lineRule="exact"/>
        <w:rPr>
          <w:rFonts w:ascii="Arial" w:cs="Arial" w:eastAsia="Arial" w:hAnsi="Arial"/>
          <w:sz w:val="18"/>
          <w:szCs w:val="18"/>
          <w:color w:val="auto"/>
        </w:rPr>
      </w:pPr>
    </w:p>
    <w:p>
      <w:pPr>
        <w:jc w:val="both"/>
        <w:ind w:left="120" w:right="20" w:hanging="119"/>
        <w:spacing w:after="0" w:line="238"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Cable segment revenue of 10.7% to approximately $32.4 billion and an increase in operating income before depreciation and amortization of 10.5% to approximately $13.2 billion</w:t>
      </w:r>
    </w:p>
    <w:p>
      <w:pPr>
        <w:spacing w:after="0" w:line="194" w:lineRule="exact"/>
        <w:rPr>
          <w:rFonts w:ascii="Arial" w:cs="Arial" w:eastAsia="Arial" w:hAnsi="Arial"/>
          <w:sz w:val="18"/>
          <w:szCs w:val="18"/>
          <w:color w:val="auto"/>
        </w:rPr>
      </w:pPr>
    </w:p>
    <w:p>
      <w:pPr>
        <w:jc w:val="both"/>
        <w:ind w:left="120" w:right="20" w:hanging="119"/>
        <w:spacing w:after="0" w:line="236"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addition of approximately 1.5 million digital video customers, approximately 1.3 million high-speed Internet customers, approximately 2.0 million digital phone customers and a decrease of approximately 575,000 video customers (excluding in each case customers obtained through acquisitions)</w:t>
      </w:r>
    </w:p>
    <w:p>
      <w:pPr>
        <w:spacing w:after="0" w:line="197" w:lineRule="exact"/>
        <w:rPr>
          <w:rFonts w:ascii="Arial" w:cs="Arial" w:eastAsia="Arial" w:hAnsi="Arial"/>
          <w:sz w:val="18"/>
          <w:szCs w:val="18"/>
          <w:color w:val="auto"/>
        </w:rPr>
      </w:pPr>
    </w:p>
    <w:p>
      <w:pPr>
        <w:ind w:left="120" w:right="20" w:hanging="119"/>
        <w:spacing w:after="0" w:line="239"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7.5% to approximately $5.5 billion</w:t>
      </w:r>
    </w:p>
    <w:p>
      <w:pPr>
        <w:spacing w:after="0" w:line="195" w:lineRule="exact"/>
        <w:rPr>
          <w:rFonts w:ascii="Arial" w:cs="Arial" w:eastAsia="Arial" w:hAnsi="Arial"/>
          <w:sz w:val="18"/>
          <w:szCs w:val="18"/>
          <w:color w:val="auto"/>
        </w:rPr>
      </w:pPr>
    </w:p>
    <w:p>
      <w:pPr>
        <w:jc w:val="both"/>
        <w:ind w:left="120" w:right="20" w:hanging="119"/>
        <w:spacing w:after="0" w:line="238"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transition of more of our programming to digital transmission rather than analog transmission in order to recapture bandwidth that will allow us to expand our service offerings</w:t>
      </w:r>
    </w:p>
    <w:p>
      <w:pPr>
        <w:spacing w:after="0" w:line="61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300"/>
          </w:cols>
          <w:pgMar w:left="240" w:top="459"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220" w:right="2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deployment of DOCSIS 3.0 high-speed Internet technology, also referred to as Wideband</w:t>
      </w:r>
    </w:p>
    <w:p>
      <w:pPr>
        <w:spacing w:after="0" w:line="195" w:lineRule="exact"/>
        <w:rPr>
          <w:rFonts w:ascii="Arial" w:cs="Arial" w:eastAsia="Arial" w:hAnsi="Arial"/>
          <w:sz w:val="18"/>
          <w:szCs w:val="18"/>
          <w:color w:val="auto"/>
        </w:rPr>
      </w:pPr>
    </w:p>
    <w:p>
      <w:pPr>
        <w:jc w:val="both"/>
        <w:ind w:left="220" w:hanging="212"/>
        <w:spacing w:after="0" w:line="237"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of cable systems serving Illinois and Indiana (approximately 696,000 video customers), as a result of the dissolution of Insight Midwest, L.P. (the “Insight transaction”), in January 2008</w:t>
      </w:r>
    </w:p>
    <w:p>
      <w:pPr>
        <w:spacing w:after="0" w:line="195" w:lineRule="exact"/>
        <w:rPr>
          <w:rFonts w:ascii="Arial" w:cs="Arial" w:eastAsia="Arial" w:hAnsi="Arial"/>
          <w:sz w:val="18"/>
          <w:szCs w:val="18"/>
          <w:color w:val="auto"/>
        </w:rPr>
      </w:pPr>
    </w:p>
    <w:p>
      <w:pPr>
        <w:jc w:val="both"/>
        <w:ind w:left="220" w:hanging="212"/>
        <w:spacing w:after="0" w:line="236"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investment as part of an investor group in a new entity named Clearwire that is focusing on the deployment of a nationwide 4G wireless network using its significant wireless spectrum holdings and was formed through the combination of the 4G wireless broadband businesses of Clearwire’s legal predecessor and Sprint Nextel (“Sprint”); through related agreements entered into in connection with our invest-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9" w:right="120"/>
        <w:spacing w:after="0" w:line="239" w:lineRule="auto"/>
        <w:rPr>
          <w:sz w:val="20"/>
          <w:szCs w:val="20"/>
          <w:color w:val="auto"/>
        </w:rPr>
      </w:pPr>
      <w:r>
        <w:rPr>
          <w:rFonts w:ascii="Arial" w:cs="Arial" w:eastAsia="Arial" w:hAnsi="Arial"/>
          <w:sz w:val="18"/>
          <w:szCs w:val="18"/>
          <w:color w:val="auto"/>
        </w:rPr>
        <w:t>ment, we will be able to offer wireless services utilizing Clearwire’s 4G and certain of Sprint‘s existing wireless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-897890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9" w:lineRule="exact"/>
        <w:rPr>
          <w:sz w:val="20"/>
          <w:szCs w:val="20"/>
          <w:color w:val="auto"/>
        </w:rPr>
      </w:pPr>
    </w:p>
    <w:p>
      <w:pPr>
        <w:jc w:val="both"/>
        <w:ind w:left="199" w:right="120" w:hanging="199"/>
        <w:spacing w:after="0" w:line="237" w:lineRule="auto"/>
        <w:tabs>
          <w:tab w:leader="none" w:pos="1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completion of various transactions, including the acquisition of Internet-related businesses, which include Plaxo and DailyCandy, and the purchase of an additional ownership interest in Comcast SportsNet Bay Area</w:t>
      </w:r>
    </w:p>
    <w:p>
      <w:pPr>
        <w:spacing w:after="0" w:line="195" w:lineRule="exact"/>
        <w:rPr>
          <w:rFonts w:ascii="Arial" w:cs="Arial" w:eastAsia="Arial" w:hAnsi="Arial"/>
          <w:sz w:val="18"/>
          <w:szCs w:val="18"/>
          <w:color w:val="auto"/>
        </w:rPr>
      </w:pPr>
    </w:p>
    <w:p>
      <w:pPr>
        <w:jc w:val="both"/>
        <w:ind w:left="199" w:right="140" w:hanging="199"/>
        <w:spacing w:after="0" w:line="281" w:lineRule="auto"/>
        <w:tabs>
          <w:tab w:leader="none" w:pos="1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repurchase of approximately 141 million shares of our Class A common stock and Class A Special common stock for approximately $2.8 billion under our share repurchase authorization</w:t>
      </w:r>
    </w:p>
    <w:p>
      <w:pPr>
        <w:spacing w:after="0" w:line="164" w:lineRule="exact"/>
        <w:rPr>
          <w:rFonts w:ascii="Arial" w:cs="Arial" w:eastAsia="Arial" w:hAnsi="Arial"/>
          <w:sz w:val="16"/>
          <w:szCs w:val="16"/>
          <w:color w:val="auto"/>
        </w:rPr>
      </w:pPr>
    </w:p>
    <w:p>
      <w:pPr>
        <w:jc w:val="both"/>
        <w:ind w:left="199" w:right="140" w:hanging="199"/>
        <w:spacing w:after="0" w:line="238" w:lineRule="auto"/>
        <w:tabs>
          <w:tab w:leader="none" w:pos="1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initiation a quarterly dividend of $0.0625 per share in February 2008; we declared dividends of approximately $727 million in 2008, of which $547 million were paid during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292735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1"/>
            <w:col w:w="5599"/>
          </w:cols>
          <w:pgMar w:left="240" w:top="459"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Areas We Serve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map below highlights our 40 major markets with emphasis on our operations in the top 25 U.S. TV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97790</wp:posOffset>
            </wp:positionV>
            <wp:extent cx="5625465" cy="2881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2546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The comparability of our results of operations and customer data is impacted by the effects of cable system acquisitions we made in 2008, 2007 and 2006 resulting from the Insight transaction, the Houston transaction, the acquisition of Patriot Media, the Adelphia and Time Warner </w:t>
      </w:r>
      <w:hyperlink w:anchor="page53">
        <w:r>
          <w:rPr>
            <w:rFonts w:ascii="Arial" w:cs="Arial" w:eastAsia="Arial" w:hAnsi="Arial"/>
            <w:sz w:val="18"/>
            <w:szCs w:val="18"/>
            <w:color w:val="auto"/>
          </w:rPr>
          <w:t>transactions and the acquisition of Susquehanna Communications, which we collectively refer to as the “newly acquired cable systems” (</w:t>
        </w:r>
        <w:r>
          <w:rPr>
            <w:rFonts w:ascii="Arial" w:cs="Arial" w:eastAsia="Arial" w:hAnsi="Arial"/>
            <w:sz w:val="18"/>
            <w:szCs w:val="18"/>
            <w:u w:val="single" w:color="auto"/>
            <w:color w:val="0000EE"/>
          </w:rPr>
          <w:t>see Note</w:t>
        </w:r>
      </w:hyperlink>
      <w:r>
        <w:rPr>
          <w:rFonts w:ascii="Arial" w:cs="Arial" w:eastAsia="Arial" w:hAnsi="Arial"/>
          <w:sz w:val="18"/>
          <w:szCs w:val="18"/>
          <w:color w:val="auto"/>
        </w:rPr>
        <w:t xml:space="preserve"> </w:t>
      </w:r>
      <w:hyperlink w:anchor="page53">
        <w:r>
          <w:rPr>
            <w:rFonts w:ascii="Arial" w:cs="Arial" w:eastAsia="Arial" w:hAnsi="Arial"/>
            <w:sz w:val="18"/>
            <w:szCs w:val="18"/>
            <w:u w:val="single" w:color="auto"/>
            <w:color w:val="0000EE"/>
          </w:rPr>
          <w:t>5</w:t>
        </w:r>
        <w:r>
          <w:rPr>
            <w:rFonts w:ascii="Arial" w:cs="Arial" w:eastAsia="Arial" w:hAnsi="Arial"/>
            <w:sz w:val="18"/>
            <w:szCs w:val="18"/>
            <w:color w:val="0000EE"/>
          </w:rPr>
          <w:t xml:space="preserve"> </w:t>
        </w:r>
        <w:r>
          <w:rPr>
            <w:rFonts w:ascii="Arial" w:cs="Arial" w:eastAsia="Arial" w:hAnsi="Arial"/>
            <w:sz w:val="18"/>
            <w:szCs w:val="18"/>
            <w:color w:val="000000"/>
          </w:rPr>
          <w:t>to our consolidated financial statements). As a result of transferring our previously owned cable systems located in Los Angeles, Cleveland and</w:t>
        </w:r>
      </w:hyperlink>
      <w:r>
        <w:rPr>
          <w:rFonts w:ascii="Arial" w:cs="Arial" w:eastAsia="Arial" w:hAnsi="Arial"/>
          <w:sz w:val="18"/>
          <w:szCs w:val="18"/>
          <w:color w:val="0000EE"/>
        </w:rPr>
        <w:t xml:space="preserve"> </w:t>
      </w:r>
      <w:r>
        <w:rPr>
          <w:rFonts w:ascii="Arial" w:cs="Arial" w:eastAsia="Arial" w:hAnsi="Arial"/>
          <w:sz w:val="18"/>
          <w:szCs w:val="18"/>
          <w:color w:val="000000"/>
        </w:rPr>
        <w:t>Dallas (the “Comcast exchange systems”) as part of the Adelphia and Time Warner transactions in July 2006, the operating results of the Comcast exchange systems are reported as discontinued operations for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color w:val="auto"/>
              </w:rPr>
              <w:t>% Change</w:t>
            </w:r>
          </w:p>
        </w:tc>
        <w:tc>
          <w:tcPr>
            <w:tcW w:w="1180" w:type="dxa"/>
            <w:vAlign w:val="bottom"/>
          </w:tcPr>
          <w:p>
            <w:pPr>
              <w:jc w:val="right"/>
              <w:ind w:right="75"/>
              <w:spacing w:after="0"/>
              <w:rPr>
                <w:sz w:val="20"/>
                <w:szCs w:val="20"/>
                <w:color w:val="auto"/>
              </w:rPr>
            </w:pPr>
            <w:r>
              <w:rPr>
                <w:rFonts w:ascii="Arial" w:cs="Arial" w:eastAsia="Arial" w:hAnsi="Arial"/>
                <w:sz w:val="14"/>
                <w:szCs w:val="14"/>
                <w:color w:val="auto"/>
              </w:rPr>
              <w:t>% Change</w:t>
            </w:r>
          </w:p>
        </w:tc>
      </w:tr>
      <w:tr>
        <w:trPr>
          <w:trHeight w:val="149"/>
        </w:trPr>
        <w:tc>
          <w:tcPr>
            <w:tcW w:w="49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4"/>
              <w:spacing w:after="0" w:line="149" w:lineRule="exact"/>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4"/>
              <w:spacing w:after="0" w:line="149" w:lineRule="exact"/>
              <w:rPr>
                <w:sz w:val="20"/>
                <w:szCs w:val="20"/>
                <w:color w:val="auto"/>
              </w:rPr>
            </w:pPr>
            <w:r>
              <w:rPr>
                <w:rFonts w:ascii="Arial" w:cs="Arial" w:eastAsia="Arial" w:hAnsi="Arial"/>
                <w:sz w:val="14"/>
                <w:szCs w:val="14"/>
                <w:color w:val="auto"/>
              </w:rPr>
              <w:t>2007</w:t>
            </w: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4"/>
              <w:spacing w:after="0" w:line="149" w:lineRule="exact"/>
              <w:rPr>
                <w:sz w:val="20"/>
                <w:szCs w:val="20"/>
                <w:color w:val="auto"/>
              </w:rPr>
            </w:pPr>
            <w:r>
              <w:rPr>
                <w:rFonts w:ascii="Arial" w:cs="Arial" w:eastAsia="Arial" w:hAnsi="Arial"/>
                <w:sz w:val="14"/>
                <w:szCs w:val="14"/>
                <w:color w:val="auto"/>
              </w:rPr>
              <w:t>2006</w:t>
            </w:r>
          </w:p>
        </w:tc>
        <w:tc>
          <w:tcPr>
            <w:tcW w:w="1440" w:type="dxa"/>
            <w:vAlign w:val="bottom"/>
            <w:tcBorders>
              <w:bottom w:val="single" w:sz="8" w:color="auto"/>
            </w:tcBorders>
          </w:tcPr>
          <w:p>
            <w:pPr>
              <w:jc w:val="right"/>
              <w:ind w:right="335"/>
              <w:spacing w:after="0" w:line="149" w:lineRule="exact"/>
              <w:rPr>
                <w:sz w:val="20"/>
                <w:szCs w:val="20"/>
                <w:color w:val="auto"/>
              </w:rPr>
            </w:pPr>
            <w:r>
              <w:rPr>
                <w:rFonts w:ascii="Arial" w:cs="Arial" w:eastAsia="Arial" w:hAnsi="Arial"/>
                <w:sz w:val="14"/>
                <w:szCs w:val="14"/>
                <w:color w:val="auto"/>
              </w:rPr>
              <w:t>2007 to 2008</w:t>
            </w:r>
          </w:p>
        </w:tc>
        <w:tc>
          <w:tcPr>
            <w:tcW w:w="1180" w:type="dxa"/>
            <w:vAlign w:val="bottom"/>
            <w:tcBorders>
              <w:bottom w:val="single" w:sz="8" w:color="auto"/>
            </w:tcBorders>
          </w:tcPr>
          <w:p>
            <w:pPr>
              <w:jc w:val="right"/>
              <w:ind w:right="75"/>
              <w:spacing w:after="0" w:line="149" w:lineRule="exact"/>
              <w:rPr>
                <w:sz w:val="20"/>
                <w:szCs w:val="20"/>
                <w:color w:val="auto"/>
              </w:rPr>
            </w:pPr>
            <w:r>
              <w:rPr>
                <w:rFonts w:ascii="Arial" w:cs="Arial" w:eastAsia="Arial" w:hAnsi="Arial"/>
                <w:sz w:val="14"/>
                <w:szCs w:val="14"/>
                <w:color w:val="auto"/>
              </w:rPr>
              <w:t>2006 to 2007</w:t>
            </w: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34,256</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30,895</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24,966</w:t>
            </w:r>
          </w:p>
        </w:tc>
        <w:tc>
          <w:tcPr>
            <w:tcW w:w="1440" w:type="dxa"/>
            <w:vAlign w:val="bottom"/>
          </w:tcPr>
          <w:p>
            <w:pPr>
              <w:jc w:val="right"/>
              <w:ind w:right="195"/>
              <w:spacing w:after="0" w:line="200" w:lineRule="exact"/>
              <w:rPr>
                <w:sz w:val="20"/>
                <w:szCs w:val="20"/>
                <w:color w:val="auto"/>
              </w:rPr>
            </w:pPr>
            <w:r>
              <w:rPr>
                <w:rFonts w:ascii="Arial" w:cs="Arial" w:eastAsia="Arial" w:hAnsi="Arial"/>
                <w:sz w:val="18"/>
                <w:szCs w:val="18"/>
                <w:color w:val="auto"/>
              </w:rPr>
              <w:t>10.9%</w:t>
            </w: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23.7%</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Operating, selling, general and administrative</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(excluding depreciation and amortization)</w:t>
            </w:r>
          </w:p>
        </w:tc>
        <w:tc>
          <w:tcPr>
            <w:tcW w:w="56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21,124</w:t>
            </w:r>
          </w:p>
        </w:tc>
        <w:tc>
          <w:tcPr>
            <w:tcW w:w="34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19,109</w:t>
            </w:r>
          </w:p>
        </w:tc>
        <w:tc>
          <w:tcPr>
            <w:tcW w:w="34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15,524</w:t>
            </w:r>
          </w:p>
        </w:tc>
        <w:tc>
          <w:tcPr>
            <w:tcW w:w="1440" w:type="dxa"/>
            <w:vAlign w:val="bottom"/>
          </w:tcPr>
          <w:p>
            <w:pPr>
              <w:jc w:val="right"/>
              <w:ind w:right="335"/>
              <w:spacing w:after="0" w:line="202" w:lineRule="exact"/>
              <w:rPr>
                <w:sz w:val="20"/>
                <w:szCs w:val="20"/>
                <w:color w:val="auto"/>
              </w:rPr>
            </w:pPr>
            <w:r>
              <w:rPr>
                <w:rFonts w:ascii="Arial" w:cs="Arial" w:eastAsia="Arial" w:hAnsi="Arial"/>
                <w:sz w:val="18"/>
                <w:szCs w:val="18"/>
                <w:color w:val="auto"/>
              </w:rPr>
              <w:t>10.5</w:t>
            </w:r>
          </w:p>
        </w:tc>
        <w:tc>
          <w:tcPr>
            <w:tcW w:w="11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23.1</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5,457</w:t>
            </w:r>
          </w:p>
        </w:tc>
        <w:tc>
          <w:tcPr>
            <w:tcW w:w="34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5,107</w:t>
            </w:r>
          </w:p>
        </w:tc>
        <w:tc>
          <w:tcPr>
            <w:tcW w:w="34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3,828</w:t>
            </w:r>
          </w:p>
        </w:tc>
        <w:tc>
          <w:tcPr>
            <w:tcW w:w="1440" w:type="dxa"/>
            <w:vAlign w:val="bottom"/>
          </w:tcPr>
          <w:p>
            <w:pPr>
              <w:jc w:val="right"/>
              <w:ind w:right="335"/>
              <w:spacing w:after="0" w:line="202" w:lineRule="exact"/>
              <w:rPr>
                <w:sz w:val="20"/>
                <w:szCs w:val="20"/>
                <w:color w:val="auto"/>
              </w:rPr>
            </w:pPr>
            <w:r>
              <w:rPr>
                <w:rFonts w:ascii="Arial" w:cs="Arial" w:eastAsia="Arial" w:hAnsi="Arial"/>
                <w:sz w:val="18"/>
                <w:szCs w:val="18"/>
                <w:color w:val="auto"/>
              </w:rPr>
              <w:t>6.9</w:t>
            </w:r>
          </w:p>
        </w:tc>
        <w:tc>
          <w:tcPr>
            <w:tcW w:w="11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33.4</w:t>
            </w: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Amortization</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943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1,101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995</w:t>
            </w:r>
          </w:p>
        </w:tc>
        <w:tc>
          <w:tcPr>
            <w:tcW w:w="1440" w:type="dxa"/>
            <w:vAlign w:val="bottom"/>
            <w:tcBorders>
              <w:bottom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(14.3)</w:t>
            </w:r>
          </w:p>
        </w:tc>
        <w:tc>
          <w:tcPr>
            <w:tcW w:w="11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10.6</w:t>
            </w: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6,732</w:t>
            </w:r>
          </w:p>
        </w:tc>
        <w:tc>
          <w:tcPr>
            <w:tcW w:w="34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5,578</w:t>
            </w:r>
          </w:p>
        </w:tc>
        <w:tc>
          <w:tcPr>
            <w:tcW w:w="34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4,619</w:t>
            </w:r>
          </w:p>
        </w:tc>
        <w:tc>
          <w:tcPr>
            <w:tcW w:w="1440" w:type="dxa"/>
            <w:vAlign w:val="bottom"/>
          </w:tcPr>
          <w:p>
            <w:pPr>
              <w:jc w:val="right"/>
              <w:ind w:right="335"/>
              <w:spacing w:after="0" w:line="200" w:lineRule="exact"/>
              <w:rPr>
                <w:sz w:val="20"/>
                <w:szCs w:val="20"/>
                <w:color w:val="auto"/>
              </w:rPr>
            </w:pPr>
            <w:r>
              <w:rPr>
                <w:rFonts w:ascii="Arial" w:cs="Arial" w:eastAsia="Arial" w:hAnsi="Arial"/>
                <w:sz w:val="18"/>
                <w:szCs w:val="18"/>
                <w:color w:val="auto"/>
              </w:rPr>
              <w:t>20.7</w:t>
            </w:r>
          </w:p>
        </w:tc>
        <w:tc>
          <w:tcPr>
            <w:tcW w:w="1180" w:type="dxa"/>
            <w:vAlign w:val="bottom"/>
          </w:tcPr>
          <w:p>
            <w:pPr>
              <w:jc w:val="right"/>
              <w:ind w:right="75"/>
              <w:spacing w:after="0" w:line="200" w:lineRule="exact"/>
              <w:rPr>
                <w:sz w:val="20"/>
                <w:szCs w:val="20"/>
                <w:color w:val="auto"/>
              </w:rPr>
            </w:pPr>
            <w:r>
              <w:rPr>
                <w:rFonts w:ascii="Arial" w:cs="Arial" w:eastAsia="Arial" w:hAnsi="Arial"/>
                <w:sz w:val="18"/>
                <w:szCs w:val="18"/>
                <w:color w:val="auto"/>
              </w:rPr>
              <w:t>20.8</w:t>
            </w: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income (expense) items, net</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(2,674)</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(1,229)</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(1,025)</w:t>
            </w:r>
          </w:p>
        </w:tc>
        <w:tc>
          <w:tcPr>
            <w:tcW w:w="1440" w:type="dxa"/>
            <w:vAlign w:val="bottom"/>
            <w:tcBorders>
              <w:bottom w:val="single" w:sz="8" w:color="auto"/>
            </w:tcBorders>
          </w:tcPr>
          <w:p>
            <w:pPr>
              <w:jc w:val="right"/>
              <w:ind w:right="335"/>
              <w:spacing w:after="0" w:line="200" w:lineRule="exact"/>
              <w:rPr>
                <w:sz w:val="20"/>
                <w:szCs w:val="20"/>
                <w:color w:val="auto"/>
              </w:rPr>
            </w:pPr>
            <w:r>
              <w:rPr>
                <w:rFonts w:ascii="Arial" w:cs="Arial" w:eastAsia="Arial" w:hAnsi="Arial"/>
                <w:sz w:val="18"/>
                <w:szCs w:val="18"/>
                <w:color w:val="auto"/>
              </w:rPr>
              <w:t>117.4</w:t>
            </w:r>
          </w:p>
        </w:tc>
        <w:tc>
          <w:tcPr>
            <w:tcW w:w="11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20.0</w:t>
            </w: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Income from continuing operations before income</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taxes and minority interest</w:t>
            </w:r>
          </w:p>
        </w:tc>
        <w:tc>
          <w:tcPr>
            <w:tcW w:w="56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4,058</w:t>
            </w:r>
          </w:p>
        </w:tc>
        <w:tc>
          <w:tcPr>
            <w:tcW w:w="34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4,349</w:t>
            </w:r>
          </w:p>
        </w:tc>
        <w:tc>
          <w:tcPr>
            <w:tcW w:w="34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3,594</w:t>
            </w:r>
          </w:p>
        </w:tc>
        <w:tc>
          <w:tcPr>
            <w:tcW w:w="1440" w:type="dxa"/>
            <w:vAlign w:val="bottom"/>
          </w:tcPr>
          <w:p>
            <w:pPr>
              <w:jc w:val="right"/>
              <w:ind w:right="275"/>
              <w:spacing w:after="0" w:line="202" w:lineRule="exact"/>
              <w:rPr>
                <w:sz w:val="20"/>
                <w:szCs w:val="20"/>
                <w:color w:val="auto"/>
              </w:rPr>
            </w:pPr>
            <w:r>
              <w:rPr>
                <w:rFonts w:ascii="Arial" w:cs="Arial" w:eastAsia="Arial" w:hAnsi="Arial"/>
                <w:sz w:val="18"/>
                <w:szCs w:val="18"/>
                <w:color w:val="auto"/>
              </w:rPr>
              <w:t>(6.7)</w:t>
            </w:r>
          </w:p>
        </w:tc>
        <w:tc>
          <w:tcPr>
            <w:tcW w:w="11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21.0</w:t>
            </w: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(1,533)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(1,800)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(1,347)</w:t>
            </w:r>
          </w:p>
        </w:tc>
        <w:tc>
          <w:tcPr>
            <w:tcW w:w="1440" w:type="dxa"/>
            <w:vAlign w:val="bottom"/>
            <w:tcBorders>
              <w:bottom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(14.8)</w:t>
            </w:r>
          </w:p>
        </w:tc>
        <w:tc>
          <w:tcPr>
            <w:tcW w:w="11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33.6</w:t>
            </w: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Income from continuing operations before minority interest</w:t>
            </w:r>
          </w:p>
        </w:tc>
        <w:tc>
          <w:tcPr>
            <w:tcW w:w="56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2,525</w:t>
            </w:r>
          </w:p>
        </w:tc>
        <w:tc>
          <w:tcPr>
            <w:tcW w:w="34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2,549</w:t>
            </w:r>
          </w:p>
        </w:tc>
        <w:tc>
          <w:tcPr>
            <w:tcW w:w="34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2,247</w:t>
            </w:r>
          </w:p>
        </w:tc>
        <w:tc>
          <w:tcPr>
            <w:tcW w:w="1440" w:type="dxa"/>
            <w:vAlign w:val="bottom"/>
          </w:tcPr>
          <w:p>
            <w:pPr>
              <w:jc w:val="right"/>
              <w:ind w:right="275"/>
              <w:spacing w:after="0" w:line="200" w:lineRule="exact"/>
              <w:rPr>
                <w:sz w:val="20"/>
                <w:szCs w:val="20"/>
                <w:color w:val="auto"/>
              </w:rPr>
            </w:pPr>
            <w:r>
              <w:rPr>
                <w:rFonts w:ascii="Arial" w:cs="Arial" w:eastAsia="Arial" w:hAnsi="Arial"/>
                <w:sz w:val="18"/>
                <w:szCs w:val="18"/>
                <w:color w:val="auto"/>
              </w:rPr>
              <w:t>(0.9)</w:t>
            </w:r>
          </w:p>
        </w:tc>
        <w:tc>
          <w:tcPr>
            <w:tcW w:w="1180" w:type="dxa"/>
            <w:vAlign w:val="bottom"/>
          </w:tcPr>
          <w:p>
            <w:pPr>
              <w:jc w:val="right"/>
              <w:ind w:right="75"/>
              <w:spacing w:after="0" w:line="200" w:lineRule="exact"/>
              <w:rPr>
                <w:sz w:val="20"/>
                <w:szCs w:val="20"/>
                <w:color w:val="auto"/>
              </w:rPr>
            </w:pPr>
            <w:r>
              <w:rPr>
                <w:rFonts w:ascii="Arial" w:cs="Arial" w:eastAsia="Arial" w:hAnsi="Arial"/>
                <w:sz w:val="18"/>
                <w:szCs w:val="18"/>
                <w:color w:val="auto"/>
              </w:rPr>
              <w:t>13.4</w:t>
            </w: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Minority interest</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(12)</w:t>
            </w:r>
          </w:p>
        </w:tc>
        <w:tc>
          <w:tcPr>
            <w:tcW w:w="1440" w:type="dxa"/>
            <w:vAlign w:val="bottom"/>
            <w:tcBorders>
              <w:bottom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(43.9)</w:t>
            </w:r>
          </w:p>
        </w:tc>
        <w:tc>
          <w:tcPr>
            <w:tcW w:w="11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n/m</w:t>
            </w: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Income from continuing operations</w:t>
            </w:r>
          </w:p>
        </w:tc>
        <w:tc>
          <w:tcPr>
            <w:tcW w:w="56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2,547</w:t>
            </w:r>
          </w:p>
        </w:tc>
        <w:tc>
          <w:tcPr>
            <w:tcW w:w="34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2,587</w:t>
            </w:r>
          </w:p>
        </w:tc>
        <w:tc>
          <w:tcPr>
            <w:tcW w:w="340" w:type="dxa"/>
            <w:vAlign w:val="bottom"/>
          </w:tcPr>
          <w:p>
            <w:pPr>
              <w:spacing w:after="0"/>
              <w:rPr>
                <w:sz w:val="17"/>
                <w:szCs w:val="17"/>
                <w:color w:val="auto"/>
              </w:rPr>
            </w:pP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2,235</w:t>
            </w:r>
          </w:p>
        </w:tc>
        <w:tc>
          <w:tcPr>
            <w:tcW w:w="1440" w:type="dxa"/>
            <w:vAlign w:val="bottom"/>
          </w:tcPr>
          <w:p>
            <w:pPr>
              <w:jc w:val="right"/>
              <w:ind w:right="275"/>
              <w:spacing w:after="0" w:line="200" w:lineRule="exact"/>
              <w:rPr>
                <w:sz w:val="20"/>
                <w:szCs w:val="20"/>
                <w:color w:val="auto"/>
              </w:rPr>
            </w:pPr>
            <w:r>
              <w:rPr>
                <w:rFonts w:ascii="Arial" w:cs="Arial" w:eastAsia="Arial" w:hAnsi="Arial"/>
                <w:sz w:val="18"/>
                <w:szCs w:val="18"/>
                <w:color w:val="auto"/>
              </w:rPr>
              <w:t>(1.6)</w:t>
            </w:r>
          </w:p>
        </w:tc>
        <w:tc>
          <w:tcPr>
            <w:tcW w:w="1180" w:type="dxa"/>
            <w:vAlign w:val="bottom"/>
          </w:tcPr>
          <w:p>
            <w:pPr>
              <w:jc w:val="right"/>
              <w:ind w:right="75"/>
              <w:spacing w:after="0" w:line="200" w:lineRule="exact"/>
              <w:rPr>
                <w:sz w:val="20"/>
                <w:szCs w:val="20"/>
                <w:color w:val="auto"/>
              </w:rPr>
            </w:pPr>
            <w:r>
              <w:rPr>
                <w:rFonts w:ascii="Arial" w:cs="Arial" w:eastAsia="Arial" w:hAnsi="Arial"/>
                <w:sz w:val="18"/>
                <w:szCs w:val="18"/>
                <w:color w:val="auto"/>
              </w:rPr>
              <w:t>15.8</w:t>
            </w: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Discontinued operations, net of tax</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298</w:t>
            </w:r>
          </w:p>
        </w:tc>
        <w:tc>
          <w:tcPr>
            <w:tcW w:w="1440" w:type="dxa"/>
            <w:vAlign w:val="bottom"/>
            <w:tcBorders>
              <w:bottom w:val="single" w:sz="8" w:color="auto"/>
            </w:tcBorders>
          </w:tcPr>
          <w:p>
            <w:pPr>
              <w:jc w:val="right"/>
              <w:ind w:right="335"/>
              <w:spacing w:after="0" w:line="200" w:lineRule="exact"/>
              <w:rPr>
                <w:sz w:val="20"/>
                <w:szCs w:val="20"/>
                <w:color w:val="auto"/>
              </w:rPr>
            </w:pPr>
            <w:r>
              <w:rPr>
                <w:rFonts w:ascii="Arial" w:cs="Arial" w:eastAsia="Arial" w:hAnsi="Arial"/>
                <w:sz w:val="18"/>
                <w:szCs w:val="18"/>
                <w:color w:val="auto"/>
              </w:rPr>
              <w:t>n/m</w:t>
            </w:r>
          </w:p>
        </w:tc>
        <w:tc>
          <w:tcPr>
            <w:tcW w:w="11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n/m</w:t>
            </w:r>
          </w:p>
        </w:tc>
      </w:tr>
      <w:tr>
        <w:trPr>
          <w:trHeight w:val="196"/>
        </w:trPr>
        <w:tc>
          <w:tcPr>
            <w:tcW w:w="49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color w:val="auto"/>
              </w:rPr>
              <w:t>2,547</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color w:val="auto"/>
              </w:rPr>
              <w:t>2,587</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color w:val="auto"/>
              </w:rPr>
              <w:t>2,533</w:t>
            </w:r>
          </w:p>
        </w:tc>
        <w:tc>
          <w:tcPr>
            <w:tcW w:w="144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color w:val="auto"/>
              </w:rPr>
              <w:t>(1.6)%</w:t>
            </w:r>
          </w:p>
        </w:tc>
        <w:tc>
          <w:tcPr>
            <w:tcW w:w="11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2.1%</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ectPr>
          <w:pgSz w:w="11900" w:h="16838" w:orient="portrait"/>
          <w:cols w:equalWidth="0" w:num="1">
            <w:col w:w="11420"/>
          </w:cols>
          <w:pgMar w:left="240" w:top="459" w:right="239" w:bottom="1440" w:gutter="0" w:footer="0" w:header="0"/>
        </w:sect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jc w:val="both"/>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Our Cable and Programming segments accounted for substantially all of the increases in consolidated revenue for 2008 and 2007. Additional increases of approximately $129 million and approximately $103 million in 2008 and 2007, respectively, related to our other business activities, primarily growth in Comcast Interactive Media and revenue generated in 2008 by Comcast Spectacor’s professional sports teams. Cable segment revenue and Programming segment revenue are discussed separately in </w:t>
      </w:r>
      <w:hyperlink w:anchor="page27">
        <w:r>
          <w:rPr>
            <w:rFonts w:ascii="Arial" w:cs="Arial" w:eastAsia="Arial" w:hAnsi="Arial"/>
            <w:sz w:val="16"/>
            <w:szCs w:val="16"/>
            <w:u w:val="single" w:color="auto"/>
            <w:color w:val="0000EE"/>
          </w:rPr>
          <w:t>“Segment Operating Results.”</w:t>
        </w:r>
      </w:hyperlink>
    </w:p>
    <w:p>
      <w:pPr>
        <w:spacing w:after="0" w:line="84"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1" w:lineRule="exact"/>
        <w:rPr>
          <w:sz w:val="20"/>
          <w:szCs w:val="20"/>
          <w:color w:val="auto"/>
        </w:rPr>
      </w:pPr>
    </w:p>
    <w:p>
      <w:pPr>
        <w:jc w:val="both"/>
        <w:spacing w:after="0" w:line="235"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Our Cable and Programming segments accounted for substantially all of the increases in consolidated operating, selling, general and administrative expenses for 2008 and 2007. Additional increases of approximately $103 million and approximately $210 million in 2008 and 2007, respectively, related to our other business activities, including the continued expansion of our Comcast Interactive Media business, Comcast Spectacor and litigation expense incurred in 2007. Cable segment and Programming segment operating, selling, general </w:t>
      </w:r>
      <w:hyperlink w:anchor="page27">
        <w:r>
          <w:rPr>
            <w:rFonts w:ascii="Arial" w:cs="Arial" w:eastAsia="Arial" w:hAnsi="Arial"/>
            <w:sz w:val="18"/>
            <w:szCs w:val="18"/>
            <w:color w:val="auto"/>
          </w:rPr>
          <w:t xml:space="preserve">and administrative expenses are discussed separately in </w:t>
        </w:r>
        <w:r>
          <w:rPr>
            <w:rFonts w:ascii="Arial" w:cs="Arial" w:eastAsia="Arial" w:hAnsi="Arial"/>
            <w:sz w:val="18"/>
            <w:szCs w:val="18"/>
            <w:u w:val="single" w:color="auto"/>
            <w:color w:val="0000EE"/>
          </w:rPr>
          <w:t>“Segment</w:t>
        </w:r>
      </w:hyperlink>
      <w:r>
        <w:rPr>
          <w:rFonts w:ascii="Arial" w:cs="Arial" w:eastAsia="Arial" w:hAnsi="Arial"/>
          <w:sz w:val="18"/>
          <w:szCs w:val="18"/>
          <w:color w:val="auto"/>
        </w:rPr>
        <w:t xml:space="preserve"> </w:t>
      </w:r>
      <w:hyperlink w:anchor="page27">
        <w:r>
          <w:rPr>
            <w:rFonts w:ascii="Arial" w:cs="Arial" w:eastAsia="Arial" w:hAnsi="Arial"/>
            <w:sz w:val="18"/>
            <w:szCs w:val="18"/>
            <w:u w:val="single" w:color="auto"/>
            <w:color w:val="0000EE"/>
          </w:rPr>
          <w:t>Operating Results.”</w:t>
        </w:r>
      </w:hyperlink>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increases in depreciation expense for 2008 and 2007 were primarily a result of an increase in property and equipment associated with capital spending in recent years, which resulted in increased depreciation of approximately $210 million and $700 million, respectively, and the newly acquired cable systems, which resulted in increased depreciation of approximately $138 million and $530 million, respectively.</w:t>
      </w:r>
    </w:p>
    <w:p>
      <w:pPr>
        <w:spacing w:after="0" w:line="12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The decrease in amortization expense for 2008 was primarily due to intangible assets associated with the AT&amp;T Broadband acquisition in 2002 being fully amortized, partially offset by the amortization of similar intangible assets recorded in connection with our newly acquired cable systems. The increase in amortization expense for 2007 was primarily a result of the increases in the amortization of our intangible assets associated with our newly acquired cable systems, purchases of software-related intangibles and the write-down of intangible assets of approximately $30 million in 2007 related to the shutdown of the AZN network.</w:t>
      </w:r>
    </w:p>
    <w:p>
      <w:pPr>
        <w:spacing w:after="0" w:line="80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5" w:lineRule="auto"/>
        <w:rPr>
          <w:rFonts w:ascii="Arial" w:cs="Arial" w:eastAsia="Arial" w:hAnsi="Arial"/>
          <w:sz w:val="16"/>
          <w:szCs w:val="16"/>
          <w:color w:val="0000EE"/>
        </w:rPr>
      </w:pPr>
      <w:r>
        <w:rPr>
          <w:rFonts w:ascii="Arial" w:cs="Arial" w:eastAsia="Arial" w:hAnsi="Arial"/>
          <w:sz w:val="16"/>
          <w:szCs w:val="16"/>
          <w:color w:val="auto"/>
        </w:rPr>
        <w:t xml:space="preserve">Our segment operating results are presented based on how we assess operating performance and internally report financial information. 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w:t>
      </w:r>
      <w:hyperlink w:anchor="page71">
        <w:r>
          <w:rPr>
            <w:rFonts w:ascii="Arial" w:cs="Arial" w:eastAsia="Arial" w:hAnsi="Arial"/>
            <w:sz w:val="16"/>
            <w:szCs w:val="16"/>
            <w:color w:val="auto"/>
          </w:rPr>
          <w:t>segment footnote to our consolidated financial statements (</w:t>
        </w:r>
        <w:r>
          <w:rPr>
            <w:rFonts w:ascii="Arial" w:cs="Arial" w:eastAsia="Arial" w:hAnsi="Arial"/>
            <w:sz w:val="16"/>
            <w:szCs w:val="16"/>
            <w:u w:val="single" w:color="auto"/>
            <w:color w:val="0000EE"/>
          </w:rPr>
          <w:t>see Note</w:t>
        </w:r>
      </w:hyperlink>
      <w:r>
        <w:rPr>
          <w:rFonts w:ascii="Arial" w:cs="Arial" w:eastAsia="Arial" w:hAnsi="Arial"/>
          <w:sz w:val="16"/>
          <w:szCs w:val="16"/>
          <w:color w:val="auto"/>
        </w:rPr>
        <w:t xml:space="preserve"> </w:t>
      </w:r>
      <w:hyperlink w:anchor="page71">
        <w:r>
          <w:rPr>
            <w:rFonts w:ascii="Arial" w:cs="Arial" w:eastAsia="Arial" w:hAnsi="Arial"/>
            <w:sz w:val="16"/>
            <w:szCs w:val="16"/>
            <w:u w:val="single" w:color="auto"/>
            <w:color w:val="0000EE"/>
          </w:rPr>
          <w:t>16</w:t>
        </w:r>
        <w:r>
          <w:rPr>
            <w:rFonts w:ascii="Arial" w:cs="Arial" w:eastAsia="Arial" w:hAnsi="Arial"/>
            <w:sz w:val="16"/>
            <w:szCs w:val="16"/>
            <w:color w:val="0000EE"/>
          </w:rPr>
          <w:t xml:space="preserve"> </w:t>
        </w:r>
        <w:r>
          <w:rPr>
            <w:rFonts w:ascii="Arial" w:cs="Arial" w:eastAsia="Arial" w:hAnsi="Arial"/>
            <w:sz w:val="16"/>
            <w:szCs w:val="16"/>
            <w:color w:val="000000"/>
          </w:rPr>
          <w:t>to our consolidated financial statements). This measure should not</w:t>
        </w:r>
      </w:hyperlink>
      <w:r>
        <w:rPr>
          <w:rFonts w:ascii="Arial" w:cs="Arial" w:eastAsia="Arial" w:hAnsi="Arial"/>
          <w:sz w:val="16"/>
          <w:szCs w:val="16"/>
          <w:color w:val="0000EE"/>
        </w:rPr>
        <w:t xml:space="preserve"> </w:t>
      </w:r>
      <w:r>
        <w:rPr>
          <w:rFonts w:ascii="Arial" w:cs="Arial" w:eastAsia="Arial" w:hAnsi="Arial"/>
          <w:sz w:val="16"/>
          <w:szCs w:val="16"/>
          <w:color w:val="000000"/>
        </w:rPr>
        <w:t>be considered a substitute for operating income (loss), net income (loss), net cash provided by operating activities, or other measures of performance or liquidity we have reported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Segment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systems simultaneously deliver video, high-speed Internet and phone services to our customers. The majority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Cable segment revenue is generated from subscriptions to these cable services. Customers are billed monthly, based on the services and features they receive and the type of equipment they use. While residential customers may discontinue service at any time, business customers may only discontinue their service in accordance with the terms of their respective contracts, which typically have one to three year terms. Our revenue and operating income before depreciation and amortization have increased as a result of the effects of our recent acquisitions, continued demand for our services (including our bundled and advanced service offerings), as well as other factors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-2051685</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Of our total customers, in 2008 the newly acquired cable systems accounted for 696,000 video customers, 370,000 high-speed Internet customers and 74,000 phone customers. In 2007, they accounted for 81,000 video customers, 58,000 high-speed Internet customers and 16,000 phone customers. In 2006, they accounted for 3.5 million video customers, 1.7 million high-speed Internet customers and 173,000 phone customers. In 2008 and 2007, the newly acquired cable systems accounted for approximately $742 million and $2.6 billion of the increases in revenue, respectively. Intensifying competition and a weakening economy affected our net customer additions in 2008 and may, if these conditions continue, adversely impact our results of operations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2915920" cy="1878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1592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color w:val="auto"/>
              </w:rPr>
              <w:t>% Change</w:t>
            </w:r>
          </w:p>
        </w:tc>
        <w:tc>
          <w:tcPr>
            <w:tcW w:w="106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9"/>
              </w:rPr>
              <w:t>2008</w:t>
            </w:r>
          </w:p>
        </w:tc>
        <w:tc>
          <w:tcPr>
            <w:tcW w:w="11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2007</w:t>
            </w: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2006</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2007 to 2008</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2006 to 2007</w:t>
            </w:r>
          </w:p>
        </w:tc>
      </w:tr>
    </w:tbl>
    <w:p>
      <w:pPr>
        <w:spacing w:after="0" w:line="1"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9"/>
        </w:trPr>
        <w:tc>
          <w:tcPr>
            <w:tcW w:w="49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Video</w:t>
            </w:r>
          </w:p>
        </w:tc>
        <w:tc>
          <w:tcPr>
            <w:tcW w:w="1720" w:type="dxa"/>
            <w:vAlign w:val="bottom"/>
            <w:tcBorders>
              <w:top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$18,849</w:t>
            </w:r>
          </w:p>
        </w:tc>
        <w:tc>
          <w:tcPr>
            <w:tcW w:w="1100" w:type="dxa"/>
            <w:vAlign w:val="bottom"/>
            <w:tcBorders>
              <w:top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$17,686</w:t>
            </w:r>
          </w:p>
        </w:tc>
        <w:tc>
          <w:tcPr>
            <w:tcW w:w="3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94"/>
              </w:rPr>
              <w:t>15,062</w:t>
            </w:r>
          </w:p>
        </w:tc>
        <w:tc>
          <w:tcPr>
            <w:tcW w:w="1760" w:type="dxa"/>
            <w:vAlign w:val="bottom"/>
            <w:tcBorders>
              <w:top w:val="single" w:sz="8" w:color="auto"/>
            </w:tcBorders>
          </w:tcPr>
          <w:p>
            <w:pPr>
              <w:jc w:val="right"/>
              <w:ind w:right="314"/>
              <w:spacing w:after="0" w:line="200" w:lineRule="exact"/>
              <w:rPr>
                <w:sz w:val="20"/>
                <w:szCs w:val="20"/>
                <w:color w:val="auto"/>
              </w:rPr>
            </w:pPr>
            <w:r>
              <w:rPr>
                <w:rFonts w:ascii="Arial" w:cs="Arial" w:eastAsia="Arial" w:hAnsi="Arial"/>
                <w:sz w:val="18"/>
                <w:szCs w:val="18"/>
                <w:color w:val="auto"/>
              </w:rPr>
              <w:t>6.6%</w:t>
            </w:r>
          </w:p>
        </w:tc>
        <w:tc>
          <w:tcPr>
            <w:tcW w:w="9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17.4%</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17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7,225</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6,402</w:t>
            </w:r>
          </w:p>
        </w:tc>
        <w:tc>
          <w:tcPr>
            <w:tcW w:w="3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4,953</w:t>
            </w:r>
          </w:p>
        </w:tc>
        <w:tc>
          <w:tcPr>
            <w:tcW w:w="176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12.9</w:t>
            </w: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29.2</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17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2,649</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1,766</w:t>
            </w:r>
          </w:p>
        </w:tc>
        <w:tc>
          <w:tcPr>
            <w:tcW w:w="3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911</w:t>
            </w:r>
          </w:p>
        </w:tc>
        <w:tc>
          <w:tcPr>
            <w:tcW w:w="176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50.0</w:t>
            </w: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93.9</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Advertising</w:t>
            </w:r>
          </w:p>
        </w:tc>
        <w:tc>
          <w:tcPr>
            <w:tcW w:w="17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1,526</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1,537</w:t>
            </w:r>
          </w:p>
        </w:tc>
        <w:tc>
          <w:tcPr>
            <w:tcW w:w="3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1,468</w:t>
            </w:r>
          </w:p>
        </w:tc>
        <w:tc>
          <w:tcPr>
            <w:tcW w:w="1760" w:type="dxa"/>
            <w:vAlign w:val="bottom"/>
          </w:tcPr>
          <w:p>
            <w:pPr>
              <w:jc w:val="right"/>
              <w:ind w:right="414"/>
              <w:spacing w:after="0" w:line="202" w:lineRule="exact"/>
              <w:rPr>
                <w:sz w:val="20"/>
                <w:szCs w:val="20"/>
                <w:color w:val="auto"/>
              </w:rPr>
            </w:pPr>
            <w:r>
              <w:rPr>
                <w:rFonts w:ascii="Arial" w:cs="Arial" w:eastAsia="Arial" w:hAnsi="Arial"/>
                <w:sz w:val="18"/>
                <w:szCs w:val="18"/>
                <w:color w:val="auto"/>
              </w:rPr>
              <w:t>(0.5)</w:t>
            </w: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4.5</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7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1,283</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1,087</w:t>
            </w:r>
          </w:p>
        </w:tc>
        <w:tc>
          <w:tcPr>
            <w:tcW w:w="3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927</w:t>
            </w:r>
          </w:p>
        </w:tc>
        <w:tc>
          <w:tcPr>
            <w:tcW w:w="176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17.6</w:t>
            </w: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17.5</w:t>
            </w: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Franchise fees</w:t>
            </w:r>
          </w:p>
        </w:tc>
        <w:tc>
          <w:tcPr>
            <w:tcW w:w="172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911</w:t>
            </w:r>
          </w:p>
        </w:tc>
        <w:tc>
          <w:tcPr>
            <w:tcW w:w="110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827</w:t>
            </w: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721</w:t>
            </w:r>
          </w:p>
        </w:tc>
        <w:tc>
          <w:tcPr>
            <w:tcW w:w="1760" w:type="dxa"/>
            <w:vAlign w:val="bottom"/>
            <w:tcBorders>
              <w:bottom w:val="single" w:sz="8" w:color="auto"/>
            </w:tcBorders>
          </w:tcPr>
          <w:p>
            <w:pPr>
              <w:jc w:val="right"/>
              <w:ind w:right="474"/>
              <w:spacing w:after="0" w:line="200" w:lineRule="exact"/>
              <w:rPr>
                <w:sz w:val="20"/>
                <w:szCs w:val="20"/>
                <w:color w:val="auto"/>
              </w:rPr>
            </w:pPr>
            <w:r>
              <w:rPr>
                <w:rFonts w:ascii="Arial" w:cs="Arial" w:eastAsia="Arial" w:hAnsi="Arial"/>
                <w:sz w:val="18"/>
                <w:szCs w:val="18"/>
                <w:color w:val="auto"/>
              </w:rPr>
              <w:t>10.1</w:t>
            </w:r>
          </w:p>
        </w:tc>
        <w:tc>
          <w:tcPr>
            <w:tcW w:w="9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14.7</w:t>
            </w: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1720" w:type="dxa"/>
            <w:vAlign w:val="bottom"/>
          </w:tcPr>
          <w:p>
            <w:pPr>
              <w:jc w:val="right"/>
              <w:ind w:right="154"/>
              <w:spacing w:after="0" w:line="200" w:lineRule="exact"/>
              <w:rPr>
                <w:sz w:val="20"/>
                <w:szCs w:val="20"/>
                <w:color w:val="auto"/>
              </w:rPr>
            </w:pPr>
            <w:r>
              <w:rPr>
                <w:rFonts w:ascii="Arial" w:cs="Arial" w:eastAsia="Arial" w:hAnsi="Arial"/>
                <w:sz w:val="18"/>
                <w:szCs w:val="18"/>
                <w:color w:val="auto"/>
              </w:rPr>
              <w:t>32,443</w:t>
            </w:r>
          </w:p>
        </w:tc>
        <w:tc>
          <w:tcPr>
            <w:tcW w:w="110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29,305</w:t>
            </w:r>
          </w:p>
        </w:tc>
        <w:tc>
          <w:tcPr>
            <w:tcW w:w="34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w w:val="94"/>
              </w:rPr>
              <w:t>24,042</w:t>
            </w:r>
          </w:p>
        </w:tc>
        <w:tc>
          <w:tcPr>
            <w:tcW w:w="1760" w:type="dxa"/>
            <w:vAlign w:val="bottom"/>
          </w:tcPr>
          <w:p>
            <w:pPr>
              <w:jc w:val="right"/>
              <w:ind w:right="474"/>
              <w:spacing w:after="0" w:line="200" w:lineRule="exact"/>
              <w:rPr>
                <w:sz w:val="20"/>
                <w:szCs w:val="20"/>
                <w:color w:val="auto"/>
              </w:rPr>
            </w:pPr>
            <w:r>
              <w:rPr>
                <w:rFonts w:ascii="Arial" w:cs="Arial" w:eastAsia="Arial" w:hAnsi="Arial"/>
                <w:sz w:val="18"/>
                <w:szCs w:val="18"/>
                <w:color w:val="auto"/>
              </w:rPr>
              <w:t>10.7</w:t>
            </w:r>
          </w:p>
        </w:tc>
        <w:tc>
          <w:tcPr>
            <w:tcW w:w="920" w:type="dxa"/>
            <w:vAlign w:val="bottom"/>
          </w:tcPr>
          <w:p>
            <w:pPr>
              <w:jc w:val="right"/>
              <w:ind w:right="72"/>
              <w:spacing w:after="0" w:line="200" w:lineRule="exact"/>
              <w:rPr>
                <w:sz w:val="20"/>
                <w:szCs w:val="20"/>
                <w:color w:val="auto"/>
              </w:rPr>
            </w:pPr>
            <w:r>
              <w:rPr>
                <w:rFonts w:ascii="Arial" w:cs="Arial" w:eastAsia="Arial" w:hAnsi="Arial"/>
                <w:sz w:val="18"/>
                <w:szCs w:val="18"/>
                <w:color w:val="auto"/>
              </w:rPr>
              <w:t>21.9</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7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12,664</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11,409</w:t>
            </w:r>
          </w:p>
        </w:tc>
        <w:tc>
          <w:tcPr>
            <w:tcW w:w="3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9,322</w:t>
            </w:r>
          </w:p>
        </w:tc>
        <w:tc>
          <w:tcPr>
            <w:tcW w:w="176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11.0</w:t>
            </w: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22.4</w:t>
            </w: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Selling, general and administrative expenses</w:t>
            </w:r>
          </w:p>
        </w:tc>
        <w:tc>
          <w:tcPr>
            <w:tcW w:w="172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6,609</w:t>
            </w:r>
          </w:p>
        </w:tc>
        <w:tc>
          <w:tcPr>
            <w:tcW w:w="110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5,974</w:t>
            </w: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5,053</w:t>
            </w:r>
          </w:p>
        </w:tc>
        <w:tc>
          <w:tcPr>
            <w:tcW w:w="1760" w:type="dxa"/>
            <w:vAlign w:val="bottom"/>
            <w:tcBorders>
              <w:bottom w:val="single" w:sz="8" w:color="auto"/>
            </w:tcBorders>
          </w:tcPr>
          <w:p>
            <w:pPr>
              <w:jc w:val="right"/>
              <w:ind w:right="474"/>
              <w:spacing w:after="0" w:line="200" w:lineRule="exact"/>
              <w:rPr>
                <w:sz w:val="20"/>
                <w:szCs w:val="20"/>
                <w:color w:val="auto"/>
              </w:rPr>
            </w:pPr>
            <w:r>
              <w:rPr>
                <w:rFonts w:ascii="Arial" w:cs="Arial" w:eastAsia="Arial" w:hAnsi="Arial"/>
                <w:sz w:val="18"/>
                <w:szCs w:val="18"/>
                <w:color w:val="auto"/>
              </w:rPr>
              <w:t>10.6</w:t>
            </w:r>
          </w:p>
        </w:tc>
        <w:tc>
          <w:tcPr>
            <w:tcW w:w="9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18.2</w:t>
            </w:r>
          </w:p>
        </w:tc>
      </w:tr>
      <w:tr>
        <w:trPr>
          <w:trHeight w:val="196"/>
        </w:trPr>
        <w:tc>
          <w:tcPr>
            <w:tcW w:w="49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Operating income before depreciation and amortization</w:t>
            </w:r>
          </w:p>
        </w:tc>
        <w:tc>
          <w:tcPr>
            <w:tcW w:w="1720" w:type="dxa"/>
            <w:vAlign w:val="bottom"/>
            <w:tcBorders>
              <w:bottom w:val="single" w:sz="8" w:color="52A2DD"/>
            </w:tcBorders>
          </w:tcPr>
          <w:p>
            <w:pPr>
              <w:jc w:val="right"/>
              <w:ind w:right="154"/>
              <w:spacing w:after="0" w:line="196" w:lineRule="exact"/>
              <w:rPr>
                <w:sz w:val="20"/>
                <w:szCs w:val="20"/>
                <w:color w:val="auto"/>
              </w:rPr>
            </w:pPr>
            <w:r>
              <w:rPr>
                <w:rFonts w:ascii="Arial" w:cs="Arial" w:eastAsia="Arial" w:hAnsi="Arial"/>
                <w:sz w:val="18"/>
                <w:szCs w:val="18"/>
                <w:color w:val="auto"/>
              </w:rPr>
              <w:t>$13,170</w:t>
            </w:r>
          </w:p>
        </w:tc>
        <w:tc>
          <w:tcPr>
            <w:tcW w:w="1100" w:type="dxa"/>
            <w:vAlign w:val="bottom"/>
            <w:tcBorders>
              <w:bottom w:val="single" w:sz="8" w:color="52A2DD"/>
            </w:tcBorders>
          </w:tcPr>
          <w:p>
            <w:pPr>
              <w:jc w:val="right"/>
              <w:ind w:right="132"/>
              <w:spacing w:after="0" w:line="196" w:lineRule="exact"/>
              <w:rPr>
                <w:sz w:val="20"/>
                <w:szCs w:val="20"/>
                <w:color w:val="auto"/>
              </w:rPr>
            </w:pPr>
            <w:r>
              <w:rPr>
                <w:rFonts w:ascii="Arial" w:cs="Arial" w:eastAsia="Arial" w:hAnsi="Arial"/>
                <w:sz w:val="18"/>
                <w:szCs w:val="18"/>
                <w:color w:val="auto"/>
              </w:rPr>
              <w:t>$11,922</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9,667</w:t>
            </w:r>
          </w:p>
        </w:tc>
        <w:tc>
          <w:tcPr>
            <w:tcW w:w="1760" w:type="dxa"/>
            <w:vAlign w:val="bottom"/>
            <w:tcBorders>
              <w:bottom w:val="single" w:sz="8" w:color="52A2DD"/>
            </w:tcBorders>
          </w:tcPr>
          <w:p>
            <w:pPr>
              <w:jc w:val="right"/>
              <w:ind w:right="314"/>
              <w:spacing w:after="0" w:line="196" w:lineRule="exact"/>
              <w:rPr>
                <w:sz w:val="20"/>
                <w:szCs w:val="20"/>
                <w:color w:val="auto"/>
              </w:rPr>
            </w:pPr>
            <w:r>
              <w:rPr>
                <w:rFonts w:ascii="Arial" w:cs="Arial" w:eastAsia="Arial" w:hAnsi="Arial"/>
                <w:sz w:val="18"/>
                <w:szCs w:val="18"/>
                <w:color w:val="auto"/>
              </w:rPr>
              <w:t>10.5%</w:t>
            </w:r>
          </w:p>
        </w:tc>
        <w:tc>
          <w:tcPr>
            <w:tcW w:w="9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23.3%</w:t>
            </w:r>
          </w:p>
        </w:tc>
      </w:tr>
      <w:tr>
        <w:trPr>
          <w:trHeight w:val="304"/>
        </w:trPr>
        <w:tc>
          <w:tcPr>
            <w:tcW w:w="4980" w:type="dxa"/>
            <w:vAlign w:val="bottom"/>
          </w:tcPr>
          <w:p>
            <w:pPr>
              <w:spacing w:after="0"/>
              <w:rPr>
                <w:sz w:val="24"/>
                <w:szCs w:val="24"/>
                <w:color w:val="auto"/>
              </w:rPr>
            </w:pPr>
          </w:p>
        </w:tc>
        <w:tc>
          <w:tcPr>
            <w:tcW w:w="1720" w:type="dxa"/>
            <w:vAlign w:val="bottom"/>
          </w:tcPr>
          <w:p>
            <w:pPr>
              <w:jc w:val="right"/>
              <w:ind w:right="774"/>
              <w:spacing w:after="0"/>
              <w:rPr>
                <w:sz w:val="20"/>
                <w:szCs w:val="20"/>
                <w:color w:val="auto"/>
              </w:rPr>
            </w:pPr>
            <w:r>
              <w:rPr>
                <w:rFonts w:ascii="Arial" w:cs="Arial" w:eastAsia="Arial" w:hAnsi="Arial"/>
                <w:sz w:val="14"/>
                <w:szCs w:val="14"/>
                <w:b w:val="1"/>
                <w:bCs w:val="1"/>
                <w:color w:val="auto"/>
              </w:rPr>
              <w:t>25</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Arial" w:cs="Arial" w:eastAsia="Arial" w:hAnsi="Arial"/>
                <w:sz w:val="14"/>
                <w:szCs w:val="14"/>
                <w:color w:val="auto"/>
                <w:w w:val="97"/>
              </w:rPr>
              <w:t>Comcast 2008 Annual Report on Form 10-K</w:t>
            </w:r>
          </w:p>
        </w:tc>
      </w:tr>
    </w:tbl>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Revenue</w:t>
      </w:r>
    </w:p>
    <w:p>
      <w:pPr>
        <w:jc w:val="both"/>
        <w:spacing w:after="0" w:line="236" w:lineRule="auto"/>
        <w:rPr>
          <w:sz w:val="20"/>
          <w:szCs w:val="20"/>
          <w:color w:val="auto"/>
        </w:rPr>
      </w:pPr>
      <w:r>
        <w:rPr>
          <w:rFonts w:ascii="Arial" w:cs="Arial" w:eastAsia="Arial" w:hAnsi="Arial"/>
          <w:sz w:val="18"/>
          <w:szCs w:val="18"/>
          <w:color w:val="auto"/>
        </w:rPr>
        <w:t>Our average monthly total revenue per video customer increased to approximately $110 in 2008 from approximately $102 in 2007 and approximately $95 in 2006. The increases in average monthly total revenue per video customer are primarily due to an increased number of customers receiving multiple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915920" cy="1964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159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Video</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offer video services ranging from a limited analog service to a full digital service with access to hundreds of channels, including premium and pay-per-view channels. Digital video customers may also subscribe to advanced digital video services, including DVR and HDTV. As of December 31, 2008, 70% of our video customers subscribed to at least one of our digital video services, compared to 63% and 52% as of December 31, 2007 and 2006, respectively.</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video revenue continued to grow in 2008 and 2007 due to customer growth in our digital video services, including the demand for digital features such as On Demand, DVR and HDTV; rate adjustments; and the addition of our newly acquired cable systems. During 2008 and 2007, we added approximately 1.5 million and 2.5 million digital video customers, respectively. During 2008 and 2007, the number of video customers decreased by approximately 575,000 and 180,000, respectively, excluding the impact of the newly acquired cable systems, primarily due to increased competition in our service areas, as well as weakness in the overall economy. Continued competition and weak economic conditions are expected to result in further declines in the number of video customers during 2009. In 2008, approximately $455 million of the increase in our video revenue was attributable to our newly acquired cable systems. In 2007, the amount was approximately $1.6 billion. Our average monthly video revenue per video customer increased to approximately $64 in 2008 from approximately $61 in 2007 and approximately $57 in 2006.</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High-Speed Internet</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offer high-speed Internet services with Internet access at downstream speeds of up to 24 Mbps, depending on the service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Comcast 2008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selected, and up to 50 Mbps with the introduction of DOCSIS 3.0 technology, also referred to as Wideband, based on geographic market availability. These services also include our Internet portal, Comcast.net, which provides multiple e-mail addresses and online storage, as well as a variety of proprietary content and value-added features and enhancements that are designed to take advantage of the speed our services provide.</w:t>
      </w:r>
    </w:p>
    <w:p>
      <w:pPr>
        <w:spacing w:after="0" w:line="155" w:lineRule="exact"/>
        <w:rPr>
          <w:sz w:val="20"/>
          <w:szCs w:val="20"/>
          <w:color w:val="auto"/>
        </w:rPr>
      </w:pPr>
    </w:p>
    <w:p>
      <w:pPr>
        <w:jc w:val="both"/>
        <w:ind w:left="120"/>
        <w:spacing w:after="0" w:line="267" w:lineRule="auto"/>
        <w:rPr>
          <w:sz w:val="20"/>
          <w:szCs w:val="20"/>
          <w:color w:val="auto"/>
        </w:rPr>
      </w:pPr>
      <w:r>
        <w:rPr>
          <w:rFonts w:ascii="Arial" w:cs="Arial" w:eastAsia="Arial" w:hAnsi="Arial"/>
          <w:sz w:val="16"/>
          <w:szCs w:val="16"/>
          <w:color w:val="auto"/>
        </w:rPr>
        <w:t>Revenue increased in 2008 and 2007 primarily due to an increase in the number of customers and the addition of our newly acquired cable systems. As of December 31, 2008, 30% of the homes in the areas we serve subscribed to our high-speed Internet service, compared to 28% and 25% as of December 31, 2007 and 2006, respectively. In 2008, approximately $157 million of the increase in revenue was attributable to our newly acquired cable systems. In 2007, the amount was approximately $640 million. Average monthly revenue per high-speed Internet customer has remained relatively stable, between $42 and $43 from 2006 to 2008. We expect the rates of customer and revenue growth to slow in 2009 due to the market maturing, increased competition and weak economic conditions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214630</wp:posOffset>
            </wp:positionV>
            <wp:extent cx="2915920" cy="2049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1592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52A2DD"/>
        </w:rPr>
        <w:t>Phone</w:t>
      </w:r>
    </w:p>
    <w:p>
      <w:pPr>
        <w:spacing w:after="0" w:line="1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offer digital phone services that provide local and long-distance calling and include features such as voice mail, caller ID and call waiting. As of December 31, 2008, our digital phone services were available to approximately 47 million or 92% of the homes in the areas we serve.</w:t>
      </w:r>
    </w:p>
    <w:p>
      <w:pPr>
        <w:spacing w:after="0" w:line="157"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Revenue increased significantly in 2008 and 2007 as a result of increases in the number of digital phone customers. These increases were partially offset by the loss of approximately 170,000 and 470,000 circuit-switched phone customers in 2008 and 2007, respectively. We phased out substantially all of our circuit-switched phone service in 2008. In 2008, approximately $43 million of the increase in our phone revenue was attributable to our newly acquired cable systems. In 2007, the amount was approximately $100 million. Average monthly revenue per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2">
            <w:col w:w="5480" w:space="220"/>
            <w:col w:w="5600"/>
          </w:cols>
          <w:pgMar w:left="240" w:top="459" w:right="3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customer for our digital phone service has declined, to approximately $39 in 2008 from approximately $42 in 2007 and approximately $45 in 2006, due to customers receiving service as part of a promotional offer or in a bundled service offering. We expect the rates of customer and revenue growth to slow in 2009, because we do not expect to launch any significant new service areas in 2009 and due to weak economic conditions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2915920" cy="2006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592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Advertising</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part of our programming license agreements with programming networks, we receive an allocation of scheduled advertising time that we may sell to local, regional and national advertisers. We also coordinate the advertising sales efforts of other cable operators in some markets, and in some markets we operate advertising interconnects. These interconnects establish a physical, direct link between multiple cable systems and provide for the sale of regional and national advertising across larger geographic areas than could be provided by a single cable operator.</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Advertising revenue decreased in 2008 primarily due to a decline in the television advertising market, including the automotive and housing sectors, offset by an increase in political advertising and the addition of the newly acquired cable systems. Advertising revenue increased in 2007 as a result of our newly acquired cable systems. Absent the growth from the newly acquired cable systems, advertising revenue decreased slightly in 2007, reflecting weakness across the television advertising market, a lower level of political advertising and one less week in the broadcast calendar during 2007 compared to 2006. We expect our advertising revenue to decline in 2009 due to a deteriorating advertising market, less political advertising and weak economic conditions continuing.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-756285</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68" w:lineRule="auto"/>
        <w:rPr>
          <w:sz w:val="20"/>
          <w:szCs w:val="20"/>
          <w:color w:val="auto"/>
        </w:rPr>
      </w:pPr>
      <w:r>
        <w:rPr>
          <w:rFonts w:ascii="Arial" w:cs="Arial" w:eastAsia="Arial" w:hAnsi="Arial"/>
          <w:sz w:val="16"/>
          <w:szCs w:val="16"/>
          <w:color w:val="auto"/>
        </w:rPr>
        <w:t>We also generate revenue from our regional sports networks, our digital media center, on-screen guide advertising, commissions from electronic retailing networks and fees for other services. Our regional sports networks include Comcast SportsNet (Philadelphia), Comcast SportsNet Mid-Atlantic (Baltimore/ Washington), Cable Sports Southeast, Comcast SportsNet Chicago, Comcast SportsNet California (Sacramento), Comcast SportsNet Northwest (Portland), Comcast SportsNet New England (Boston), Comcast SportsNet Bay Area (San Francisco) and MountainWest Sports Network. These networks generate revenue through programming license agreements with multichannel video providers and the sale of advertising time.</w:t>
      </w:r>
    </w:p>
    <w:p>
      <w:pPr>
        <w:spacing w:after="0" w:line="336"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Other revenue increased in 2008 and 2007 as a result of our acquisitions in June 2007 of Comcast SportsNet Bay Area and Comcast SportsNet New England and our acquisitions of the newly acquired cable systems.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Franchise Fees</w:t>
      </w:r>
    </w:p>
    <w:p>
      <w:pPr>
        <w:spacing w:after="0" w:line="14"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Our franchise fee revenue represents the pass-through to our customers of the fees required to be paid to state and local franchising authorities. Under the terms of our franchise agreements, we are generally required to pay to the franchising authority an amount based on our gross video revenue. The increases in franchise fees collected from our cable customers in 2008 and 2007 were primarily due to increases in the revenue on which the fees apply.</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Expenses</w:t>
      </w:r>
    </w:p>
    <w:p>
      <w:pPr>
        <w:jc w:val="both"/>
        <w:ind w:right="120"/>
        <w:spacing w:after="0" w:line="237" w:lineRule="auto"/>
        <w:rPr>
          <w:sz w:val="20"/>
          <w:szCs w:val="20"/>
          <w:color w:val="auto"/>
        </w:rPr>
      </w:pPr>
      <w:r>
        <w:rPr>
          <w:rFonts w:ascii="Arial" w:cs="Arial" w:eastAsia="Arial" w:hAnsi="Arial"/>
          <w:sz w:val="18"/>
          <w:szCs w:val="18"/>
          <w:color w:val="auto"/>
        </w:rPr>
        <w:t>We continue to focus on controlling the growth of expenses. Our operating margins (operating income before depreciation and amortization as a percentage of revenue) for 2008, 2007 and 2006 were 40.6 %, 40.7% and 40.2%,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96520</wp:posOffset>
            </wp:positionV>
            <wp:extent cx="2915920" cy="1981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15920" cy="1981200"/>
                    </a:xfrm>
                    <a:prstGeom prst="rect">
                      <a:avLst/>
                    </a:prstGeom>
                    <a:noFill/>
                  </pic:spPr>
                </pic:pic>
              </a:graphicData>
            </a:graphic>
          </wp:anchor>
        </w:drawing>
      </w:r>
    </w:p>
    <w:p>
      <w:pPr>
        <w:spacing w:after="0" w:line="3489"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33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Cable Segment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right"/>
              <w:ind w:right="257"/>
              <w:spacing w:after="0"/>
              <w:rPr>
                <w:sz w:val="20"/>
                <w:szCs w:val="20"/>
                <w:color w:val="auto"/>
              </w:rPr>
            </w:pPr>
            <w:r>
              <w:rPr>
                <w:rFonts w:ascii="Arial" w:cs="Arial" w:eastAsia="Arial" w:hAnsi="Arial"/>
                <w:sz w:val="14"/>
                <w:szCs w:val="14"/>
                <w:color w:val="auto"/>
              </w:rPr>
              <w:t>% Change</w:t>
            </w:r>
          </w:p>
        </w:tc>
        <w:tc>
          <w:tcPr>
            <w:tcW w:w="1140" w:type="dxa"/>
            <w:vAlign w:val="bottom"/>
          </w:tcPr>
          <w:p>
            <w:pPr>
              <w:jc w:val="right"/>
              <w:ind w:right="77"/>
              <w:spacing w:after="0"/>
              <w:rPr>
                <w:sz w:val="20"/>
                <w:szCs w:val="20"/>
                <w:color w:val="auto"/>
              </w:rPr>
            </w:pPr>
            <w:r>
              <w:rPr>
                <w:rFonts w:ascii="Arial" w:cs="Arial" w:eastAsia="Arial" w:hAnsi="Arial"/>
                <w:sz w:val="14"/>
                <w:szCs w:val="14"/>
                <w:color w:val="auto"/>
              </w:rPr>
              <w:t>% Change</w:t>
            </w:r>
          </w:p>
        </w:tc>
      </w:tr>
      <w:tr>
        <w:trPr>
          <w:trHeight w:val="149"/>
        </w:trPr>
        <w:tc>
          <w:tcPr>
            <w:tcW w:w="40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19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5"/>
              <w:spacing w:after="0" w:line="149" w:lineRule="exact"/>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rPr>
              <w:t>2007</w:t>
            </w:r>
          </w:p>
        </w:tc>
        <w:tc>
          <w:tcPr>
            <w:tcW w:w="102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rPr>
              <w:t>2006</w:t>
            </w:r>
          </w:p>
        </w:tc>
        <w:tc>
          <w:tcPr>
            <w:tcW w:w="1360" w:type="dxa"/>
            <w:vAlign w:val="bottom"/>
            <w:tcBorders>
              <w:bottom w:val="single" w:sz="8" w:color="auto"/>
            </w:tcBorders>
          </w:tcPr>
          <w:p>
            <w:pPr>
              <w:jc w:val="right"/>
              <w:ind w:right="257"/>
              <w:spacing w:after="0" w:line="149" w:lineRule="exact"/>
              <w:rPr>
                <w:sz w:val="20"/>
                <w:szCs w:val="20"/>
                <w:color w:val="auto"/>
              </w:rPr>
            </w:pPr>
            <w:r>
              <w:rPr>
                <w:rFonts w:ascii="Arial" w:cs="Arial" w:eastAsia="Arial" w:hAnsi="Arial"/>
                <w:sz w:val="14"/>
                <w:szCs w:val="14"/>
                <w:color w:val="auto"/>
              </w:rPr>
              <w:t>2007 to 2008</w:t>
            </w:r>
          </w:p>
        </w:tc>
        <w:tc>
          <w:tcPr>
            <w:tcW w:w="1140" w:type="dxa"/>
            <w:vAlign w:val="bottom"/>
            <w:tcBorders>
              <w:bottom w:val="single" w:sz="8" w:color="auto"/>
            </w:tcBorders>
          </w:tcPr>
          <w:p>
            <w:pPr>
              <w:jc w:val="right"/>
              <w:ind w:right="77"/>
              <w:spacing w:after="0" w:line="149" w:lineRule="exact"/>
              <w:rPr>
                <w:sz w:val="20"/>
                <w:szCs w:val="20"/>
                <w:color w:val="auto"/>
              </w:rPr>
            </w:pPr>
            <w:r>
              <w:rPr>
                <w:rFonts w:ascii="Arial" w:cs="Arial" w:eastAsia="Arial" w:hAnsi="Arial"/>
                <w:sz w:val="14"/>
                <w:szCs w:val="14"/>
                <w:color w:val="auto"/>
              </w:rPr>
              <w:t>2006 to 2007</w:t>
            </w:r>
          </w:p>
        </w:tc>
      </w:tr>
      <w:tr>
        <w:trPr>
          <w:trHeight w:val="199"/>
        </w:trPr>
        <w:tc>
          <w:tcPr>
            <w:tcW w:w="4080" w:type="dxa"/>
            <w:vAlign w:val="bottom"/>
          </w:tcPr>
          <w:p>
            <w:pPr>
              <w:spacing w:after="0" w:line="200" w:lineRule="exact"/>
              <w:rPr>
                <w:sz w:val="20"/>
                <w:szCs w:val="20"/>
                <w:color w:val="auto"/>
              </w:rPr>
            </w:pPr>
            <w:r>
              <w:rPr>
                <w:rFonts w:ascii="Arial" w:cs="Arial" w:eastAsia="Arial" w:hAnsi="Arial"/>
                <w:sz w:val="18"/>
                <w:szCs w:val="18"/>
                <w:color w:val="auto"/>
              </w:rPr>
              <w:t>Video programming</w:t>
            </w:r>
          </w:p>
        </w:tc>
        <w:tc>
          <w:tcPr>
            <w:tcW w:w="19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6,479</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5,813</w:t>
            </w:r>
          </w:p>
        </w:tc>
        <w:tc>
          <w:tcPr>
            <w:tcW w:w="102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$4,848</w:t>
            </w:r>
          </w:p>
        </w:tc>
        <w:tc>
          <w:tcPr>
            <w:tcW w:w="1360" w:type="dxa"/>
            <w:vAlign w:val="bottom"/>
          </w:tcPr>
          <w:p>
            <w:pPr>
              <w:jc w:val="right"/>
              <w:ind w:right="97"/>
              <w:spacing w:after="0" w:line="200" w:lineRule="exact"/>
              <w:rPr>
                <w:sz w:val="20"/>
                <w:szCs w:val="20"/>
                <w:color w:val="auto"/>
              </w:rPr>
            </w:pPr>
            <w:r>
              <w:rPr>
                <w:rFonts w:ascii="Arial" w:cs="Arial" w:eastAsia="Arial" w:hAnsi="Arial"/>
                <w:sz w:val="18"/>
                <w:szCs w:val="18"/>
                <w:color w:val="auto"/>
              </w:rPr>
              <w:t>11.5%</w:t>
            </w:r>
          </w:p>
        </w:tc>
        <w:tc>
          <w:tcPr>
            <w:tcW w:w="1140" w:type="dxa"/>
            <w:vAlign w:val="bottom"/>
          </w:tcPr>
          <w:p>
            <w:pPr>
              <w:ind w:left="640"/>
              <w:spacing w:after="0" w:line="200" w:lineRule="exact"/>
              <w:rPr>
                <w:sz w:val="20"/>
                <w:szCs w:val="20"/>
                <w:color w:val="auto"/>
              </w:rPr>
            </w:pPr>
            <w:r>
              <w:rPr>
                <w:rFonts w:ascii="Arial" w:cs="Arial" w:eastAsia="Arial" w:hAnsi="Arial"/>
                <w:sz w:val="18"/>
                <w:szCs w:val="18"/>
                <w:color w:val="auto"/>
                <w:w w:val="93"/>
              </w:rPr>
              <w:t>19.9%</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Technical labor costs</w:t>
            </w:r>
          </w:p>
        </w:tc>
        <w:tc>
          <w:tcPr>
            <w:tcW w:w="1940" w:type="dxa"/>
            <w:vAlign w:val="bottom"/>
          </w:tcPr>
          <w:p>
            <w:pPr>
              <w:spacing w:after="0"/>
              <w:rPr>
                <w:sz w:val="17"/>
                <w:szCs w:val="17"/>
                <w:color w:val="auto"/>
              </w:rPr>
            </w:pP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2,138</w:t>
            </w:r>
          </w:p>
        </w:tc>
        <w:tc>
          <w:tcPr>
            <w:tcW w:w="34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1,899</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1,572</w:t>
            </w:r>
          </w:p>
        </w:tc>
        <w:tc>
          <w:tcPr>
            <w:tcW w:w="136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12.6</w:t>
            </w:r>
          </w:p>
        </w:tc>
        <w:tc>
          <w:tcPr>
            <w:tcW w:w="1140" w:type="dxa"/>
            <w:vAlign w:val="bottom"/>
          </w:tcPr>
          <w:p>
            <w:pPr>
              <w:ind w:left="640"/>
              <w:spacing w:after="0" w:line="202" w:lineRule="exact"/>
              <w:rPr>
                <w:sz w:val="20"/>
                <w:szCs w:val="20"/>
                <w:color w:val="auto"/>
              </w:rPr>
            </w:pPr>
            <w:r>
              <w:rPr>
                <w:rFonts w:ascii="Arial" w:cs="Arial" w:eastAsia="Arial" w:hAnsi="Arial"/>
                <w:sz w:val="18"/>
                <w:szCs w:val="18"/>
                <w:color w:val="auto"/>
              </w:rPr>
              <w:t>20.8</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1940" w:type="dxa"/>
            <w:vAlign w:val="bottom"/>
          </w:tcPr>
          <w:p>
            <w:pPr>
              <w:spacing w:after="0"/>
              <w:rPr>
                <w:sz w:val="17"/>
                <w:szCs w:val="17"/>
                <w:color w:val="auto"/>
              </w:rPr>
            </w:pP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523</w:t>
            </w:r>
          </w:p>
        </w:tc>
        <w:tc>
          <w:tcPr>
            <w:tcW w:w="34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575</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435</w:t>
            </w:r>
          </w:p>
        </w:tc>
        <w:tc>
          <w:tcPr>
            <w:tcW w:w="13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(9.0)</w:t>
            </w:r>
          </w:p>
        </w:tc>
        <w:tc>
          <w:tcPr>
            <w:tcW w:w="1140" w:type="dxa"/>
            <w:vAlign w:val="bottom"/>
          </w:tcPr>
          <w:p>
            <w:pPr>
              <w:ind w:left="640"/>
              <w:spacing w:after="0" w:line="202" w:lineRule="exact"/>
              <w:rPr>
                <w:sz w:val="20"/>
                <w:szCs w:val="20"/>
                <w:color w:val="auto"/>
              </w:rPr>
            </w:pPr>
            <w:r>
              <w:rPr>
                <w:rFonts w:ascii="Arial" w:cs="Arial" w:eastAsia="Arial" w:hAnsi="Arial"/>
                <w:sz w:val="18"/>
                <w:szCs w:val="18"/>
                <w:color w:val="auto"/>
              </w:rPr>
              <w:t>32.2</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1940" w:type="dxa"/>
            <w:vAlign w:val="bottom"/>
          </w:tcPr>
          <w:p>
            <w:pPr>
              <w:spacing w:after="0"/>
              <w:rPr>
                <w:sz w:val="17"/>
                <w:szCs w:val="17"/>
                <w:color w:val="auto"/>
              </w:rPr>
            </w:pP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730</w:t>
            </w:r>
          </w:p>
        </w:tc>
        <w:tc>
          <w:tcPr>
            <w:tcW w:w="34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685</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427</w:t>
            </w:r>
          </w:p>
        </w:tc>
        <w:tc>
          <w:tcPr>
            <w:tcW w:w="136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6.6</w:t>
            </w:r>
          </w:p>
        </w:tc>
        <w:tc>
          <w:tcPr>
            <w:tcW w:w="1140" w:type="dxa"/>
            <w:vAlign w:val="bottom"/>
          </w:tcPr>
          <w:p>
            <w:pPr>
              <w:ind w:left="640"/>
              <w:spacing w:after="0" w:line="202" w:lineRule="exact"/>
              <w:rPr>
                <w:sz w:val="20"/>
                <w:szCs w:val="20"/>
                <w:color w:val="auto"/>
              </w:rPr>
            </w:pPr>
            <w:r>
              <w:rPr>
                <w:rFonts w:ascii="Arial" w:cs="Arial" w:eastAsia="Arial" w:hAnsi="Arial"/>
                <w:sz w:val="18"/>
                <w:szCs w:val="18"/>
                <w:color w:val="auto"/>
              </w:rPr>
              <w:t>60.4</w:t>
            </w:r>
          </w:p>
        </w:tc>
      </w:tr>
      <w:tr>
        <w:trPr>
          <w:trHeight w:val="199"/>
        </w:trPr>
        <w:tc>
          <w:tcPr>
            <w:tcW w:w="40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19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2,794</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rPr>
              <w:t>2,437</w:t>
            </w:r>
          </w:p>
        </w:tc>
        <w:tc>
          <w:tcPr>
            <w:tcW w:w="102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rPr>
              <w:t>2,040</w:t>
            </w:r>
          </w:p>
        </w:tc>
        <w:tc>
          <w:tcPr>
            <w:tcW w:w="1360" w:type="dxa"/>
            <w:vAlign w:val="bottom"/>
            <w:tcBorders>
              <w:bottom w:val="single" w:sz="8" w:color="auto"/>
            </w:tcBorders>
          </w:tcPr>
          <w:p>
            <w:pPr>
              <w:jc w:val="right"/>
              <w:ind w:right="257"/>
              <w:spacing w:after="0" w:line="200" w:lineRule="exact"/>
              <w:rPr>
                <w:sz w:val="20"/>
                <w:szCs w:val="20"/>
                <w:color w:val="auto"/>
              </w:rPr>
            </w:pPr>
            <w:r>
              <w:rPr>
                <w:rFonts w:ascii="Arial" w:cs="Arial" w:eastAsia="Arial" w:hAnsi="Arial"/>
                <w:sz w:val="18"/>
                <w:szCs w:val="18"/>
                <w:color w:val="auto"/>
              </w:rPr>
              <w:t>14.6</w:t>
            </w:r>
          </w:p>
        </w:tc>
        <w:tc>
          <w:tcPr>
            <w:tcW w:w="1140" w:type="dxa"/>
            <w:vAlign w:val="bottom"/>
            <w:tcBorders>
              <w:bottom w:val="single" w:sz="8" w:color="auto"/>
            </w:tcBorders>
          </w:tcPr>
          <w:p>
            <w:pPr>
              <w:ind w:left="640"/>
              <w:spacing w:after="0" w:line="200" w:lineRule="exact"/>
              <w:rPr>
                <w:sz w:val="20"/>
                <w:szCs w:val="20"/>
                <w:color w:val="auto"/>
              </w:rPr>
            </w:pPr>
            <w:r>
              <w:rPr>
                <w:rFonts w:ascii="Arial" w:cs="Arial" w:eastAsia="Arial" w:hAnsi="Arial"/>
                <w:sz w:val="18"/>
                <w:szCs w:val="18"/>
                <w:color w:val="auto"/>
              </w:rPr>
              <w:t>19.5</w:t>
            </w:r>
          </w:p>
        </w:tc>
      </w:tr>
      <w:tr>
        <w:trPr>
          <w:trHeight w:val="196"/>
        </w:trPr>
        <w:tc>
          <w:tcPr>
            <w:tcW w:w="40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color w:val="auto"/>
                <w:w w:val="94"/>
              </w:rPr>
              <w:t>12,664</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w w:val="94"/>
              </w:rPr>
              <w:t>11,409</w:t>
            </w:r>
          </w:p>
        </w:tc>
        <w:tc>
          <w:tcPr>
            <w:tcW w:w="102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rPr>
              <w:t>$9,322</w:t>
            </w:r>
          </w:p>
        </w:tc>
        <w:tc>
          <w:tcPr>
            <w:tcW w:w="1360" w:type="dxa"/>
            <w:vAlign w:val="bottom"/>
            <w:tcBorders>
              <w:bottom w:val="single" w:sz="8" w:color="52A2DD"/>
            </w:tcBorders>
          </w:tcPr>
          <w:p>
            <w:pPr>
              <w:jc w:val="right"/>
              <w:ind w:right="97"/>
              <w:spacing w:after="0" w:line="196" w:lineRule="exact"/>
              <w:rPr>
                <w:sz w:val="20"/>
                <w:szCs w:val="20"/>
                <w:color w:val="auto"/>
              </w:rPr>
            </w:pPr>
            <w:r>
              <w:rPr>
                <w:rFonts w:ascii="Arial" w:cs="Arial" w:eastAsia="Arial" w:hAnsi="Arial"/>
                <w:sz w:val="18"/>
                <w:szCs w:val="18"/>
                <w:color w:val="auto"/>
              </w:rPr>
              <w:t>11.0%</w:t>
            </w:r>
          </w:p>
        </w:tc>
        <w:tc>
          <w:tcPr>
            <w:tcW w:w="1140" w:type="dxa"/>
            <w:vAlign w:val="bottom"/>
            <w:tcBorders>
              <w:bottom w:val="single" w:sz="8" w:color="52A2DD"/>
            </w:tcBorders>
          </w:tcPr>
          <w:p>
            <w:pPr>
              <w:ind w:left="640"/>
              <w:spacing w:after="0" w:line="196" w:lineRule="exact"/>
              <w:rPr>
                <w:sz w:val="20"/>
                <w:szCs w:val="20"/>
                <w:color w:val="auto"/>
              </w:rPr>
            </w:pPr>
            <w:r>
              <w:rPr>
                <w:rFonts w:ascii="Arial" w:cs="Arial" w:eastAsia="Arial" w:hAnsi="Arial"/>
                <w:sz w:val="18"/>
                <w:szCs w:val="18"/>
                <w:color w:val="auto"/>
                <w:w w:val="93"/>
              </w:rPr>
              <w:t>22.4%</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Video programming expenses, our largest operating expense, are the fees we pay to programming networks to license the programming we package, offer and distribute to our video customers. These expenses are affected by changes in the fees charged by programming networks, the number of our video customers and the number of programming options we offer. Video programming expenses increased in 2008 and 2007, primarily due to rate increases, additional digital customers, an additional number of programming options and additional customers from our newly acquired cable systems. We anticipate that our video programming expenses will continue to increase in 2009 and in the future as the fees charged by programming networks increase, as new fees for retransmission of broadcast networks are incurred and as we provide additional channels and video on demand programming options to our customers.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Technical labor expenses include the internal and external labor to complete service call and installation activities in the home, network operations, fulfillment and provisioning costs. These expenses increased in 2008 and 2007 primarily due to growth in the number of customers, which required additional personnel to handle service calls and provide in-house customer support and the addition of our newly acquired cable systems.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Cable Segment Selling, General and Administrative Expenses</w:t>
      </w:r>
    </w:p>
    <w:p>
      <w:pPr>
        <w:spacing w:after="0" w:line="20" w:lineRule="exact"/>
        <w:rPr>
          <w:sz w:val="20"/>
          <w:szCs w:val="20"/>
          <w:color w:val="auto"/>
        </w:rPr>
      </w:pPr>
      <w:r>
        <w:rPr>
          <w:sz w:val="20"/>
          <w:szCs w:val="20"/>
          <w:color w:val="auto"/>
        </w:rPr>
        <w:br w:type="column"/>
      </w:r>
    </w:p>
    <w:p>
      <w:pPr>
        <w:jc w:val="both"/>
        <w:ind w:right="120"/>
        <w:spacing w:after="0" w:line="266" w:lineRule="auto"/>
        <w:rPr>
          <w:sz w:val="20"/>
          <w:szCs w:val="20"/>
          <w:color w:val="auto"/>
        </w:rPr>
      </w:pPr>
      <w:r>
        <w:rPr>
          <w:rFonts w:ascii="Arial" w:cs="Arial" w:eastAsia="Arial" w:hAnsi="Arial"/>
          <w:sz w:val="16"/>
          <w:szCs w:val="16"/>
          <w:color w:val="auto"/>
        </w:rPr>
        <w:t>High-speed Internet expenses and phone expenses include certain direct costs identified by us for providing these services. Other related costs associated with providing these services are generally shared among all our cable services and are not allocated to these captions. The decrease in high-speed Internet expenses in 2008 was primarily driven by lower support service costs that were the result of our entering into new contracts with lower cost providers and renegotiating existing contracts. High-speed Internet expenses increased in 2007 primarily due to growth in the number of customers receiving these services and the addition of our newly acquired cable systems. Phone expenses grew at a lower rate in 2008 due to efficiencies associated with an increased number of customers as well as the least-cost routing of call traffic and lower support service costs that were the result of our entering into new contracts with lower cost providers and renegotiating existing contracts. Phone expenses increased in 2007 primarily due to growth in the number of customers receiving these services and the addition of our newly acquired cable systems.</w:t>
      </w:r>
    </w:p>
    <w:p>
      <w:pPr>
        <w:spacing w:after="0" w:line="316"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Other operating expenses include franchise fees, pole rentals, plant maintenance and vehicle-related costs, including fuel, as well as expenses related to our regional sports networks. These expenses increased in 2008 and 2007 primarily due to the addition of our newly acquired cable systems and the acquisitions in June 2007 of Comcast SportsNet Bay Area and Comcast SportsNet New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252730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right"/>
              <w:ind w:right="259"/>
              <w:spacing w:after="0"/>
              <w:rPr>
                <w:sz w:val="20"/>
                <w:szCs w:val="20"/>
                <w:color w:val="auto"/>
              </w:rPr>
            </w:pPr>
            <w:r>
              <w:rPr>
                <w:rFonts w:ascii="Arial" w:cs="Arial" w:eastAsia="Arial" w:hAnsi="Arial"/>
                <w:sz w:val="14"/>
                <w:szCs w:val="14"/>
                <w:color w:val="auto"/>
              </w:rPr>
              <w:t>% Change</w:t>
            </w:r>
          </w:p>
        </w:tc>
        <w:tc>
          <w:tcPr>
            <w:tcW w:w="1140" w:type="dxa"/>
            <w:vAlign w:val="bottom"/>
          </w:tcPr>
          <w:p>
            <w:pPr>
              <w:jc w:val="right"/>
              <w:ind w:right="79"/>
              <w:spacing w:after="0"/>
              <w:rPr>
                <w:sz w:val="20"/>
                <w:szCs w:val="20"/>
                <w:color w:val="auto"/>
              </w:rPr>
            </w:pPr>
            <w:r>
              <w:rPr>
                <w:rFonts w:ascii="Arial" w:cs="Arial" w:eastAsia="Arial" w:hAnsi="Arial"/>
                <w:sz w:val="14"/>
                <w:szCs w:val="14"/>
                <w:color w:val="auto"/>
              </w:rPr>
              <w:t>% Change</w:t>
            </w:r>
          </w:p>
        </w:tc>
      </w:tr>
      <w:tr>
        <w:trPr>
          <w:trHeight w:val="149"/>
        </w:trPr>
        <w:tc>
          <w:tcPr>
            <w:tcW w:w="4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2480" w:type="dxa"/>
            <w:vAlign w:val="bottom"/>
            <w:tcBorders>
              <w:bottom w:val="single" w:sz="8" w:color="auto"/>
            </w:tcBorders>
          </w:tcPr>
          <w:p>
            <w:pPr>
              <w:jc w:val="right"/>
              <w:ind w:right="136"/>
              <w:spacing w:after="0" w:line="149" w:lineRule="exact"/>
              <w:rPr>
                <w:sz w:val="20"/>
                <w:szCs w:val="20"/>
                <w:color w:val="auto"/>
              </w:rPr>
            </w:pPr>
            <w:r>
              <w:rPr>
                <w:rFonts w:ascii="Arial" w:cs="Arial" w:eastAsia="Arial" w:hAnsi="Arial"/>
                <w:sz w:val="14"/>
                <w:szCs w:val="14"/>
                <w:color w:val="auto"/>
              </w:rPr>
              <w:t>2008</w:t>
            </w:r>
          </w:p>
        </w:tc>
        <w:tc>
          <w:tcPr>
            <w:tcW w:w="1020" w:type="dxa"/>
            <w:vAlign w:val="bottom"/>
            <w:tcBorders>
              <w:bottom w:val="single" w:sz="8" w:color="auto"/>
            </w:tcBorders>
          </w:tcPr>
          <w:p>
            <w:pPr>
              <w:jc w:val="right"/>
              <w:ind w:right="156"/>
              <w:spacing w:after="0" w:line="149" w:lineRule="exact"/>
              <w:rPr>
                <w:sz w:val="20"/>
                <w:szCs w:val="20"/>
                <w:color w:val="auto"/>
              </w:rPr>
            </w:pPr>
            <w:r>
              <w:rPr>
                <w:rFonts w:ascii="Arial" w:cs="Arial" w:eastAsia="Arial" w:hAnsi="Arial"/>
                <w:sz w:val="14"/>
                <w:szCs w:val="14"/>
                <w:color w:val="auto"/>
              </w:rPr>
              <w:t>2007</w:t>
            </w:r>
          </w:p>
        </w:tc>
        <w:tc>
          <w:tcPr>
            <w:tcW w:w="1020" w:type="dxa"/>
            <w:vAlign w:val="bottom"/>
            <w:tcBorders>
              <w:bottom w:val="single" w:sz="8" w:color="auto"/>
            </w:tcBorders>
          </w:tcPr>
          <w:p>
            <w:pPr>
              <w:jc w:val="right"/>
              <w:ind w:right="156"/>
              <w:spacing w:after="0" w:line="149" w:lineRule="exact"/>
              <w:rPr>
                <w:sz w:val="20"/>
                <w:szCs w:val="20"/>
                <w:color w:val="auto"/>
              </w:rPr>
            </w:pPr>
            <w:r>
              <w:rPr>
                <w:rFonts w:ascii="Arial" w:cs="Arial" w:eastAsia="Arial" w:hAnsi="Arial"/>
                <w:sz w:val="14"/>
                <w:szCs w:val="14"/>
                <w:color w:val="auto"/>
              </w:rPr>
              <w:t>2006</w:t>
            </w:r>
          </w:p>
        </w:tc>
        <w:tc>
          <w:tcPr>
            <w:tcW w:w="1360" w:type="dxa"/>
            <w:vAlign w:val="bottom"/>
            <w:tcBorders>
              <w:bottom w:val="single" w:sz="8" w:color="auto"/>
            </w:tcBorders>
          </w:tcPr>
          <w:p>
            <w:pPr>
              <w:jc w:val="right"/>
              <w:ind w:right="259"/>
              <w:spacing w:after="0" w:line="149" w:lineRule="exact"/>
              <w:rPr>
                <w:sz w:val="20"/>
                <w:szCs w:val="20"/>
                <w:color w:val="auto"/>
              </w:rPr>
            </w:pPr>
            <w:r>
              <w:rPr>
                <w:rFonts w:ascii="Arial" w:cs="Arial" w:eastAsia="Arial" w:hAnsi="Arial"/>
                <w:sz w:val="14"/>
                <w:szCs w:val="14"/>
                <w:color w:val="auto"/>
              </w:rPr>
              <w:t>2007 to 2008</w:t>
            </w:r>
          </w:p>
        </w:tc>
        <w:tc>
          <w:tcPr>
            <w:tcW w:w="114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color w:val="auto"/>
              </w:rPr>
              <w:t>2006 to 2007</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color w:val="auto"/>
              </w:rPr>
              <w:t>Customer service</w:t>
            </w:r>
          </w:p>
        </w:tc>
        <w:tc>
          <w:tcPr>
            <w:tcW w:w="2480" w:type="dxa"/>
            <w:vAlign w:val="bottom"/>
          </w:tcPr>
          <w:p>
            <w:pPr>
              <w:jc w:val="right"/>
              <w:ind w:right="136"/>
              <w:spacing w:after="0" w:line="200" w:lineRule="exact"/>
              <w:rPr>
                <w:sz w:val="20"/>
                <w:szCs w:val="20"/>
                <w:color w:val="auto"/>
              </w:rPr>
            </w:pPr>
            <w:r>
              <w:rPr>
                <w:rFonts w:ascii="Arial" w:cs="Arial" w:eastAsia="Arial" w:hAnsi="Arial"/>
                <w:sz w:val="18"/>
                <w:szCs w:val="18"/>
                <w:color w:val="auto"/>
              </w:rPr>
              <w:t>$1,773</w:t>
            </w:r>
          </w:p>
        </w:tc>
        <w:tc>
          <w:tcPr>
            <w:tcW w:w="1020" w:type="dxa"/>
            <w:vAlign w:val="bottom"/>
          </w:tcPr>
          <w:p>
            <w:pPr>
              <w:jc w:val="right"/>
              <w:ind w:right="156"/>
              <w:spacing w:after="0" w:line="200" w:lineRule="exact"/>
              <w:rPr>
                <w:sz w:val="20"/>
                <w:szCs w:val="20"/>
                <w:color w:val="auto"/>
              </w:rPr>
            </w:pPr>
            <w:r>
              <w:rPr>
                <w:rFonts w:ascii="Arial" w:cs="Arial" w:eastAsia="Arial" w:hAnsi="Arial"/>
                <w:sz w:val="18"/>
                <w:szCs w:val="18"/>
                <w:color w:val="auto"/>
              </w:rPr>
              <w:t>$1,674</w:t>
            </w:r>
          </w:p>
        </w:tc>
        <w:tc>
          <w:tcPr>
            <w:tcW w:w="1020" w:type="dxa"/>
            <w:vAlign w:val="bottom"/>
          </w:tcPr>
          <w:p>
            <w:pPr>
              <w:jc w:val="right"/>
              <w:ind w:right="156"/>
              <w:spacing w:after="0" w:line="200" w:lineRule="exact"/>
              <w:rPr>
                <w:sz w:val="20"/>
                <w:szCs w:val="20"/>
                <w:color w:val="auto"/>
              </w:rPr>
            </w:pPr>
            <w:r>
              <w:rPr>
                <w:rFonts w:ascii="Arial" w:cs="Arial" w:eastAsia="Arial" w:hAnsi="Arial"/>
                <w:sz w:val="18"/>
                <w:szCs w:val="18"/>
                <w:color w:val="auto"/>
              </w:rPr>
              <w:t>$1,326</w:t>
            </w:r>
          </w:p>
        </w:tc>
        <w:tc>
          <w:tcPr>
            <w:tcW w:w="1360" w:type="dxa"/>
            <w:vAlign w:val="bottom"/>
          </w:tcPr>
          <w:p>
            <w:pPr>
              <w:jc w:val="right"/>
              <w:ind w:right="99"/>
              <w:spacing w:after="0" w:line="200" w:lineRule="exact"/>
              <w:rPr>
                <w:sz w:val="20"/>
                <w:szCs w:val="20"/>
                <w:color w:val="auto"/>
              </w:rPr>
            </w:pPr>
            <w:r>
              <w:rPr>
                <w:rFonts w:ascii="Arial" w:cs="Arial" w:eastAsia="Arial" w:hAnsi="Arial"/>
                <w:sz w:val="18"/>
                <w:szCs w:val="18"/>
                <w:color w:val="auto"/>
              </w:rPr>
              <w:t>5.9%</w:t>
            </w:r>
          </w:p>
        </w:tc>
        <w:tc>
          <w:tcPr>
            <w:tcW w:w="1140" w:type="dxa"/>
            <w:vAlign w:val="bottom"/>
          </w:tcPr>
          <w:p>
            <w:pPr>
              <w:ind w:left="640"/>
              <w:spacing w:after="0" w:line="200" w:lineRule="exact"/>
              <w:rPr>
                <w:sz w:val="20"/>
                <w:szCs w:val="20"/>
                <w:color w:val="auto"/>
              </w:rPr>
            </w:pPr>
            <w:r>
              <w:rPr>
                <w:rFonts w:ascii="Arial" w:cs="Arial" w:eastAsia="Arial" w:hAnsi="Arial"/>
                <w:sz w:val="18"/>
                <w:szCs w:val="18"/>
                <w:color w:val="auto"/>
                <w:w w:val="93"/>
              </w:rPr>
              <w:t>26.2%</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Marketing</w:t>
            </w:r>
          </w:p>
        </w:tc>
        <w:tc>
          <w:tcPr>
            <w:tcW w:w="24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1,625</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1,404</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1,196</w:t>
            </w:r>
          </w:p>
        </w:tc>
        <w:tc>
          <w:tcPr>
            <w:tcW w:w="1360" w:type="dxa"/>
            <w:vAlign w:val="bottom"/>
          </w:tcPr>
          <w:p>
            <w:pPr>
              <w:jc w:val="right"/>
              <w:ind w:right="259"/>
              <w:spacing w:after="0" w:line="202" w:lineRule="exact"/>
              <w:rPr>
                <w:sz w:val="20"/>
                <w:szCs w:val="20"/>
                <w:color w:val="auto"/>
              </w:rPr>
            </w:pPr>
            <w:r>
              <w:rPr>
                <w:rFonts w:ascii="Arial" w:cs="Arial" w:eastAsia="Arial" w:hAnsi="Arial"/>
                <w:sz w:val="18"/>
                <w:szCs w:val="18"/>
                <w:color w:val="auto"/>
              </w:rPr>
              <w:t>15.7</w:t>
            </w:r>
          </w:p>
        </w:tc>
        <w:tc>
          <w:tcPr>
            <w:tcW w:w="1140" w:type="dxa"/>
            <w:vAlign w:val="bottom"/>
          </w:tcPr>
          <w:p>
            <w:pPr>
              <w:ind w:left="640"/>
              <w:spacing w:after="0" w:line="202" w:lineRule="exact"/>
              <w:rPr>
                <w:sz w:val="20"/>
                <w:szCs w:val="20"/>
                <w:color w:val="auto"/>
              </w:rPr>
            </w:pPr>
            <w:r>
              <w:rPr>
                <w:rFonts w:ascii="Arial" w:cs="Arial" w:eastAsia="Arial" w:hAnsi="Arial"/>
                <w:sz w:val="18"/>
                <w:szCs w:val="18"/>
                <w:color w:val="auto"/>
              </w:rPr>
              <w:t>17.4</w:t>
            </w:r>
          </w:p>
        </w:tc>
      </w:tr>
      <w:tr>
        <w:trPr>
          <w:trHeight w:val="199"/>
        </w:trPr>
        <w:tc>
          <w:tcPr>
            <w:tcW w:w="4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Administrative and other</w:t>
            </w:r>
          </w:p>
        </w:tc>
        <w:tc>
          <w:tcPr>
            <w:tcW w:w="248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3,211</w:t>
            </w:r>
          </w:p>
        </w:tc>
        <w:tc>
          <w:tcPr>
            <w:tcW w:w="1020" w:type="dxa"/>
            <w:vAlign w:val="bottom"/>
            <w:tcBorders>
              <w:bottom w:val="single" w:sz="8" w:color="auto"/>
            </w:tcBorders>
          </w:tcPr>
          <w:p>
            <w:pPr>
              <w:jc w:val="right"/>
              <w:ind w:right="156"/>
              <w:spacing w:after="0" w:line="200" w:lineRule="exact"/>
              <w:rPr>
                <w:sz w:val="20"/>
                <w:szCs w:val="20"/>
                <w:color w:val="auto"/>
              </w:rPr>
            </w:pPr>
            <w:r>
              <w:rPr>
                <w:rFonts w:ascii="Arial" w:cs="Arial" w:eastAsia="Arial" w:hAnsi="Arial"/>
                <w:sz w:val="18"/>
                <w:szCs w:val="18"/>
                <w:color w:val="auto"/>
              </w:rPr>
              <w:t>2,896</w:t>
            </w:r>
          </w:p>
        </w:tc>
        <w:tc>
          <w:tcPr>
            <w:tcW w:w="1020" w:type="dxa"/>
            <w:vAlign w:val="bottom"/>
            <w:tcBorders>
              <w:bottom w:val="single" w:sz="8" w:color="auto"/>
            </w:tcBorders>
          </w:tcPr>
          <w:p>
            <w:pPr>
              <w:jc w:val="right"/>
              <w:ind w:right="156"/>
              <w:spacing w:after="0" w:line="200" w:lineRule="exact"/>
              <w:rPr>
                <w:sz w:val="20"/>
                <w:szCs w:val="20"/>
                <w:color w:val="auto"/>
              </w:rPr>
            </w:pPr>
            <w:r>
              <w:rPr>
                <w:rFonts w:ascii="Arial" w:cs="Arial" w:eastAsia="Arial" w:hAnsi="Arial"/>
                <w:sz w:val="18"/>
                <w:szCs w:val="18"/>
                <w:color w:val="auto"/>
              </w:rPr>
              <w:t>2,531</w:t>
            </w:r>
          </w:p>
        </w:tc>
        <w:tc>
          <w:tcPr>
            <w:tcW w:w="1360" w:type="dxa"/>
            <w:vAlign w:val="bottom"/>
            <w:tcBorders>
              <w:bottom w:val="single" w:sz="8" w:color="auto"/>
            </w:tcBorders>
          </w:tcPr>
          <w:p>
            <w:pPr>
              <w:jc w:val="right"/>
              <w:ind w:right="259"/>
              <w:spacing w:after="0" w:line="200" w:lineRule="exact"/>
              <w:rPr>
                <w:sz w:val="20"/>
                <w:szCs w:val="20"/>
                <w:color w:val="auto"/>
              </w:rPr>
            </w:pPr>
            <w:r>
              <w:rPr>
                <w:rFonts w:ascii="Arial" w:cs="Arial" w:eastAsia="Arial" w:hAnsi="Arial"/>
                <w:sz w:val="18"/>
                <w:szCs w:val="18"/>
                <w:color w:val="auto"/>
              </w:rPr>
              <w:t>10.9</w:t>
            </w:r>
          </w:p>
        </w:tc>
        <w:tc>
          <w:tcPr>
            <w:tcW w:w="1140" w:type="dxa"/>
            <w:vAlign w:val="bottom"/>
            <w:tcBorders>
              <w:bottom w:val="single" w:sz="8" w:color="auto"/>
            </w:tcBorders>
          </w:tcPr>
          <w:p>
            <w:pPr>
              <w:ind w:left="640"/>
              <w:spacing w:after="0" w:line="200" w:lineRule="exact"/>
              <w:rPr>
                <w:sz w:val="20"/>
                <w:szCs w:val="20"/>
                <w:color w:val="auto"/>
              </w:rPr>
            </w:pPr>
            <w:r>
              <w:rPr>
                <w:rFonts w:ascii="Arial" w:cs="Arial" w:eastAsia="Arial" w:hAnsi="Arial"/>
                <w:sz w:val="18"/>
                <w:szCs w:val="18"/>
                <w:color w:val="auto"/>
              </w:rPr>
              <w:t>14.4</w:t>
            </w:r>
          </w:p>
        </w:tc>
      </w:tr>
      <w:tr>
        <w:trPr>
          <w:trHeight w:val="196"/>
        </w:trPr>
        <w:tc>
          <w:tcPr>
            <w:tcW w:w="44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248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color w:val="auto"/>
              </w:rPr>
              <w:t>$6,609</w:t>
            </w:r>
          </w:p>
        </w:tc>
        <w:tc>
          <w:tcPr>
            <w:tcW w:w="1020" w:type="dxa"/>
            <w:vAlign w:val="bottom"/>
            <w:tcBorders>
              <w:bottom w:val="single" w:sz="8" w:color="52A2DD"/>
            </w:tcBorders>
          </w:tcPr>
          <w:p>
            <w:pPr>
              <w:jc w:val="right"/>
              <w:ind w:right="156"/>
              <w:spacing w:after="0" w:line="196" w:lineRule="exact"/>
              <w:rPr>
                <w:sz w:val="20"/>
                <w:szCs w:val="20"/>
                <w:color w:val="auto"/>
              </w:rPr>
            </w:pPr>
            <w:r>
              <w:rPr>
                <w:rFonts w:ascii="Arial" w:cs="Arial" w:eastAsia="Arial" w:hAnsi="Arial"/>
                <w:sz w:val="18"/>
                <w:szCs w:val="18"/>
                <w:color w:val="auto"/>
              </w:rPr>
              <w:t>$5,974</w:t>
            </w:r>
          </w:p>
        </w:tc>
        <w:tc>
          <w:tcPr>
            <w:tcW w:w="1020" w:type="dxa"/>
            <w:vAlign w:val="bottom"/>
            <w:tcBorders>
              <w:bottom w:val="single" w:sz="8" w:color="52A2DD"/>
            </w:tcBorders>
          </w:tcPr>
          <w:p>
            <w:pPr>
              <w:jc w:val="right"/>
              <w:ind w:right="156"/>
              <w:spacing w:after="0" w:line="196" w:lineRule="exact"/>
              <w:rPr>
                <w:sz w:val="20"/>
                <w:szCs w:val="20"/>
                <w:color w:val="auto"/>
              </w:rPr>
            </w:pPr>
            <w:r>
              <w:rPr>
                <w:rFonts w:ascii="Arial" w:cs="Arial" w:eastAsia="Arial" w:hAnsi="Arial"/>
                <w:sz w:val="18"/>
                <w:szCs w:val="18"/>
                <w:color w:val="auto"/>
              </w:rPr>
              <w:t>$5,053</w:t>
            </w:r>
          </w:p>
        </w:tc>
        <w:tc>
          <w:tcPr>
            <w:tcW w:w="1360" w:type="dxa"/>
            <w:vAlign w:val="bottom"/>
            <w:tcBorders>
              <w:bottom w:val="single" w:sz="8" w:color="52A2DD"/>
            </w:tcBorders>
          </w:tcPr>
          <w:p>
            <w:pPr>
              <w:jc w:val="right"/>
              <w:ind w:right="99"/>
              <w:spacing w:after="0" w:line="196" w:lineRule="exact"/>
              <w:rPr>
                <w:sz w:val="20"/>
                <w:szCs w:val="20"/>
                <w:color w:val="auto"/>
              </w:rPr>
            </w:pPr>
            <w:r>
              <w:rPr>
                <w:rFonts w:ascii="Arial" w:cs="Arial" w:eastAsia="Arial" w:hAnsi="Arial"/>
                <w:sz w:val="18"/>
                <w:szCs w:val="18"/>
                <w:color w:val="auto"/>
              </w:rPr>
              <w:t>10.6%</w:t>
            </w:r>
          </w:p>
        </w:tc>
        <w:tc>
          <w:tcPr>
            <w:tcW w:w="1140" w:type="dxa"/>
            <w:vAlign w:val="bottom"/>
            <w:tcBorders>
              <w:bottom w:val="single" w:sz="8" w:color="52A2DD"/>
            </w:tcBorders>
          </w:tcPr>
          <w:p>
            <w:pPr>
              <w:ind w:left="640"/>
              <w:spacing w:after="0" w:line="196" w:lineRule="exact"/>
              <w:rPr>
                <w:sz w:val="20"/>
                <w:szCs w:val="20"/>
                <w:color w:val="auto"/>
              </w:rPr>
            </w:pPr>
            <w:r>
              <w:rPr>
                <w:rFonts w:ascii="Arial" w:cs="Arial" w:eastAsia="Arial" w:hAnsi="Arial"/>
                <w:sz w:val="18"/>
                <w:szCs w:val="18"/>
                <w:color w:val="auto"/>
                <w:w w:val="93"/>
              </w:rPr>
              <w:t>18.2%</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Customer service expenses remained relatively flat in 2008 primarily due to achieving operational efficiencies and the slower growth in customers.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Customer service expenses increased in 2007 primarily due to growth in the number of customers and services offered.</w:t>
      </w:r>
    </w:p>
    <w:p>
      <w:pPr>
        <w:spacing w:after="0" w:line="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Marketing expenses increased in 2008 and 2007 primarily due to additional marketing costs associated with attracting and retaining customers, as well as the addition of the newly acquired cable systems.</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Administrative and other expenses increased in 2008 and 2007 primarily due to the addition of our newly acquired cable systems and the acquisitions in June 2007 of Comcast SportsNet Bay Area and Comcast SportsNet New England. Administrative and other expenses in 2008 also include severance costs of approximately $126 million primarily related to approximately 3,300 personnel reductions, a portion of which resulted from a divisional reorganization.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 Segment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Programming segment consists primarily of our consolidated national programming networks. The table below presents a summary of our most significant consolidated national programming networks: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420" w:type="dxa"/>
            <w:vAlign w:val="bottom"/>
          </w:tcPr>
          <w:p>
            <w:pPr>
              <w:jc w:val="right"/>
              <w:ind w:right="500"/>
              <w:spacing w:after="0"/>
              <w:rPr>
                <w:sz w:val="20"/>
                <w:szCs w:val="20"/>
                <w:color w:val="auto"/>
              </w:rPr>
            </w:pPr>
            <w:r>
              <w:rPr>
                <w:rFonts w:ascii="Arial" w:cs="Arial" w:eastAsia="Arial" w:hAnsi="Arial"/>
                <w:sz w:val="14"/>
                <w:szCs w:val="14"/>
                <w:color w:val="auto"/>
              </w:rPr>
              <w:t>Approximate</w:t>
            </w:r>
          </w:p>
        </w:tc>
        <w:tc>
          <w:tcPr>
            <w:tcW w:w="480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3420" w:type="dxa"/>
            <w:vAlign w:val="bottom"/>
          </w:tcPr>
          <w:p>
            <w:pPr>
              <w:jc w:val="center"/>
              <w:ind w:left="1180"/>
              <w:spacing w:after="0" w:line="149" w:lineRule="exact"/>
              <w:rPr>
                <w:sz w:val="20"/>
                <w:szCs w:val="20"/>
                <w:color w:val="auto"/>
              </w:rPr>
            </w:pPr>
            <w:r>
              <w:rPr>
                <w:rFonts w:ascii="Arial" w:cs="Arial" w:eastAsia="Arial" w:hAnsi="Arial"/>
                <w:sz w:val="14"/>
                <w:szCs w:val="14"/>
                <w:color w:val="auto"/>
                <w:w w:val="95"/>
              </w:rPr>
              <w:t>U.S. Subscribers</w:t>
            </w:r>
          </w:p>
        </w:tc>
        <w:tc>
          <w:tcPr>
            <w:tcW w:w="4800" w:type="dxa"/>
            <w:vAlign w:val="bottom"/>
          </w:tcPr>
          <w:p>
            <w:pPr>
              <w:spacing w:after="0"/>
              <w:rPr>
                <w:sz w:val="12"/>
                <w:szCs w:val="12"/>
                <w:color w:val="auto"/>
              </w:rPr>
            </w:pPr>
          </w:p>
        </w:tc>
      </w:tr>
      <w:tr>
        <w:trPr>
          <w:trHeight w:val="163"/>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4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(in millions)</w:t>
            </w:r>
          </w:p>
        </w:tc>
        <w:tc>
          <w:tcPr>
            <w:tcW w:w="480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Description</w:t>
            </w:r>
          </w:p>
        </w:tc>
      </w:tr>
      <w:tr>
        <w:trPr>
          <w:trHeight w:val="199"/>
        </w:trPr>
        <w:tc>
          <w:tcPr>
            <w:tcW w:w="320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420" w:type="dxa"/>
            <w:vAlign w:val="bottom"/>
          </w:tcPr>
          <w:p>
            <w:pPr>
              <w:jc w:val="center"/>
              <w:ind w:left="1160"/>
              <w:spacing w:after="0" w:line="200" w:lineRule="exact"/>
              <w:rPr>
                <w:sz w:val="20"/>
                <w:szCs w:val="20"/>
                <w:color w:val="auto"/>
              </w:rPr>
            </w:pPr>
            <w:r>
              <w:rPr>
                <w:rFonts w:ascii="Arial" w:cs="Arial" w:eastAsia="Arial" w:hAnsi="Arial"/>
                <w:sz w:val="18"/>
                <w:szCs w:val="18"/>
                <w:color w:val="auto"/>
                <w:w w:val="89"/>
              </w:rPr>
              <w:t>85</w:t>
            </w:r>
          </w:p>
        </w:tc>
        <w:tc>
          <w:tcPr>
            <w:tcW w:w="4800" w:type="dxa"/>
            <w:vAlign w:val="bottom"/>
          </w:tcPr>
          <w:p>
            <w:pPr>
              <w:ind w:left="560"/>
              <w:spacing w:after="0" w:line="200" w:lineRule="exact"/>
              <w:rPr>
                <w:sz w:val="20"/>
                <w:szCs w:val="20"/>
                <w:color w:val="auto"/>
              </w:rPr>
            </w:pPr>
            <w:r>
              <w:rPr>
                <w:rFonts w:ascii="Arial" w:cs="Arial" w:eastAsia="Arial" w:hAnsi="Arial"/>
                <w:sz w:val="18"/>
                <w:szCs w:val="18"/>
                <w:color w:val="auto"/>
              </w:rPr>
              <w:t>Pop culture and entertainment-related programming</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420" w:type="dxa"/>
            <w:vAlign w:val="bottom"/>
          </w:tcPr>
          <w:p>
            <w:pPr>
              <w:jc w:val="center"/>
              <w:ind w:left="1160"/>
              <w:spacing w:after="0" w:line="202" w:lineRule="exact"/>
              <w:rPr>
                <w:sz w:val="20"/>
                <w:szCs w:val="20"/>
                <w:color w:val="auto"/>
              </w:rPr>
            </w:pPr>
            <w:r>
              <w:rPr>
                <w:rFonts w:ascii="Arial" w:cs="Arial" w:eastAsia="Arial" w:hAnsi="Arial"/>
                <w:sz w:val="18"/>
                <w:szCs w:val="18"/>
                <w:color w:val="auto"/>
                <w:w w:val="89"/>
              </w:rPr>
              <w:t>73</w:t>
            </w:r>
          </w:p>
        </w:tc>
        <w:tc>
          <w:tcPr>
            <w:tcW w:w="4800" w:type="dxa"/>
            <w:vAlign w:val="bottom"/>
          </w:tcPr>
          <w:p>
            <w:pPr>
              <w:ind w:left="560"/>
              <w:spacing w:after="0" w:line="202" w:lineRule="exact"/>
              <w:rPr>
                <w:sz w:val="20"/>
                <w:szCs w:val="20"/>
                <w:color w:val="auto"/>
              </w:rPr>
            </w:pPr>
            <w:r>
              <w:rPr>
                <w:rFonts w:ascii="Arial" w:cs="Arial" w:eastAsia="Arial" w:hAnsi="Arial"/>
                <w:sz w:val="18"/>
                <w:szCs w:val="18"/>
                <w:color w:val="auto"/>
              </w:rPr>
              <w:t>Golf and golf-related programming</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420" w:type="dxa"/>
            <w:vAlign w:val="bottom"/>
          </w:tcPr>
          <w:p>
            <w:pPr>
              <w:jc w:val="center"/>
              <w:ind w:left="1160"/>
              <w:spacing w:after="0" w:line="202" w:lineRule="exact"/>
              <w:rPr>
                <w:sz w:val="20"/>
                <w:szCs w:val="20"/>
                <w:color w:val="auto"/>
              </w:rPr>
            </w:pPr>
            <w:r>
              <w:rPr>
                <w:rFonts w:ascii="Arial" w:cs="Arial" w:eastAsia="Arial" w:hAnsi="Arial"/>
                <w:sz w:val="18"/>
                <w:szCs w:val="18"/>
                <w:color w:val="auto"/>
                <w:w w:val="89"/>
              </w:rPr>
              <w:t>66</w:t>
            </w:r>
          </w:p>
        </w:tc>
        <w:tc>
          <w:tcPr>
            <w:tcW w:w="4800" w:type="dxa"/>
            <w:vAlign w:val="bottom"/>
          </w:tcPr>
          <w:p>
            <w:pPr>
              <w:ind w:left="560"/>
              <w:spacing w:after="0" w:line="202" w:lineRule="exact"/>
              <w:rPr>
                <w:sz w:val="20"/>
                <w:szCs w:val="20"/>
                <w:color w:val="auto"/>
              </w:rPr>
            </w:pPr>
            <w:r>
              <w:rPr>
                <w:rFonts w:ascii="Arial" w:cs="Arial" w:eastAsia="Arial" w:hAnsi="Arial"/>
                <w:sz w:val="18"/>
                <w:szCs w:val="18"/>
                <w:color w:val="auto"/>
              </w:rPr>
              <w:t>Sports and leisure programming</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420" w:type="dxa"/>
            <w:vAlign w:val="bottom"/>
          </w:tcPr>
          <w:p>
            <w:pPr>
              <w:jc w:val="center"/>
              <w:ind w:left="1160"/>
              <w:spacing w:after="0" w:line="202" w:lineRule="exact"/>
              <w:rPr>
                <w:sz w:val="20"/>
                <w:szCs w:val="20"/>
                <w:color w:val="auto"/>
              </w:rPr>
            </w:pPr>
            <w:r>
              <w:rPr>
                <w:rFonts w:ascii="Arial" w:cs="Arial" w:eastAsia="Arial" w:hAnsi="Arial"/>
                <w:sz w:val="18"/>
                <w:szCs w:val="18"/>
                <w:color w:val="auto"/>
                <w:w w:val="89"/>
              </w:rPr>
              <w:t>57</w:t>
            </w:r>
          </w:p>
        </w:tc>
        <w:tc>
          <w:tcPr>
            <w:tcW w:w="4800" w:type="dxa"/>
            <w:vAlign w:val="bottom"/>
          </w:tcPr>
          <w:p>
            <w:pPr>
              <w:ind w:left="560"/>
              <w:spacing w:after="0" w:line="202" w:lineRule="exact"/>
              <w:rPr>
                <w:sz w:val="20"/>
                <w:szCs w:val="20"/>
                <w:color w:val="auto"/>
              </w:rPr>
            </w:pPr>
            <w:r>
              <w:rPr>
                <w:rFonts w:ascii="Arial" w:cs="Arial" w:eastAsia="Arial" w:hAnsi="Arial"/>
                <w:sz w:val="18"/>
                <w:szCs w:val="18"/>
                <w:color w:val="auto"/>
              </w:rPr>
              <w:t>Gamer lifestyle programming</w:t>
            </w:r>
          </w:p>
        </w:tc>
      </w:tr>
      <w:tr>
        <w:trPr>
          <w:trHeight w:val="199"/>
        </w:trPr>
        <w:tc>
          <w:tcPr>
            <w:tcW w:w="3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Style</w:t>
            </w:r>
          </w:p>
        </w:tc>
        <w:tc>
          <w:tcPr>
            <w:tcW w:w="3420" w:type="dxa"/>
            <w:vAlign w:val="bottom"/>
            <w:tcBorders>
              <w:bottom w:val="single" w:sz="8" w:color="auto"/>
            </w:tcBorders>
          </w:tcPr>
          <w:p>
            <w:pPr>
              <w:jc w:val="center"/>
              <w:ind w:left="1160"/>
              <w:spacing w:after="0" w:line="200" w:lineRule="exact"/>
              <w:rPr>
                <w:sz w:val="20"/>
                <w:szCs w:val="20"/>
                <w:color w:val="auto"/>
              </w:rPr>
            </w:pPr>
            <w:r>
              <w:rPr>
                <w:rFonts w:ascii="Arial" w:cs="Arial" w:eastAsia="Arial" w:hAnsi="Arial"/>
                <w:sz w:val="18"/>
                <w:szCs w:val="18"/>
                <w:color w:val="auto"/>
                <w:w w:val="89"/>
              </w:rPr>
              <w:t>51</w:t>
            </w:r>
          </w:p>
        </w:tc>
        <w:tc>
          <w:tcPr>
            <w:tcW w:w="4800" w:type="dxa"/>
            <w:vAlign w:val="bottom"/>
            <w:tcBorders>
              <w:bottom w:val="single" w:sz="8" w:color="auto"/>
            </w:tcBorders>
          </w:tcPr>
          <w:p>
            <w:pPr>
              <w:ind w:left="560"/>
              <w:spacing w:after="0" w:line="200" w:lineRule="exact"/>
              <w:rPr>
                <w:sz w:val="20"/>
                <w:szCs w:val="20"/>
                <w:color w:val="auto"/>
              </w:rPr>
            </w:pPr>
            <w:r>
              <w:rPr>
                <w:rFonts w:ascii="Arial" w:cs="Arial" w:eastAsia="Arial" w:hAnsi="Arial"/>
                <w:sz w:val="18"/>
                <w:szCs w:val="18"/>
                <w:color w:val="auto"/>
              </w:rPr>
              <w:t>Lifestyle-related programming</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own interests in MGM (20%), iN DEMAND (51%), TV One (33%), PBS KIDS Sprout (40%) and FEARnet (33%). The operating results of these entities are not included in our Programming segment’s operating results because they are presented in equity in net (losses) income of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Results of Operations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tcPr>
          <w:p>
            <w:pPr>
              <w:jc w:val="right"/>
              <w:ind w:right="260"/>
              <w:spacing w:after="0"/>
              <w:rPr>
                <w:sz w:val="20"/>
                <w:szCs w:val="20"/>
                <w:color w:val="auto"/>
              </w:rPr>
            </w:pPr>
            <w:r>
              <w:rPr>
                <w:rFonts w:ascii="Arial" w:cs="Arial" w:eastAsia="Arial" w:hAnsi="Arial"/>
                <w:sz w:val="14"/>
                <w:szCs w:val="14"/>
                <w:color w:val="auto"/>
              </w:rPr>
              <w:t>% Change</w:t>
            </w:r>
          </w:p>
        </w:tc>
        <w:tc>
          <w:tcPr>
            <w:tcW w:w="1140" w:type="dxa"/>
            <w:vAlign w:val="bottom"/>
          </w:tcPr>
          <w:p>
            <w:pPr>
              <w:jc w:val="right"/>
              <w:ind w:right="80"/>
              <w:spacing w:after="0"/>
              <w:rPr>
                <w:sz w:val="20"/>
                <w:szCs w:val="20"/>
                <w:color w:val="auto"/>
              </w:rPr>
            </w:pPr>
            <w:r>
              <w:rPr>
                <w:rFonts w:ascii="Arial" w:cs="Arial" w:eastAsia="Arial" w:hAnsi="Arial"/>
                <w:sz w:val="14"/>
                <w:szCs w:val="14"/>
                <w:color w:val="auto"/>
              </w:rPr>
              <w:t>% Change</w:t>
            </w:r>
          </w:p>
        </w:tc>
      </w:tr>
      <w:tr>
        <w:trPr>
          <w:trHeight w:val="149"/>
        </w:trPr>
        <w:tc>
          <w:tcPr>
            <w:tcW w:w="5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9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4"/>
                <w:szCs w:val="14"/>
                <w:color w:val="auto"/>
              </w:rPr>
              <w:t>2007</w:t>
            </w: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4"/>
                <w:szCs w:val="14"/>
                <w:color w:val="auto"/>
              </w:rPr>
              <w:t>2006</w:t>
            </w:r>
          </w:p>
        </w:tc>
        <w:tc>
          <w:tcPr>
            <w:tcW w:w="1360" w:type="dxa"/>
            <w:vAlign w:val="bottom"/>
            <w:tcBorders>
              <w:bottom w:val="single" w:sz="8" w:color="auto"/>
            </w:tcBorders>
          </w:tcPr>
          <w:p>
            <w:pPr>
              <w:jc w:val="right"/>
              <w:ind w:right="260"/>
              <w:spacing w:after="0" w:line="149" w:lineRule="exact"/>
              <w:rPr>
                <w:sz w:val="20"/>
                <w:szCs w:val="20"/>
                <w:color w:val="auto"/>
              </w:rPr>
            </w:pPr>
            <w:r>
              <w:rPr>
                <w:rFonts w:ascii="Arial" w:cs="Arial" w:eastAsia="Arial" w:hAnsi="Arial"/>
                <w:sz w:val="14"/>
                <w:szCs w:val="14"/>
                <w:color w:val="auto"/>
              </w:rPr>
              <w:t>2007 to 2008</w:t>
            </w:r>
          </w:p>
        </w:tc>
        <w:tc>
          <w:tcPr>
            <w:tcW w:w="1140" w:type="dxa"/>
            <w:vAlign w:val="bottom"/>
            <w:tcBorders>
              <w:bottom w:val="single" w:sz="8" w:color="auto"/>
            </w:tcBorders>
          </w:tcPr>
          <w:p>
            <w:pPr>
              <w:jc w:val="right"/>
              <w:ind w:right="80"/>
              <w:spacing w:after="0" w:line="149" w:lineRule="exact"/>
              <w:rPr>
                <w:sz w:val="20"/>
                <w:szCs w:val="20"/>
                <w:color w:val="auto"/>
              </w:rPr>
            </w:pPr>
            <w:r>
              <w:rPr>
                <w:rFonts w:ascii="Arial" w:cs="Arial" w:eastAsia="Arial" w:hAnsi="Arial"/>
                <w:sz w:val="14"/>
                <w:szCs w:val="14"/>
                <w:color w:val="auto"/>
              </w:rPr>
              <w:t>2006 to 2007</w:t>
            </w:r>
          </w:p>
        </w:tc>
      </w:tr>
      <w:tr>
        <w:trPr>
          <w:trHeight w:val="199"/>
        </w:trPr>
        <w:tc>
          <w:tcPr>
            <w:tcW w:w="522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7"/>
              <w:spacing w:after="0" w:line="200" w:lineRule="exact"/>
              <w:rPr>
                <w:sz w:val="20"/>
                <w:szCs w:val="20"/>
                <w:color w:val="auto"/>
              </w:rPr>
            </w:pPr>
            <w:r>
              <w:rPr>
                <w:rFonts w:ascii="Arial" w:cs="Arial" w:eastAsia="Arial" w:hAnsi="Arial"/>
                <w:sz w:val="18"/>
                <w:szCs w:val="18"/>
                <w:color w:val="auto"/>
                <w:w w:val="97"/>
              </w:rPr>
              <w:t>1,426</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7"/>
              <w:spacing w:after="0" w:line="200" w:lineRule="exact"/>
              <w:rPr>
                <w:sz w:val="20"/>
                <w:szCs w:val="20"/>
                <w:color w:val="auto"/>
              </w:rPr>
            </w:pPr>
            <w:r>
              <w:rPr>
                <w:rFonts w:ascii="Arial" w:cs="Arial" w:eastAsia="Arial" w:hAnsi="Arial"/>
                <w:sz w:val="18"/>
                <w:szCs w:val="18"/>
                <w:color w:val="auto"/>
                <w:w w:val="93"/>
              </w:rPr>
              <w:t>1,314</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7"/>
              <w:spacing w:after="0" w:line="200" w:lineRule="exact"/>
              <w:rPr>
                <w:sz w:val="20"/>
                <w:szCs w:val="20"/>
                <w:color w:val="auto"/>
              </w:rPr>
            </w:pPr>
            <w:r>
              <w:rPr>
                <w:rFonts w:ascii="Arial" w:cs="Arial" w:eastAsia="Arial" w:hAnsi="Arial"/>
                <w:sz w:val="18"/>
                <w:szCs w:val="18"/>
                <w:color w:val="auto"/>
                <w:w w:val="93"/>
              </w:rPr>
              <w:t>1,054</w:t>
            </w:r>
          </w:p>
        </w:tc>
        <w:tc>
          <w:tcPr>
            <w:tcW w:w="1360" w:type="dxa"/>
            <w:vAlign w:val="bottom"/>
          </w:tcPr>
          <w:p>
            <w:pPr>
              <w:jc w:val="right"/>
              <w:ind w:right="100"/>
              <w:spacing w:after="0" w:line="200" w:lineRule="exact"/>
              <w:rPr>
                <w:sz w:val="20"/>
                <w:szCs w:val="20"/>
                <w:color w:val="auto"/>
              </w:rPr>
            </w:pPr>
            <w:r>
              <w:rPr>
                <w:rFonts w:ascii="Arial" w:cs="Arial" w:eastAsia="Arial" w:hAnsi="Arial"/>
                <w:sz w:val="18"/>
                <w:szCs w:val="18"/>
                <w:color w:val="auto"/>
              </w:rPr>
              <w:t>8.5%</w:t>
            </w:r>
          </w:p>
        </w:tc>
        <w:tc>
          <w:tcPr>
            <w:tcW w:w="1140" w:type="dxa"/>
            <w:vAlign w:val="bottom"/>
          </w:tcPr>
          <w:p>
            <w:pPr>
              <w:ind w:left="640"/>
              <w:spacing w:after="0" w:line="200" w:lineRule="exact"/>
              <w:rPr>
                <w:sz w:val="20"/>
                <w:szCs w:val="20"/>
                <w:color w:val="auto"/>
              </w:rPr>
            </w:pPr>
            <w:r>
              <w:rPr>
                <w:rFonts w:ascii="Arial" w:cs="Arial" w:eastAsia="Arial" w:hAnsi="Arial"/>
                <w:sz w:val="18"/>
                <w:szCs w:val="18"/>
                <w:color w:val="auto"/>
                <w:w w:val="93"/>
              </w:rPr>
              <w:t>24.7%</w:t>
            </w:r>
          </w:p>
        </w:tc>
      </w:tr>
      <w:tr>
        <w:trPr>
          <w:trHeight w:val="199"/>
        </w:trPr>
        <w:tc>
          <w:tcPr>
            <w:tcW w:w="5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Operating, selling, general and administrative expenses</w:t>
            </w: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7"/>
              <w:spacing w:after="0" w:line="200" w:lineRule="exact"/>
              <w:rPr>
                <w:sz w:val="20"/>
                <w:szCs w:val="20"/>
                <w:color w:val="auto"/>
              </w:rPr>
            </w:pPr>
            <w:r>
              <w:rPr>
                <w:rFonts w:ascii="Arial" w:cs="Arial" w:eastAsia="Arial" w:hAnsi="Arial"/>
                <w:sz w:val="18"/>
                <w:szCs w:val="18"/>
                <w:color w:val="auto"/>
                <w:w w:val="97"/>
              </w:rPr>
              <w:t>1,064</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7"/>
              <w:spacing w:after="0" w:line="200" w:lineRule="exact"/>
              <w:rPr>
                <w:sz w:val="20"/>
                <w:szCs w:val="20"/>
                <w:color w:val="auto"/>
              </w:rPr>
            </w:pPr>
            <w:r>
              <w:rPr>
                <w:rFonts w:ascii="Arial" w:cs="Arial" w:eastAsia="Arial" w:hAnsi="Arial"/>
                <w:sz w:val="18"/>
                <w:szCs w:val="18"/>
                <w:color w:val="auto"/>
                <w:w w:val="93"/>
              </w:rPr>
              <w:t>1,028</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7"/>
              <w:spacing w:after="0" w:line="200" w:lineRule="exact"/>
              <w:rPr>
                <w:sz w:val="20"/>
                <w:szCs w:val="20"/>
                <w:color w:val="auto"/>
              </w:rPr>
            </w:pPr>
            <w:r>
              <w:rPr>
                <w:rFonts w:ascii="Arial" w:cs="Arial" w:eastAsia="Arial" w:hAnsi="Arial"/>
                <w:sz w:val="18"/>
                <w:szCs w:val="18"/>
                <w:color w:val="auto"/>
              </w:rPr>
              <w:t>815</w:t>
            </w:r>
          </w:p>
        </w:tc>
        <w:tc>
          <w:tcPr>
            <w:tcW w:w="1360" w:type="dxa"/>
            <w:vAlign w:val="bottom"/>
            <w:tcBorders>
              <w:bottom w:val="single" w:sz="8" w:color="auto"/>
            </w:tcBorders>
          </w:tcPr>
          <w:p>
            <w:pPr>
              <w:jc w:val="right"/>
              <w:ind w:right="260"/>
              <w:spacing w:after="0" w:line="200" w:lineRule="exact"/>
              <w:rPr>
                <w:sz w:val="20"/>
                <w:szCs w:val="20"/>
                <w:color w:val="auto"/>
              </w:rPr>
            </w:pPr>
            <w:r>
              <w:rPr>
                <w:rFonts w:ascii="Arial" w:cs="Arial" w:eastAsia="Arial" w:hAnsi="Arial"/>
                <w:sz w:val="18"/>
                <w:szCs w:val="18"/>
                <w:color w:val="auto"/>
              </w:rPr>
              <w:t>3.6</w:t>
            </w:r>
          </w:p>
        </w:tc>
        <w:tc>
          <w:tcPr>
            <w:tcW w:w="1140" w:type="dxa"/>
            <w:vAlign w:val="bottom"/>
            <w:tcBorders>
              <w:bottom w:val="single" w:sz="8" w:color="auto"/>
            </w:tcBorders>
          </w:tcPr>
          <w:p>
            <w:pPr>
              <w:ind w:left="640"/>
              <w:spacing w:after="0" w:line="200" w:lineRule="exact"/>
              <w:rPr>
                <w:sz w:val="20"/>
                <w:szCs w:val="20"/>
                <w:color w:val="auto"/>
              </w:rPr>
            </w:pPr>
            <w:r>
              <w:rPr>
                <w:rFonts w:ascii="Arial" w:cs="Arial" w:eastAsia="Arial" w:hAnsi="Arial"/>
                <w:sz w:val="18"/>
                <w:szCs w:val="18"/>
                <w:color w:val="auto"/>
              </w:rPr>
              <w:t>26.1</w:t>
            </w:r>
          </w:p>
        </w:tc>
      </w:tr>
      <w:tr>
        <w:trPr>
          <w:trHeight w:val="196"/>
        </w:trPr>
        <w:tc>
          <w:tcPr>
            <w:tcW w:w="52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Operating income before depreciation and amortization</w:t>
            </w:r>
          </w:p>
        </w:tc>
        <w:tc>
          <w:tcPr>
            <w:tcW w:w="9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ind w:right="137"/>
              <w:spacing w:after="0" w:line="196" w:lineRule="exact"/>
              <w:rPr>
                <w:sz w:val="20"/>
                <w:szCs w:val="20"/>
                <w:color w:val="auto"/>
              </w:rPr>
            </w:pPr>
            <w:r>
              <w:rPr>
                <w:rFonts w:ascii="Arial" w:cs="Arial" w:eastAsia="Arial" w:hAnsi="Arial"/>
                <w:sz w:val="18"/>
                <w:szCs w:val="18"/>
                <w:color w:val="auto"/>
              </w:rPr>
              <w:t>362</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ind w:right="157"/>
              <w:spacing w:after="0" w:line="196" w:lineRule="exact"/>
              <w:rPr>
                <w:sz w:val="20"/>
                <w:szCs w:val="20"/>
                <w:color w:val="auto"/>
              </w:rPr>
            </w:pPr>
            <w:r>
              <w:rPr>
                <w:rFonts w:ascii="Arial" w:cs="Arial" w:eastAsia="Arial" w:hAnsi="Arial"/>
                <w:sz w:val="18"/>
                <w:szCs w:val="18"/>
                <w:color w:val="auto"/>
              </w:rPr>
              <w:t>286</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ind w:right="157"/>
              <w:spacing w:after="0" w:line="196" w:lineRule="exact"/>
              <w:rPr>
                <w:sz w:val="20"/>
                <w:szCs w:val="20"/>
                <w:color w:val="auto"/>
              </w:rPr>
            </w:pPr>
            <w:r>
              <w:rPr>
                <w:rFonts w:ascii="Arial" w:cs="Arial" w:eastAsia="Arial" w:hAnsi="Arial"/>
                <w:sz w:val="18"/>
                <w:szCs w:val="18"/>
                <w:color w:val="auto"/>
              </w:rPr>
              <w:t>239</w:t>
            </w:r>
          </w:p>
        </w:tc>
        <w:tc>
          <w:tcPr>
            <w:tcW w:w="1360" w:type="dxa"/>
            <w:vAlign w:val="bottom"/>
            <w:tcBorders>
              <w:bottom w:val="single" w:sz="8" w:color="52A2DD"/>
            </w:tcBorders>
          </w:tcPr>
          <w:p>
            <w:pPr>
              <w:jc w:val="right"/>
              <w:ind w:right="100"/>
              <w:spacing w:after="0" w:line="196" w:lineRule="exact"/>
              <w:rPr>
                <w:sz w:val="20"/>
                <w:szCs w:val="20"/>
                <w:color w:val="auto"/>
              </w:rPr>
            </w:pPr>
            <w:r>
              <w:rPr>
                <w:rFonts w:ascii="Arial" w:cs="Arial" w:eastAsia="Arial" w:hAnsi="Arial"/>
                <w:sz w:val="18"/>
                <w:szCs w:val="18"/>
                <w:color w:val="auto"/>
              </w:rPr>
              <w:t>26.3%</w:t>
            </w:r>
          </w:p>
        </w:tc>
        <w:tc>
          <w:tcPr>
            <w:tcW w:w="1140" w:type="dxa"/>
            <w:vAlign w:val="bottom"/>
            <w:tcBorders>
              <w:bottom w:val="single" w:sz="8" w:color="52A2DD"/>
            </w:tcBorders>
          </w:tcPr>
          <w:p>
            <w:pPr>
              <w:ind w:left="640"/>
              <w:spacing w:after="0" w:line="196" w:lineRule="exact"/>
              <w:rPr>
                <w:sz w:val="20"/>
                <w:szCs w:val="20"/>
                <w:color w:val="auto"/>
              </w:rPr>
            </w:pPr>
            <w:r>
              <w:rPr>
                <w:rFonts w:ascii="Arial" w:cs="Arial" w:eastAsia="Arial" w:hAnsi="Arial"/>
                <w:sz w:val="18"/>
                <w:szCs w:val="18"/>
                <w:color w:val="auto"/>
                <w:w w:val="93"/>
              </w:rPr>
              <w:t>19.8%</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Programming Segment Revenue</w:t>
      </w:r>
    </w:p>
    <w:p>
      <w:pPr>
        <w:jc w:val="both"/>
        <w:spacing w:after="0" w:line="235" w:lineRule="auto"/>
        <w:rPr>
          <w:sz w:val="20"/>
          <w:szCs w:val="20"/>
          <w:color w:val="auto"/>
        </w:rPr>
      </w:pPr>
      <w:r>
        <w:rPr>
          <w:rFonts w:ascii="Arial" w:cs="Arial" w:eastAsia="Arial" w:hAnsi="Arial"/>
          <w:sz w:val="18"/>
          <w:szCs w:val="18"/>
          <w:color w:val="auto"/>
        </w:rPr>
        <w:t>Programming revenue for 2008 and 2007 increased as a result of continued growth in advertising revenue, programming license fee revenue and international revenue. In 2008, 2007 and 2006, advertising accounted for approximately 43%, 44% and 45%, respectively, of total Programming revenue. In 2008, 2007 and 2006, approximately 11% to 13% of our Programming revenue was generated from our Cable segment. These amounts are eliminated in our consolidated financial statements but are included in the amounts presented above.</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52A2DD"/>
        </w:rPr>
        <w:t>Programming Segment Operating, Selling, General and Administrative Expenses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Programming operating, selling, general and administrative expenses consist mainly of the cost of producing television programs and live events, the purchase of programming rights, the marketing and promotion of our programming networks and administrative costs. Programming expenses increased significantly in 2007 primarily due to the programming rights costs for the PGA Tour on Golf Channel, as well as a corresponding increase in marketing expenses for this programming. We have invested and expect to continue to invest in new and live-event programming that will cause our programming expenses to increase in the future.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Consolidated Other Income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4"/>
                <w:szCs w:val="14"/>
                <w:color w:val="auto"/>
              </w:rPr>
              <w:t>Year ended December 31 (in</w:t>
            </w:r>
          </w:p>
        </w:tc>
        <w:tc>
          <w:tcPr>
            <w:tcW w:w="1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2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millions)</w:t>
            </w:r>
          </w:p>
        </w:tc>
        <w:tc>
          <w:tcPr>
            <w:tcW w:w="1200" w:type="dxa"/>
            <w:vAlign w:val="bottom"/>
            <w:tcBorders>
              <w:bottom w:val="single" w:sz="8" w:color="auto"/>
            </w:tcBorders>
          </w:tcPr>
          <w:p>
            <w:pPr>
              <w:jc w:val="right"/>
              <w:ind w:right="176"/>
              <w:spacing w:after="0" w:line="149" w:lineRule="exact"/>
              <w:rPr>
                <w:sz w:val="20"/>
                <w:szCs w:val="20"/>
                <w:color w:val="auto"/>
              </w:rPr>
            </w:pPr>
            <w:r>
              <w:rPr>
                <w:rFonts w:ascii="Arial" w:cs="Arial" w:eastAsia="Arial" w:hAnsi="Arial"/>
                <w:sz w:val="14"/>
                <w:szCs w:val="14"/>
                <w:color w:val="auto"/>
              </w:rPr>
              <w:t>2008</w:t>
            </w:r>
          </w:p>
        </w:tc>
        <w:tc>
          <w:tcPr>
            <w:tcW w:w="1040" w:type="dxa"/>
            <w:vAlign w:val="bottom"/>
            <w:tcBorders>
              <w:bottom w:val="single" w:sz="8" w:color="auto"/>
            </w:tcBorders>
          </w:tcPr>
          <w:p>
            <w:pPr>
              <w:jc w:val="right"/>
              <w:ind w:right="156"/>
              <w:spacing w:after="0" w:line="149" w:lineRule="exact"/>
              <w:rPr>
                <w:sz w:val="20"/>
                <w:szCs w:val="20"/>
                <w:color w:val="auto"/>
              </w:rPr>
            </w:pPr>
            <w:r>
              <w:rPr>
                <w:rFonts w:ascii="Arial" w:cs="Arial" w:eastAsia="Arial" w:hAnsi="Arial"/>
                <w:sz w:val="14"/>
                <w:szCs w:val="14"/>
                <w:color w:val="auto"/>
              </w:rPr>
              <w:t>2007</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2006</w:t>
            </w:r>
          </w:p>
        </w:tc>
      </w:tr>
      <w:tr>
        <w:trPr>
          <w:trHeight w:val="199"/>
        </w:trPr>
        <w:tc>
          <w:tcPr>
            <w:tcW w:w="2360" w:type="dxa"/>
            <w:vAlign w:val="bottom"/>
          </w:tcPr>
          <w:p>
            <w:pPr>
              <w:spacing w:after="0" w:line="200" w:lineRule="exact"/>
              <w:rPr>
                <w:sz w:val="20"/>
                <w:szCs w:val="20"/>
                <w:color w:val="auto"/>
              </w:rPr>
            </w:pPr>
            <w:r>
              <w:rPr>
                <w:rFonts w:ascii="Arial" w:cs="Arial" w:eastAsia="Arial" w:hAnsi="Arial"/>
                <w:sz w:val="18"/>
                <w:szCs w:val="18"/>
                <w:color w:val="auto"/>
              </w:rPr>
              <w:t>Interest expense</w:t>
            </w:r>
          </w:p>
        </w:tc>
        <w:tc>
          <w:tcPr>
            <w:tcW w:w="120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$(2,439)</w:t>
            </w:r>
          </w:p>
        </w:tc>
        <w:tc>
          <w:tcPr>
            <w:tcW w:w="1040" w:type="dxa"/>
            <w:vAlign w:val="bottom"/>
          </w:tcPr>
          <w:p>
            <w:pPr>
              <w:jc w:val="right"/>
              <w:ind w:right="96"/>
              <w:spacing w:after="0" w:line="200" w:lineRule="exact"/>
              <w:rPr>
                <w:sz w:val="20"/>
                <w:szCs w:val="20"/>
                <w:color w:val="auto"/>
              </w:rPr>
            </w:pPr>
            <w:r>
              <w:rPr>
                <w:rFonts w:ascii="Arial" w:cs="Arial" w:eastAsia="Arial" w:hAnsi="Arial"/>
                <w:sz w:val="18"/>
                <w:szCs w:val="18"/>
                <w:color w:val="auto"/>
              </w:rPr>
              <w:t>$(2,289)</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$(2,064)</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Investment income (loss),</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net</w:t>
            </w:r>
          </w:p>
        </w:tc>
        <w:tc>
          <w:tcPr>
            <w:tcW w:w="120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89</w:t>
            </w:r>
          </w:p>
        </w:tc>
        <w:tc>
          <w:tcPr>
            <w:tcW w:w="10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601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990</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Equity in net (losses)</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income of affiliates, net</w:t>
            </w:r>
          </w:p>
        </w:tc>
        <w:tc>
          <w:tcPr>
            <w:tcW w:w="12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(39)</w:t>
            </w:r>
          </w:p>
        </w:tc>
        <w:tc>
          <w:tcPr>
            <w:tcW w:w="10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199"/>
        </w:trPr>
        <w:tc>
          <w:tcPr>
            <w:tcW w:w="2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income (expense)</w:t>
            </w:r>
          </w:p>
        </w:tc>
        <w:tc>
          <w:tcPr>
            <w:tcW w:w="120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(285)</w:t>
            </w:r>
          </w:p>
        </w:tc>
        <w:tc>
          <w:tcPr>
            <w:tcW w:w="1040" w:type="dxa"/>
            <w:vAlign w:val="bottom"/>
            <w:tcBorders>
              <w:bottom w:val="single" w:sz="8" w:color="auto"/>
            </w:tcBorders>
          </w:tcPr>
          <w:p>
            <w:pPr>
              <w:jc w:val="right"/>
              <w:ind w:right="156"/>
              <w:spacing w:after="0" w:line="200" w:lineRule="exact"/>
              <w:rPr>
                <w:sz w:val="20"/>
                <w:szCs w:val="20"/>
                <w:color w:val="auto"/>
              </w:rPr>
            </w:pPr>
            <w:r>
              <w:rPr>
                <w:rFonts w:ascii="Arial" w:cs="Arial" w:eastAsia="Arial" w:hAnsi="Arial"/>
                <w:sz w:val="18"/>
                <w:szCs w:val="18"/>
                <w:color w:val="auto"/>
              </w:rPr>
              <w:t>522</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114</w:t>
            </w:r>
          </w:p>
        </w:tc>
      </w:tr>
      <w:tr>
        <w:trPr>
          <w:trHeight w:val="196"/>
        </w:trPr>
        <w:tc>
          <w:tcPr>
            <w:tcW w:w="23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color w:val="auto"/>
              </w:rPr>
              <w:t>$(2,674)</w:t>
            </w:r>
          </w:p>
        </w:tc>
        <w:tc>
          <w:tcPr>
            <w:tcW w:w="1040" w:type="dxa"/>
            <w:vAlign w:val="bottom"/>
            <w:tcBorders>
              <w:bottom w:val="single" w:sz="8" w:color="52A2DD"/>
            </w:tcBorders>
          </w:tcPr>
          <w:p>
            <w:pPr>
              <w:jc w:val="right"/>
              <w:ind w:right="96"/>
              <w:spacing w:after="0" w:line="196" w:lineRule="exact"/>
              <w:rPr>
                <w:sz w:val="20"/>
                <w:szCs w:val="20"/>
                <w:color w:val="auto"/>
              </w:rPr>
            </w:pPr>
            <w:r>
              <w:rPr>
                <w:rFonts w:ascii="Arial" w:cs="Arial" w:eastAsia="Arial" w:hAnsi="Arial"/>
                <w:sz w:val="18"/>
                <w:szCs w:val="18"/>
                <w:color w:val="auto"/>
              </w:rPr>
              <w:t>$(1,229)</w:t>
            </w:r>
          </w:p>
        </w:tc>
        <w:tc>
          <w:tcPr>
            <w:tcW w:w="8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$(1,025)</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increase in interest expense for 2008 was primarily due to an increase in our average debt outstanding and an increase in early extinguishment costs of approximately $61 million associated with the repayment and redemption of certain debt obligations prior to their maturity, partially offset by the effects of lower interest rates in 2008 on our fixed to variable rate interest rate exchange agreements. The increase for 2007 was primarily due to an increase in our average debt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ind w:right="1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The components of investment income (loss), net for 2008, 2007 and 2006 are presented in a table in </w:t>
      </w:r>
      <w:hyperlink w:anchor="page56">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We have entered into derivative financial instruments that we account for at fair value and that economically hedge the market price fluctuations in the common stock of all of</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our investments accounted for as trading securities. The differences between the unrealized gains (losses) on trading securities and the mark to market adjustments on derivatives related to trading securities, as presented in the table in </w:t>
      </w:r>
      <w:hyperlink w:anchor="page56">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result from one or more of the following:</w:t>
      </w:r>
    </w:p>
    <w:p>
      <w:pPr>
        <w:spacing w:after="0" w:line="198" w:lineRule="exact"/>
        <w:rPr>
          <w:sz w:val="20"/>
          <w:szCs w:val="20"/>
          <w:color w:val="auto"/>
        </w:rPr>
      </w:pPr>
    </w:p>
    <w:p>
      <w:pPr>
        <w:ind w:left="120" w:right="20" w:hanging="112"/>
        <w:spacing w:after="0" w:line="239"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were unusual changes in the derivative valuation assumptions such as interest rates, volatility and dividend policy</w:t>
      </w:r>
    </w:p>
    <w:p>
      <w:pPr>
        <w:spacing w:after="0" w:line="195"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194" w:lineRule="exact"/>
        <w:rPr>
          <w:rFonts w:ascii="Arial" w:cs="Arial" w:eastAsia="Arial" w:hAnsi="Arial"/>
          <w:sz w:val="18"/>
          <w:szCs w:val="18"/>
          <w:color w:val="auto"/>
        </w:rPr>
      </w:pPr>
    </w:p>
    <w:p>
      <w:pPr>
        <w:ind w:left="120" w:hanging="112"/>
        <w:spacing w:after="0" w:line="239"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195"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8"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Other expense for 2008 includes an impairment of approximately $600 million related to our investment in Clearwire (see </w:t>
      </w:r>
      <w:hyperlink w:anchor="page56">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partially offset by a gain of approximately $235 million on the sale of our 50% interest in the Insight asset pool in connection with the Insight transaction. Other income for 2007 consisted primarily of a gain of approximately $500 million on the sale of our 50% interest in the Kansas City asset pool in connection with the Houston transaction. Other income for 2006 consisted primarily of $170 million of gains on the sale of nonoperating assets, partially offset by a $59 million impairment related to one of our equity method investments.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Our effective income tax rate for 2008, 2007 and 2006 was 37.8%, 41.4% and 37.5%, respectively. Income tax expense reflects an effective income tax rate that differs from the federal statutory rate primarily due to state income taxes and interest on uncertain tax positions. Our 2008 income tax expense was reduced by approximately $154 million, $80 million of which is due to the settlement of an uncertain tax position (</w:t>
      </w:r>
      <w:hyperlink w:anchor="page66">
        <w:r>
          <w:rPr>
            <w:rFonts w:ascii="Arial" w:cs="Arial" w:eastAsia="Arial" w:hAnsi="Arial"/>
            <w:sz w:val="18"/>
            <w:szCs w:val="18"/>
            <w:u w:val="single" w:color="auto"/>
            <w:color w:val="0000EE"/>
          </w:rPr>
          <w:t>see 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and the net impact of certain state tax law changes that primarily affected our deferred income tax liabilities and other noncurrent liabilities, and the balance of which is primarily due to the future deductibility of certain deferred compensation arrangements. Our tax rate in 2006 was impacted by adjustments to uncertain tax positions, which were primarily due to the favorable resolution of issues and revised estimates of</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Comcast 2008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outcome of unresolved issues with various taxing authorities. We expect our 2009 annual effective tax rate to be in the range of 40% to 45%.</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20"/>
        <w:spacing w:after="0" w:line="235" w:lineRule="auto"/>
        <w:rPr>
          <w:rFonts w:ascii="Arial" w:cs="Arial" w:eastAsia="Arial" w:hAnsi="Arial"/>
          <w:sz w:val="18"/>
          <w:szCs w:val="18"/>
          <w:color w:val="auto"/>
        </w:rPr>
      </w:pPr>
      <w:r>
        <w:rPr>
          <w:rFonts w:ascii="Arial" w:cs="Arial" w:eastAsia="Arial" w:hAnsi="Arial"/>
          <w:sz w:val="18"/>
          <w:szCs w:val="18"/>
          <w:color w:val="auto"/>
        </w:rPr>
        <w:t>The operating results of our previously owned cable systems located in Los Angeles, Dallas and Cleveland, which were reported as discontinued operations for 2006, included 7 months of operations in 2006 because the closing date of the transaction was July 31, 2006. As a result of the exchange of these systems in the Adelphia and Time Warner transactions, we recognized a gain of $195 million, net of tax of $541 million in 2006 (</w:t>
      </w:r>
      <w:hyperlink w:anchor="page53">
        <w:r>
          <w:rPr>
            <w:rFonts w:ascii="Arial" w:cs="Arial" w:eastAsia="Arial" w:hAnsi="Arial"/>
            <w:sz w:val="18"/>
            <w:szCs w:val="18"/>
            <w:u w:val="single" w:color="auto"/>
            <w:color w:val="0000EE"/>
          </w:rPr>
          <w:t>see 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The effective tax rate on the gain is higher than the federal statutory rate primarily due to the nondeductible amounts attributed to goodwill.</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through existing cash, cash equivalents and investments; through available borrowings under our existing credit facilities; and through our ability to obtain future external financing.</w:t>
      </w:r>
    </w:p>
    <w:p>
      <w:pPr>
        <w:spacing w:after="0" w:line="15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investors.</w:t>
      </w:r>
    </w:p>
    <w:p>
      <w:pPr>
        <w:spacing w:after="0" w:line="155"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The global financial markets have been and continue to be in turmoil, with extreme volatility in the equity and credit markets and with some financial and other institutions experiencing significant financial distress. As of December 31, 2008, we had approximately $5.5 billion remaining availability under our credit facilities and no outstanding commercial paper obligations. From 2009 to 2011, our scheduled debt maturities total approximately $5.3 billion. In addition, neither our access to nor the value of our cash equivalents or short-term investments have been negatively affected by the recent liquidity problems of financial institutions. Although we have attempted to be prudent in our investment strategy, it is not possible to predict how the financial market turmoil and the deteriorating economic conditions may affect our financial position. Additional financial institution failures could reduce amounts available under committed credit facilities, could cause losses to the extent cash amounts or the value of securities exceed government deposit insurance limits, and could restrict our access to the public equity and debt markets.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2">
            <w:col w:w="5480" w:space="220"/>
            <w:col w:w="5600"/>
          </w:cols>
          <w:pgMar w:left="240" w:top="459" w:right="3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17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2008</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2520" w:type="dxa"/>
            <w:vAlign w:val="bottom"/>
          </w:tcPr>
          <w:p>
            <w:pPr>
              <w:ind w:left="20"/>
              <w:spacing w:after="0" w:line="200" w:lineRule="exact"/>
              <w:rPr>
                <w:sz w:val="20"/>
                <w:szCs w:val="20"/>
                <w:color w:val="auto"/>
              </w:rPr>
            </w:pPr>
            <w:r>
              <w:rPr>
                <w:rFonts w:ascii="Arial" w:cs="Arial" w:eastAsia="Arial" w:hAnsi="Arial"/>
                <w:sz w:val="18"/>
                <w:szCs w:val="18"/>
                <w:color w:val="auto"/>
              </w:rPr>
              <w:t>Operating income</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line="200" w:lineRule="exact"/>
              <w:rPr>
                <w:sz w:val="20"/>
                <w:szCs w:val="20"/>
                <w:color w:val="auto"/>
              </w:rPr>
            </w:pPr>
            <w:r>
              <w:rPr>
                <w:rFonts w:ascii="Arial" w:cs="Arial" w:eastAsia="Arial" w:hAnsi="Arial"/>
                <w:sz w:val="18"/>
                <w:szCs w:val="18"/>
                <w:color w:val="auto"/>
              </w:rPr>
              <w:t>6,732</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line="200" w:lineRule="exact"/>
              <w:rPr>
                <w:sz w:val="20"/>
                <w:szCs w:val="20"/>
                <w:color w:val="auto"/>
              </w:rPr>
            </w:pPr>
            <w:r>
              <w:rPr>
                <w:rFonts w:ascii="Arial" w:cs="Arial" w:eastAsia="Arial" w:hAnsi="Arial"/>
                <w:sz w:val="18"/>
                <w:szCs w:val="18"/>
                <w:color w:val="auto"/>
              </w:rPr>
              <w:t>5,578</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$ 4,619</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25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6,400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6,208</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4,823</w:t>
            </w:r>
          </w:p>
        </w:tc>
      </w:tr>
      <w:tr>
        <w:trPr>
          <w:trHeight w:val="199"/>
        </w:trPr>
        <w:tc>
          <w:tcPr>
            <w:tcW w:w="2520" w:type="dxa"/>
            <w:vAlign w:val="bottom"/>
          </w:tcPr>
          <w:p>
            <w:pPr>
              <w:ind w:left="440"/>
              <w:spacing w:after="0" w:line="200" w:lineRule="exact"/>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660"/>
              <w:spacing w:after="0" w:line="202" w:lineRule="exact"/>
              <w:rPr>
                <w:sz w:val="20"/>
                <w:szCs w:val="20"/>
                <w:color w:val="auto"/>
              </w:rPr>
            </w:pPr>
            <w:r>
              <w:rPr>
                <w:rFonts w:ascii="Arial" w:cs="Arial" w:eastAsia="Arial" w:hAnsi="Arial"/>
                <w:sz w:val="18"/>
                <w:szCs w:val="18"/>
                <w:color w:val="auto"/>
              </w:rPr>
              <w:t>before depreciation</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660"/>
              <w:spacing w:after="0" w:line="202" w:lineRule="exact"/>
              <w:rPr>
                <w:sz w:val="20"/>
                <w:szCs w:val="20"/>
                <w:color w:val="auto"/>
              </w:rPr>
            </w:pPr>
            <w:r>
              <w:rPr>
                <w:rFonts w:ascii="Arial" w:cs="Arial" w:eastAsia="Arial" w:hAnsi="Arial"/>
                <w:sz w:val="18"/>
                <w:szCs w:val="18"/>
                <w:color w:val="auto"/>
              </w:rPr>
              <w:t>and amortization</w:t>
            </w:r>
          </w:p>
        </w:tc>
        <w:tc>
          <w:tcPr>
            <w:tcW w:w="32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4"/>
              </w:rPr>
              <w:t>13,132</w:t>
            </w:r>
          </w:p>
        </w:tc>
        <w:tc>
          <w:tcPr>
            <w:tcW w:w="28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4"/>
              </w:rPr>
              <w:t>11,786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9,442</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 before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amortization from</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Noncash share-based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compensation and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contribution expense</w:t>
            </w:r>
          </w:p>
        </w:tc>
        <w:tc>
          <w:tcPr>
            <w:tcW w:w="32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258</w:t>
            </w:r>
          </w:p>
        </w:tc>
        <w:tc>
          <w:tcPr>
            <w:tcW w:w="28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223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Changes in operating assets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25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and liabilities</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(251)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(200)</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(280)</w:t>
            </w:r>
          </w:p>
        </w:tc>
      </w:tr>
      <w:tr>
        <w:trPr>
          <w:trHeight w:val="199"/>
        </w:trPr>
        <w:tc>
          <w:tcPr>
            <w:tcW w:w="2520" w:type="dxa"/>
            <w:vAlign w:val="bottom"/>
          </w:tcPr>
          <w:p>
            <w:pPr>
              <w:ind w:left="440"/>
              <w:spacing w:after="0" w:line="200" w:lineRule="exact"/>
              <w:rPr>
                <w:sz w:val="20"/>
                <w:szCs w:val="20"/>
                <w:color w:val="auto"/>
              </w:rPr>
            </w:pPr>
            <w:r>
              <w:rPr>
                <w:rFonts w:ascii="Arial" w:cs="Arial" w:eastAsia="Arial" w:hAnsi="Arial"/>
                <w:sz w:val="18"/>
                <w:szCs w:val="18"/>
                <w:color w:val="auto"/>
              </w:rPr>
              <w:t>Cash basis operating</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660"/>
              <w:spacing w:after="0" w:line="202" w:lineRule="exact"/>
              <w:rPr>
                <w:sz w:val="20"/>
                <w:szCs w:val="20"/>
                <w:color w:val="auto"/>
              </w:rPr>
            </w:pPr>
            <w:r>
              <w:rPr>
                <w:rFonts w:ascii="Arial" w:cs="Arial" w:eastAsia="Arial" w:hAnsi="Arial"/>
                <w:sz w:val="18"/>
                <w:szCs w:val="18"/>
                <w:color w:val="auto"/>
              </w:rPr>
              <w:t>income</w:t>
            </w:r>
          </w:p>
        </w:tc>
        <w:tc>
          <w:tcPr>
            <w:tcW w:w="32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4"/>
              </w:rPr>
              <w:t>13,139</w:t>
            </w:r>
          </w:p>
        </w:tc>
        <w:tc>
          <w:tcPr>
            <w:tcW w:w="28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4"/>
              </w:rPr>
              <w:t>11,809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9,649</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Payments of interest</w:t>
            </w:r>
          </w:p>
        </w:tc>
        <w:tc>
          <w:tcPr>
            <w:tcW w:w="320" w:type="dxa"/>
            <w:vAlign w:val="bottom"/>
          </w:tcPr>
          <w:p>
            <w:pPr>
              <w:spacing w:after="0"/>
              <w:rPr>
                <w:sz w:val="17"/>
                <w:szCs w:val="17"/>
                <w:color w:val="auto"/>
              </w:rPr>
            </w:pP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(2,256)</w:t>
            </w:r>
          </w:p>
        </w:tc>
        <w:tc>
          <w:tcPr>
            <w:tcW w:w="280" w:type="dxa"/>
            <w:vAlign w:val="bottom"/>
          </w:tcPr>
          <w:p>
            <w:pPr>
              <w:spacing w:after="0"/>
              <w:rPr>
                <w:sz w:val="17"/>
                <w:szCs w:val="17"/>
                <w:color w:val="auto"/>
              </w:rPr>
            </w:pP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(2,134)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(1,880)</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Payments of income taxes</w:t>
            </w:r>
          </w:p>
        </w:tc>
        <w:tc>
          <w:tcPr>
            <w:tcW w:w="320" w:type="dxa"/>
            <w:vAlign w:val="bottom"/>
          </w:tcPr>
          <w:p>
            <w:pPr>
              <w:spacing w:after="0"/>
              <w:rPr>
                <w:sz w:val="17"/>
                <w:szCs w:val="17"/>
                <w:color w:val="auto"/>
              </w:rPr>
            </w:pP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(762)</w:t>
            </w:r>
          </w:p>
        </w:tc>
        <w:tc>
          <w:tcPr>
            <w:tcW w:w="280" w:type="dxa"/>
            <w:vAlign w:val="bottom"/>
          </w:tcPr>
          <w:p>
            <w:pPr>
              <w:spacing w:after="0"/>
              <w:rPr>
                <w:sz w:val="17"/>
                <w:szCs w:val="17"/>
                <w:color w:val="auto"/>
              </w:rPr>
            </w:pP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(1,638)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(1,284)</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Proceeds from interest,</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dividends and other</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nonoperating items</w:t>
            </w:r>
          </w:p>
        </w:tc>
        <w:tc>
          <w:tcPr>
            <w:tcW w:w="32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125</w:t>
            </w:r>
          </w:p>
        </w:tc>
        <w:tc>
          <w:tcPr>
            <w:tcW w:w="28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185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Payments related to</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settlement of litigation of</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an acquired company</w:t>
            </w:r>
          </w:p>
        </w:tc>
        <w:tc>
          <w:tcPr>
            <w:tcW w:w="32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Excess tax benefit under</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SFAS No. 123R presented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25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in financing activities</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(33)</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w:t>
            </w:r>
          </w:p>
        </w:tc>
      </w:tr>
      <w:tr>
        <w:trPr>
          <w:trHeight w:val="199"/>
        </w:trPr>
        <w:tc>
          <w:tcPr>
            <w:tcW w:w="2520" w:type="dxa"/>
            <w:vAlign w:val="bottom"/>
          </w:tcPr>
          <w:p>
            <w:pPr>
              <w:ind w:left="20"/>
              <w:spacing w:after="0" w:line="200" w:lineRule="exact"/>
              <w:rPr>
                <w:sz w:val="20"/>
                <w:szCs w:val="20"/>
                <w:color w:val="auto"/>
              </w:rPr>
            </w:pPr>
            <w:r>
              <w:rPr>
                <w:rFonts w:ascii="Arial" w:cs="Arial" w:eastAsia="Arial" w:hAnsi="Arial"/>
                <w:sz w:val="18"/>
                <w:szCs w:val="18"/>
                <w:color w:val="auto"/>
              </w:rPr>
              <w:t>Net cash provided by</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252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2A2DD"/>
            </w:tcBorders>
          </w:tcPr>
          <w:p>
            <w:pPr>
              <w:jc w:val="right"/>
              <w:ind w:right="134"/>
              <w:spacing w:after="0" w:line="200" w:lineRule="exact"/>
              <w:rPr>
                <w:sz w:val="20"/>
                <w:szCs w:val="20"/>
                <w:color w:val="auto"/>
              </w:rPr>
            </w:pPr>
            <w:r>
              <w:rPr>
                <w:rFonts w:ascii="Arial" w:cs="Arial" w:eastAsia="Arial" w:hAnsi="Arial"/>
                <w:sz w:val="18"/>
                <w:szCs w:val="18"/>
                <w:color w:val="auto"/>
                <w:w w:val="94"/>
              </w:rPr>
              <w:t>10,231</w:t>
            </w:r>
          </w:p>
        </w:tc>
        <w:tc>
          <w:tcPr>
            <w:tcW w:w="28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2A2DD"/>
            </w:tcBorders>
          </w:tcPr>
          <w:p>
            <w:pPr>
              <w:jc w:val="right"/>
              <w:ind w:right="134"/>
              <w:spacing w:after="0" w:line="200" w:lineRule="exact"/>
              <w:rPr>
                <w:sz w:val="20"/>
                <w:szCs w:val="20"/>
                <w:color w:val="auto"/>
              </w:rPr>
            </w:pPr>
            <w:r>
              <w:rPr>
                <w:rFonts w:ascii="Arial" w:cs="Arial" w:eastAsia="Arial" w:hAnsi="Arial"/>
                <w:sz w:val="18"/>
                <w:szCs w:val="18"/>
                <w:color w:val="auto"/>
              </w:rPr>
              <w:t>8,189</w:t>
            </w:r>
          </w:p>
        </w:tc>
        <w:tc>
          <w:tcPr>
            <w:tcW w:w="84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$ 6,618</w:t>
            </w:r>
          </w:p>
        </w:tc>
      </w:tr>
    </w:tbl>
    <w:p>
      <w:pPr>
        <w:spacing w:after="0" w:line="3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increases in interest payments in 2008 and 2007 were primarily due to an increase in our average debt outstanding.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decrease in tax payments in 2008 was primarily due to the Economic Stimulus Act of 2008, which resulted in a reduction in our tax payments of approximately $600 million. The increase in tax payments in 2007 was primarily due to the effects of increases in income, sales of investments, and the settlement of federal and state tax audits of $376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-753745</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Net cash provided by (used in) financing activities consists primarily of our proceeds from borrowings offset by our debt repayments, our repurchases of our Class A and Class A Special common stock and dividend payments. Proceeds from borrowings fluctuate from year to year based on the amounts paid to fund acquisitions and debt repayments. We have made, and may from time to time in the future make, optional repayments on our debt obligations, which may include repurchases of our outstanding public notes and debentures, depending on various factors, such as market conditions. In 2008, we made $307 million of optional public bond repurchases. </w:t>
      </w:r>
      <w:hyperlink w:anchor="page60">
        <w:r>
          <w:rPr>
            <w:rFonts w:ascii="Arial" w:cs="Arial" w:eastAsia="Arial" w:hAnsi="Arial"/>
            <w:sz w:val="18"/>
            <w:szCs w:val="18"/>
            <w:u w:val="single" w:color="auto"/>
            <w:color w:val="0000EE"/>
          </w:rPr>
          <w:t>See 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further discussion of our financing activities, including details of our debt repayments and borrowings.</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Available Borrowings Under Credit Facilities</w:t>
      </w:r>
    </w:p>
    <w:p>
      <w:pPr>
        <w:jc w:val="both"/>
        <w:ind w:left="140" w:right="120"/>
        <w:spacing w:after="0" w:line="235"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 to meet our short-term liquidity requirements. In January 2008, we entered into an amended and restated revolving bank credit facility that may be used for general corporate purposes. This amendment increased the size of the credit facility from $5.0 billion to $7.0 billion and extended the maturity of the loan commitment from October 2010 to January 2013. Under our credit facility, other lenders are not obligated to fund a defaulting lender’s commitment, although another lender could agree to fund the defaulting lender’s commitment. However, non-defaulting lenders are not able to use a default by another bank to avoid their own commitments. In December 2008, we terminated a $200 million commitment to our credit facility by Lehman Brothers Bank, FSB (“Lehman”) as a result of Lehman’s default under a borrowing request. At a discounted value, we repaid Lehman’s portion of our outstanding credit facility, along with accrued interest and fees. Subsequent to this termination, the size of our credit facility is $6.8 billion. As of December 31, 2008, amounts available under all of our credit facilities totaled approximately $5.5 billion.</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Debt Covenants</w:t>
      </w:r>
    </w:p>
    <w:p>
      <w:pPr>
        <w:jc w:val="both"/>
        <w:ind w:left="140" w:right="120"/>
        <w:spacing w:after="0" w:line="235" w:lineRule="auto"/>
        <w:rPr>
          <w:rFonts w:ascii="Arial" w:cs="Arial" w:eastAsia="Arial" w:hAnsi="Arial"/>
          <w:sz w:val="18"/>
          <w:szCs w:val="18"/>
          <w:color w:val="auto"/>
        </w:rPr>
      </w:pPr>
      <w:r>
        <w:rPr>
          <w:rFonts w:ascii="Arial" w:cs="Arial" w:eastAsia="Arial" w:hAnsi="Arial"/>
          <w:sz w:val="18"/>
          <w:szCs w:val="18"/>
          <w:color w:val="auto"/>
        </w:rPr>
        <w:t>We and our cable subsidiaries that have provided guarantees are subject to the covenants and restrictions set forth in the indentures governing our public debt securities and in the credit agreements governing our bank credit facilities (</w:t>
      </w:r>
      <w:hyperlink w:anchor="page73">
        <w:r>
          <w:rPr>
            <w:rFonts w:ascii="Arial" w:cs="Arial" w:eastAsia="Arial" w:hAnsi="Arial"/>
            <w:sz w:val="18"/>
            <w:szCs w:val="18"/>
            <w:u w:val="single" w:color="auto"/>
            <w:color w:val="0000EE"/>
          </w:rPr>
          <w:t>see Note 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We and the guarantors are in compliance with the covenants, and we believe that neither the covenants nor the restrictions in our indentures or loan documents will limit our ability to operate our business or raise additional capital. Our credit facilities’ covenants are tested on an ongoing basis. The only financial covenant in our $6.8 billion revolving credit</w:t>
      </w:r>
    </w:p>
    <w:p>
      <w:pPr>
        <w:spacing w:after="0" w:line="23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facility due 2013 relates to leverage (ratio of debt to operating income before depreciation and amortization). As of December 31, 2008, we met this financial covenant by a significant margin. Our ability to comply with this financial covenant in the future does not depend on further debt reduction or on improved operating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Share Repurchase and Dividends</w:t>
      </w:r>
    </w:p>
    <w:p>
      <w:pPr>
        <w:jc w:val="both"/>
        <w:spacing w:after="0" w:line="236" w:lineRule="auto"/>
        <w:rPr>
          <w:sz w:val="20"/>
          <w:szCs w:val="20"/>
          <w:color w:val="auto"/>
        </w:rPr>
      </w:pPr>
      <w:r>
        <w:rPr>
          <w:rFonts w:ascii="Arial" w:cs="Arial" w:eastAsia="Arial" w:hAnsi="Arial"/>
          <w:sz w:val="18"/>
          <w:szCs w:val="18"/>
          <w:color w:val="auto"/>
        </w:rPr>
        <w:t>As of December 31, 2008, we had approximately $4.1 billion of availability remaining under our share repurchase authorization. We have previously indicated our plan to fully use our remaining share repurchase authorization by the end of 2009, subject to market conditions. However, as previously disclosed, due to difficult economic conditions and instability in the capital markets, it is unlikely that we will complete our share repurchase authorization by the end of 2009 as previously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95885</wp:posOffset>
            </wp:positionV>
            <wp:extent cx="2915920" cy="1955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1592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of Directors declared a dividend of $0.0625 per share for each quarter in 2008 totaling approximately $727 million. We paid approximately $547 million of dividends in 2008. We expect to continue to pay quarterly dividends, though each subsequent dividend is subject to approval by our Board of Directors. We did not declare or pay any cash dividends in 2007 or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8" w:lineRule="auto"/>
        <w:rPr>
          <w:sz w:val="20"/>
          <w:szCs w:val="20"/>
          <w:color w:val="auto"/>
        </w:rPr>
      </w:pPr>
      <w:r>
        <w:rPr>
          <w:rFonts w:ascii="Arial" w:cs="Arial" w:eastAsia="Arial" w:hAnsi="Arial"/>
          <w:sz w:val="18"/>
          <w:szCs w:val="18"/>
          <w:color w:val="auto"/>
        </w:rPr>
        <w:t>Net cash used in investing activities consists primarily of cash paid for capital expenditures, acquisitions and investments, partially offset by proceeds from sales of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Capital Expenditures</w:t>
      </w:r>
    </w:p>
    <w:p>
      <w:pPr>
        <w:jc w:val="both"/>
        <w:spacing w:after="0" w:line="271" w:lineRule="auto"/>
        <w:rPr>
          <w:sz w:val="20"/>
          <w:szCs w:val="20"/>
          <w:color w:val="auto"/>
        </w:rPr>
      </w:pPr>
      <w:r>
        <w:rPr>
          <w:rFonts w:ascii="Arial" w:cs="Arial" w:eastAsia="Arial" w:hAnsi="Arial"/>
          <w:sz w:val="16"/>
          <w:szCs w:val="16"/>
          <w:color w:val="auto"/>
        </w:rPr>
        <w:t>Our most significant recurring investing activity has been capital expenditures in our Cable segment and we expect that this will continue in the future. A significant portion of our capital expenditures is based on the level of customer growth and the technology being deployed. The table below summarizes the capital expenditures we incurred in our Cable segment from 2006 through 2008.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2008</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2760" w:type="dxa"/>
            <w:vAlign w:val="bottom"/>
          </w:tcPr>
          <w:p>
            <w:pPr>
              <w:spacing w:after="0" w:line="200" w:lineRule="exact"/>
              <w:rPr>
                <w:sz w:val="20"/>
                <w:szCs w:val="20"/>
                <w:color w:val="auto"/>
              </w:rPr>
            </w:pPr>
            <w:r>
              <w:rPr>
                <w:rFonts w:ascii="Arial" w:cs="Arial" w:eastAsia="Arial" w:hAnsi="Arial"/>
                <w:sz w:val="18"/>
                <w:szCs w:val="18"/>
                <w:color w:val="auto"/>
              </w:rPr>
              <w:t>Customer premises equipment</w:t>
            </w:r>
            <w:r>
              <w:rPr>
                <w:rFonts w:ascii="Arial" w:cs="Arial" w:eastAsia="Arial" w:hAnsi="Arial"/>
                <w:sz w:val="22"/>
                <w:szCs w:val="22"/>
                <w:color w:val="auto"/>
                <w:vertAlign w:val="superscript"/>
              </w:rPr>
              <w:t>(a)</w:t>
            </w:r>
          </w:p>
        </w:tc>
        <w:tc>
          <w:tcPr>
            <w:tcW w:w="98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$3,147</w:t>
            </w:r>
          </w:p>
        </w:tc>
        <w:tc>
          <w:tcPr>
            <w:tcW w:w="98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$3,164</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03"/>
        </w:trPr>
        <w:tc>
          <w:tcPr>
            <w:tcW w:w="2760" w:type="dxa"/>
            <w:vAlign w:val="bottom"/>
          </w:tcPr>
          <w:p>
            <w:pPr>
              <w:spacing w:after="0" w:line="203" w:lineRule="exact"/>
              <w:rPr>
                <w:sz w:val="20"/>
                <w:szCs w:val="20"/>
                <w:color w:val="auto"/>
              </w:rPr>
            </w:pPr>
            <w:r>
              <w:rPr>
                <w:rFonts w:ascii="Arial" w:cs="Arial" w:eastAsia="Arial" w:hAnsi="Arial"/>
                <w:sz w:val="18"/>
                <w:szCs w:val="18"/>
                <w:color w:val="auto"/>
              </w:rPr>
              <w:t>Scalable infrastructure</w:t>
            </w:r>
            <w:r>
              <w:rPr>
                <w:rFonts w:ascii="Arial" w:cs="Arial" w:eastAsia="Arial" w:hAnsi="Arial"/>
                <w:sz w:val="22"/>
                <w:szCs w:val="22"/>
                <w:color w:val="auto"/>
                <w:vertAlign w:val="superscript"/>
              </w:rPr>
              <w:t>(b)</w:t>
            </w: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1,024</w:t>
            </w: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1,014</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3"/>
        </w:trPr>
        <w:tc>
          <w:tcPr>
            <w:tcW w:w="2760" w:type="dxa"/>
            <w:vAlign w:val="bottom"/>
          </w:tcPr>
          <w:p>
            <w:pPr>
              <w:spacing w:after="0" w:line="203" w:lineRule="exact"/>
              <w:rPr>
                <w:sz w:val="20"/>
                <w:szCs w:val="20"/>
                <w:color w:val="auto"/>
              </w:rPr>
            </w:pPr>
            <w:r>
              <w:rPr>
                <w:rFonts w:ascii="Arial" w:cs="Arial" w:eastAsia="Arial" w:hAnsi="Arial"/>
                <w:sz w:val="18"/>
                <w:szCs w:val="18"/>
                <w:color w:val="auto"/>
              </w:rPr>
              <w:t>Line extensions</w:t>
            </w:r>
            <w:r>
              <w:rPr>
                <w:rFonts w:ascii="Arial" w:cs="Arial" w:eastAsia="Arial" w:hAnsi="Arial"/>
                <w:sz w:val="22"/>
                <w:szCs w:val="22"/>
                <w:color w:val="auto"/>
                <w:vertAlign w:val="superscript"/>
              </w:rPr>
              <w:t>(c)</w:t>
            </w: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212</w:t>
            </w: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352</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2760" w:type="dxa"/>
            <w:vAlign w:val="bottom"/>
          </w:tcPr>
          <w:p>
            <w:pPr>
              <w:spacing w:after="0" w:line="203" w:lineRule="exact"/>
              <w:rPr>
                <w:sz w:val="20"/>
                <w:szCs w:val="20"/>
                <w:color w:val="auto"/>
              </w:rPr>
            </w:pPr>
            <w:r>
              <w:rPr>
                <w:rFonts w:ascii="Arial" w:cs="Arial" w:eastAsia="Arial" w:hAnsi="Arial"/>
                <w:sz w:val="18"/>
                <w:szCs w:val="18"/>
                <w:color w:val="auto"/>
              </w:rPr>
              <w:t>Support capital</w:t>
            </w:r>
            <w:r>
              <w:rPr>
                <w:rFonts w:ascii="Arial" w:cs="Arial" w:eastAsia="Arial" w:hAnsi="Arial"/>
                <w:sz w:val="22"/>
                <w:szCs w:val="22"/>
                <w:color w:val="auto"/>
                <w:vertAlign w:val="superscript"/>
              </w:rPr>
              <w:t>(d)</w:t>
            </w: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522</w:t>
            </w: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792</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6"/>
        </w:trPr>
        <w:tc>
          <w:tcPr>
            <w:tcW w:w="2760" w:type="dxa"/>
            <w:vAlign w:val="bottom"/>
          </w:tcPr>
          <w:p>
            <w:pPr>
              <w:spacing w:after="0" w:line="206" w:lineRule="exact"/>
              <w:rPr>
                <w:sz w:val="20"/>
                <w:szCs w:val="20"/>
                <w:color w:val="auto"/>
              </w:rPr>
            </w:pPr>
            <w:r>
              <w:rPr>
                <w:rFonts w:ascii="Arial" w:cs="Arial" w:eastAsia="Arial" w:hAnsi="Arial"/>
                <w:sz w:val="18"/>
                <w:szCs w:val="18"/>
                <w:color w:val="auto"/>
              </w:rPr>
              <w:t>Upgrades (capacity expansion)</w:t>
            </w:r>
          </w:p>
        </w:tc>
        <w:tc>
          <w:tcPr>
            <w:tcW w:w="980" w:type="dxa"/>
            <w:vAlign w:val="bottom"/>
            <w:vMerge w:val="restart"/>
          </w:tcPr>
          <w:p>
            <w:pPr>
              <w:jc w:val="right"/>
              <w:ind w:right="135"/>
              <w:spacing w:after="0"/>
              <w:rPr>
                <w:sz w:val="20"/>
                <w:szCs w:val="20"/>
                <w:color w:val="auto"/>
              </w:rPr>
            </w:pPr>
            <w:r>
              <w:rPr>
                <w:rFonts w:ascii="Arial" w:cs="Arial" w:eastAsia="Arial" w:hAnsi="Arial"/>
                <w:sz w:val="18"/>
                <w:szCs w:val="18"/>
                <w:color w:val="auto"/>
              </w:rPr>
              <w:t>407</w:t>
            </w:r>
          </w:p>
        </w:tc>
        <w:tc>
          <w:tcPr>
            <w:tcW w:w="980" w:type="dxa"/>
            <w:vAlign w:val="bottom"/>
            <w:vMerge w:val="restart"/>
          </w:tcPr>
          <w:p>
            <w:pPr>
              <w:jc w:val="right"/>
              <w:ind w:right="135"/>
              <w:spacing w:after="0"/>
              <w:rPr>
                <w:sz w:val="20"/>
                <w:szCs w:val="20"/>
                <w:color w:val="auto"/>
              </w:rPr>
            </w:pPr>
            <w:r>
              <w:rPr>
                <w:rFonts w:ascii="Arial" w:cs="Arial" w:eastAsia="Arial" w:hAnsi="Arial"/>
                <w:sz w:val="18"/>
                <w:szCs w:val="18"/>
                <w:color w:val="auto"/>
              </w:rPr>
              <w:t>520</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59"/>
        </w:trPr>
        <w:tc>
          <w:tcPr>
            <w:tcW w:w="2760" w:type="dxa"/>
            <w:vAlign w:val="bottom"/>
          </w:tcPr>
          <w:p>
            <w:pPr>
              <w:ind w:left="220"/>
              <w:spacing w:after="0"/>
              <w:rPr>
                <w:sz w:val="20"/>
                <w:szCs w:val="20"/>
                <w:color w:val="auto"/>
              </w:rPr>
            </w:pPr>
            <w:r>
              <w:rPr>
                <w:rFonts w:ascii="Arial" w:cs="Arial" w:eastAsia="Arial" w:hAnsi="Arial"/>
                <w:sz w:val="11"/>
                <w:szCs w:val="11"/>
                <w:color w:val="auto"/>
              </w:rPr>
              <w:t>(e)</w:t>
            </w:r>
          </w:p>
        </w:tc>
        <w:tc>
          <w:tcPr>
            <w:tcW w:w="9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Business services</w:t>
            </w:r>
            <w:r>
              <w:rPr>
                <w:rFonts w:ascii="Arial" w:cs="Arial" w:eastAsia="Arial" w:hAnsi="Arial"/>
                <w:sz w:val="22"/>
                <w:szCs w:val="22"/>
                <w:color w:val="auto"/>
                <w:vertAlign w:val="superscript"/>
              </w:rPr>
              <w:t>(f)</w:t>
            </w:r>
          </w:p>
        </w:tc>
        <w:tc>
          <w:tcPr>
            <w:tcW w:w="98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233</w:t>
            </w:r>
          </w:p>
        </w:tc>
        <w:tc>
          <w:tcPr>
            <w:tcW w:w="98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151</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color w:val="auto"/>
              </w:rPr>
              <w:t>$5,545</w:t>
            </w:r>
          </w:p>
        </w:tc>
        <w:tc>
          <w:tcPr>
            <w:tcW w:w="98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color w:val="auto"/>
              </w:rPr>
              <w:t>$5,993</w:t>
            </w:r>
          </w:p>
        </w:tc>
        <w:tc>
          <w:tcPr>
            <w:tcW w:w="7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40" w:right="20" w:hanging="239"/>
        <w:spacing w:after="0" w:line="224"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Customer premises equipment (“CPE”) includes costs incurred to connect our services at the customer’s home. The equipment deployed typically includes standard digital set-top boxes, HD set-top boxes, digital video recorders, remote controls and modems. CPE also includes the cost of installing this equipment for new customers as well as the material and labor cost incurred to install the cable that connects a customer’s dwelling to the network.</w:t>
      </w:r>
    </w:p>
    <w:p>
      <w:pPr>
        <w:spacing w:after="0" w:line="16" w:lineRule="exact"/>
        <w:rPr>
          <w:rFonts w:ascii="Arial" w:cs="Arial" w:eastAsia="Arial" w:hAnsi="Arial"/>
          <w:sz w:val="14"/>
          <w:szCs w:val="14"/>
          <w:color w:val="auto"/>
        </w:rPr>
      </w:pPr>
    </w:p>
    <w:p>
      <w:pPr>
        <w:jc w:val="both"/>
        <w:ind w:left="240" w:hanging="239"/>
        <w:spacing w:after="0" w:line="223"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Scalable infrastructure includes costs incurred to secure growth in customers or revenue units or to provide service enhancements, other than those related to CPE. Scalable infrastructure includes equipment that controls signal reception, processing and transmission throughout our distribution network, as well as equipment that controls and communicates with the CPE residing within a customer’s home. Also included in scalable infrastructure is certain equipment necessary for content aggregation and distribution (video on demand equipment) and equipment necessary to provide certain video, high-speed Internet and digital phone service features (e.g., voice mail and e-mail).</w:t>
      </w:r>
    </w:p>
    <w:p>
      <w:pPr>
        <w:spacing w:after="0" w:line="17" w:lineRule="exact"/>
        <w:rPr>
          <w:rFonts w:ascii="Arial" w:cs="Arial" w:eastAsia="Arial" w:hAnsi="Arial"/>
          <w:sz w:val="14"/>
          <w:szCs w:val="14"/>
          <w:color w:val="auto"/>
        </w:rPr>
      </w:pPr>
    </w:p>
    <w:p>
      <w:pPr>
        <w:jc w:val="both"/>
        <w:ind w:left="220" w:right="20" w:hanging="219"/>
        <w:spacing w:after="0" w:line="228"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Line extensions include the costs of extending our distribution network into new service areas. These costs typically include network design, the purchase and installation of fiber-optic and coaxial cable, and certain electronic equipment.</w:t>
      </w:r>
    </w:p>
    <w:p>
      <w:pPr>
        <w:spacing w:after="0" w:line="13" w:lineRule="exact"/>
        <w:rPr>
          <w:rFonts w:ascii="Arial" w:cs="Arial" w:eastAsia="Arial" w:hAnsi="Arial"/>
          <w:sz w:val="14"/>
          <w:szCs w:val="14"/>
          <w:color w:val="auto"/>
        </w:rPr>
      </w:pPr>
    </w:p>
    <w:p>
      <w:pPr>
        <w:jc w:val="both"/>
        <w:ind w:left="240" w:right="20" w:hanging="239"/>
        <w:spacing w:after="0" w:line="226"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Support capital includes costs associated with the replacement or enhancement of non-network assets due to technical or physical obsolescence and wear-out. These costs typically include vehicles, computer and office equipment, furniture and fixtures, tools, and test equipment.</w:t>
      </w:r>
    </w:p>
    <w:p>
      <w:pPr>
        <w:spacing w:after="0" w:line="14" w:lineRule="exact"/>
        <w:rPr>
          <w:rFonts w:ascii="Arial" w:cs="Arial" w:eastAsia="Arial" w:hAnsi="Arial"/>
          <w:sz w:val="14"/>
          <w:szCs w:val="14"/>
          <w:color w:val="auto"/>
        </w:rPr>
      </w:pPr>
    </w:p>
    <w:p>
      <w:pPr>
        <w:ind w:left="240" w:right="20" w:hanging="239"/>
        <w:spacing w:after="0" w:line="231"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Upgrades include costs to enhance or replace existing portions of our cable network, including recurring betterments.</w:t>
      </w:r>
    </w:p>
    <w:p>
      <w:pPr>
        <w:spacing w:after="0" w:line="14" w:lineRule="exact"/>
        <w:rPr>
          <w:rFonts w:ascii="Arial" w:cs="Arial" w:eastAsia="Arial" w:hAnsi="Arial"/>
          <w:sz w:val="14"/>
          <w:szCs w:val="14"/>
          <w:color w:val="auto"/>
        </w:rPr>
      </w:pPr>
    </w:p>
    <w:p>
      <w:pPr>
        <w:jc w:val="both"/>
        <w:ind w:left="180" w:right="20" w:hanging="179"/>
        <w:spacing w:after="0" w:line="225" w:lineRule="auto"/>
        <w:tabs>
          <w:tab w:leader="none" w:pos="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Business services include the costs incurred related to the rollout of our services to small and medium-sized businesses. The equipment typically includes high-speed Internet modems and phone modems and the cost of installing this equipment for new customers as well as materials and labor incurred to install the cable that connects a customer’s business to the closest point of the main distribution network.</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300"/>
          </w:cols>
          <w:pgMar w:left="240" w:top="459" w:right="3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Cable capital expenditures decreased 7.5% in 2008 primarily due to lower spending in residential cable services. Line extensions decreased in 2008 compared to 2007 primarily due to the slowdown in the housing market. Cable capital expenditures increased 41.2% in 2007 primarily as a result of the continued rollout of our digital phone service and an increase in demand for advanced set-top boxes (including DVR and HDTV) and high-speed Internet modems. These increases were accelerated by the success of our triple play bundle and as a result of regulatory changes in 2007. We also incurred additional capital expenditures in our newly acquired cable systems and continued to improve the capacity and reliability of our network in 2007 in order to handle the additional volume and advanced services.</w:t>
      </w:r>
    </w:p>
    <w:p>
      <w:pPr>
        <w:spacing w:after="0" w:line="34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Capital expenditures in our Programming segment were not significant in 2008, 2007 and 2006. In 2008 and 2007, our other business activities included approximately $137 million and $110 million, respectively, of capital expenditures related to the consolidation of offices in Pennsylvania and the relocation of our corporate headquarters. Capital expenditures for 2009 and for subsequent years will depend on numerous factors, including acquisitions, competition, changes in technology, regulatory changes and the timing and rate of deployment of new services. Our 2009 capital expenditures will include the purchase of set-top boxes associated with our migration to all digital transmission for certain analog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52A2DD"/>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-764540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35" w:lineRule="auto"/>
        <w:rPr>
          <w:sz w:val="20"/>
          <w:szCs w:val="20"/>
          <w:color w:val="auto"/>
        </w:rPr>
      </w:pPr>
      <w:r>
        <w:rPr>
          <w:rFonts w:ascii="Arial" w:cs="Arial" w:eastAsia="Arial" w:hAnsi="Arial"/>
          <w:sz w:val="18"/>
          <w:szCs w:val="18"/>
          <w:color w:val="auto"/>
        </w:rPr>
        <w:t>In 2008, acquisitions were primarily related to our acquisition of an additional interest in Comcast SportsNet Bay Area; our acquisition of the remaining interest in G4 that we did not already own; and our acquisitions of Plaxo and DailyCandy. In 2007, acquisitions were primarily related to our acquisitions of Patriot Media, Fandango, Comcast SportsNet New England, and an interest in Comcast SportsNet Bay Area. In 2006, acquisitions were primarily related to the Adelphia and Time Warner transactions, the acquisition of the cable systems of Susquehanna Communications and the acquisition of our additional interest in E! Entertainment Television.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Proceeds from Sales of Investments</w:t>
      </w:r>
    </w:p>
    <w:p>
      <w:pPr>
        <w:jc w:val="both"/>
        <w:ind w:right="140"/>
        <w:spacing w:after="0" w:line="275" w:lineRule="auto"/>
        <w:rPr>
          <w:sz w:val="20"/>
          <w:szCs w:val="20"/>
          <w:color w:val="auto"/>
        </w:rPr>
      </w:pPr>
      <w:r>
        <w:rPr>
          <w:rFonts w:ascii="Arial" w:cs="Arial" w:eastAsia="Arial" w:hAnsi="Arial"/>
          <w:sz w:val="16"/>
          <w:szCs w:val="16"/>
          <w:color w:val="auto"/>
        </w:rPr>
        <w:t>In 2008, proceeds from the sales of investments were primarily related to the disposition of available-for-sale debt securities. In 2007 and 2006, proceeds from the sales of investments were primarily related to the disposition of our ownership interests in Time Warner Inc.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2A2DD"/>
        </w:rPr>
        <w:t>Purchases of Investments</w:t>
      </w:r>
    </w:p>
    <w:p>
      <w:pPr>
        <w:jc w:val="both"/>
        <w:ind w:right="120"/>
        <w:spacing w:after="0" w:line="236" w:lineRule="auto"/>
        <w:rPr>
          <w:sz w:val="20"/>
          <w:szCs w:val="20"/>
          <w:color w:val="auto"/>
        </w:rPr>
      </w:pPr>
      <w:r>
        <w:rPr>
          <w:rFonts w:ascii="Arial" w:cs="Arial" w:eastAsia="Arial" w:hAnsi="Arial"/>
          <w:sz w:val="18"/>
          <w:szCs w:val="18"/>
          <w:color w:val="auto"/>
        </w:rPr>
        <w:t>In 2008, purchases of investments consisted primarily of the funding of our investment in Clearwire. In 2007, purchases of investments consisted primarily of an additional investment in Insight Midwest, L.P. and the purchase of available-for-sale debt securities. In 2006, purchases of investments consisted primarily of the purchase of our interest in SpectrumCo LLC and our additional investment in Texas and Kansas City Cable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456565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3"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32" w:lineRule="auto"/>
        <w:rPr>
          <w:sz w:val="20"/>
          <w:szCs w:val="20"/>
          <w:color w:val="auto"/>
        </w:rPr>
      </w:pPr>
      <w:r>
        <w:rPr>
          <w:rFonts w:ascii="Arial" w:cs="Arial" w:eastAsia="Arial" w:hAnsi="Arial"/>
          <w:sz w:val="18"/>
          <w:szCs w:val="18"/>
          <w:color w:val="auto"/>
        </w:rPr>
        <w:t>Our unconditional contractual obligations as of December 31, 2008, which consist primarily of our debt obligations and the associated payments due in future periods, are presented in the table below.</w:t>
      </w:r>
    </w:p>
    <w:tbl>
      <w:tblPr>
        <w:tblLayout w:type="fixed"/>
        <w:tblInd w:w="0" w:type="dxa"/>
        <w:tblCellMar>
          <w:top w:w="0" w:type="dxa"/>
          <w:left w:w="0" w:type="dxa"/>
          <w:bottom w:w="0" w:type="dxa"/>
          <w:right w:w="0" w:type="dxa"/>
        </w:tblCellMar>
      </w:tblPr>
      <w:tr>
        <w:trPr>
          <w:trHeight w:val="150"/>
        </w:trPr>
        <w:tc>
          <w:tcPr>
            <w:tcW w:w="66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3"/>
          </w:tcPr>
          <w:p>
            <w:pPr>
              <w:jc w:val="right"/>
              <w:ind w:right="557"/>
              <w:spacing w:after="0" w:line="151" w:lineRule="exact"/>
              <w:rPr>
                <w:sz w:val="20"/>
                <w:szCs w:val="20"/>
                <w:color w:val="auto"/>
              </w:rPr>
            </w:pPr>
            <w:r>
              <w:rPr>
                <w:rFonts w:ascii="Arial" w:cs="Arial" w:eastAsia="Arial" w:hAnsi="Arial"/>
                <w:sz w:val="14"/>
                <w:szCs w:val="14"/>
                <w:color w:val="auto"/>
              </w:rPr>
              <w:t>Payments Due by Period</w:t>
            </w: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1"/>
        </w:trPr>
        <w:tc>
          <w:tcPr>
            <w:tcW w:w="6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jc w:val="right"/>
              <w:ind w:right="77"/>
              <w:spacing w:after="0" w:line="141" w:lineRule="exact"/>
              <w:rPr>
                <w:sz w:val="20"/>
                <w:szCs w:val="20"/>
                <w:color w:val="auto"/>
              </w:rPr>
            </w:pPr>
            <w:r>
              <w:rPr>
                <w:rFonts w:ascii="Arial" w:cs="Arial" w:eastAsia="Arial" w:hAnsi="Arial"/>
                <w:sz w:val="14"/>
                <w:szCs w:val="14"/>
                <w:color w:val="auto"/>
              </w:rPr>
              <w:t>Years</w:t>
            </w:r>
          </w:p>
        </w:tc>
        <w:tc>
          <w:tcPr>
            <w:tcW w:w="940" w:type="dxa"/>
            <w:vAlign w:val="bottom"/>
          </w:tcPr>
          <w:p>
            <w:pPr>
              <w:jc w:val="right"/>
              <w:ind w:right="77"/>
              <w:spacing w:after="0" w:line="141" w:lineRule="exact"/>
              <w:rPr>
                <w:sz w:val="20"/>
                <w:szCs w:val="20"/>
                <w:color w:val="auto"/>
              </w:rPr>
            </w:pPr>
            <w:r>
              <w:rPr>
                <w:rFonts w:ascii="Arial" w:cs="Arial" w:eastAsia="Arial" w:hAnsi="Arial"/>
                <w:sz w:val="14"/>
                <w:szCs w:val="14"/>
                <w:color w:val="auto"/>
              </w:rPr>
              <w:t>Years</w:t>
            </w: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More</w:t>
            </w:r>
          </w:p>
        </w:tc>
        <w:tc>
          <w:tcPr>
            <w:tcW w:w="20" w:type="dxa"/>
            <w:vAlign w:val="bottom"/>
          </w:tcPr>
          <w:p>
            <w:pPr>
              <w:spacing w:after="0"/>
              <w:rPr>
                <w:sz w:val="12"/>
                <w:szCs w:val="12"/>
                <w:color w:val="auto"/>
              </w:rPr>
            </w:pPr>
          </w:p>
        </w:tc>
      </w:tr>
      <w:tr>
        <w:trPr>
          <w:trHeight w:val="163"/>
        </w:trPr>
        <w:tc>
          <w:tcPr>
            <w:tcW w:w="6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Year 1</w:t>
            </w: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2–3</w:t>
            </w: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4–5</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than 5</w:t>
            </w:r>
          </w:p>
        </w:tc>
      </w:tr>
      <w:tr>
        <w:trPr>
          <w:trHeight w:val="199"/>
        </w:trPr>
        <w:tc>
          <w:tcPr>
            <w:tcW w:w="662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1160" w:type="dxa"/>
            <w:vAlign w:val="bottom"/>
          </w:tcPr>
          <w:p>
            <w:pPr>
              <w:jc w:val="right"/>
              <w:ind w:right="75"/>
              <w:spacing w:after="0" w:line="200" w:lineRule="exact"/>
              <w:rPr>
                <w:sz w:val="20"/>
                <w:szCs w:val="20"/>
                <w:color w:val="auto"/>
              </w:rPr>
            </w:pPr>
            <w:r>
              <w:rPr>
                <w:rFonts w:ascii="Arial" w:cs="Arial" w:eastAsia="Arial" w:hAnsi="Arial"/>
                <w:sz w:val="18"/>
                <w:szCs w:val="18"/>
                <w:color w:val="auto"/>
              </w:rPr>
              <w:t>$ 32,394</w:t>
            </w:r>
          </w:p>
        </w:tc>
        <w:tc>
          <w:tcPr>
            <w:tcW w:w="920" w:type="dxa"/>
            <w:vAlign w:val="bottom"/>
          </w:tcPr>
          <w:p>
            <w:pPr>
              <w:jc w:val="right"/>
              <w:ind w:right="77"/>
              <w:spacing w:after="0" w:line="200" w:lineRule="exact"/>
              <w:rPr>
                <w:sz w:val="20"/>
                <w:szCs w:val="20"/>
                <w:color w:val="auto"/>
              </w:rPr>
            </w:pPr>
            <w:r>
              <w:rPr>
                <w:rFonts w:ascii="Arial" w:cs="Arial" w:eastAsia="Arial" w:hAnsi="Arial"/>
                <w:sz w:val="18"/>
                <w:szCs w:val="18"/>
                <w:color w:val="auto"/>
              </w:rPr>
              <w:t>$ 2,269</w:t>
            </w:r>
          </w:p>
        </w:tc>
        <w:tc>
          <w:tcPr>
            <w:tcW w:w="920" w:type="dxa"/>
            <w:vAlign w:val="bottom"/>
          </w:tcPr>
          <w:p>
            <w:pPr>
              <w:jc w:val="right"/>
              <w:ind w:right="77"/>
              <w:spacing w:after="0" w:line="200" w:lineRule="exact"/>
              <w:rPr>
                <w:sz w:val="20"/>
                <w:szCs w:val="20"/>
                <w:color w:val="auto"/>
              </w:rPr>
            </w:pPr>
            <w:r>
              <w:rPr>
                <w:rFonts w:ascii="Arial" w:cs="Arial" w:eastAsia="Arial" w:hAnsi="Arial"/>
                <w:sz w:val="18"/>
                <w:szCs w:val="18"/>
                <w:color w:val="auto"/>
              </w:rPr>
              <w:t>$ 2,957</w:t>
            </w:r>
          </w:p>
        </w:tc>
        <w:tc>
          <w:tcPr>
            <w:tcW w:w="940" w:type="dxa"/>
            <w:vAlign w:val="bottom"/>
          </w:tcPr>
          <w:p>
            <w:pPr>
              <w:jc w:val="right"/>
              <w:ind w:right="77"/>
              <w:spacing w:after="0" w:line="200" w:lineRule="exact"/>
              <w:rPr>
                <w:sz w:val="20"/>
                <w:szCs w:val="20"/>
                <w:color w:val="auto"/>
              </w:rPr>
            </w:pPr>
            <w:r>
              <w:rPr>
                <w:rFonts w:ascii="Arial" w:cs="Arial" w:eastAsia="Arial" w:hAnsi="Arial"/>
                <w:sz w:val="18"/>
                <w:szCs w:val="18"/>
                <w:color w:val="auto"/>
              </w:rPr>
              <w:t>$ 5,613</w:t>
            </w:r>
          </w:p>
        </w:tc>
        <w:tc>
          <w:tcPr>
            <w:tcW w:w="88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$ 21,555</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11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62</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9</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36</w:t>
            </w:r>
          </w:p>
        </w:tc>
        <w:tc>
          <w:tcPr>
            <w:tcW w:w="9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1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2,088</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385</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542</w:t>
            </w:r>
          </w:p>
        </w:tc>
        <w:tc>
          <w:tcPr>
            <w:tcW w:w="9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328</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833</w:t>
            </w:r>
          </w:p>
        </w:tc>
      </w:tr>
      <w:tr>
        <w:trPr>
          <w:trHeight w:val="203"/>
        </w:trPr>
        <w:tc>
          <w:tcPr>
            <w:tcW w:w="662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11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16,069</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3,666</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3,915</w:t>
            </w:r>
          </w:p>
        </w:tc>
        <w:tc>
          <w:tcPr>
            <w:tcW w:w="9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2,462</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6,026</w:t>
            </w:r>
          </w:p>
        </w:tc>
        <w:tc>
          <w:tcPr>
            <w:tcW w:w="20" w:type="dxa"/>
            <w:vAlign w:val="bottom"/>
          </w:tcPr>
          <w:p>
            <w:pPr>
              <w:spacing w:after="0"/>
              <w:rPr>
                <w:sz w:val="17"/>
                <w:szCs w:val="17"/>
                <w:color w:val="auto"/>
              </w:rPr>
            </w:pP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Other long-term liabilities reflected on the balance sheet:</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20" w:type="dxa"/>
            <w:vAlign w:val="bottom"/>
          </w:tcPr>
          <w:p>
            <w:pPr>
              <w:ind w:left="220"/>
              <w:spacing w:after="0" w:line="203" w:lineRule="exact"/>
              <w:rPr>
                <w:sz w:val="20"/>
                <w:szCs w:val="20"/>
                <w:color w:val="auto"/>
              </w:rPr>
            </w:pPr>
            <w:r>
              <w:rPr>
                <w:rFonts w:ascii="Arial" w:cs="Arial" w:eastAsia="Arial" w:hAnsi="Arial"/>
                <w:sz w:val="18"/>
                <w:szCs w:val="18"/>
                <w:color w:val="auto"/>
              </w:rPr>
              <w:t>Acquisition-related obligations</w:t>
            </w:r>
            <w:r>
              <w:rPr>
                <w:rFonts w:ascii="Arial" w:cs="Arial" w:eastAsia="Arial" w:hAnsi="Arial"/>
                <w:sz w:val="22"/>
                <w:szCs w:val="22"/>
                <w:color w:val="auto"/>
                <w:vertAlign w:val="superscript"/>
              </w:rPr>
              <w:t>(c)</w:t>
            </w:r>
          </w:p>
        </w:tc>
        <w:tc>
          <w:tcPr>
            <w:tcW w:w="11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153</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118</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32</w:t>
            </w:r>
          </w:p>
        </w:tc>
        <w:tc>
          <w:tcPr>
            <w:tcW w:w="9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199"/>
        </w:trPr>
        <w:tc>
          <w:tcPr>
            <w:tcW w:w="66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2"/>
                <w:szCs w:val="22"/>
                <w:color w:val="auto"/>
                <w:vertAlign w:val="superscript"/>
              </w:rPr>
              <w:t>(d)</w:t>
            </w:r>
          </w:p>
        </w:tc>
        <w:tc>
          <w:tcPr>
            <w:tcW w:w="116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3,795</w:t>
            </w:r>
          </w:p>
        </w:tc>
        <w:tc>
          <w:tcPr>
            <w:tcW w:w="92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232</w:t>
            </w:r>
          </w:p>
        </w:tc>
        <w:tc>
          <w:tcPr>
            <w:tcW w:w="92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511</w:t>
            </w:r>
          </w:p>
        </w:tc>
        <w:tc>
          <w:tcPr>
            <w:tcW w:w="94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383</w:t>
            </w: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2,669</w:t>
            </w:r>
          </w:p>
        </w:tc>
        <w:tc>
          <w:tcPr>
            <w:tcW w:w="20" w:type="dxa"/>
            <w:vAlign w:val="bottom"/>
          </w:tcPr>
          <w:p>
            <w:pPr>
              <w:spacing w:after="0"/>
              <w:rPr>
                <w:sz w:val="17"/>
                <w:szCs w:val="17"/>
                <w:color w:val="auto"/>
              </w:rPr>
            </w:pPr>
          </w:p>
        </w:tc>
      </w:tr>
      <w:tr>
        <w:trPr>
          <w:trHeight w:val="196"/>
        </w:trPr>
        <w:tc>
          <w:tcPr>
            <w:tcW w:w="66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52A2DD"/>
            </w:tcBorders>
          </w:tcPr>
          <w:p>
            <w:pPr>
              <w:jc w:val="right"/>
              <w:ind w:right="75"/>
              <w:spacing w:after="0" w:line="196" w:lineRule="exact"/>
              <w:rPr>
                <w:sz w:val="20"/>
                <w:szCs w:val="20"/>
                <w:color w:val="auto"/>
              </w:rPr>
            </w:pPr>
            <w:r>
              <w:rPr>
                <w:rFonts w:ascii="Arial" w:cs="Arial" w:eastAsia="Arial" w:hAnsi="Arial"/>
                <w:sz w:val="18"/>
                <w:szCs w:val="18"/>
                <w:color w:val="auto"/>
              </w:rPr>
              <w:t>$ 54,561</w:t>
            </w:r>
          </w:p>
        </w:tc>
        <w:tc>
          <w:tcPr>
            <w:tcW w:w="920" w:type="dxa"/>
            <w:vAlign w:val="bottom"/>
            <w:tcBorders>
              <w:bottom w:val="single" w:sz="8" w:color="52A2DD"/>
            </w:tcBorders>
          </w:tcPr>
          <w:p>
            <w:pPr>
              <w:jc w:val="right"/>
              <w:ind w:right="77"/>
              <w:spacing w:after="0" w:line="196" w:lineRule="exact"/>
              <w:rPr>
                <w:sz w:val="20"/>
                <w:szCs w:val="20"/>
                <w:color w:val="auto"/>
              </w:rPr>
            </w:pPr>
            <w:r>
              <w:rPr>
                <w:rFonts w:ascii="Arial" w:cs="Arial" w:eastAsia="Arial" w:hAnsi="Arial"/>
                <w:sz w:val="18"/>
                <w:szCs w:val="18"/>
                <w:color w:val="auto"/>
              </w:rPr>
              <w:t>$ 6,679</w:t>
            </w:r>
          </w:p>
        </w:tc>
        <w:tc>
          <w:tcPr>
            <w:tcW w:w="920" w:type="dxa"/>
            <w:vAlign w:val="bottom"/>
            <w:tcBorders>
              <w:bottom w:val="single" w:sz="8" w:color="52A2DD"/>
            </w:tcBorders>
          </w:tcPr>
          <w:p>
            <w:pPr>
              <w:jc w:val="right"/>
              <w:ind w:right="77"/>
              <w:spacing w:after="0" w:line="196" w:lineRule="exact"/>
              <w:rPr>
                <w:sz w:val="20"/>
                <w:szCs w:val="20"/>
                <w:color w:val="auto"/>
              </w:rPr>
            </w:pPr>
            <w:r>
              <w:rPr>
                <w:rFonts w:ascii="Arial" w:cs="Arial" w:eastAsia="Arial" w:hAnsi="Arial"/>
                <w:sz w:val="18"/>
                <w:szCs w:val="18"/>
                <w:color w:val="auto"/>
              </w:rPr>
              <w:t>$ 7,993</w:t>
            </w:r>
          </w:p>
        </w:tc>
        <w:tc>
          <w:tcPr>
            <w:tcW w:w="940" w:type="dxa"/>
            <w:vAlign w:val="bottom"/>
            <w:tcBorders>
              <w:bottom w:val="single" w:sz="8" w:color="52A2DD"/>
            </w:tcBorders>
          </w:tcPr>
          <w:p>
            <w:pPr>
              <w:jc w:val="right"/>
              <w:ind w:right="77"/>
              <w:spacing w:after="0" w:line="196" w:lineRule="exact"/>
              <w:rPr>
                <w:sz w:val="20"/>
                <w:szCs w:val="20"/>
                <w:color w:val="auto"/>
              </w:rPr>
            </w:pPr>
            <w:r>
              <w:rPr>
                <w:rFonts w:ascii="Arial" w:cs="Arial" w:eastAsia="Arial" w:hAnsi="Arial"/>
                <w:sz w:val="18"/>
                <w:szCs w:val="18"/>
                <w:color w:val="auto"/>
              </w:rPr>
              <w:t>$ 8,797</w:t>
            </w:r>
          </w:p>
        </w:tc>
        <w:tc>
          <w:tcPr>
            <w:tcW w:w="880" w:type="dxa"/>
            <w:vAlign w:val="bottom"/>
            <w:tcBorders>
              <w:bottom w:val="single" w:sz="8" w:color="52A2DD"/>
            </w:tcBorders>
            <w:gridSpan w:val="2"/>
          </w:tcPr>
          <w:p>
            <w:pPr>
              <w:jc w:val="right"/>
              <w:ind w:right="20"/>
              <w:spacing w:after="0" w:line="196" w:lineRule="exact"/>
              <w:rPr>
                <w:sz w:val="20"/>
                <w:szCs w:val="20"/>
                <w:color w:val="auto"/>
              </w:rPr>
            </w:pPr>
            <w:r>
              <w:rPr>
                <w:rFonts w:ascii="Arial" w:cs="Arial" w:eastAsia="Arial" w:hAnsi="Arial"/>
                <w:sz w:val="18"/>
                <w:szCs w:val="18"/>
                <w:color w:val="auto"/>
              </w:rPr>
              <w:t>$ 31,092</w:t>
            </w:r>
          </w:p>
        </w:tc>
      </w:tr>
    </w:tbl>
    <w:p>
      <w:pPr>
        <w:spacing w:after="0" w:line="53"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Refer to </w:t>
      </w:r>
      <w:hyperlink w:anchor="page60">
        <w:r>
          <w:rPr>
            <w:rFonts w:ascii="Arial" w:cs="Arial" w:eastAsia="Arial" w:hAnsi="Arial"/>
            <w:sz w:val="14"/>
            <w:szCs w:val="14"/>
            <w:u w:val="single" w:color="auto"/>
            <w:color w:val="0000EE"/>
          </w:rPr>
          <w:t>Note 9</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(long-term debt) and </w:t>
      </w:r>
      <w:hyperlink w:anchor="page68">
        <w:r>
          <w:rPr>
            <w:rFonts w:ascii="Arial" w:cs="Arial" w:eastAsia="Arial" w:hAnsi="Arial"/>
            <w:sz w:val="14"/>
            <w:szCs w:val="14"/>
            <w:u w:val="single" w:color="auto"/>
            <w:color w:val="0000EE"/>
          </w:rPr>
          <w:t>Note 15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(commitments) to our consolidated financial statements.</w:t>
      </w:r>
    </w:p>
    <w:p>
      <w:pPr>
        <w:spacing w:after="0" w:line="42"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41" w:lineRule="exact"/>
        <w:rPr>
          <w:rFonts w:ascii="Arial" w:cs="Arial" w:eastAsia="Arial" w:hAnsi="Arial"/>
          <w:sz w:val="14"/>
          <w:szCs w:val="14"/>
          <w:color w:val="auto"/>
        </w:rPr>
      </w:pPr>
    </w:p>
    <w:p>
      <w:pPr>
        <w:jc w:val="both"/>
        <w:ind w:left="300" w:hanging="292"/>
        <w:spacing w:after="0" w:line="272" w:lineRule="auto"/>
        <w:tabs>
          <w:tab w:leader="none" w:pos="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Purchase obligations consist of agreements to purchase goods and services that are legally binding on us and specify all significant terms, including fixed or minimum quantities to be purchased and price provisions. Our purchase obligations are primarily related to our Cable segment, including contracts with programming networks, CPE manufacturers, communication vendors, other cable operators for which we provide advertising sales representation and other contracts entered into in the normal course of business. We also have purchase obligations through Comcast Spectacor for the players and coaches of our professional sports teams. We did not include contracts with immaterial future commitments.</w:t>
      </w:r>
    </w:p>
    <w:p>
      <w:pPr>
        <w:spacing w:after="0" w:line="22" w:lineRule="exact"/>
        <w:rPr>
          <w:rFonts w:ascii="Arial" w:cs="Arial" w:eastAsia="Arial" w:hAnsi="Arial"/>
          <w:sz w:val="12"/>
          <w:szCs w:val="12"/>
          <w:color w:val="auto"/>
        </w:rPr>
      </w:pPr>
    </w:p>
    <w:p>
      <w:pPr>
        <w:ind w:left="280" w:hanging="272"/>
        <w:spacing w:after="0"/>
        <w:tabs>
          <w:tab w:leader="none" w:pos="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Acquisition-related obligations consist primarily of costs related to exiting contractual obligations and other assumed contractual obligations of the acquired entity.</w:t>
      </w:r>
    </w:p>
    <w:p>
      <w:pPr>
        <w:spacing w:after="0" w:line="41" w:lineRule="exact"/>
        <w:rPr>
          <w:rFonts w:ascii="Arial" w:cs="Arial" w:eastAsia="Arial" w:hAnsi="Arial"/>
          <w:sz w:val="14"/>
          <w:szCs w:val="14"/>
          <w:color w:val="auto"/>
        </w:rPr>
      </w:pPr>
    </w:p>
    <w:p>
      <w:pPr>
        <w:jc w:val="both"/>
        <w:ind w:left="300" w:hanging="292"/>
        <w:spacing w:after="0" w:line="226"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long-term obligations consist primarily of prepaid forward sale agreement transactions of equity securities we hold; subsidiary preferred shares; effectively settled tax positions and related interest, net of deferred tax benefit; deferred compensation obligations; pension, post-retirement and post-employment benefit obligations; and programming rights payable under license agreements. Reserves for uncertain tax positions of approximately $1.4 billion are not included in the table above. The liability for unrecognized tax benefits has been excluded because we cannot make a reliable estimate of the period in which the unrecognized tax benefits will be realized.</w:t>
      </w:r>
    </w:p>
    <w:p>
      <w:pPr>
        <w:spacing w:after="0" w:line="12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have any significant off-balance sheet arrangements that are reasonably likely to have a current or future effect on our financial condition, results of operations, liquidity, capital expenditures or capital resources.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preparation of our financial statements requires us to make estimates that affect the reported amounts of assets, liabilities, revenue and expenses, and the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believe our judgments and related estimates associated with the valuation and impairment testing of our cable franchise rights and the accounting for income taxes are critical in the preparation of our financial statements. We had previously disclosed that the accounting judgments and estimates related to our legal contingencies were critical in the preparation of our financial statements. This identification was based in large part on the fact that significant amounts were included in our consolidated balance sheet representing management’s estimates of the ultimate outcome of these legal contingencies. As substantially all of the contingencies to which these balance sheet estimates have been resolved and there are no significant estimates recorded for current legal contingencies as they are either not probable, estimable or both, estimates related to our legal contingencies are not critical in the preparation of our financial statements at December 31, 2008. Management has discussed the development and selection of these critical accounting judgments and estimates with the Audit Committee of our Board of Directors, and the Audit Committee has reviewed our disclosures relating to them, which are presented below.</w:t>
      </w:r>
    </w:p>
    <w:p>
      <w:pPr>
        <w:spacing w:after="0" w:line="200" w:lineRule="exact"/>
        <w:rPr>
          <w:sz w:val="20"/>
          <w:szCs w:val="20"/>
          <w:color w:val="auto"/>
        </w:rPr>
      </w:pPr>
    </w:p>
    <w:p>
      <w:pPr>
        <w:spacing w:after="0" w:line="344" w:lineRule="exact"/>
        <w:rPr>
          <w:sz w:val="20"/>
          <w:szCs w:val="20"/>
          <w:color w:val="auto"/>
        </w:rPr>
      </w:pPr>
    </w:p>
    <w:p>
      <w:pPr>
        <w:jc w:val="both"/>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47">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a discussion of our accounting policies with respect to these and other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new services, such as advanced digital video services and high-speed Internet and phone services, in a</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Comcast 2008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-1411605</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6" w:lineRule="exact"/>
        <w:rPr>
          <w:sz w:val="20"/>
          <w:szCs w:val="20"/>
          <w:color w:val="auto"/>
        </w:rPr>
      </w:pPr>
    </w:p>
    <w:p>
      <w:pPr>
        <w:jc w:val="both"/>
        <w:ind w:left="120"/>
        <w:spacing w:after="0" w:line="268" w:lineRule="auto"/>
        <w:rPr>
          <w:sz w:val="20"/>
          <w:szCs w:val="20"/>
          <w:color w:val="auto"/>
        </w:rPr>
      </w:pPr>
      <w:r>
        <w:rPr>
          <w:rFonts w:ascii="Arial" w:cs="Arial" w:eastAsia="Arial" w:hAnsi="Arial"/>
          <w:sz w:val="16"/>
          <w:szCs w:val="16"/>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its fair value (“impairment testing”), in accordance with Statement of Financial Accounting Standards (“SFAS”) No. 142, “Goodwill and Other Intangible Assets,” (“SFAS No. 142”).</w:t>
      </w:r>
    </w:p>
    <w:p>
      <w:pPr>
        <w:spacing w:after="0" w:line="33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estimate the fair value of our cable franchise rights primarily based on a discounted cash flow analysis that involves significant judgment. We also consider multiples of operating income before depreciation and amortization generated by underlying assets, current market transactions, and profitability information in analyzing the fair values indicated under the discounted cash flow models.</w:t>
      </w:r>
    </w:p>
    <w:p>
      <w:pPr>
        <w:spacing w:after="0" w:line="156" w:lineRule="exact"/>
        <w:rPr>
          <w:sz w:val="20"/>
          <w:szCs w:val="20"/>
          <w:color w:val="auto"/>
        </w:rPr>
      </w:pPr>
    </w:p>
    <w:p>
      <w:pPr>
        <w:jc w:val="both"/>
        <w:ind w:left="120"/>
        <w:spacing w:after="0" w:line="235" w:lineRule="auto"/>
        <w:rPr>
          <w:rFonts w:ascii="Arial" w:cs="Arial" w:eastAsia="Arial" w:hAnsi="Arial"/>
          <w:sz w:val="18"/>
          <w:szCs w:val="18"/>
          <w:color w:val="auto"/>
        </w:rPr>
      </w:pPr>
      <w:r>
        <w:rPr>
          <w:rFonts w:ascii="Arial" w:cs="Arial" w:eastAsia="Arial" w:hAnsi="Arial"/>
          <w:sz w:val="18"/>
          <w:szCs w:val="18"/>
          <w:color w:val="auto"/>
        </w:rPr>
        <w:t>If we were to determine the value of our cable franchise rights is less than the carrying amount, we would recognize an impairment for the difference between the estimated fair value and the carrying value of the assets. For purposes of our impairment testing, we have grouped the recorded values of our various cable franchise rights into our cable divisions or units of account. We evaluate the unit of account periodically to ensure our impairment testing is performed at an appropriate level (</w:t>
      </w:r>
      <w:hyperlink w:anchor="page47">
        <w:r>
          <w:rPr>
            <w:rFonts w:ascii="Arial" w:cs="Arial" w:eastAsia="Arial" w:hAnsi="Arial"/>
            <w:sz w:val="18"/>
            <w:szCs w:val="18"/>
            <w:u w:val="single" w:color="auto"/>
            <w:color w:val="0000EE"/>
          </w:rPr>
          <w:t>see 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w:t>
      </w:r>
    </w:p>
    <w:p>
      <w:pPr>
        <w:spacing w:after="0" w:line="16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Since the adoption of SFAS No. 142 in 2002, we have not recorded any significant impairments as a result of our impairment testing. A future change in the unit of account could result in the recognition of an impairment.</w:t>
      </w:r>
    </w:p>
    <w:p>
      <w:pPr>
        <w:spacing w:after="0" w:line="155"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We could also record impairments in the future if there are changes in long-term market conditions, in expected future operating results, or in federal or state regulations that prevent us from recovering the carrying value of these cable franchise rights. Assumptions made about increased competition and a further slowdown in the economy on a longer-term basis could impact the valuations to be used in future annual impairment testing and result in a reduction of fair values from those determined in the July 1, 2008 annual impairment testing (“July 1 testing”). Such assumptions and fair values will not be determined until the July 1, 2009 annual impairment testing is performed. Our July 1 testing, which included assumptions related to the weakening economy,</w:t>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2">
            <w:col w:w="5480" w:space="220"/>
            <w:col w:w="5600"/>
          </w:cols>
          <w:pgMar w:left="240" w:top="459" w:right="3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indicated that the estimated fair value of our cable franchise rights exceeded the carrying value (“headroom”) for each of our units of accounts by a significant amount (see table below). Given the significant headroom that existed on July 1, 2008, we do not believe the current economic environment, regulatory changes, or the decline in our market capitalization since our July 1 testing, represent events or changes in circumstances that are indicative of an impairment of value at December 31, 2008. The table below illustrates the impairment related to our various cable divisions that would have occurred had the hypothetical reductions in fair value existed at the time of our last annual impairment testing.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480" w:type="dxa"/>
            <w:vAlign w:val="bottom"/>
            <w:gridSpan w:val="4"/>
          </w:tcPr>
          <w:p>
            <w:pPr>
              <w:jc w:val="right"/>
              <w:ind w:right="176"/>
              <w:spacing w:after="0"/>
              <w:rPr>
                <w:sz w:val="20"/>
                <w:szCs w:val="20"/>
                <w:color w:val="auto"/>
              </w:rPr>
            </w:pPr>
            <w:r>
              <w:rPr>
                <w:rFonts w:ascii="Arial" w:cs="Arial" w:eastAsia="Arial" w:hAnsi="Arial"/>
                <w:sz w:val="14"/>
                <w:szCs w:val="14"/>
                <w:color w:val="auto"/>
              </w:rPr>
              <w:t>Percent Hypothetical Reduction in Fair Value</w:t>
            </w:r>
          </w:p>
        </w:tc>
        <w:tc>
          <w:tcPr>
            <w:tcW w:w="0" w:type="dxa"/>
            <w:vAlign w:val="bottom"/>
          </w:tcPr>
          <w:p>
            <w:pPr>
              <w:spacing w:after="0"/>
              <w:rPr>
                <w:sz w:val="1"/>
                <w:szCs w:val="1"/>
                <w:color w:val="auto"/>
              </w:rPr>
            </w:pPr>
          </w:p>
        </w:tc>
      </w:tr>
      <w:tr>
        <w:trPr>
          <w:trHeight w:val="149"/>
        </w:trPr>
        <w:tc>
          <w:tcPr>
            <w:tcW w:w="2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and Related Impairment</w:t>
            </w: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color w:val="auto"/>
              </w:rPr>
              <w:t>10%</w:t>
            </w:r>
          </w:p>
        </w:tc>
        <w:tc>
          <w:tcPr>
            <w:tcW w:w="82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15%</w:t>
            </w:r>
          </w:p>
        </w:tc>
        <w:tc>
          <w:tcPr>
            <w:tcW w:w="9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color w:val="auto"/>
              </w:rPr>
              <w:t>20%</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9"/>
        </w:trPr>
        <w:tc>
          <w:tcPr>
            <w:tcW w:w="2000" w:type="dxa"/>
            <w:vAlign w:val="bottom"/>
          </w:tcPr>
          <w:p>
            <w:pPr>
              <w:ind w:left="20"/>
              <w:spacing w:after="0" w:line="200" w:lineRule="exact"/>
              <w:rPr>
                <w:sz w:val="20"/>
                <w:szCs w:val="20"/>
                <w:color w:val="auto"/>
              </w:rPr>
            </w:pPr>
            <w:r>
              <w:rPr>
                <w:rFonts w:ascii="Arial" w:cs="Arial" w:eastAsia="Arial" w:hAnsi="Arial"/>
                <w:sz w:val="18"/>
                <w:szCs w:val="18"/>
                <w:color w:val="auto"/>
              </w:rPr>
              <w:t>Eastern Division</w:t>
            </w:r>
          </w:p>
        </w:tc>
        <w:tc>
          <w:tcPr>
            <w:tcW w:w="880" w:type="dxa"/>
            <w:vAlign w:val="bottom"/>
          </w:tcPr>
          <w:p>
            <w:pPr>
              <w:jc w:val="right"/>
              <w:ind w:right="98"/>
              <w:spacing w:after="0" w:line="200" w:lineRule="exact"/>
              <w:rPr>
                <w:sz w:val="20"/>
                <w:szCs w:val="20"/>
                <w:color w:val="auto"/>
              </w:rPr>
            </w:pPr>
            <w:r>
              <w:rPr>
                <w:rFonts w:ascii="Arial" w:cs="Arial" w:eastAsia="Arial" w:hAnsi="Arial"/>
                <w:sz w:val="18"/>
                <w:szCs w:val="18"/>
                <w:color w:val="auto"/>
              </w:rPr>
              <w:t>$ —</w:t>
            </w:r>
          </w:p>
        </w:tc>
        <w:tc>
          <w:tcPr>
            <w:tcW w:w="820" w:type="dxa"/>
            <w:vAlign w:val="bottom"/>
          </w:tcPr>
          <w:p>
            <w:pPr>
              <w:jc w:val="right"/>
              <w:ind w:right="58"/>
              <w:spacing w:after="0" w:line="200" w:lineRule="exact"/>
              <w:rPr>
                <w:sz w:val="20"/>
                <w:szCs w:val="20"/>
                <w:color w:val="auto"/>
              </w:rPr>
            </w:pPr>
            <w:r>
              <w:rPr>
                <w:rFonts w:ascii="Arial" w:cs="Arial" w:eastAsia="Arial" w:hAnsi="Arial"/>
                <w:sz w:val="18"/>
                <w:szCs w:val="18"/>
                <w:color w:val="auto"/>
              </w:rPr>
              <w:t>$ (55)</w:t>
            </w:r>
          </w:p>
        </w:tc>
        <w:tc>
          <w:tcPr>
            <w:tcW w:w="980" w:type="dxa"/>
            <w:vAlign w:val="bottom"/>
          </w:tcPr>
          <w:p>
            <w:pPr>
              <w:jc w:val="right"/>
              <w:ind w:right="156"/>
              <w:spacing w:after="0" w:line="200" w:lineRule="exact"/>
              <w:rPr>
                <w:sz w:val="20"/>
                <w:szCs w:val="20"/>
                <w:color w:val="auto"/>
              </w:rPr>
            </w:pPr>
            <w:r>
              <w:rPr>
                <w:rFonts w:ascii="Arial" w:cs="Arial" w:eastAsia="Arial" w:hAnsi="Arial"/>
                <w:sz w:val="18"/>
                <w:szCs w:val="18"/>
                <w:color w:val="auto"/>
              </w:rPr>
              <w:t>$ (999)</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 (1,942)</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NorthCentral Division</w:t>
            </w:r>
          </w:p>
        </w:tc>
        <w:tc>
          <w:tcPr>
            <w:tcW w:w="880" w:type="dxa"/>
            <w:vAlign w:val="bottom"/>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line="202" w:lineRule="exact"/>
              <w:rPr>
                <w:sz w:val="20"/>
                <w:szCs w:val="20"/>
                <w:color w:val="auto"/>
              </w:rPr>
            </w:pPr>
            <w:r>
              <w:rPr>
                <w:rFonts w:ascii="Arial" w:cs="Arial" w:eastAsia="Arial" w:hAnsi="Arial"/>
                <w:sz w:val="18"/>
                <w:szCs w:val="18"/>
                <w:color w:val="auto"/>
              </w:rPr>
              <w:t>Southern Division</w:t>
            </w:r>
          </w:p>
        </w:tc>
        <w:tc>
          <w:tcPr>
            <w:tcW w:w="880" w:type="dxa"/>
            <w:vAlign w:val="bottom"/>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0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Western Division</w:t>
            </w:r>
          </w:p>
        </w:tc>
        <w:tc>
          <w:tcPr>
            <w:tcW w:w="880" w:type="dxa"/>
            <w:vAlign w:val="bottom"/>
            <w:tcBorders>
              <w:bottom w:val="single" w:sz="8" w:color="auto"/>
            </w:tcBorders>
          </w:tcPr>
          <w:p>
            <w:pPr>
              <w:jc w:val="right"/>
              <w:ind w:right="98"/>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8"/>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6"/>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52A2DD"/>
            </w:tcBorders>
          </w:tcPr>
          <w:p>
            <w:pPr>
              <w:spacing w:after="0"/>
              <w:rPr>
                <w:sz w:val="17"/>
                <w:szCs w:val="17"/>
                <w:color w:val="auto"/>
              </w:rPr>
            </w:pPr>
          </w:p>
        </w:tc>
        <w:tc>
          <w:tcPr>
            <w:tcW w:w="880" w:type="dxa"/>
            <w:vAlign w:val="bottom"/>
            <w:tcBorders>
              <w:bottom w:val="single" w:sz="8" w:color="52A2DD"/>
            </w:tcBorders>
          </w:tcPr>
          <w:p>
            <w:pPr>
              <w:jc w:val="right"/>
              <w:ind w:right="98"/>
              <w:spacing w:after="0" w:line="196" w:lineRule="exact"/>
              <w:rPr>
                <w:sz w:val="20"/>
                <w:szCs w:val="20"/>
                <w:color w:val="auto"/>
              </w:rPr>
            </w:pPr>
            <w:r>
              <w:rPr>
                <w:rFonts w:ascii="Arial" w:cs="Arial" w:eastAsia="Arial" w:hAnsi="Arial"/>
                <w:sz w:val="18"/>
                <w:szCs w:val="18"/>
                <w:color w:val="auto"/>
              </w:rPr>
              <w:t>$ —</w:t>
            </w:r>
          </w:p>
        </w:tc>
        <w:tc>
          <w:tcPr>
            <w:tcW w:w="820" w:type="dxa"/>
            <w:vAlign w:val="bottom"/>
            <w:tcBorders>
              <w:bottom w:val="single" w:sz="8" w:color="52A2DD"/>
            </w:tcBorders>
          </w:tcPr>
          <w:p>
            <w:pPr>
              <w:jc w:val="right"/>
              <w:ind w:right="58"/>
              <w:spacing w:after="0" w:line="196" w:lineRule="exact"/>
              <w:rPr>
                <w:sz w:val="20"/>
                <w:szCs w:val="20"/>
                <w:color w:val="auto"/>
              </w:rPr>
            </w:pPr>
            <w:r>
              <w:rPr>
                <w:rFonts w:ascii="Arial" w:cs="Arial" w:eastAsia="Arial" w:hAnsi="Arial"/>
                <w:sz w:val="18"/>
                <w:szCs w:val="18"/>
                <w:color w:val="auto"/>
              </w:rPr>
              <w:t>$ (55)</w:t>
            </w:r>
          </w:p>
        </w:tc>
        <w:tc>
          <w:tcPr>
            <w:tcW w:w="980" w:type="dxa"/>
            <w:vAlign w:val="bottom"/>
            <w:tcBorders>
              <w:bottom w:val="single" w:sz="8" w:color="52A2DD"/>
            </w:tcBorders>
          </w:tcPr>
          <w:p>
            <w:pPr>
              <w:jc w:val="right"/>
              <w:ind w:right="156"/>
              <w:spacing w:after="0" w:line="196" w:lineRule="exact"/>
              <w:rPr>
                <w:sz w:val="20"/>
                <w:szCs w:val="20"/>
                <w:color w:val="auto"/>
              </w:rPr>
            </w:pPr>
            <w:r>
              <w:rPr>
                <w:rFonts w:ascii="Arial" w:cs="Arial" w:eastAsia="Arial" w:hAnsi="Arial"/>
                <w:sz w:val="18"/>
                <w:szCs w:val="18"/>
                <w:color w:val="auto"/>
              </w:rPr>
              <w:t>$ (999)</w:t>
            </w:r>
          </w:p>
        </w:tc>
        <w:tc>
          <w:tcPr>
            <w:tcW w:w="8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(1,942)</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provision for income taxes is based on our current period income, changes in deferred income tax assets and liabilities, income tax rates, changes in estimates of our uncertain tax positions, and tax planning opportunities available in the jurisdictions in which we operate. We prepare and file tax returns based on our interpretation of tax laws and regulations, and we record estimates based on these judgments and interpretations.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January 1, 2007, we adopted Financial Accounting Standards Board (“FASB”) Interpretation (“FIN”) No. 48, “Accounting for Uncertainty in Income Taxes – an Interpretation of FASB Statement No. 109,” (“FIN 48”). We evaluate our tax positions using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recognition threshold and the measurement attribute in accordance with this interpretation. From time to time, we engage in transactions in which the tax consequences may be subject to uncertainty. Examples of these transactions include business acquisitions and disposals, including consideration paid or received in connection with these transactions, and certain financing transactions.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In evaluating whether a tax position has met the more-likely-than-not recognition threshold, we presume that the position will be examined by the appropriate taxing authority that has full knowledge of all relevant information. A tax position that meets the more-likely-than-not recognition threshold is measured to determine the amount of benefit to be recognized in the financial statements. The tax position is measured at the largest amount of benefit that has a greater than 50% likelihood of being realized when the position is ultimately resolved.</w:t>
      </w:r>
    </w:p>
    <w:p>
      <w:pPr>
        <w:spacing w:after="0" w:line="200" w:lineRule="exact"/>
        <w:rPr>
          <w:sz w:val="20"/>
          <w:szCs w:val="20"/>
          <w:color w:val="auto"/>
        </w:rPr>
      </w:pPr>
    </w:p>
    <w:p>
      <w:pPr>
        <w:spacing w:after="0" w:line="344" w:lineRule="exact"/>
        <w:rPr>
          <w:sz w:val="20"/>
          <w:szCs w:val="20"/>
          <w:color w:val="auto"/>
        </w:rPr>
      </w:pPr>
    </w:p>
    <w:p>
      <w:pPr>
        <w:jc w:val="both"/>
        <w:ind w:left="140" w:right="120"/>
        <w:spacing w:after="0" w:line="267" w:lineRule="auto"/>
        <w:rPr>
          <w:rFonts w:ascii="Arial" w:cs="Arial" w:eastAsia="Arial" w:hAnsi="Arial"/>
          <w:sz w:val="16"/>
          <w:szCs w:val="16"/>
          <w:color w:val="auto"/>
        </w:rPr>
      </w:pPr>
      <w:r>
        <w:rPr>
          <w:rFonts w:ascii="Arial" w:cs="Arial" w:eastAsia="Arial" w:hAnsi="Arial"/>
          <w:sz w:val="16"/>
          <w:szCs w:val="16"/>
          <w:color w:val="auto"/>
        </w:rPr>
        <w:t xml:space="preserve">We adjust our estimates periodically because of ongoing examinations by and settlements with the various taxing authorities, as well as changes in tax laws, regulations and precedent. The effects on our financial statements of income tax uncertainties that arise in connection with business combinations and those associated with entities acquired in business combinations are discussed in </w:t>
      </w:r>
      <w:hyperlink w:anchor="page47">
        <w:r>
          <w:rPr>
            <w:rFonts w:ascii="Arial" w:cs="Arial" w:eastAsia="Arial" w:hAnsi="Arial"/>
            <w:sz w:val="16"/>
            <w:szCs w:val="16"/>
            <w:u w:val="single" w:color="auto"/>
            <w:color w:val="0000EE"/>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 We believe that adequate accruals have been made for income taxes. When uncertain tax positions are ultimately resolved, either individually or in the aggregate, differences between our estimated amounts and the actual amounts are not expected to have a material adverse effect on our consolidated financial position but could possibly be material to our consolidated results of operations or cash flow for any one period.</w:t>
      </w:r>
    </w:p>
    <w:p>
      <w:pPr>
        <w:spacing w:after="0" w:line="200" w:lineRule="exact"/>
        <w:rPr>
          <w:sz w:val="20"/>
          <w:szCs w:val="20"/>
          <w:color w:val="auto"/>
        </w:rPr>
      </w:pPr>
    </w:p>
    <w:p>
      <w:pPr>
        <w:spacing w:after="0" w:line="37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1520"/>
        <w:spacing w:after="0" w:line="260" w:lineRule="auto"/>
        <w:rPr>
          <w:sz w:val="20"/>
          <w:szCs w:val="20"/>
          <w:color w:val="auto"/>
        </w:rPr>
      </w:pPr>
      <w:r>
        <w:rPr>
          <w:rFonts w:ascii="Arial" w:cs="Arial" w:eastAsia="Arial" w:hAnsi="Arial"/>
          <w:sz w:val="24"/>
          <w:szCs w:val="24"/>
          <w:color w:val="52A2DD"/>
        </w:rPr>
        <w:t>Item 7A: Quantitative and Qualitative Disclosures About Market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a mix of fixed-rate and variable-rate debt. As of December 31, 2008, approximately 93% of our total debt of $32.5 billion was at fixed rates with the remaining debt at variable rates.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monitor our interest rate risk exposures using techniques that include market value and sensitivity analyses. We do not engage in any speculative or leveraged derivative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-1282065</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interest rate derivative financial instruments, which can include swaps, rate locks, caps and collars, represent an integral part of our interest rate risk management program. Our interest rate derivative financial instruments reduced the portion of our total debt at fixed rates from 93% to 82% as of December 31, 2008. The effect of our interest rate derivative financial instruments (decreased) increased our interest expense by approximately $(34) million, $43 million and $39 million in 2008, 2007 and 2006, respectively. Interest rate risk management instruments may have a significant effect on our interest expense in the future, including as a result of proposed changes in accounting for these instruments.</w:t>
      </w:r>
    </w:p>
    <w:p>
      <w:pPr>
        <w:spacing w:after="0" w:line="382"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fair values and contract terms of financial instruments subject to interest rate risk maintained by us as of December 31,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Fair Value</w:t>
            </w:r>
          </w:p>
        </w:tc>
      </w:tr>
      <w:tr>
        <w:trPr>
          <w:trHeight w:val="163"/>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w w:val="92"/>
              </w:rPr>
              <w:t>Thereafter</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12/31/08</w:t>
            </w:r>
          </w:p>
        </w:tc>
      </w:tr>
      <w:tr>
        <w:trPr>
          <w:trHeight w:val="199"/>
        </w:trPr>
        <w:tc>
          <w:tcPr>
            <w:tcW w:w="2600" w:type="dxa"/>
            <w:vAlign w:val="bottom"/>
          </w:tcPr>
          <w:p>
            <w:pPr>
              <w:spacing w:after="0" w:line="200" w:lineRule="exact"/>
              <w:rPr>
                <w:sz w:val="20"/>
                <w:szCs w:val="20"/>
                <w:color w:val="auto"/>
              </w:rPr>
            </w:pPr>
            <w:r>
              <w:rPr>
                <w:rFonts w:ascii="Arial" w:cs="Arial" w:eastAsia="Arial" w:hAnsi="Arial"/>
                <w:sz w:val="18"/>
                <w:szCs w:val="18"/>
                <w:color w:val="auto"/>
              </w:rPr>
              <w:t>Debt</w:t>
            </w: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1,029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1,172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1,796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831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3,757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21,547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30,132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29,693</w:t>
            </w: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8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7.3%</w:t>
            </w:r>
          </w:p>
        </w:tc>
        <w:tc>
          <w:tcPr>
            <w:tcW w:w="2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5.7%</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w:t>
            </w:r>
          </w:p>
        </w:tc>
        <w:tc>
          <w:tcPr>
            <w:tcW w:w="260" w:type="dxa"/>
            <w:vAlign w:val="bottom"/>
          </w:tcPr>
          <w:p>
            <w:pPr>
              <w:spacing w:after="0"/>
              <w:rPr>
                <w:sz w:val="17"/>
                <w:szCs w:val="17"/>
                <w:color w:val="auto"/>
              </w:rPr>
            </w:pPr>
          </w:p>
        </w:tc>
        <w:tc>
          <w:tcPr>
            <w:tcW w:w="6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9.4%</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7"/>
                <w:szCs w:val="17"/>
                <w:color w:val="auto"/>
              </w:rPr>
            </w:pP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7"/>
                <w:szCs w:val="17"/>
                <w:color w:val="auto"/>
              </w:rPr>
            </w:pPr>
          </w:p>
        </w:tc>
        <w:tc>
          <w:tcPr>
            <w:tcW w:w="8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6.9%</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1,249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22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1,011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2,324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2,308</w:t>
            </w: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8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4.5%</w:t>
            </w:r>
          </w:p>
        </w:tc>
        <w:tc>
          <w:tcPr>
            <w:tcW w:w="260" w:type="dxa"/>
            <w:vAlign w:val="bottom"/>
          </w:tcPr>
          <w:p>
            <w:pPr>
              <w:spacing w:after="0"/>
              <w:rPr>
                <w:sz w:val="17"/>
                <w:szCs w:val="17"/>
                <w:color w:val="auto"/>
              </w:rPr>
            </w:pPr>
          </w:p>
        </w:tc>
        <w:tc>
          <w:tcPr>
            <w:tcW w:w="6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6.2%</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7"/>
                <w:szCs w:val="17"/>
                <w:color w:val="auto"/>
              </w:rPr>
            </w:pPr>
          </w:p>
        </w:tc>
        <w:tc>
          <w:tcPr>
            <w:tcW w:w="8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Interest rate instruments</w:t>
            </w: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750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200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750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1,800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3,500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8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2.7%</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7"/>
                <w:szCs w:val="17"/>
                <w:color w:val="auto"/>
              </w:rPr>
            </w:pPr>
          </w:p>
        </w:tc>
        <w:tc>
          <w:tcPr>
            <w:tcW w:w="6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8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3.6%</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2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8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6.9%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5.9%</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5.5%</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5.8%</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bl>
    <w:p>
      <w:pPr>
        <w:spacing w:after="0" w:line="3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the notional amounts on the instruments to calculate the interest to be paid or received. The notional amounts do not represent the amount of our exposure to credit loss. The estimated fair value approximates the payments necessary or proceeds to be received to settle the outstanding contracts. We estimate interest rates on variable debt and swaps using the average implied forward London Interbank Offered Rate (“LIBOR”) for the year of maturity based on the yield curve in effect on December 31, 2008, plus the applicable margin in effect on December 31, 2008.</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matter of practice, we typically do not structure our financial contracts to include credit-ratings-based triggers that could affect our liquidity. In the ordinary course of business, some of our swaps could be subject to termination provisions if we do not maintain investment grade credit ratings. As of December 31, 2008 and 2007, the estimated fair value of those swaps was an asset of $44 million and a liability of $3 million, respectively. The amount to be paid or received upon termination, if any, would be based on the fair value of the outstanding contracts at that time.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Equity Price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exposed to the market risk of changes in the equity prices of our investments in marketable securities. We enter into various derivative transactions in accordance with our policies to manage the volatility relating to these exposures. Through market value and sensitivity analyses, we monitor our equity price risk exposures to ensure that the instruments are matched with the underlying assets or liabilities, reduce our risks relating to equity prices and maintain a high correlation to the risk inherent in the hedged item.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To limit our exposure to and benefits from price fluctuations in the common stock of some of our investments, we use equity derivative financial instruments. These derivative financial instruments, which are accounted for at fair value, include equity collar agreements, prepaid forward sales agreements and indexed debt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-1282065</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7" w:lineRule="exact"/>
        <w:rPr>
          <w:sz w:val="20"/>
          <w:szCs w:val="20"/>
          <w:color w:val="auto"/>
        </w:rPr>
      </w:pPr>
    </w:p>
    <w:p>
      <w:pPr>
        <w:jc w:val="both"/>
        <w:ind w:left="140" w:right="12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Except as described above in </w:t>
      </w:r>
      <w:hyperlink w:anchor="page31">
        <w:r>
          <w:rPr>
            <w:rFonts w:ascii="Arial" w:cs="Arial" w:eastAsia="Arial" w:hAnsi="Arial"/>
            <w:sz w:val="18"/>
            <w:szCs w:val="18"/>
            <w:u w:val="single" w:color="auto"/>
            <w:color w:val="0000EE"/>
          </w:rPr>
          <w:t>“Investment Income (Loss), Net,”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changes in the fair value of the investments that we accounted for as trading securities were substantially offset by the changes in the fair values of the equity derivative financial instruments.</w:t>
      </w:r>
    </w:p>
    <w:p>
      <w:pPr>
        <w:spacing w:after="0" w:line="155" w:lineRule="exact"/>
        <w:rPr>
          <w:sz w:val="20"/>
          <w:szCs w:val="20"/>
          <w:color w:val="auto"/>
        </w:rPr>
      </w:pPr>
    </w:p>
    <w:p>
      <w:pPr>
        <w:jc w:val="both"/>
        <w:ind w:left="140" w:right="12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47">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consolidated financial statements for a discussion of our accounting policies for derivative financial instruments and to </w:t>
      </w:r>
      <w:hyperlink w:anchor="page56">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60">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discussions of our derivative financial instruments.</w:t>
      </w:r>
    </w:p>
    <w:p>
      <w:pPr>
        <w:spacing w:after="0" w:line="229" w:lineRule="exact"/>
        <w:rPr>
          <w:rFonts w:ascii="Arial" w:cs="Arial" w:eastAsia="Arial" w:hAnsi="Arial"/>
          <w:sz w:val="18"/>
          <w:szCs w:val="18"/>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37</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8: Financial Statements and Supplementary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Index</w:t>
            </w:r>
          </w:p>
        </w:tc>
        <w:tc>
          <w:tcPr>
            <w:tcW w:w="6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4500" w:type="dxa"/>
            <w:vAlign w:val="bottom"/>
            <w:gridSpan w:val="8"/>
          </w:tcPr>
          <w:p>
            <w:pPr>
              <w:spacing w:after="0" w:line="170" w:lineRule="exact"/>
              <w:rPr>
                <w:rFonts w:ascii="Arial" w:cs="Arial" w:eastAsia="Arial" w:hAnsi="Arial"/>
                <w:sz w:val="18"/>
                <w:szCs w:val="18"/>
                <w:color w:val="0000EE"/>
              </w:rPr>
            </w:pPr>
            <w:hyperlink w:anchor="page41">
              <w:r>
                <w:rPr>
                  <w:rFonts w:ascii="Arial" w:cs="Arial" w:eastAsia="Arial" w:hAnsi="Arial"/>
                  <w:sz w:val="18"/>
                  <w:szCs w:val="18"/>
                  <w:color w:val="0000EE"/>
                </w:rPr>
                <w:t>Report of Management</w:t>
              </w:r>
            </w:hyperlink>
          </w:p>
        </w:tc>
        <w:tc>
          <w:tcPr>
            <w:tcW w:w="6920" w:type="dxa"/>
            <w:vAlign w:val="bottom"/>
          </w:tcPr>
          <w:p>
            <w:pPr>
              <w:jc w:val="right"/>
              <w:spacing w:after="0" w:line="170" w:lineRule="exact"/>
              <w:rPr>
                <w:sz w:val="20"/>
                <w:szCs w:val="20"/>
                <w:color w:val="auto"/>
              </w:rPr>
            </w:pPr>
            <w:r>
              <w:rPr>
                <w:rFonts w:ascii="Arial" w:cs="Arial" w:eastAsia="Arial" w:hAnsi="Arial"/>
                <w:sz w:val="18"/>
                <w:szCs w:val="18"/>
                <w:color w:val="auto"/>
              </w:rPr>
              <w:t>39</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Report of Independent Registered Public Accounting Firm</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1"/>
        </w:trPr>
        <w:tc>
          <w:tcPr>
            <w:tcW w:w="450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Balance Sheet</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450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 of Operations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450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 of Cash Flows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37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Consolidated Statement of Stockholders’ Equity</w:t>
              </w:r>
            </w:hyperlink>
          </w:p>
        </w:tc>
        <w:tc>
          <w:tcPr>
            <w:tcW w:w="780" w:type="dxa"/>
            <w:vAlign w:val="bottom"/>
            <w:gridSpan w:val="2"/>
          </w:tcPr>
          <w:p>
            <w:pPr>
              <w:spacing w:after="0"/>
              <w:rPr>
                <w:sz w:val="24"/>
                <w:szCs w:val="24"/>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1"/>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Consolidated Statement of Comprehensive Income</w:t>
              </w:r>
            </w:hyperlink>
          </w:p>
        </w:tc>
        <w:tc>
          <w:tcPr>
            <w:tcW w:w="520" w:type="dxa"/>
            <w:vAlign w:val="bottom"/>
          </w:tcPr>
          <w:p>
            <w:pPr>
              <w:spacing w:after="0"/>
              <w:rPr>
                <w:sz w:val="24"/>
                <w:szCs w:val="24"/>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1"/>
        </w:trPr>
        <w:tc>
          <w:tcPr>
            <w:tcW w:w="450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7"/>
        </w:trPr>
        <w:tc>
          <w:tcPr>
            <w:tcW w:w="342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auto"/>
              </w:rPr>
              <w:t>Comcast 2008 Annual Report on Form 10-K</w:t>
            </w:r>
          </w:p>
        </w:tc>
        <w:tc>
          <w:tcPr>
            <w:tcW w:w="1080" w:type="dxa"/>
            <w:vAlign w:val="bottom"/>
            <w:gridSpan w:val="3"/>
          </w:tcPr>
          <w:p>
            <w:pPr>
              <w:spacing w:after="0"/>
              <w:rPr>
                <w:sz w:val="24"/>
                <w:szCs w:val="24"/>
                <w:color w:val="auto"/>
              </w:rPr>
            </w:pPr>
          </w:p>
        </w:tc>
        <w:tc>
          <w:tcPr>
            <w:tcW w:w="6920" w:type="dxa"/>
            <w:vAlign w:val="bottom"/>
          </w:tcPr>
          <w:p>
            <w:pPr>
              <w:jc w:val="right"/>
              <w:ind w:right="5496"/>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98"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98" w:lineRule="exact"/>
        <w:rPr>
          <w:rFonts w:ascii="Arial" w:cs="Arial" w:eastAsia="Arial" w:hAnsi="Arial"/>
          <w:sz w:val="18"/>
          <w:szCs w:val="18"/>
          <w:color w:val="auto"/>
        </w:rPr>
      </w:pPr>
    </w:p>
    <w:p>
      <w:pPr>
        <w:jc w:val="both"/>
        <w:ind w:left="220" w:hanging="212"/>
        <w:spacing w:after="0" w:line="238"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194"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controls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concluded that our system of internal control over financial reporting was effective as of December 31, 2008. The effectiveness of our internal controls over financial reporting have been audited by Deloitte &amp; Touche LLP, an independent registered public accounting firm, as stated in their report, which is included herein.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Ethics and Business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329055"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29055" cy="24003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233680</wp:posOffset>
            </wp:positionV>
            <wp:extent cx="1724025" cy="266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24025" cy="26606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122555</wp:posOffset>
            </wp:positionV>
            <wp:extent cx="977900" cy="377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9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4360" w:type="dxa"/>
            <w:vAlign w:val="bottom"/>
          </w:tcPr>
          <w:p>
            <w:pPr>
              <w:ind w:left="1100"/>
              <w:spacing w:after="0"/>
              <w:rPr>
                <w:sz w:val="20"/>
                <w:szCs w:val="20"/>
                <w:color w:val="auto"/>
              </w:rPr>
            </w:pPr>
            <w:r>
              <w:rPr>
                <w:rFonts w:ascii="Arial" w:cs="Arial" w:eastAsia="Arial" w:hAnsi="Arial"/>
                <w:sz w:val="18"/>
                <w:szCs w:val="18"/>
                <w:b w:val="1"/>
                <w:bCs w:val="1"/>
                <w:color w:val="auto"/>
              </w:rPr>
              <w:t>Michael J. Angelakis</w:t>
            </w:r>
          </w:p>
        </w:tc>
        <w:tc>
          <w:tcPr>
            <w:tcW w:w="4160" w:type="dxa"/>
            <w:vAlign w:val="bottom"/>
          </w:tcPr>
          <w:p>
            <w:pPr>
              <w:ind w:left="98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Chairman and</w:t>
            </w:r>
          </w:p>
        </w:tc>
        <w:tc>
          <w:tcPr>
            <w:tcW w:w="4360" w:type="dxa"/>
            <w:vAlign w:val="bottom"/>
          </w:tcPr>
          <w:p>
            <w:pPr>
              <w:ind w:left="1100"/>
              <w:spacing w:after="0" w:line="202" w:lineRule="exact"/>
              <w:rPr>
                <w:sz w:val="20"/>
                <w:szCs w:val="20"/>
                <w:color w:val="auto"/>
              </w:rPr>
            </w:pPr>
            <w:r>
              <w:rPr>
                <w:rFonts w:ascii="Arial" w:cs="Arial" w:eastAsia="Arial" w:hAnsi="Arial"/>
                <w:sz w:val="18"/>
                <w:szCs w:val="18"/>
                <w:color w:val="auto"/>
              </w:rPr>
              <w:t>Executive Vice President and</w:t>
            </w:r>
          </w:p>
        </w:tc>
        <w:tc>
          <w:tcPr>
            <w:tcW w:w="4160" w:type="dxa"/>
            <w:vAlign w:val="bottom"/>
          </w:tcPr>
          <w:p>
            <w:pPr>
              <w:ind w:left="980"/>
              <w:spacing w:after="0" w:line="202" w:lineRule="exact"/>
              <w:rPr>
                <w:sz w:val="20"/>
                <w:szCs w:val="20"/>
                <w:color w:val="auto"/>
              </w:rPr>
            </w:pPr>
            <w:r>
              <w:rPr>
                <w:rFonts w:ascii="Arial" w:cs="Arial" w:eastAsia="Arial" w:hAnsi="Arial"/>
                <w:sz w:val="18"/>
                <w:szCs w:val="18"/>
                <w:color w:val="auto"/>
              </w:rPr>
              <w:t>Senior Vice President,</w:t>
            </w:r>
          </w:p>
        </w:tc>
      </w:tr>
      <w:tr>
        <w:trPr>
          <w:trHeight w:val="211"/>
        </w:trPr>
        <w:tc>
          <w:tcPr>
            <w:tcW w:w="29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360" w:type="dxa"/>
            <w:vAlign w:val="bottom"/>
          </w:tcPr>
          <w:p>
            <w:pPr>
              <w:ind w:left="1100"/>
              <w:spacing w:after="0"/>
              <w:rPr>
                <w:sz w:val="20"/>
                <w:szCs w:val="20"/>
                <w:color w:val="auto"/>
              </w:rPr>
            </w:pPr>
            <w:r>
              <w:rPr>
                <w:rFonts w:ascii="Arial" w:cs="Arial" w:eastAsia="Arial" w:hAnsi="Arial"/>
                <w:sz w:val="18"/>
                <w:szCs w:val="18"/>
                <w:color w:val="auto"/>
              </w:rPr>
              <w:t>Chief Financial Officer</w:t>
            </w:r>
          </w:p>
        </w:tc>
        <w:tc>
          <w:tcPr>
            <w:tcW w:w="4160" w:type="dxa"/>
            <w:vAlign w:val="bottom"/>
          </w:tcPr>
          <w:p>
            <w:pPr>
              <w:ind w:left="980"/>
              <w:spacing w:after="0"/>
              <w:rPr>
                <w:sz w:val="20"/>
                <w:szCs w:val="20"/>
                <w:color w:val="auto"/>
              </w:rPr>
            </w:pPr>
            <w:r>
              <w:rPr>
                <w:rFonts w:ascii="Arial" w:cs="Arial" w:eastAsia="Arial" w:hAnsi="Arial"/>
                <w:sz w:val="18"/>
                <w:szCs w:val="18"/>
                <w:color w:val="auto"/>
              </w:rPr>
              <w:t>Chief Accounting Officer and Controller</w:t>
            </w:r>
          </w:p>
        </w:tc>
      </w:tr>
      <w:tr>
        <w:trPr>
          <w:trHeight w:val="312"/>
        </w:trPr>
        <w:tc>
          <w:tcPr>
            <w:tcW w:w="2900" w:type="dxa"/>
            <w:vAlign w:val="bottom"/>
          </w:tcPr>
          <w:p>
            <w:pPr>
              <w:spacing w:after="0"/>
              <w:rPr>
                <w:sz w:val="24"/>
                <w:szCs w:val="24"/>
                <w:color w:val="auto"/>
              </w:rPr>
            </w:pPr>
          </w:p>
        </w:tc>
        <w:tc>
          <w:tcPr>
            <w:tcW w:w="4360" w:type="dxa"/>
            <w:vAlign w:val="bottom"/>
          </w:tcPr>
          <w:p>
            <w:pPr>
              <w:jc w:val="right"/>
              <w:ind w:right="1337"/>
              <w:spacing w:after="0"/>
              <w:rPr>
                <w:sz w:val="20"/>
                <w:szCs w:val="20"/>
                <w:color w:val="auto"/>
              </w:rPr>
            </w:pPr>
            <w:r>
              <w:rPr>
                <w:rFonts w:ascii="Arial" w:cs="Arial" w:eastAsia="Arial" w:hAnsi="Arial"/>
                <w:sz w:val="14"/>
                <w:szCs w:val="14"/>
                <w:b w:val="1"/>
                <w:bCs w:val="1"/>
                <w:color w:val="auto"/>
              </w:rPr>
              <w:t>39</w:t>
            </w:r>
          </w:p>
        </w:tc>
        <w:tc>
          <w:tcPr>
            <w:tcW w:w="4160" w:type="dxa"/>
            <w:vAlign w:val="bottom"/>
          </w:tcPr>
          <w:p>
            <w:pPr>
              <w:ind w:left="1520"/>
              <w:spacing w:after="0"/>
              <w:rPr>
                <w:sz w:val="20"/>
                <w:szCs w:val="20"/>
                <w:color w:val="auto"/>
              </w:rPr>
            </w:pPr>
            <w:r>
              <w:rPr>
                <w:rFonts w:ascii="Arial" w:cs="Arial" w:eastAsia="Arial" w:hAnsi="Arial"/>
                <w:sz w:val="14"/>
                <w:szCs w:val="14"/>
                <w:color w:val="auto"/>
                <w:w w:val="95"/>
              </w:rPr>
              <w:t>Comcast 2008 Annual Report on Form 10-K</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2008 and 2007, and the related consolidated statements of operations, cash flows, stockholders’ equity and comprehensive income for each of the three years in the period ended December 31, 2008. We also have audited the Company’s internal control over financial reporting as of December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these financial statements and an opinion on the Company’s internal control over financial reporting based on our audits.</w:t>
      </w:r>
    </w:p>
    <w:p>
      <w:pPr>
        <w:spacing w:after="0" w:line="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2008 and 2007, and the results of their operations and their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discussed in Note 2 to the consolidated financial statements, the Company adopted Statement of Financial Accounting Standards No. 159, "The Fair Value Option for Financial Assets and Financial Liabilities Including an amendment of FASB Statement No. 115," effective January 1, 2008. As discussed in Note 3 to the consolidated financial statements, the Company adopted EITF Issue No. 06-10, “Accounting for Collateral Assignment Split-Dollar Life Insurance Arrangements,” effective January 1, 2008. As discussed in Note 2 to the consolidated financial statements, the Company adopted FASB Interpretation No. 48, "Accounting for Uncertainty in Income Taxes — an Interpretation of FASB Statement 109," effective January 1, 2007.</w:t>
      </w:r>
    </w:p>
    <w:p>
      <w:pPr>
        <w:spacing w:after="0" w:line="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20, 2009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Balance Sheet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(in millions, except share data)</w:t>
            </w: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99"/>
        </w:trPr>
        <w:tc>
          <w:tcPr>
            <w:tcW w:w="8760" w:type="dxa"/>
            <w:vAlign w:val="bottom"/>
            <w:gridSpan w:val="3"/>
          </w:tcPr>
          <w:p>
            <w:pPr>
              <w:spacing w:after="0" w:line="200" w:lineRule="exact"/>
              <w:rPr>
                <w:sz w:val="20"/>
                <w:szCs w:val="20"/>
                <w:color w:val="auto"/>
              </w:rPr>
            </w:pPr>
            <w:r>
              <w:rPr>
                <w:rFonts w:ascii="Arial" w:cs="Arial" w:eastAsia="Arial" w:hAnsi="Arial"/>
                <w:sz w:val="18"/>
                <w:szCs w:val="18"/>
                <w:color w:val="auto"/>
              </w:rPr>
              <w:t>Assets</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1,195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59</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Accounts receivable, less allowance for doubtful accounts of $190 and $181</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1,626</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1,645</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292</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r>
      <w:tr>
        <w:trPr>
          <w:trHeight w:val="199"/>
        </w:trPr>
        <w:tc>
          <w:tcPr>
            <w:tcW w:w="8760" w:type="dxa"/>
            <w:vAlign w:val="bottom"/>
            <w:tcBorders>
              <w:bottom w:val="single" w:sz="8" w:color="auto"/>
            </w:tcBorders>
            <w:gridSpan w:val="3"/>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544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747</w:t>
            </w:r>
          </w:p>
        </w:tc>
      </w:tr>
      <w:tr>
        <w:trPr>
          <w:trHeight w:val="199"/>
        </w:trPr>
        <w:tc>
          <w:tcPr>
            <w:tcW w:w="8760" w:type="dxa"/>
            <w:vAlign w:val="bottom"/>
            <w:gridSpan w:val="3"/>
          </w:tcPr>
          <w:p>
            <w:pPr>
              <w:spacing w:after="0" w:line="200" w:lineRule="exact"/>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17"/>
                <w:szCs w:val="17"/>
                <w:color w:val="auto"/>
              </w:rPr>
            </w:pPr>
          </w:p>
        </w:tc>
        <w:tc>
          <w:tcPr>
            <w:tcW w:w="90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3,716</w:t>
            </w:r>
          </w:p>
        </w:tc>
        <w:tc>
          <w:tcPr>
            <w:tcW w:w="30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3,667</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4,783</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7,963</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Property and equipment, net of accumulated depreciation of $23,235 and $19,808</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24,444</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23,624</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Franchise rights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59,449</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58,077</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14,889</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14,705</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Other intangible assets, net of accumulated amortization of $8,160 and $6,977</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4,558</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4,739</w:t>
            </w:r>
          </w:p>
        </w:tc>
      </w:tr>
      <w:tr>
        <w:trPr>
          <w:trHeight w:val="199"/>
        </w:trPr>
        <w:tc>
          <w:tcPr>
            <w:tcW w:w="8760" w:type="dxa"/>
            <w:vAlign w:val="bottom"/>
            <w:tcBorders>
              <w:bottom w:val="single" w:sz="8" w:color="auto"/>
            </w:tcBorders>
            <w:gridSpan w:val="3"/>
          </w:tcPr>
          <w:p>
            <w:pPr>
              <w:spacing w:after="0" w:line="200" w:lineRule="exact"/>
              <w:rPr>
                <w:sz w:val="20"/>
                <w:szCs w:val="20"/>
                <w:color w:val="auto"/>
              </w:rPr>
            </w:pPr>
            <w:r>
              <w:rPr>
                <w:rFonts w:ascii="Arial" w:cs="Arial" w:eastAsia="Arial" w:hAnsi="Arial"/>
                <w:sz w:val="18"/>
                <w:szCs w:val="18"/>
                <w:color w:val="auto"/>
              </w:rPr>
              <w:t>Other noncurrent assets, net</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1,178</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642</w:t>
            </w:r>
          </w:p>
        </w:tc>
      </w:tr>
      <w:tr>
        <w:trPr>
          <w:trHeight w:val="196"/>
        </w:trPr>
        <w:tc>
          <w:tcPr>
            <w:tcW w:w="8760" w:type="dxa"/>
            <w:vAlign w:val="bottom"/>
            <w:tcBorders>
              <w:bottom w:val="single" w:sz="8" w:color="52A2DD"/>
            </w:tcBorders>
            <w:gridSpan w:val="3"/>
          </w:tcPr>
          <w:p>
            <w:pPr>
              <w:spacing w:after="0" w:line="196" w:lineRule="exact"/>
              <w:rPr>
                <w:sz w:val="20"/>
                <w:szCs w:val="20"/>
                <w:color w:val="auto"/>
              </w:rPr>
            </w:pPr>
            <w:r>
              <w:rPr>
                <w:rFonts w:ascii="Arial" w:cs="Arial" w:eastAsia="Arial" w:hAnsi="Arial"/>
                <w:sz w:val="18"/>
                <w:szCs w:val="18"/>
                <w:color w:val="auto"/>
              </w:rPr>
              <w:t>Total assets</w:t>
            </w:r>
          </w:p>
        </w:tc>
        <w:tc>
          <w:tcPr>
            <w:tcW w:w="7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113,017</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113,417</w:t>
            </w:r>
          </w:p>
        </w:tc>
      </w:tr>
      <w:tr>
        <w:trPr>
          <w:trHeight w:val="199"/>
        </w:trPr>
        <w:tc>
          <w:tcPr>
            <w:tcW w:w="8760" w:type="dxa"/>
            <w:vAlign w:val="bottom"/>
            <w:gridSpan w:val="3"/>
          </w:tcPr>
          <w:p>
            <w:pPr>
              <w:spacing w:after="0" w:line="200" w:lineRule="exact"/>
              <w:rPr>
                <w:sz w:val="20"/>
                <w:szCs w:val="20"/>
                <w:color w:val="auto"/>
              </w:rPr>
            </w:pPr>
            <w:r>
              <w:rPr>
                <w:rFonts w:ascii="Arial" w:cs="Arial" w:eastAsia="Arial" w:hAnsi="Arial"/>
                <w:sz w:val="18"/>
                <w:szCs w:val="18"/>
                <w:color w:val="auto"/>
              </w:rPr>
              <w:t>Liabilities and Stockholders’ Equity</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3,393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3,336</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Accrued salaries and wages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624</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494</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Other current liabilities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2,644</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2,627</w:t>
            </w:r>
          </w:p>
        </w:tc>
      </w:tr>
      <w:tr>
        <w:trPr>
          <w:trHeight w:val="199"/>
        </w:trPr>
        <w:tc>
          <w:tcPr>
            <w:tcW w:w="8760" w:type="dxa"/>
            <w:vAlign w:val="bottom"/>
            <w:tcBorders>
              <w:bottom w:val="single" w:sz="8" w:color="auto"/>
            </w:tcBorders>
            <w:gridSpan w:val="3"/>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2,278</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1,495</w:t>
            </w:r>
          </w:p>
        </w:tc>
      </w:tr>
      <w:tr>
        <w:trPr>
          <w:trHeight w:val="199"/>
        </w:trPr>
        <w:tc>
          <w:tcPr>
            <w:tcW w:w="8760" w:type="dxa"/>
            <w:vAlign w:val="bottom"/>
            <w:gridSpan w:val="3"/>
          </w:tcPr>
          <w:p>
            <w:pPr>
              <w:spacing w:after="0" w:line="200" w:lineRule="exact"/>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7"/>
                <w:szCs w:val="17"/>
                <w:color w:val="auto"/>
              </w:rPr>
            </w:pPr>
          </w:p>
        </w:tc>
        <w:tc>
          <w:tcPr>
            <w:tcW w:w="90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8,939</w:t>
            </w:r>
          </w:p>
        </w:tc>
        <w:tc>
          <w:tcPr>
            <w:tcW w:w="30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7,952</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30,178</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29,828</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26,982</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26,880</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6,171</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7,167</w:t>
            </w:r>
          </w:p>
        </w:tc>
      </w:tr>
      <w:tr>
        <w:trPr>
          <w:trHeight w:val="203"/>
        </w:trPr>
        <w:tc>
          <w:tcPr>
            <w:tcW w:w="8760" w:type="dxa"/>
            <w:vAlign w:val="bottom"/>
            <w:gridSpan w:val="3"/>
          </w:tcPr>
          <w:p>
            <w:pPr>
              <w:spacing w:after="0" w:line="202" w:lineRule="exact"/>
              <w:rPr>
                <w:sz w:val="20"/>
                <w:szCs w:val="20"/>
                <w:color w:val="auto"/>
              </w:rPr>
            </w:pPr>
            <w:r>
              <w:rPr>
                <w:rFonts w:ascii="Arial" w:cs="Arial" w:eastAsia="Arial" w:hAnsi="Arial"/>
                <w:sz w:val="18"/>
                <w:szCs w:val="18"/>
                <w:color w:val="auto"/>
              </w:rPr>
              <w:t>Minority interest</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297</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172"/>
        </w:trPr>
        <w:tc>
          <w:tcPr>
            <w:tcW w:w="8760" w:type="dxa"/>
            <w:vAlign w:val="bottom"/>
            <w:gridSpan w:val="3"/>
          </w:tcPr>
          <w:p>
            <w:pPr>
              <w:spacing w:after="0" w:line="172" w:lineRule="exact"/>
              <w:rPr>
                <w:rFonts w:ascii="Arial" w:cs="Arial" w:eastAsia="Arial" w:hAnsi="Arial"/>
                <w:sz w:val="18"/>
                <w:szCs w:val="18"/>
                <w:color w:val="auto"/>
              </w:rPr>
            </w:pPr>
            <w:r>
              <w:rPr>
                <w:rFonts w:ascii="Arial" w:cs="Arial" w:eastAsia="Arial" w:hAnsi="Arial"/>
                <w:sz w:val="18"/>
                <w:szCs w:val="18"/>
                <w:color w:val="auto"/>
              </w:rPr>
              <w:t xml:space="preserve">Commitments and contingencies </w:t>
            </w:r>
            <w:hyperlink w:anchor="page68">
              <w:r>
                <w:rPr>
                  <w:rFonts w:ascii="Arial" w:cs="Arial" w:eastAsia="Arial" w:hAnsi="Arial"/>
                  <w:sz w:val="18"/>
                  <w:szCs w:val="18"/>
                  <w:color w:val="0000EE"/>
                </w:rPr>
                <w:t>(Note 15)</w:t>
              </w:r>
            </w:hyperlink>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Borders>
              <w:top w:val="single" w:sz="8" w:color="0000EE"/>
            </w:tcBorders>
          </w:tcPr>
          <w:p>
            <w:pPr>
              <w:spacing w:after="0"/>
              <w:rPr>
                <w:sz w:val="18"/>
                <w:szCs w:val="18"/>
                <w:color w:val="auto"/>
              </w:rPr>
            </w:pPr>
          </w:p>
        </w:tc>
        <w:tc>
          <w:tcPr>
            <w:tcW w:w="5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Preferred stock—authorized, 20,000,000 shares; issued, zero</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Class A common stock, $0.01 par value—authorized, 7,500,000,000 shares; issued, 2,426,443,484 and</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876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2,419,025,659; outstanding, 2,060,982,734 and 2,053,564,909</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24</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7"/>
              </w:rPr>
              <w:t>Class A Special common stock, $0.01 par value—authorized, 7,500,000,000 shares; issued, 881,145,954 and</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876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1,018,960,463; outstanding, 810,211,190 and 948,025,699</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8"/>
              </w:rPr>
              <w:t>Class B common stock, $0.01 par value—authorized, 75,000,000 shares; issued and outstanding, 9,444,375</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40,620</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41,688</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7,427</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7,191</w:t>
            </w:r>
          </w:p>
        </w:tc>
      </w:tr>
      <w:tr>
        <w:trPr>
          <w:trHeight w:val="203"/>
        </w:trPr>
        <w:tc>
          <w:tcPr>
            <w:tcW w:w="8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720" w:type="dxa"/>
            <w:vAlign w:val="bottom"/>
          </w:tcPr>
          <w:p>
            <w:pPr>
              <w:spacing w:after="0"/>
              <w:rPr>
                <w:sz w:val="17"/>
                <w:szCs w:val="17"/>
                <w:color w:val="auto"/>
              </w:rPr>
            </w:pPr>
          </w:p>
        </w:tc>
        <w:tc>
          <w:tcPr>
            <w:tcW w:w="9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(7,517)</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r>
      <w:tr>
        <w:trPr>
          <w:trHeight w:val="199"/>
        </w:trPr>
        <w:tc>
          <w:tcPr>
            <w:tcW w:w="8760" w:type="dxa"/>
            <w:vAlign w:val="bottom"/>
            <w:tcBorders>
              <w:bottom w:val="single" w:sz="8" w:color="auto"/>
            </w:tcBorders>
            <w:gridSpan w:val="3"/>
          </w:tcPr>
          <w:p>
            <w:pPr>
              <w:ind w:left="220"/>
              <w:spacing w:after="0" w:line="200" w:lineRule="exact"/>
              <w:rPr>
                <w:sz w:val="20"/>
                <w:szCs w:val="20"/>
                <w:color w:val="auto"/>
              </w:rPr>
            </w:pPr>
            <w:r>
              <w:rPr>
                <w:rFonts w:ascii="Arial" w:cs="Arial" w:eastAsia="Arial" w:hAnsi="Arial"/>
                <w:sz w:val="18"/>
                <w:szCs w:val="18"/>
                <w:color w:val="auto"/>
              </w:rPr>
              <w:t>Accumulated other comprehensive income (loss)</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rPr>
              <w:t>(113)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(56)</w:t>
            </w:r>
          </w:p>
        </w:tc>
      </w:tr>
      <w:tr>
        <w:trPr>
          <w:trHeight w:val="196"/>
        </w:trPr>
        <w:tc>
          <w:tcPr>
            <w:tcW w:w="87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stockholders’ equity</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40,450</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41,340</w:t>
            </w:r>
          </w:p>
        </w:tc>
      </w:tr>
      <w:tr>
        <w:trPr>
          <w:trHeight w:val="196"/>
        </w:trPr>
        <w:tc>
          <w:tcPr>
            <w:tcW w:w="8760" w:type="dxa"/>
            <w:vAlign w:val="bottom"/>
            <w:tcBorders>
              <w:bottom w:val="single" w:sz="8" w:color="52A2DD"/>
            </w:tcBorders>
            <w:gridSpan w:val="3"/>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7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113,017</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113,417</w:t>
            </w:r>
          </w:p>
        </w:tc>
      </w:tr>
      <w:tr>
        <w:trPr>
          <w:trHeight w:val="209"/>
        </w:trPr>
        <w:tc>
          <w:tcPr>
            <w:tcW w:w="8760" w:type="dxa"/>
            <w:vAlign w:val="bottom"/>
            <w:gridSpan w:val="3"/>
          </w:tcPr>
          <w:p>
            <w:pPr>
              <w:spacing w:after="0"/>
              <w:rPr>
                <w:sz w:val="20"/>
                <w:szCs w:val="20"/>
                <w:color w:val="auto"/>
              </w:rPr>
            </w:pPr>
            <w:r>
              <w:rPr>
                <w:rFonts w:ascii="Arial" w:cs="Arial" w:eastAsia="Arial" w:hAnsi="Arial"/>
                <w:sz w:val="14"/>
                <w:szCs w:val="14"/>
                <w:color w:val="auto"/>
              </w:rPr>
              <w:t>See notes to consolidated financial statements.</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97"/>
        </w:trPr>
        <w:tc>
          <w:tcPr>
            <w:tcW w:w="8760" w:type="dxa"/>
            <w:vAlign w:val="bottom"/>
            <w:gridSpan w:val="3"/>
          </w:tcPr>
          <w:p>
            <w:pPr>
              <w:ind w:left="5680"/>
              <w:spacing w:after="0"/>
              <w:rPr>
                <w:sz w:val="20"/>
                <w:szCs w:val="20"/>
                <w:color w:val="auto"/>
              </w:rPr>
            </w:pPr>
            <w:r>
              <w:rPr>
                <w:rFonts w:ascii="Arial" w:cs="Arial" w:eastAsia="Arial" w:hAnsi="Arial"/>
                <w:sz w:val="14"/>
                <w:szCs w:val="14"/>
                <w:b w:val="1"/>
                <w:bCs w:val="1"/>
                <w:color w:val="auto"/>
              </w:rPr>
              <w:t>41</w:t>
            </w:r>
          </w:p>
        </w:tc>
        <w:tc>
          <w:tcPr>
            <w:tcW w:w="2660" w:type="dxa"/>
            <w:vAlign w:val="bottom"/>
            <w:gridSpan w:val="4"/>
          </w:tcPr>
          <w:p>
            <w:pPr>
              <w:jc w:val="right"/>
              <w:spacing w:after="0"/>
              <w:rPr>
                <w:sz w:val="20"/>
                <w:szCs w:val="20"/>
                <w:color w:val="auto"/>
              </w:rPr>
            </w:pPr>
            <w:r>
              <w:rPr>
                <w:rFonts w:ascii="Arial" w:cs="Arial" w:eastAsia="Arial" w:hAnsi="Arial"/>
                <w:sz w:val="14"/>
                <w:szCs w:val="14"/>
                <w:color w:val="auto"/>
                <w:w w:val="96"/>
              </w:rPr>
              <w:t>Comcast 2008 Annual Report on Form 10-K</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1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2007</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1880" w:type="dxa"/>
            <w:vAlign w:val="bottom"/>
          </w:tcPr>
          <w:p>
            <w:pPr>
              <w:spacing w:after="0"/>
              <w:rPr>
                <w:sz w:val="17"/>
                <w:szCs w:val="17"/>
                <w:color w:val="auto"/>
              </w:rPr>
            </w:pPr>
          </w:p>
        </w:tc>
        <w:tc>
          <w:tcPr>
            <w:tcW w:w="1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34,256</w:t>
            </w: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53"/>
              <w:spacing w:after="0" w:line="200" w:lineRule="exact"/>
              <w:rPr>
                <w:sz w:val="20"/>
                <w:szCs w:val="20"/>
                <w:color w:val="auto"/>
              </w:rPr>
            </w:pPr>
            <w:r>
              <w:rPr>
                <w:rFonts w:ascii="Arial" w:cs="Arial" w:eastAsia="Arial" w:hAnsi="Arial"/>
                <w:sz w:val="18"/>
                <w:szCs w:val="18"/>
                <w:color w:val="auto"/>
                <w:w w:val="98"/>
              </w:rPr>
              <w:t>30,895</w:t>
            </w: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24,966</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Operating (excluding depreciation and amortization)</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13,472</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w w:val="98"/>
              </w:rPr>
              <w:t>12,169</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9,819</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7,652</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6,940</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5,705</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Depreciation</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5,457</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5,107</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3,828</w:t>
            </w:r>
          </w:p>
        </w:tc>
      </w:tr>
      <w:tr>
        <w:trPr>
          <w:trHeight w:val="199"/>
        </w:trPr>
        <w:tc>
          <w:tcPr>
            <w:tcW w:w="5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Amortization</w:t>
            </w: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943</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1,101</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995</w:t>
            </w:r>
          </w:p>
        </w:tc>
      </w:tr>
      <w:tr>
        <w:trPr>
          <w:trHeight w:val="196"/>
        </w:trPr>
        <w:tc>
          <w:tcPr>
            <w:tcW w:w="5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27,524</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w w:val="98"/>
              </w:rPr>
              <w:t>25,317</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20,347</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Operating income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6,732</w:t>
            </w:r>
          </w:p>
        </w:tc>
        <w:tc>
          <w:tcPr>
            <w:tcW w:w="420" w:type="dxa"/>
            <w:vAlign w:val="bottom"/>
          </w:tcPr>
          <w:p>
            <w:pPr>
              <w:spacing w:after="0"/>
              <w:rPr>
                <w:sz w:val="17"/>
                <w:szCs w:val="17"/>
                <w:color w:val="auto"/>
              </w:rPr>
            </w:pPr>
          </w:p>
        </w:tc>
        <w:tc>
          <w:tcPr>
            <w:tcW w:w="90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5,578</w:t>
            </w:r>
          </w:p>
        </w:tc>
        <w:tc>
          <w:tcPr>
            <w:tcW w:w="4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4,619</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(2,439)</w:t>
            </w:r>
          </w:p>
        </w:tc>
        <w:tc>
          <w:tcPr>
            <w:tcW w:w="420" w:type="dxa"/>
            <w:vAlign w:val="bottom"/>
          </w:tcPr>
          <w:p>
            <w:pPr>
              <w:spacing w:after="0"/>
              <w:rPr>
                <w:sz w:val="17"/>
                <w:szCs w:val="17"/>
                <w:color w:val="auto"/>
              </w:rPr>
            </w:pPr>
          </w:p>
        </w:tc>
        <w:tc>
          <w:tcPr>
            <w:tcW w:w="9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(2,289)</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(2,064)</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Investment income (loss), net</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89</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601</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990</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Equity in net income (losses) of affiliates, net</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(39)</w:t>
            </w:r>
          </w:p>
        </w:tc>
        <w:tc>
          <w:tcPr>
            <w:tcW w:w="420" w:type="dxa"/>
            <w:vAlign w:val="bottom"/>
          </w:tcPr>
          <w:p>
            <w:pPr>
              <w:spacing w:after="0"/>
              <w:rPr>
                <w:sz w:val="17"/>
                <w:szCs w:val="17"/>
                <w:color w:val="auto"/>
              </w:rPr>
            </w:pPr>
          </w:p>
        </w:tc>
        <w:tc>
          <w:tcPr>
            <w:tcW w:w="9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(63)</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199"/>
        </w:trPr>
        <w:tc>
          <w:tcPr>
            <w:tcW w:w="5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income (expense)</w:t>
            </w: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3"/>
              <w:spacing w:after="0" w:line="200" w:lineRule="exact"/>
              <w:rPr>
                <w:sz w:val="20"/>
                <w:szCs w:val="20"/>
                <w:color w:val="auto"/>
              </w:rPr>
            </w:pPr>
            <w:r>
              <w:rPr>
                <w:rFonts w:ascii="Arial" w:cs="Arial" w:eastAsia="Arial" w:hAnsi="Arial"/>
                <w:sz w:val="18"/>
                <w:szCs w:val="18"/>
                <w:color w:val="auto"/>
              </w:rPr>
              <w:t>(285)</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522</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114</w:t>
            </w:r>
          </w:p>
        </w:tc>
      </w:tr>
      <w:tr>
        <w:trPr>
          <w:trHeight w:val="196"/>
        </w:trPr>
        <w:tc>
          <w:tcPr>
            <w:tcW w:w="5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(2,674)</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(1,229)</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(1,025)</w:t>
            </w:r>
          </w:p>
        </w:tc>
      </w:tr>
      <w:tr>
        <w:trPr>
          <w:trHeight w:val="199"/>
        </w:trPr>
        <w:tc>
          <w:tcPr>
            <w:tcW w:w="7000" w:type="dxa"/>
            <w:vAlign w:val="bottom"/>
            <w:gridSpan w:val="2"/>
          </w:tcPr>
          <w:p>
            <w:pPr>
              <w:spacing w:after="0" w:line="200" w:lineRule="exact"/>
              <w:rPr>
                <w:sz w:val="20"/>
                <w:szCs w:val="20"/>
                <w:color w:val="auto"/>
              </w:rPr>
            </w:pPr>
            <w:r>
              <w:rPr>
                <w:rFonts w:ascii="Arial" w:cs="Arial" w:eastAsia="Arial" w:hAnsi="Arial"/>
                <w:sz w:val="18"/>
                <w:szCs w:val="18"/>
                <w:color w:val="auto"/>
              </w:rPr>
              <w:t>Income from continuing operations before income taxes and minority interest</w:t>
            </w:r>
          </w:p>
        </w:tc>
        <w:tc>
          <w:tcPr>
            <w:tcW w:w="1160" w:type="dxa"/>
            <w:vAlign w:val="bottom"/>
          </w:tcPr>
          <w:p>
            <w:pPr>
              <w:spacing w:after="0"/>
              <w:rPr>
                <w:sz w:val="17"/>
                <w:szCs w:val="17"/>
                <w:color w:val="auto"/>
              </w:rPr>
            </w:pPr>
          </w:p>
        </w:tc>
        <w:tc>
          <w:tcPr>
            <w:tcW w:w="90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4,058</w:t>
            </w:r>
          </w:p>
        </w:tc>
        <w:tc>
          <w:tcPr>
            <w:tcW w:w="420" w:type="dxa"/>
            <w:vAlign w:val="bottom"/>
          </w:tcPr>
          <w:p>
            <w:pPr>
              <w:spacing w:after="0"/>
              <w:rPr>
                <w:sz w:val="17"/>
                <w:szCs w:val="17"/>
                <w:color w:val="auto"/>
              </w:rPr>
            </w:pPr>
          </w:p>
        </w:tc>
        <w:tc>
          <w:tcPr>
            <w:tcW w:w="90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4,349</w:t>
            </w:r>
          </w:p>
        </w:tc>
        <w:tc>
          <w:tcPr>
            <w:tcW w:w="4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3,594</w:t>
            </w:r>
          </w:p>
        </w:tc>
      </w:tr>
      <w:tr>
        <w:trPr>
          <w:trHeight w:val="199"/>
        </w:trPr>
        <w:tc>
          <w:tcPr>
            <w:tcW w:w="5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Income tax expense</w:t>
            </w: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3"/>
              <w:spacing w:after="0" w:line="200" w:lineRule="exact"/>
              <w:rPr>
                <w:sz w:val="20"/>
                <w:szCs w:val="20"/>
                <w:color w:val="auto"/>
              </w:rPr>
            </w:pPr>
            <w:r>
              <w:rPr>
                <w:rFonts w:ascii="Arial" w:cs="Arial" w:eastAsia="Arial" w:hAnsi="Arial"/>
                <w:sz w:val="18"/>
                <w:szCs w:val="18"/>
                <w:color w:val="auto"/>
              </w:rPr>
              <w:t>(1,533)</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3"/>
              <w:spacing w:after="0" w:line="200" w:lineRule="exact"/>
              <w:rPr>
                <w:sz w:val="20"/>
                <w:szCs w:val="20"/>
                <w:color w:val="auto"/>
              </w:rPr>
            </w:pPr>
            <w:r>
              <w:rPr>
                <w:rFonts w:ascii="Arial" w:cs="Arial" w:eastAsia="Arial" w:hAnsi="Arial"/>
                <w:sz w:val="18"/>
                <w:szCs w:val="18"/>
                <w:color w:val="auto"/>
              </w:rPr>
              <w:t>(1,800)</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(1,347)</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Income from continuing operations before minority interest</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2,525</w:t>
            </w:r>
          </w:p>
        </w:tc>
        <w:tc>
          <w:tcPr>
            <w:tcW w:w="420" w:type="dxa"/>
            <w:vAlign w:val="bottom"/>
          </w:tcPr>
          <w:p>
            <w:pPr>
              <w:spacing w:after="0"/>
              <w:rPr>
                <w:sz w:val="17"/>
                <w:szCs w:val="17"/>
                <w:color w:val="auto"/>
              </w:rPr>
            </w:pPr>
          </w:p>
        </w:tc>
        <w:tc>
          <w:tcPr>
            <w:tcW w:w="90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2,549</w:t>
            </w:r>
          </w:p>
        </w:tc>
        <w:tc>
          <w:tcPr>
            <w:tcW w:w="4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2,247</w:t>
            </w:r>
          </w:p>
        </w:tc>
      </w:tr>
      <w:tr>
        <w:trPr>
          <w:trHeight w:val="199"/>
        </w:trPr>
        <w:tc>
          <w:tcPr>
            <w:tcW w:w="5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Minority interest</w:t>
            </w: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Income from continuing operations</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2,547</w:t>
            </w:r>
          </w:p>
        </w:tc>
        <w:tc>
          <w:tcPr>
            <w:tcW w:w="420" w:type="dxa"/>
            <w:vAlign w:val="bottom"/>
          </w:tcPr>
          <w:p>
            <w:pPr>
              <w:spacing w:after="0"/>
              <w:rPr>
                <w:sz w:val="17"/>
                <w:szCs w:val="17"/>
                <w:color w:val="auto"/>
              </w:rPr>
            </w:pPr>
          </w:p>
        </w:tc>
        <w:tc>
          <w:tcPr>
            <w:tcW w:w="90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2,587</w:t>
            </w:r>
          </w:p>
        </w:tc>
        <w:tc>
          <w:tcPr>
            <w:tcW w:w="4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2,235</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199"/>
        </w:trPr>
        <w:tc>
          <w:tcPr>
            <w:tcW w:w="5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Gain on discontinued operations, net of tax</w:t>
            </w: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195</w:t>
            </w:r>
          </w:p>
        </w:tc>
      </w:tr>
      <w:tr>
        <w:trPr>
          <w:trHeight w:val="196"/>
        </w:trPr>
        <w:tc>
          <w:tcPr>
            <w:tcW w:w="51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52A2DD"/>
            </w:tcBorders>
          </w:tcPr>
          <w:p>
            <w:pPr>
              <w:spacing w:after="0"/>
              <w:rPr>
                <w:sz w:val="17"/>
                <w:szCs w:val="17"/>
                <w:color w:val="auto"/>
              </w:rPr>
            </w:pPr>
          </w:p>
        </w:tc>
        <w:tc>
          <w:tcPr>
            <w:tcW w:w="1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33"/>
              <w:spacing w:after="0" w:line="196" w:lineRule="exact"/>
              <w:rPr>
                <w:sz w:val="20"/>
                <w:szCs w:val="20"/>
                <w:color w:val="auto"/>
              </w:rPr>
            </w:pPr>
            <w:r>
              <w:rPr>
                <w:rFonts w:ascii="Arial" w:cs="Arial" w:eastAsia="Arial" w:hAnsi="Arial"/>
                <w:sz w:val="18"/>
                <w:szCs w:val="18"/>
                <w:color w:val="auto"/>
              </w:rPr>
              <w:t>2,547</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53"/>
              <w:spacing w:after="0" w:line="196" w:lineRule="exact"/>
              <w:rPr>
                <w:sz w:val="20"/>
                <w:szCs w:val="20"/>
                <w:color w:val="auto"/>
              </w:rPr>
            </w:pPr>
            <w:r>
              <w:rPr>
                <w:rFonts w:ascii="Arial" w:cs="Arial" w:eastAsia="Arial" w:hAnsi="Arial"/>
                <w:sz w:val="18"/>
                <w:szCs w:val="18"/>
                <w:color w:val="auto"/>
              </w:rPr>
              <w:t>2,587</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2,533</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Basic earnings per common share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18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0.87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0.84</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0.71</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Income from discontinued operations</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199"/>
        </w:trPr>
        <w:tc>
          <w:tcPr>
            <w:tcW w:w="5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Gain on discontinued operations</w:t>
            </w: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0.06</w:t>
            </w:r>
          </w:p>
        </w:tc>
      </w:tr>
      <w:tr>
        <w:trPr>
          <w:trHeight w:val="196"/>
        </w:trPr>
        <w:tc>
          <w:tcPr>
            <w:tcW w:w="5120" w:type="dxa"/>
            <w:vAlign w:val="bottom"/>
            <w:tcBorders>
              <w:bottom w:val="single" w:sz="8" w:color="52A2DD"/>
            </w:tcBorders>
          </w:tcPr>
          <w:p>
            <w:pPr>
              <w:ind w:left="220"/>
              <w:spacing w:after="0" w:line="196" w:lineRule="exact"/>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52A2DD"/>
            </w:tcBorders>
          </w:tcPr>
          <w:p>
            <w:pPr>
              <w:spacing w:after="0"/>
              <w:rPr>
                <w:sz w:val="17"/>
                <w:szCs w:val="17"/>
                <w:color w:val="auto"/>
              </w:rPr>
            </w:pPr>
          </w:p>
        </w:tc>
        <w:tc>
          <w:tcPr>
            <w:tcW w:w="1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33"/>
              <w:spacing w:after="0" w:line="196" w:lineRule="exact"/>
              <w:rPr>
                <w:sz w:val="20"/>
                <w:szCs w:val="20"/>
                <w:color w:val="auto"/>
              </w:rPr>
            </w:pPr>
            <w:r>
              <w:rPr>
                <w:rFonts w:ascii="Arial" w:cs="Arial" w:eastAsia="Arial" w:hAnsi="Arial"/>
                <w:sz w:val="18"/>
                <w:szCs w:val="18"/>
                <w:color w:val="auto"/>
              </w:rPr>
              <w:t>0.87</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53"/>
              <w:spacing w:after="0" w:line="196" w:lineRule="exact"/>
              <w:rPr>
                <w:sz w:val="20"/>
                <w:szCs w:val="20"/>
                <w:color w:val="auto"/>
              </w:rPr>
            </w:pPr>
            <w:r>
              <w:rPr>
                <w:rFonts w:ascii="Arial" w:cs="Arial" w:eastAsia="Arial" w:hAnsi="Arial"/>
                <w:sz w:val="18"/>
                <w:szCs w:val="18"/>
                <w:color w:val="auto"/>
              </w:rPr>
              <w:t>0.84</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0.80</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Diluted earnings per common share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18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0.86</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0.83</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0.70</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Income from discontinued operations</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199"/>
        </w:trPr>
        <w:tc>
          <w:tcPr>
            <w:tcW w:w="5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Gain on discontinued operations</w:t>
            </w: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line="200"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0.06</w:t>
            </w:r>
          </w:p>
        </w:tc>
      </w:tr>
      <w:tr>
        <w:trPr>
          <w:trHeight w:val="196"/>
        </w:trPr>
        <w:tc>
          <w:tcPr>
            <w:tcW w:w="5120" w:type="dxa"/>
            <w:vAlign w:val="bottom"/>
            <w:tcBorders>
              <w:bottom w:val="single" w:sz="8" w:color="52A2DD"/>
            </w:tcBorders>
          </w:tcPr>
          <w:p>
            <w:pPr>
              <w:ind w:left="220"/>
              <w:spacing w:after="0" w:line="196" w:lineRule="exact"/>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52A2DD"/>
            </w:tcBorders>
          </w:tcPr>
          <w:p>
            <w:pPr>
              <w:spacing w:after="0"/>
              <w:rPr>
                <w:sz w:val="17"/>
                <w:szCs w:val="17"/>
                <w:color w:val="auto"/>
              </w:rPr>
            </w:pPr>
          </w:p>
        </w:tc>
        <w:tc>
          <w:tcPr>
            <w:tcW w:w="1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33"/>
              <w:spacing w:after="0" w:line="196" w:lineRule="exact"/>
              <w:rPr>
                <w:sz w:val="20"/>
                <w:szCs w:val="20"/>
                <w:color w:val="auto"/>
              </w:rPr>
            </w:pPr>
            <w:r>
              <w:rPr>
                <w:rFonts w:ascii="Arial" w:cs="Arial" w:eastAsia="Arial" w:hAnsi="Arial"/>
                <w:sz w:val="18"/>
                <w:szCs w:val="18"/>
                <w:color w:val="auto"/>
              </w:rPr>
              <w:t>0.86</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53"/>
              <w:spacing w:after="0" w:line="196" w:lineRule="exact"/>
              <w:rPr>
                <w:sz w:val="20"/>
                <w:szCs w:val="20"/>
                <w:color w:val="auto"/>
              </w:rPr>
            </w:pPr>
            <w:r>
              <w:rPr>
                <w:rFonts w:ascii="Arial" w:cs="Arial" w:eastAsia="Arial" w:hAnsi="Arial"/>
                <w:sz w:val="18"/>
                <w:szCs w:val="18"/>
                <w:color w:val="auto"/>
              </w:rPr>
              <w:t>0.83</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0.79</w:t>
            </w:r>
          </w:p>
        </w:tc>
      </w:tr>
      <w:tr>
        <w:trPr>
          <w:trHeight w:val="196"/>
        </w:trPr>
        <w:tc>
          <w:tcPr>
            <w:tcW w:w="51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Dividends declared per common share</w:t>
            </w:r>
          </w:p>
        </w:tc>
        <w:tc>
          <w:tcPr>
            <w:tcW w:w="1880" w:type="dxa"/>
            <w:vAlign w:val="bottom"/>
            <w:tcBorders>
              <w:bottom w:val="single" w:sz="8" w:color="52A2DD"/>
            </w:tcBorders>
          </w:tcPr>
          <w:p>
            <w:pPr>
              <w:spacing w:after="0"/>
              <w:rPr>
                <w:sz w:val="17"/>
                <w:szCs w:val="17"/>
                <w:color w:val="auto"/>
              </w:rPr>
            </w:pPr>
          </w:p>
        </w:tc>
        <w:tc>
          <w:tcPr>
            <w:tcW w:w="1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33"/>
              <w:spacing w:after="0" w:line="196" w:lineRule="exact"/>
              <w:rPr>
                <w:sz w:val="20"/>
                <w:szCs w:val="20"/>
                <w:color w:val="auto"/>
              </w:rPr>
            </w:pPr>
            <w:r>
              <w:rPr>
                <w:rFonts w:ascii="Arial" w:cs="Arial" w:eastAsia="Arial" w:hAnsi="Arial"/>
                <w:sz w:val="18"/>
                <w:szCs w:val="18"/>
                <w:color w:val="auto"/>
              </w:rPr>
              <w:t>0.25</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53"/>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9"/>
        </w:trPr>
        <w:tc>
          <w:tcPr>
            <w:tcW w:w="512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97"/>
        </w:trPr>
        <w:tc>
          <w:tcPr>
            <w:tcW w:w="512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880" w:type="dxa"/>
            <w:vAlign w:val="bottom"/>
          </w:tcPr>
          <w:p>
            <w:pPr>
              <w:jc w:val="right"/>
              <w:ind w:right="1092"/>
              <w:spacing w:after="0"/>
              <w:rPr>
                <w:sz w:val="20"/>
                <w:szCs w:val="20"/>
                <w:color w:val="auto"/>
              </w:rPr>
            </w:pPr>
            <w:r>
              <w:rPr>
                <w:rFonts w:ascii="Arial" w:cs="Arial" w:eastAsia="Arial" w:hAnsi="Arial"/>
                <w:sz w:val="14"/>
                <w:szCs w:val="14"/>
                <w:b w:val="1"/>
                <w:bCs w:val="1"/>
                <w:color w:val="auto"/>
              </w:rPr>
              <w:t>42</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2007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7640" w:type="dxa"/>
            <w:vAlign w:val="bottom"/>
          </w:tcPr>
          <w:p>
            <w:pPr>
              <w:spacing w:after="0" w:line="200" w:lineRule="exact"/>
              <w:rPr>
                <w:sz w:val="20"/>
                <w:szCs w:val="20"/>
                <w:color w:val="auto"/>
              </w:rPr>
            </w:pPr>
            <w:r>
              <w:rPr>
                <w:rFonts w:ascii="Arial" w:cs="Arial" w:eastAsia="Arial" w:hAnsi="Arial"/>
                <w:sz w:val="18"/>
                <w:szCs w:val="18"/>
                <w:color w:val="auto"/>
              </w:rPr>
              <w:t>Operating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2,547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2,587</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$ 2,533</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5,457</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5,107</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3,828</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Amortization</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943</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1,101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995</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 of discontinued operations</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Share-based compensation</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258</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212</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Noncash interest expense (income), net</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209</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114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Equity in net losses (income) of affiliates, net</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39</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63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(Gains) losses on investments and noncash other (income) expense, net</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321</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(938)</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Gain on discontinued operations</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(736)</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Noncash contribution expense</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Minority interest</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(22)</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(38)</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495</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247</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674</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Change in accounts receivable, net</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39</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r>
      <w:tr>
        <w:trPr>
          <w:trHeight w:val="203"/>
        </w:trPr>
        <w:tc>
          <w:tcPr>
            <w:tcW w:w="7640" w:type="dxa"/>
            <w:vAlign w:val="bottom"/>
          </w:tcPr>
          <w:p>
            <w:pPr>
              <w:ind w:left="44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(38)</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175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r>
      <w:tr>
        <w:trPr>
          <w:trHeight w:val="199"/>
        </w:trPr>
        <w:tc>
          <w:tcPr>
            <w:tcW w:w="764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Change in other operating assets and liabilities</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(352)</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(497)</w:t>
            </w:r>
          </w:p>
        </w:tc>
      </w:tr>
      <w:tr>
        <w:trPr>
          <w:trHeight w:val="196"/>
        </w:trPr>
        <w:tc>
          <w:tcPr>
            <w:tcW w:w="7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w w:val="98"/>
              </w:rPr>
              <w:t>10,231</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rPr>
              <w:t>8,189</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6,618</w:t>
            </w:r>
          </w:p>
        </w:tc>
      </w:tr>
      <w:tr>
        <w:trPr>
          <w:trHeight w:val="199"/>
        </w:trPr>
        <w:tc>
          <w:tcPr>
            <w:tcW w:w="7640" w:type="dxa"/>
            <w:vAlign w:val="bottom"/>
          </w:tcPr>
          <w:p>
            <w:pPr>
              <w:spacing w:after="0" w:line="200" w:lineRule="exact"/>
              <w:rPr>
                <w:sz w:val="20"/>
                <w:szCs w:val="20"/>
                <w:color w:val="auto"/>
              </w:rPr>
            </w:pPr>
            <w:r>
              <w:rPr>
                <w:rFonts w:ascii="Arial" w:cs="Arial" w:eastAsia="Arial" w:hAnsi="Arial"/>
                <w:sz w:val="18"/>
                <w:szCs w:val="18"/>
                <w:color w:val="auto"/>
              </w:rPr>
              <w:t>Financing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Proceeds from borrowings</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3,535</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3,713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7,497</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Retirements and repayments of debt</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(2,610)</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w w:val="94"/>
              </w:rPr>
              <w:t>(1,401)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(2,039)</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Repurchases of common stock</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(2,800)</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w w:val="94"/>
              </w:rPr>
              <w:t>(3,102)</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(2,347)</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(547)</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Issuances of common stock</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53</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412</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r>
      <w:tr>
        <w:trPr>
          <w:trHeight w:val="199"/>
        </w:trPr>
        <w:tc>
          <w:tcPr>
            <w:tcW w:w="76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(153)</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line="200" w:lineRule="exact"/>
              <w:rPr>
                <w:sz w:val="20"/>
                <w:szCs w:val="20"/>
                <w:color w:val="auto"/>
              </w:rPr>
            </w:pPr>
            <w:r>
              <w:rPr>
                <w:rFonts w:ascii="Arial" w:cs="Arial" w:eastAsia="Arial" w:hAnsi="Arial"/>
                <w:sz w:val="18"/>
                <w:szCs w:val="18"/>
                <w:color w:val="auto"/>
              </w:rPr>
              <w:t>62</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w:t>
            </w:r>
          </w:p>
        </w:tc>
      </w:tr>
      <w:tr>
        <w:trPr>
          <w:trHeight w:val="196"/>
        </w:trPr>
        <w:tc>
          <w:tcPr>
            <w:tcW w:w="7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(2,522)</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(316)</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3,546</w:t>
            </w:r>
          </w:p>
        </w:tc>
      </w:tr>
      <w:tr>
        <w:trPr>
          <w:trHeight w:val="199"/>
        </w:trPr>
        <w:tc>
          <w:tcPr>
            <w:tcW w:w="7640" w:type="dxa"/>
            <w:vAlign w:val="bottom"/>
          </w:tcPr>
          <w:p>
            <w:pPr>
              <w:spacing w:after="0" w:line="200" w:lineRule="exact"/>
              <w:rPr>
                <w:sz w:val="20"/>
                <w:szCs w:val="20"/>
                <w:color w:val="auto"/>
              </w:rPr>
            </w:pPr>
            <w:r>
              <w:rPr>
                <w:rFonts w:ascii="Arial" w:cs="Arial" w:eastAsia="Arial" w:hAnsi="Arial"/>
                <w:sz w:val="18"/>
                <w:szCs w:val="18"/>
                <w:color w:val="auto"/>
              </w:rPr>
              <w:t>Investing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(5,750)</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w w:val="94"/>
              </w:rPr>
              <w:t>(6,158)</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(4,395)</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Cash paid for intangible assets</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(527)</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(406)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Acquisitions, net of cash acquired</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(738)</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w w:val="94"/>
              </w:rPr>
              <w:t>(1,319)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(5,110)</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Proceeds from sales of investments</w:t>
            </w:r>
          </w:p>
        </w:tc>
        <w:tc>
          <w:tcPr>
            <w:tcW w:w="540" w:type="dxa"/>
            <w:vAlign w:val="bottom"/>
          </w:tcPr>
          <w:p>
            <w:pPr>
              <w:spacing w:after="0"/>
              <w:rPr>
                <w:sz w:val="17"/>
                <w:szCs w:val="17"/>
                <w:color w:val="auto"/>
              </w:rPr>
            </w:pPr>
          </w:p>
        </w:tc>
        <w:tc>
          <w:tcPr>
            <w:tcW w:w="9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737</w:t>
            </w:r>
          </w:p>
        </w:tc>
        <w:tc>
          <w:tcPr>
            <w:tcW w:w="420" w:type="dxa"/>
            <w:vAlign w:val="bottom"/>
          </w:tcPr>
          <w:p>
            <w:pPr>
              <w:spacing w:after="0"/>
              <w:rPr>
                <w:sz w:val="17"/>
                <w:szCs w:val="17"/>
                <w:color w:val="auto"/>
              </w:rPr>
            </w:pPr>
          </w:p>
        </w:tc>
        <w:tc>
          <w:tcPr>
            <w:tcW w:w="8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1,761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2,720</w:t>
            </w:r>
          </w:p>
        </w:tc>
      </w:tr>
      <w:tr>
        <w:trPr>
          <w:trHeight w:val="203"/>
        </w:trPr>
        <w:tc>
          <w:tcPr>
            <w:tcW w:w="7640" w:type="dxa"/>
            <w:vAlign w:val="bottom"/>
          </w:tcPr>
          <w:p>
            <w:pPr>
              <w:ind w:left="220"/>
              <w:spacing w:after="0" w:line="202" w:lineRule="exact"/>
              <w:rPr>
                <w:sz w:val="20"/>
                <w:szCs w:val="20"/>
                <w:color w:val="auto"/>
              </w:rPr>
            </w:pPr>
            <w:r>
              <w:rPr>
                <w:rFonts w:ascii="Arial" w:cs="Arial" w:eastAsia="Arial" w:hAnsi="Arial"/>
                <w:sz w:val="18"/>
                <w:szCs w:val="18"/>
                <w:color w:val="auto"/>
              </w:rPr>
              <w:t>Purchases of investments</w:t>
            </w:r>
          </w:p>
        </w:tc>
        <w:tc>
          <w:tcPr>
            <w:tcW w:w="540" w:type="dxa"/>
            <w:vAlign w:val="bottom"/>
          </w:tcPr>
          <w:p>
            <w:pPr>
              <w:spacing w:after="0"/>
              <w:rPr>
                <w:sz w:val="17"/>
                <w:szCs w:val="17"/>
                <w:color w:val="auto"/>
              </w:rPr>
            </w:pPr>
          </w:p>
        </w:tc>
        <w:tc>
          <w:tcPr>
            <w:tcW w:w="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(1,167)</w:t>
            </w:r>
          </w:p>
        </w:tc>
        <w:tc>
          <w:tcPr>
            <w:tcW w:w="420" w:type="dxa"/>
            <w:vAlign w:val="bottom"/>
          </w:tcPr>
          <w:p>
            <w:pPr>
              <w:spacing w:after="0"/>
              <w:rPr>
                <w:sz w:val="17"/>
                <w:szCs w:val="17"/>
                <w:color w:val="auto"/>
              </w:rPr>
            </w:pP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w w:val="94"/>
              </w:rPr>
              <w:t>(2,089)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(2,812)</w:t>
            </w:r>
          </w:p>
        </w:tc>
      </w:tr>
      <w:tr>
        <w:trPr>
          <w:trHeight w:val="199"/>
        </w:trPr>
        <w:tc>
          <w:tcPr>
            <w:tcW w:w="76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(32)</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line="200" w:lineRule="exact"/>
              <w:rPr>
                <w:sz w:val="20"/>
                <w:szCs w:val="20"/>
                <w:color w:val="auto"/>
              </w:rPr>
            </w:pPr>
            <w:r>
              <w:rPr>
                <w:rFonts w:ascii="Arial" w:cs="Arial" w:eastAsia="Arial" w:hAnsi="Arial"/>
                <w:sz w:val="18"/>
                <w:szCs w:val="18"/>
                <w:color w:val="auto"/>
              </w:rPr>
              <w:t>62</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r>
      <w:tr>
        <w:trPr>
          <w:trHeight w:val="196"/>
        </w:trPr>
        <w:tc>
          <w:tcPr>
            <w:tcW w:w="7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(7,477)</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w w:val="94"/>
              </w:rPr>
              <w:t>(8,149)</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(9,872)</w:t>
            </w:r>
          </w:p>
        </w:tc>
      </w:tr>
      <w:tr>
        <w:trPr>
          <w:trHeight w:val="199"/>
        </w:trPr>
        <w:tc>
          <w:tcPr>
            <w:tcW w:w="7640" w:type="dxa"/>
            <w:vAlign w:val="bottom"/>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540" w:type="dxa"/>
            <w:vAlign w:val="bottom"/>
          </w:tcPr>
          <w:p>
            <w:pPr>
              <w:spacing w:after="0"/>
              <w:rPr>
                <w:sz w:val="17"/>
                <w:szCs w:val="17"/>
                <w:color w:val="auto"/>
              </w:rPr>
            </w:pPr>
          </w:p>
        </w:tc>
        <w:tc>
          <w:tcPr>
            <w:tcW w:w="940" w:type="dxa"/>
            <w:vAlign w:val="bottom"/>
          </w:tcPr>
          <w:p>
            <w:pPr>
              <w:jc w:val="right"/>
              <w:ind w:right="293"/>
              <w:spacing w:after="0" w:line="200" w:lineRule="exact"/>
              <w:rPr>
                <w:sz w:val="20"/>
                <w:szCs w:val="20"/>
                <w:color w:val="auto"/>
              </w:rPr>
            </w:pPr>
            <w:r>
              <w:rPr>
                <w:rFonts w:ascii="Arial" w:cs="Arial" w:eastAsia="Arial" w:hAnsi="Arial"/>
                <w:sz w:val="18"/>
                <w:szCs w:val="18"/>
                <w:color w:val="auto"/>
              </w:rPr>
              <w:t>232</w:t>
            </w:r>
          </w:p>
        </w:tc>
        <w:tc>
          <w:tcPr>
            <w:tcW w:w="420" w:type="dxa"/>
            <w:vAlign w:val="bottom"/>
          </w:tcPr>
          <w:p>
            <w:pPr>
              <w:spacing w:after="0"/>
              <w:rPr>
                <w:sz w:val="17"/>
                <w:szCs w:val="17"/>
                <w:color w:val="auto"/>
              </w:rPr>
            </w:pPr>
          </w:p>
        </w:tc>
        <w:tc>
          <w:tcPr>
            <w:tcW w:w="880" w:type="dxa"/>
            <w:vAlign w:val="bottom"/>
          </w:tcPr>
          <w:p>
            <w:pPr>
              <w:jc w:val="right"/>
              <w:ind w:right="233"/>
              <w:spacing w:after="0" w:line="200" w:lineRule="exact"/>
              <w:rPr>
                <w:sz w:val="20"/>
                <w:szCs w:val="20"/>
                <w:color w:val="auto"/>
              </w:rPr>
            </w:pPr>
            <w:r>
              <w:rPr>
                <w:rFonts w:ascii="Arial" w:cs="Arial" w:eastAsia="Arial" w:hAnsi="Arial"/>
                <w:sz w:val="18"/>
                <w:szCs w:val="18"/>
                <w:color w:val="auto"/>
              </w:rPr>
              <w:t>(276)</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292</w:t>
            </w:r>
          </w:p>
        </w:tc>
      </w:tr>
      <w:tr>
        <w:trPr>
          <w:trHeight w:val="199"/>
        </w:trPr>
        <w:tc>
          <w:tcPr>
            <w:tcW w:w="76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3"/>
              <w:spacing w:after="0" w:line="200" w:lineRule="exact"/>
              <w:rPr>
                <w:sz w:val="20"/>
                <w:szCs w:val="20"/>
                <w:color w:val="auto"/>
              </w:rPr>
            </w:pPr>
            <w:r>
              <w:rPr>
                <w:rFonts w:ascii="Arial" w:cs="Arial" w:eastAsia="Arial" w:hAnsi="Arial"/>
                <w:sz w:val="18"/>
                <w:szCs w:val="18"/>
                <w:color w:val="auto"/>
              </w:rPr>
              <w:t>963</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line="200" w:lineRule="exact"/>
              <w:rPr>
                <w:sz w:val="20"/>
                <w:szCs w:val="20"/>
                <w:color w:val="auto"/>
              </w:rPr>
            </w:pPr>
            <w:r>
              <w:rPr>
                <w:rFonts w:ascii="Arial" w:cs="Arial" w:eastAsia="Arial" w:hAnsi="Arial"/>
                <w:sz w:val="18"/>
                <w:szCs w:val="18"/>
                <w:color w:val="auto"/>
              </w:rPr>
              <w:t>1,239</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947</w:t>
            </w:r>
          </w:p>
        </w:tc>
      </w:tr>
      <w:tr>
        <w:trPr>
          <w:trHeight w:val="196"/>
        </w:trPr>
        <w:tc>
          <w:tcPr>
            <w:tcW w:w="76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Cash and cash equivalents, end of year</w:t>
            </w:r>
          </w:p>
        </w:tc>
        <w:tc>
          <w:tcPr>
            <w:tcW w:w="5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52A2DD"/>
            </w:tcBorders>
          </w:tcPr>
          <w:p>
            <w:pPr>
              <w:jc w:val="right"/>
              <w:ind w:right="293"/>
              <w:spacing w:after="0" w:line="196" w:lineRule="exact"/>
              <w:rPr>
                <w:sz w:val="20"/>
                <w:szCs w:val="20"/>
                <w:color w:val="auto"/>
              </w:rPr>
            </w:pPr>
            <w:r>
              <w:rPr>
                <w:rFonts w:ascii="Arial" w:cs="Arial" w:eastAsia="Arial" w:hAnsi="Arial"/>
                <w:sz w:val="18"/>
                <w:szCs w:val="18"/>
                <w:color w:val="auto"/>
              </w:rPr>
              <w:t>1,195</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293"/>
              <w:spacing w:after="0" w:line="196" w:lineRule="exact"/>
              <w:rPr>
                <w:sz w:val="20"/>
                <w:szCs w:val="20"/>
                <w:color w:val="auto"/>
              </w:rPr>
            </w:pPr>
            <w:r>
              <w:rPr>
                <w:rFonts w:ascii="Arial" w:cs="Arial" w:eastAsia="Arial" w:hAnsi="Arial"/>
                <w:sz w:val="18"/>
                <w:szCs w:val="18"/>
                <w:color w:val="auto"/>
              </w:rPr>
              <w:t>963</w:t>
            </w:r>
          </w:p>
        </w:tc>
        <w:tc>
          <w:tcPr>
            <w:tcW w:w="10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$ 1,239</w:t>
            </w:r>
          </w:p>
        </w:tc>
      </w:tr>
      <w:tr>
        <w:trPr>
          <w:trHeight w:val="209"/>
        </w:trPr>
        <w:tc>
          <w:tcPr>
            <w:tcW w:w="764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7"/>
        </w:trPr>
        <w:tc>
          <w:tcPr>
            <w:tcW w:w="7640" w:type="dxa"/>
            <w:vAlign w:val="bottom"/>
          </w:tcPr>
          <w:p>
            <w:pPr>
              <w:ind w:left="5680"/>
              <w:spacing w:after="0"/>
              <w:rPr>
                <w:sz w:val="20"/>
                <w:szCs w:val="20"/>
                <w:color w:val="auto"/>
              </w:rPr>
            </w:pPr>
            <w:r>
              <w:rPr>
                <w:rFonts w:ascii="Arial" w:cs="Arial" w:eastAsia="Arial" w:hAnsi="Arial"/>
                <w:sz w:val="14"/>
                <w:szCs w:val="14"/>
                <w:b w:val="1"/>
                <w:bCs w:val="1"/>
                <w:color w:val="auto"/>
              </w:rPr>
              <w:t>43</w:t>
            </w:r>
          </w:p>
        </w:tc>
        <w:tc>
          <w:tcPr>
            <w:tcW w:w="540" w:type="dxa"/>
            <w:vAlign w:val="bottom"/>
          </w:tcPr>
          <w:p>
            <w:pPr>
              <w:spacing w:after="0"/>
              <w:rPr>
                <w:sz w:val="24"/>
                <w:szCs w:val="24"/>
                <w:color w:val="auto"/>
              </w:rPr>
            </w:pPr>
          </w:p>
        </w:tc>
        <w:tc>
          <w:tcPr>
            <w:tcW w:w="3240" w:type="dxa"/>
            <w:vAlign w:val="bottom"/>
            <w:gridSpan w:val="4"/>
          </w:tcPr>
          <w:p>
            <w:pPr>
              <w:jc w:val="right"/>
              <w:spacing w:after="0"/>
              <w:rPr>
                <w:sz w:val="20"/>
                <w:szCs w:val="20"/>
                <w:color w:val="auto"/>
              </w:rPr>
            </w:pPr>
            <w:r>
              <w:rPr>
                <w:rFonts w:ascii="Arial" w:cs="Arial" w:eastAsia="Arial" w:hAnsi="Arial"/>
                <w:sz w:val="14"/>
                <w:szCs w:val="14"/>
                <w:color w:val="auto"/>
              </w:rPr>
              <w:t>Comcast 2008 Annual Report on Form 10-K</w:t>
            </w: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Stockholders’ Equity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Common Stock Class</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Accumulated</w:t>
            </w:r>
          </w:p>
        </w:tc>
        <w:tc>
          <w:tcPr>
            <w:tcW w:w="860" w:type="dxa"/>
            <w:vAlign w:val="bottom"/>
          </w:tcPr>
          <w:p>
            <w:pPr>
              <w:spacing w:after="0"/>
              <w:rPr>
                <w:sz w:val="15"/>
                <w:szCs w:val="15"/>
                <w:color w:val="auto"/>
              </w:rPr>
            </w:pPr>
          </w:p>
        </w:tc>
      </w:tr>
      <w:tr>
        <w:trPr>
          <w:trHeight w:val="142"/>
        </w:trPr>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237"/>
              <w:spacing w:after="0" w:line="129" w:lineRule="exact"/>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4"/>
                <w:szCs w:val="14"/>
                <w:color w:val="auto"/>
              </w:rPr>
              <w:t>Amount</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2"/>
          </w:tcPr>
          <w:p>
            <w:pPr>
              <w:jc w:val="right"/>
              <w:ind w:right="60"/>
              <w:spacing w:after="0" w:line="129" w:lineRule="exact"/>
              <w:rPr>
                <w:sz w:val="20"/>
                <w:szCs w:val="20"/>
                <w:color w:val="auto"/>
              </w:rPr>
            </w:pPr>
            <w:r>
              <w:rPr>
                <w:rFonts w:ascii="Arial" w:cs="Arial" w:eastAsia="Arial" w:hAnsi="Arial"/>
                <w:sz w:val="14"/>
                <w:szCs w:val="14"/>
                <w:color w:val="auto"/>
              </w:rPr>
              <w:t>Treasury</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Other</w:t>
            </w:r>
          </w:p>
        </w:tc>
        <w:tc>
          <w:tcPr>
            <w:tcW w:w="860" w:type="dxa"/>
            <w:vAlign w:val="bottom"/>
          </w:tcPr>
          <w:p>
            <w:pPr>
              <w:spacing w:after="0"/>
              <w:rPr>
                <w:sz w:val="12"/>
                <w:szCs w:val="12"/>
                <w:color w:val="auto"/>
              </w:rPr>
            </w:pPr>
          </w:p>
        </w:tc>
      </w:tr>
      <w:tr>
        <w:trPr>
          <w:trHeight w:val="141"/>
        </w:trPr>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237"/>
              <w:spacing w:after="0" w:line="141"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235"/>
              <w:spacing w:after="0" w:line="141" w:lineRule="exact"/>
              <w:rPr>
                <w:sz w:val="20"/>
                <w:szCs w:val="20"/>
                <w:color w:val="auto"/>
              </w:rPr>
            </w:pPr>
            <w:r>
              <w:rPr>
                <w:rFonts w:ascii="Arial" w:cs="Arial" w:eastAsia="Arial" w:hAnsi="Arial"/>
                <w:sz w:val="14"/>
                <w:szCs w:val="14"/>
                <w:color w:val="auto"/>
              </w:rPr>
              <w:t>A</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55"/>
              <w:spacing w:after="0" w:line="141" w:lineRule="exact"/>
              <w:rPr>
                <w:sz w:val="20"/>
                <w:szCs w:val="20"/>
                <w:color w:val="auto"/>
              </w:rPr>
            </w:pPr>
            <w:r>
              <w:rPr>
                <w:rFonts w:ascii="Arial" w:cs="Arial" w:eastAsia="Arial" w:hAnsi="Arial"/>
                <w:sz w:val="14"/>
                <w:szCs w:val="14"/>
                <w:color w:val="auto"/>
              </w:rPr>
              <w:t>Additional</w:t>
            </w:r>
          </w:p>
        </w:tc>
        <w:tc>
          <w:tcPr>
            <w:tcW w:w="820" w:type="dxa"/>
            <w:vAlign w:val="bottom"/>
          </w:tcPr>
          <w:p>
            <w:pPr>
              <w:jc w:val="right"/>
              <w:ind w:right="54"/>
              <w:spacing w:after="0" w:line="141" w:lineRule="exact"/>
              <w:rPr>
                <w:sz w:val="20"/>
                <w:szCs w:val="20"/>
                <w:color w:val="auto"/>
              </w:rPr>
            </w:pPr>
            <w:r>
              <w:rPr>
                <w:rFonts w:ascii="Arial" w:cs="Arial" w:eastAsia="Arial" w:hAnsi="Arial"/>
                <w:sz w:val="14"/>
                <w:szCs w:val="14"/>
                <w:color w:val="auto"/>
              </w:rPr>
              <w:t>Retained</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Stock</w:t>
            </w:r>
          </w:p>
        </w:tc>
        <w:tc>
          <w:tcPr>
            <w:tcW w:w="1180" w:type="dxa"/>
            <w:vAlign w:val="bottom"/>
            <w:gridSpan w:val="3"/>
          </w:tcPr>
          <w:p>
            <w:pPr>
              <w:jc w:val="right"/>
              <w:ind w:right="80"/>
              <w:spacing w:after="0" w:line="141" w:lineRule="exact"/>
              <w:rPr>
                <w:sz w:val="20"/>
                <w:szCs w:val="20"/>
                <w:color w:val="auto"/>
              </w:rPr>
            </w:pPr>
            <w:r>
              <w:rPr>
                <w:rFonts w:ascii="Arial" w:cs="Arial" w:eastAsia="Arial" w:hAnsi="Arial"/>
                <w:sz w:val="14"/>
                <w:szCs w:val="14"/>
                <w:color w:val="auto"/>
              </w:rPr>
              <w:t>Comprehensive</w:t>
            </w:r>
          </w:p>
        </w:tc>
        <w:tc>
          <w:tcPr>
            <w:tcW w:w="860" w:type="dxa"/>
            <w:vAlign w:val="bottom"/>
          </w:tcPr>
          <w:p>
            <w:pPr>
              <w:spacing w:after="0"/>
              <w:rPr>
                <w:sz w:val="12"/>
                <w:szCs w:val="12"/>
                <w:color w:val="auto"/>
              </w:rPr>
            </w:pPr>
          </w:p>
        </w:tc>
      </w:tr>
      <w:tr>
        <w:trPr>
          <w:trHeight w:val="163"/>
        </w:trPr>
        <w:tc>
          <w:tcPr>
            <w:tcW w:w="34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740" w:type="dxa"/>
            <w:vAlign w:val="bottom"/>
          </w:tcPr>
          <w:p>
            <w:pPr>
              <w:jc w:val="right"/>
              <w:ind w:right="235"/>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57"/>
              <w:spacing w:after="0"/>
              <w:rPr>
                <w:sz w:val="20"/>
                <w:szCs w:val="20"/>
                <w:color w:val="auto"/>
              </w:rPr>
            </w:pPr>
            <w:r>
              <w:rPr>
                <w:rFonts w:ascii="Arial" w:cs="Arial" w:eastAsia="Arial" w:hAnsi="Arial"/>
                <w:sz w:val="14"/>
                <w:szCs w:val="14"/>
                <w:color w:val="auto"/>
              </w:rPr>
              <w:t>Special</w:t>
            </w: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B</w:t>
            </w:r>
          </w:p>
        </w:tc>
        <w:tc>
          <w:tcPr>
            <w:tcW w:w="620" w:type="dxa"/>
            <w:vAlign w:val="bottom"/>
          </w:tcPr>
          <w:p>
            <w:pPr>
              <w:jc w:val="right"/>
              <w:ind w:right="176"/>
              <w:spacing w:after="0"/>
              <w:rPr>
                <w:sz w:val="20"/>
                <w:szCs w:val="20"/>
                <w:color w:val="auto"/>
              </w:rPr>
            </w:pPr>
            <w:r>
              <w:rPr>
                <w:rFonts w:ascii="Arial" w:cs="Arial" w:eastAsia="Arial" w:hAnsi="Arial"/>
                <w:sz w:val="14"/>
                <w:szCs w:val="14"/>
                <w:color w:val="auto"/>
              </w:rPr>
              <w:t>A</w:t>
            </w: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Special</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B</w:t>
            </w:r>
          </w:p>
        </w:tc>
        <w:tc>
          <w:tcPr>
            <w:tcW w:w="860" w:type="dxa"/>
            <w:vAlign w:val="bottom"/>
          </w:tcPr>
          <w:p>
            <w:pPr>
              <w:jc w:val="right"/>
              <w:ind w:right="55"/>
              <w:spacing w:after="0"/>
              <w:rPr>
                <w:sz w:val="20"/>
                <w:szCs w:val="20"/>
                <w:color w:val="auto"/>
              </w:rPr>
            </w:pPr>
            <w:r>
              <w:rPr>
                <w:rFonts w:ascii="Arial" w:cs="Arial" w:eastAsia="Arial" w:hAnsi="Arial"/>
                <w:sz w:val="14"/>
                <w:szCs w:val="14"/>
                <w:color w:val="auto"/>
              </w:rPr>
              <w:t>Capital</w:t>
            </w:r>
          </w:p>
        </w:tc>
        <w:tc>
          <w:tcPr>
            <w:tcW w:w="820" w:type="dxa"/>
            <w:vAlign w:val="bottom"/>
          </w:tcPr>
          <w:p>
            <w:pPr>
              <w:jc w:val="right"/>
              <w:ind w:right="54"/>
              <w:spacing w:after="0"/>
              <w:rPr>
                <w:sz w:val="20"/>
                <w:szCs w:val="20"/>
                <w:color w:val="auto"/>
              </w:rPr>
            </w:pPr>
            <w:r>
              <w:rPr>
                <w:rFonts w:ascii="Arial" w:cs="Arial" w:eastAsia="Arial" w:hAnsi="Arial"/>
                <w:sz w:val="14"/>
                <w:szCs w:val="14"/>
                <w:color w:val="auto"/>
              </w:rPr>
              <w:t>Earnings</w:t>
            </w:r>
          </w:p>
        </w:tc>
        <w:tc>
          <w:tcPr>
            <w:tcW w:w="700" w:type="dxa"/>
            <w:vAlign w:val="bottom"/>
          </w:tcPr>
          <w:p>
            <w:pPr>
              <w:jc w:val="right"/>
              <w:spacing w:after="0"/>
              <w:rPr>
                <w:sz w:val="20"/>
                <w:szCs w:val="20"/>
                <w:color w:val="auto"/>
              </w:rPr>
            </w:pPr>
            <w:r>
              <w:rPr>
                <w:rFonts w:ascii="Arial" w:cs="Arial" w:eastAsia="Arial" w:hAnsi="Arial"/>
                <w:sz w:val="14"/>
                <w:szCs w:val="14"/>
                <w:color w:val="auto"/>
              </w:rPr>
              <w:t>at Cost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Income (Loss)</w:t>
            </w:r>
          </w:p>
        </w:tc>
        <w:tc>
          <w:tcPr>
            <w:tcW w:w="86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20"/>
        </w:trPr>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199"/>
        </w:trPr>
        <w:tc>
          <w:tcPr>
            <w:tcW w:w="3440" w:type="dxa"/>
            <w:vAlign w:val="bottom"/>
            <w:gridSpan w:val="3"/>
          </w:tcPr>
          <w:p>
            <w:pPr>
              <w:spacing w:after="0" w:line="200" w:lineRule="exact"/>
              <w:rPr>
                <w:sz w:val="20"/>
                <w:szCs w:val="20"/>
                <w:color w:val="auto"/>
              </w:rPr>
            </w:pPr>
            <w:r>
              <w:rPr>
                <w:rFonts w:ascii="Arial" w:cs="Arial" w:eastAsia="Arial" w:hAnsi="Arial"/>
                <w:sz w:val="18"/>
                <w:szCs w:val="18"/>
                <w:color w:val="auto"/>
              </w:rPr>
              <w:t>Balance, January 1, 2006</w:t>
            </w:r>
          </w:p>
        </w:tc>
        <w:tc>
          <w:tcPr>
            <w:tcW w:w="7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2,045</w:t>
            </w:r>
          </w:p>
        </w:tc>
        <w:tc>
          <w:tcPr>
            <w:tcW w:w="6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1,153</w:t>
            </w:r>
          </w:p>
        </w:tc>
        <w:tc>
          <w:tcPr>
            <w:tcW w:w="44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9</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$24</w:t>
            </w:r>
          </w:p>
        </w:tc>
        <w:tc>
          <w:tcPr>
            <w:tcW w:w="14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12</w:t>
            </w:r>
          </w:p>
        </w:tc>
        <w:tc>
          <w:tcPr>
            <w:tcW w:w="44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$42,989</w:t>
            </w:r>
          </w:p>
        </w:tc>
        <w:tc>
          <w:tcPr>
            <w:tcW w:w="8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$ 4,825</w:t>
            </w:r>
          </w:p>
        </w:tc>
        <w:tc>
          <w:tcPr>
            <w:tcW w:w="7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$(7,517)</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(114)</w:t>
            </w: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$40,219</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Stock compensation plans</w:t>
            </w:r>
          </w:p>
        </w:tc>
        <w:tc>
          <w:tcPr>
            <w:tcW w:w="7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13</w:t>
            </w:r>
          </w:p>
        </w:tc>
        <w:tc>
          <w:tcPr>
            <w:tcW w:w="6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604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Repurchase and retirement of common</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4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stock</w:t>
            </w:r>
          </w:p>
        </w:tc>
        <w:tc>
          <w:tcPr>
            <w:tcW w:w="7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(1,235)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(1,111)</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(2,347)</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Employee stock purchase plan</w:t>
            </w:r>
          </w:p>
        </w:tc>
        <w:tc>
          <w:tcPr>
            <w:tcW w:w="7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43</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Other comprehensive income</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199"/>
        </w:trPr>
        <w:tc>
          <w:tcPr>
            <w:tcW w:w="3440" w:type="dxa"/>
            <w:vAlign w:val="bottom"/>
            <w:tcBorders>
              <w:bottom w:val="single" w:sz="8" w:color="auto"/>
            </w:tcBorders>
            <w:gridSpan w:val="3"/>
          </w:tcPr>
          <w:p>
            <w:pPr>
              <w:ind w:left="220"/>
              <w:spacing w:after="0" w:line="200" w:lineRule="exact"/>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2,533</w:t>
            </w: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2,533</w:t>
            </w:r>
          </w:p>
        </w:tc>
      </w:tr>
      <w:tr>
        <w:trPr>
          <w:trHeight w:val="199"/>
        </w:trPr>
        <w:tc>
          <w:tcPr>
            <w:tcW w:w="3440" w:type="dxa"/>
            <w:vAlign w:val="bottom"/>
            <w:gridSpan w:val="3"/>
          </w:tcPr>
          <w:p>
            <w:pPr>
              <w:spacing w:after="0" w:line="200" w:lineRule="exact"/>
              <w:rPr>
                <w:sz w:val="20"/>
                <w:szCs w:val="20"/>
                <w:color w:val="auto"/>
              </w:rPr>
            </w:pPr>
            <w:r>
              <w:rPr>
                <w:rFonts w:ascii="Arial" w:cs="Arial" w:eastAsia="Arial" w:hAnsi="Arial"/>
                <w:sz w:val="18"/>
                <w:szCs w:val="18"/>
                <w:color w:val="auto"/>
              </w:rPr>
              <w:t>Balance, December 31, 2006</w:t>
            </w:r>
          </w:p>
        </w:tc>
        <w:tc>
          <w:tcPr>
            <w:tcW w:w="7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2,060</w:t>
            </w:r>
          </w:p>
        </w:tc>
        <w:tc>
          <w:tcPr>
            <w:tcW w:w="6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1,050</w:t>
            </w:r>
          </w:p>
        </w:tc>
        <w:tc>
          <w:tcPr>
            <w:tcW w:w="44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9</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4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11</w:t>
            </w:r>
          </w:p>
        </w:tc>
        <w:tc>
          <w:tcPr>
            <w:tcW w:w="44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42,401</w:t>
            </w:r>
          </w:p>
        </w:tc>
        <w:tc>
          <w:tcPr>
            <w:tcW w:w="8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6,214</w:t>
            </w:r>
          </w:p>
        </w:tc>
        <w:tc>
          <w:tcPr>
            <w:tcW w:w="7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(7,517)</w:t>
            </w:r>
          </w:p>
        </w:tc>
        <w:tc>
          <w:tcPr>
            <w:tcW w:w="240" w:type="dxa"/>
            <w:vAlign w:val="bottom"/>
          </w:tcPr>
          <w:p>
            <w:pPr>
              <w:spacing w:after="0"/>
              <w:rPr>
                <w:sz w:val="17"/>
                <w:szCs w:val="17"/>
                <w:color w:val="auto"/>
              </w:rPr>
            </w:pPr>
          </w:p>
        </w:tc>
        <w:tc>
          <w:tcPr>
            <w:tcW w:w="94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34</w:t>
            </w: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41,167</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Cumulative effect related to the adoption</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4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of FIN 48 on January 1, 2007</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60</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Stock compensation plans</w:t>
            </w:r>
          </w:p>
        </w:tc>
        <w:tc>
          <w:tcPr>
            <w:tcW w:w="7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17</w:t>
            </w:r>
          </w:p>
        </w:tc>
        <w:tc>
          <w:tcPr>
            <w:tcW w:w="6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688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660</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Repurchase and retirement of common</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4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stock</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(1,459)</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(1,642)</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(3,102)</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Employee stock purchase plan</w:t>
            </w:r>
          </w:p>
        </w:tc>
        <w:tc>
          <w:tcPr>
            <w:tcW w:w="7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58</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199"/>
        </w:trPr>
        <w:tc>
          <w:tcPr>
            <w:tcW w:w="3440" w:type="dxa"/>
            <w:vAlign w:val="bottom"/>
            <w:tcBorders>
              <w:bottom w:val="single" w:sz="8" w:color="auto"/>
            </w:tcBorders>
            <w:gridSpan w:val="3"/>
          </w:tcPr>
          <w:p>
            <w:pPr>
              <w:ind w:left="220"/>
              <w:spacing w:after="0" w:line="200" w:lineRule="exact"/>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2,587</w:t>
            </w: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2,587</w:t>
            </w:r>
          </w:p>
        </w:tc>
      </w:tr>
      <w:tr>
        <w:trPr>
          <w:trHeight w:val="199"/>
        </w:trPr>
        <w:tc>
          <w:tcPr>
            <w:tcW w:w="3440" w:type="dxa"/>
            <w:vAlign w:val="bottom"/>
            <w:gridSpan w:val="3"/>
          </w:tcPr>
          <w:p>
            <w:pPr>
              <w:spacing w:after="0" w:line="200" w:lineRule="exact"/>
              <w:rPr>
                <w:sz w:val="20"/>
                <w:szCs w:val="20"/>
                <w:color w:val="auto"/>
              </w:rPr>
            </w:pPr>
            <w:r>
              <w:rPr>
                <w:rFonts w:ascii="Arial" w:cs="Arial" w:eastAsia="Arial" w:hAnsi="Arial"/>
                <w:sz w:val="18"/>
                <w:szCs w:val="18"/>
                <w:color w:val="auto"/>
              </w:rPr>
              <w:t>Balance, December 31, 2007</w:t>
            </w:r>
          </w:p>
        </w:tc>
        <w:tc>
          <w:tcPr>
            <w:tcW w:w="7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2,054</w:t>
            </w:r>
          </w:p>
        </w:tc>
        <w:tc>
          <w:tcPr>
            <w:tcW w:w="6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948</w:t>
            </w:r>
          </w:p>
        </w:tc>
        <w:tc>
          <w:tcPr>
            <w:tcW w:w="44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9</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4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10</w:t>
            </w:r>
          </w:p>
        </w:tc>
        <w:tc>
          <w:tcPr>
            <w:tcW w:w="44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41,688</w:t>
            </w:r>
          </w:p>
        </w:tc>
        <w:tc>
          <w:tcPr>
            <w:tcW w:w="8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7,191</w:t>
            </w:r>
          </w:p>
        </w:tc>
        <w:tc>
          <w:tcPr>
            <w:tcW w:w="7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(7,517)</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(56)</w:t>
            </w: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41,340</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Cumulative effect related to the adoption</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2"/>
        </w:trPr>
        <w:tc>
          <w:tcPr>
            <w:tcW w:w="3440" w:type="dxa"/>
            <w:vAlign w:val="bottom"/>
            <w:gridSpan w:val="3"/>
          </w:tcPr>
          <w:p>
            <w:pPr>
              <w:ind w:left="440"/>
              <w:spacing w:after="0" w:line="172" w:lineRule="exact"/>
              <w:rPr>
                <w:rFonts w:ascii="Arial" w:cs="Arial" w:eastAsia="Arial" w:hAnsi="Arial"/>
                <w:sz w:val="18"/>
                <w:szCs w:val="18"/>
                <w:color w:val="auto"/>
              </w:rPr>
            </w:pPr>
            <w:r>
              <w:rPr>
                <w:rFonts w:ascii="Arial" w:cs="Arial" w:eastAsia="Arial" w:hAnsi="Arial"/>
                <w:sz w:val="18"/>
                <w:szCs w:val="18"/>
                <w:color w:val="auto"/>
              </w:rPr>
              <w:t xml:space="preserve">of </w:t>
            </w:r>
            <w:hyperlink w:anchor="page52">
              <w:r>
                <w:rPr>
                  <w:rFonts w:ascii="Arial" w:cs="Arial" w:eastAsia="Arial" w:hAnsi="Arial"/>
                  <w:sz w:val="18"/>
                  <w:szCs w:val="18"/>
                  <w:color w:val="0000EE"/>
                </w:rPr>
                <w:t>EITF 06-10</w:t>
              </w:r>
              <w:r>
                <w:rPr>
                  <w:rFonts w:ascii="Arial" w:cs="Arial" w:eastAsia="Arial" w:hAnsi="Arial"/>
                  <w:sz w:val="18"/>
                  <w:szCs w:val="18"/>
                  <w:color w:val="auto"/>
                </w:rPr>
                <w:t xml:space="preserve"> </w:t>
              </w:r>
            </w:hyperlink>
            <w:r>
              <w:rPr>
                <w:rFonts w:ascii="Arial" w:cs="Arial" w:eastAsia="Arial" w:hAnsi="Arial"/>
                <w:sz w:val="18"/>
                <w:szCs w:val="18"/>
                <w:color w:val="auto"/>
              </w:rPr>
              <w:t>on January 1, 2008</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8"/>
                <w:szCs w:val="18"/>
                <w:color w:val="auto"/>
              </w:rPr>
              <w:t>(132)</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line="172" w:lineRule="exact"/>
              <w:rPr>
                <w:sz w:val="20"/>
                <w:szCs w:val="20"/>
                <w:color w:val="auto"/>
              </w:rPr>
            </w:pPr>
            <w:r>
              <w:rPr>
                <w:rFonts w:ascii="Arial" w:cs="Arial" w:eastAsia="Arial" w:hAnsi="Arial"/>
                <w:sz w:val="18"/>
                <w:szCs w:val="18"/>
                <w:color w:val="auto"/>
              </w:rPr>
              <w:t>(132)</w:t>
            </w: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3"/>
        </w:trPr>
        <w:tc>
          <w:tcPr>
            <w:tcW w:w="3440" w:type="dxa"/>
            <w:vAlign w:val="bottom"/>
            <w:gridSpan w:val="3"/>
          </w:tcPr>
          <w:p>
            <w:pPr>
              <w:ind w:left="220"/>
              <w:spacing w:after="0"/>
              <w:rPr>
                <w:sz w:val="20"/>
                <w:szCs w:val="20"/>
                <w:color w:val="auto"/>
              </w:rPr>
            </w:pPr>
            <w:r>
              <w:rPr>
                <w:rFonts w:ascii="Arial" w:cs="Arial" w:eastAsia="Arial" w:hAnsi="Arial"/>
                <w:sz w:val="18"/>
                <w:szCs w:val="18"/>
                <w:color w:val="auto"/>
              </w:rPr>
              <w:t>Stock compensation plans</w:t>
            </w:r>
          </w:p>
        </w:tc>
        <w:tc>
          <w:tcPr>
            <w:tcW w:w="74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265</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Repurchase and retirement of common</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4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stock</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(1,562)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(2,800)</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Employee stock purchase plan</w:t>
            </w:r>
          </w:p>
        </w:tc>
        <w:tc>
          <w:tcPr>
            <w:tcW w:w="7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63</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Share exchange</w:t>
            </w:r>
          </w:p>
        </w:tc>
        <w:tc>
          <w:tcPr>
            <w:tcW w:w="7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20</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166</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4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Dividend declared (per common share</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5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$0.25)</w:t>
            </w:r>
          </w:p>
        </w:tc>
        <w:tc>
          <w:tcPr>
            <w:tcW w:w="1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r>
      <w:tr>
        <w:trPr>
          <w:trHeight w:val="199"/>
        </w:trPr>
        <w:tc>
          <w:tcPr>
            <w:tcW w:w="3440" w:type="dxa"/>
            <w:vAlign w:val="bottom"/>
            <w:tcBorders>
              <w:bottom w:val="single" w:sz="8" w:color="auto"/>
            </w:tcBorders>
            <w:gridSpan w:val="3"/>
          </w:tcPr>
          <w:p>
            <w:pPr>
              <w:ind w:left="220"/>
              <w:spacing w:after="0" w:line="200" w:lineRule="exact"/>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2,547</w:t>
            </w: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2,547</w:t>
            </w:r>
          </w:p>
        </w:tc>
      </w:tr>
      <w:tr>
        <w:trPr>
          <w:trHeight w:val="196"/>
        </w:trPr>
        <w:tc>
          <w:tcPr>
            <w:tcW w:w="3440" w:type="dxa"/>
            <w:vAlign w:val="bottom"/>
            <w:tcBorders>
              <w:bottom w:val="single" w:sz="8" w:color="52A2DD"/>
            </w:tcBorders>
            <w:gridSpan w:val="3"/>
          </w:tcPr>
          <w:p>
            <w:pPr>
              <w:spacing w:after="0" w:line="196" w:lineRule="exact"/>
              <w:rPr>
                <w:sz w:val="20"/>
                <w:szCs w:val="20"/>
                <w:color w:val="auto"/>
              </w:rPr>
            </w:pPr>
            <w:r>
              <w:rPr>
                <w:rFonts w:ascii="Arial" w:cs="Arial" w:eastAsia="Arial" w:hAnsi="Arial"/>
                <w:sz w:val="18"/>
                <w:szCs w:val="18"/>
                <w:color w:val="auto"/>
              </w:rPr>
              <w:t>Balance, December 31, 2008</w:t>
            </w:r>
          </w:p>
        </w:tc>
        <w:tc>
          <w:tcPr>
            <w:tcW w:w="74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color w:val="auto"/>
              </w:rPr>
              <w:t>2,061</w:t>
            </w:r>
          </w:p>
        </w:tc>
        <w:tc>
          <w:tcPr>
            <w:tcW w:w="660" w:type="dxa"/>
            <w:vAlign w:val="bottom"/>
            <w:tcBorders>
              <w:bottom w:val="single" w:sz="8" w:color="52A2DD"/>
            </w:tcBorders>
          </w:tcPr>
          <w:p>
            <w:pPr>
              <w:jc w:val="right"/>
              <w:ind w:right="57"/>
              <w:spacing w:after="0" w:line="196" w:lineRule="exact"/>
              <w:rPr>
                <w:sz w:val="20"/>
                <w:szCs w:val="20"/>
                <w:color w:val="auto"/>
              </w:rPr>
            </w:pPr>
            <w:r>
              <w:rPr>
                <w:rFonts w:ascii="Arial" w:cs="Arial" w:eastAsia="Arial" w:hAnsi="Arial"/>
                <w:sz w:val="18"/>
                <w:szCs w:val="18"/>
                <w:color w:val="auto"/>
              </w:rPr>
              <w:t>810</w:t>
            </w:r>
          </w:p>
        </w:tc>
        <w:tc>
          <w:tcPr>
            <w:tcW w:w="440" w:type="dxa"/>
            <w:vAlign w:val="bottom"/>
            <w:tcBorders>
              <w:bottom w:val="single" w:sz="8" w:color="52A2DD"/>
            </w:tcBorders>
            <w:gridSpan w:val="2"/>
          </w:tcPr>
          <w:p>
            <w:pPr>
              <w:ind w:left="80"/>
              <w:spacing w:after="0" w:line="196" w:lineRule="exact"/>
              <w:rPr>
                <w:sz w:val="20"/>
                <w:szCs w:val="20"/>
                <w:color w:val="auto"/>
              </w:rPr>
            </w:pPr>
            <w:r>
              <w:rPr>
                <w:rFonts w:ascii="Arial" w:cs="Arial" w:eastAsia="Arial" w:hAnsi="Arial"/>
                <w:sz w:val="18"/>
                <w:szCs w:val="18"/>
                <w:color w:val="auto"/>
              </w:rPr>
              <w:t>9</w:t>
            </w:r>
          </w:p>
        </w:tc>
        <w:tc>
          <w:tcPr>
            <w:tcW w:w="620" w:type="dxa"/>
            <w:vAlign w:val="bottom"/>
            <w:tcBorders>
              <w:bottom w:val="single" w:sz="8" w:color="52A2DD"/>
            </w:tcBorders>
          </w:tcPr>
          <w:p>
            <w:pPr>
              <w:jc w:val="right"/>
              <w:ind w:right="76"/>
              <w:spacing w:after="0" w:line="196" w:lineRule="exact"/>
              <w:rPr>
                <w:sz w:val="20"/>
                <w:szCs w:val="20"/>
                <w:color w:val="auto"/>
              </w:rPr>
            </w:pPr>
            <w:r>
              <w:rPr>
                <w:rFonts w:ascii="Arial" w:cs="Arial" w:eastAsia="Arial" w:hAnsi="Arial"/>
                <w:sz w:val="18"/>
                <w:szCs w:val="18"/>
                <w:color w:val="auto"/>
              </w:rPr>
              <w:t>$24</w:t>
            </w:r>
          </w:p>
        </w:tc>
        <w:tc>
          <w:tcPr>
            <w:tcW w:w="1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color w:val="auto"/>
              </w:rPr>
              <w:t>9</w:t>
            </w:r>
          </w:p>
        </w:tc>
        <w:tc>
          <w:tcPr>
            <w:tcW w:w="440" w:type="dxa"/>
            <w:vAlign w:val="bottom"/>
            <w:tcBorders>
              <w:bottom w:val="single" w:sz="8" w:color="52A2DD"/>
            </w:tcBorders>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color w:val="auto"/>
              </w:rPr>
              <w:t>$40,620</w:t>
            </w:r>
          </w:p>
        </w:tc>
        <w:tc>
          <w:tcPr>
            <w:tcW w:w="820" w:type="dxa"/>
            <w:vAlign w:val="bottom"/>
            <w:tcBorders>
              <w:bottom w:val="single" w:sz="8" w:color="52A2DD"/>
            </w:tcBorders>
          </w:tcPr>
          <w:p>
            <w:pPr>
              <w:jc w:val="right"/>
              <w:ind w:right="54"/>
              <w:spacing w:after="0" w:line="196" w:lineRule="exact"/>
              <w:rPr>
                <w:sz w:val="20"/>
                <w:szCs w:val="20"/>
                <w:color w:val="auto"/>
              </w:rPr>
            </w:pPr>
            <w:r>
              <w:rPr>
                <w:rFonts w:ascii="Arial" w:cs="Arial" w:eastAsia="Arial" w:hAnsi="Arial"/>
                <w:sz w:val="18"/>
                <w:szCs w:val="18"/>
                <w:color w:val="auto"/>
              </w:rPr>
              <w:t>$ 7,427</w:t>
            </w:r>
          </w:p>
        </w:tc>
        <w:tc>
          <w:tcPr>
            <w:tcW w:w="76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color w:val="auto"/>
              </w:rPr>
              <w:t>$(7,517)</w:t>
            </w:r>
          </w:p>
        </w:tc>
        <w:tc>
          <w:tcPr>
            <w:tcW w:w="2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52A2DD"/>
            </w:tcBorders>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8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$40,450</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Comprehensive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2008</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2007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4260" w:type="dxa"/>
            <w:vAlign w:val="bottom"/>
          </w:tcPr>
          <w:p>
            <w:pPr>
              <w:spacing w:after="0" w:line="200" w:lineRule="exact"/>
              <w:rPr>
                <w:sz w:val="20"/>
                <w:szCs w:val="20"/>
                <w:color w:val="auto"/>
              </w:rPr>
            </w:pPr>
            <w:r>
              <w:rPr>
                <w:rFonts w:ascii="Arial" w:cs="Arial" w:eastAsia="Arial" w:hAnsi="Arial"/>
                <w:sz w:val="18"/>
                <w:szCs w:val="18"/>
                <w:color w:val="auto"/>
              </w:rPr>
              <w:t>Net income</w:t>
            </w:r>
          </w:p>
        </w:tc>
        <w:tc>
          <w:tcPr>
            <w:tcW w:w="4460" w:type="dxa"/>
            <w:vAlign w:val="bottom"/>
          </w:tcPr>
          <w:p>
            <w:pPr>
              <w:spacing w:after="0"/>
              <w:rPr>
                <w:sz w:val="17"/>
                <w:szCs w:val="17"/>
                <w:color w:val="auto"/>
              </w:rPr>
            </w:pPr>
          </w:p>
        </w:tc>
        <w:tc>
          <w:tcPr>
            <w:tcW w:w="102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$2,547</w:t>
            </w:r>
          </w:p>
        </w:tc>
        <w:tc>
          <w:tcPr>
            <w:tcW w:w="96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$2,587</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$2,533</w:t>
            </w:r>
          </w:p>
        </w:tc>
      </w:tr>
      <w:tr>
        <w:trPr>
          <w:trHeight w:val="203"/>
        </w:trPr>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Holding gains (losses) during the period, net of deferred taxes of $7, $23 and $(69)</w:t>
            </w:r>
          </w:p>
        </w:tc>
        <w:tc>
          <w:tcPr>
            <w:tcW w:w="10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(13)</w:t>
            </w:r>
          </w:p>
        </w:tc>
        <w:tc>
          <w:tcPr>
            <w:tcW w:w="9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(42)</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r>
      <w:tr>
        <w:trPr>
          <w:trHeight w:val="203"/>
        </w:trPr>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w w:val="99"/>
              </w:rPr>
              <w:t>Reclassification adjustments for losses (gains) included in net income, net of deferred taxes of $(10), $46 and</w:t>
            </w: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$(6)</w:t>
            </w:r>
          </w:p>
        </w:tc>
        <w:tc>
          <w:tcPr>
            <w:tcW w:w="4460" w:type="dxa"/>
            <w:vAlign w:val="bottom"/>
          </w:tcPr>
          <w:p>
            <w:pPr>
              <w:spacing w:after="0"/>
              <w:rPr>
                <w:sz w:val="17"/>
                <w:szCs w:val="17"/>
                <w:color w:val="auto"/>
              </w:rPr>
            </w:pPr>
          </w:p>
        </w:tc>
        <w:tc>
          <w:tcPr>
            <w:tcW w:w="10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18</w:t>
            </w:r>
          </w:p>
        </w:tc>
        <w:tc>
          <w:tcPr>
            <w:tcW w:w="9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(85)</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Employee benefit obligations, net of deferred taxes of $30, $(16) and $(4)</w:t>
            </w:r>
          </w:p>
        </w:tc>
        <w:tc>
          <w:tcPr>
            <w:tcW w:w="10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(55)</w:t>
            </w:r>
          </w:p>
        </w:tc>
        <w:tc>
          <w:tcPr>
            <w:tcW w:w="96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29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199"/>
        </w:trPr>
        <w:tc>
          <w:tcPr>
            <w:tcW w:w="42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Cumulative translation adjustments</w:t>
            </w:r>
          </w:p>
        </w:tc>
        <w:tc>
          <w:tcPr>
            <w:tcW w:w="4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(7)</w:t>
            </w:r>
          </w:p>
        </w:tc>
        <w:tc>
          <w:tcPr>
            <w:tcW w:w="96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rPr>
              <w:t>8</w:t>
            </w: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r>
      <w:tr>
        <w:trPr>
          <w:trHeight w:val="196"/>
        </w:trPr>
        <w:tc>
          <w:tcPr>
            <w:tcW w:w="42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Comprehensive income</w:t>
            </w:r>
          </w:p>
        </w:tc>
        <w:tc>
          <w:tcPr>
            <w:tcW w:w="4460" w:type="dxa"/>
            <w:vAlign w:val="bottom"/>
            <w:tcBorders>
              <w:bottom w:val="single" w:sz="8" w:color="52A2DD"/>
            </w:tcBorders>
          </w:tcPr>
          <w:p>
            <w:pPr>
              <w:spacing w:after="0"/>
              <w:rPr>
                <w:sz w:val="17"/>
                <w:szCs w:val="17"/>
                <w:color w:val="auto"/>
              </w:rPr>
            </w:pPr>
          </w:p>
        </w:tc>
        <w:tc>
          <w:tcPr>
            <w:tcW w:w="102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color w:val="auto"/>
              </w:rPr>
              <w:t>$2,490</w:t>
            </w:r>
          </w:p>
        </w:tc>
        <w:tc>
          <w:tcPr>
            <w:tcW w:w="96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rPr>
              <w:t>$2,497</w:t>
            </w:r>
          </w:p>
        </w:tc>
        <w:tc>
          <w:tcPr>
            <w:tcW w:w="7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$2,681</w:t>
            </w:r>
          </w:p>
        </w:tc>
      </w:tr>
      <w:tr>
        <w:trPr>
          <w:trHeight w:val="209"/>
        </w:trPr>
        <w:tc>
          <w:tcPr>
            <w:tcW w:w="426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97"/>
        </w:trPr>
        <w:tc>
          <w:tcPr>
            <w:tcW w:w="426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4460" w:type="dxa"/>
            <w:vAlign w:val="bottom"/>
          </w:tcPr>
          <w:p>
            <w:pPr>
              <w:jc w:val="right"/>
              <w:ind w:right="2812"/>
              <w:spacing w:after="0"/>
              <w:rPr>
                <w:sz w:val="20"/>
                <w:szCs w:val="20"/>
                <w:color w:val="auto"/>
              </w:rPr>
            </w:pPr>
            <w:r>
              <w:rPr>
                <w:rFonts w:ascii="Arial" w:cs="Arial" w:eastAsia="Arial" w:hAnsi="Arial"/>
                <w:sz w:val="14"/>
                <w:szCs w:val="14"/>
                <w:b w:val="1"/>
                <w:bCs w:val="1"/>
                <w:color w:val="auto"/>
              </w:rPr>
              <w:t>44</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 Organization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Pennsylvania corporation and were incorporated in December 2001. Through our predecessors, we have developed, managed and operated cable systems since 1963. We classify our operations in two reportable segments: Cable and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segment is primarily involved in the management and operation of cable systems in the United States. As of December 31, 2008, we served approximately 24.2 million video customers, 14.9 million high-speed Internet customers and 6.5 million phone customers. Our regional sports networks are also included in our Cable segment.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Programming segment operates our consolidated national programming networks, including E!, Golf Channel, VERSUS, G4 and Style.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other businesses consist primarily of Comcast Interactive Media and Comcast Spectacor. Comcast Interactive Media develops and operates Comcast’s Internet businesses, including Comcast.net, Fancast, thePlatform, Fandango, Plaxo and DailyCandy. Comcast Spectacor owns two professional sports teams and two large, multipurpose arenas in Philadelphia, and manages other facilities for sporting events, concerts and other events. We also own equity method investments in other programming networks and wireless-related companies.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consolidated financial statements include (i) all of our accounts, (ii) all entities in which we have a controlling voting interest (“subsidiaries”) and (iii) variable interest entities (“VIEs”) required to be consolidated in accordance with generally accepted accounting principles in the United States (“GAAP”). We have eliminated all significant intercompany accounts and transactions among consolidated entities.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Estimates</w:t>
      </w:r>
    </w:p>
    <w:p>
      <w:pPr>
        <w:spacing w:after="0" w:line="18" w:lineRule="exact"/>
        <w:rPr>
          <w:sz w:val="20"/>
          <w:szCs w:val="20"/>
          <w:color w:val="auto"/>
        </w:rPr>
      </w:pPr>
    </w:p>
    <w:p>
      <w:pPr>
        <w:jc w:val="both"/>
        <w:spacing w:after="0" w:line="268" w:lineRule="auto"/>
        <w:rPr>
          <w:rFonts w:ascii="Arial" w:cs="Arial" w:eastAsia="Arial" w:hAnsi="Arial"/>
          <w:sz w:val="16"/>
          <w:szCs w:val="16"/>
          <w:color w:val="auto"/>
        </w:rPr>
      </w:pPr>
      <w:r>
        <w:rPr>
          <w:rFonts w:ascii="Arial" w:cs="Arial" w:eastAsia="Arial" w:hAnsi="Arial"/>
          <w:sz w:val="16"/>
          <w:szCs w:val="16"/>
          <w:color w:val="auto"/>
        </w:rPr>
        <w:t xml:space="preserve">We prepare our consolidated financial statements in conformity with GAAP, which requires us to make estimates and assumptions that affect the reported amounts and disclosures. Actual results could differ from those estimates. Estimates are used when accounting for various items, such as allowances for doubtful accounts, investments, derivative financial instruments, asset impairments, nonmonetary transactions, certain acquisition-related liabilities, programming-related liabilities, pensions and other postretirement benefits, revenue recognition, depreciation and amortization, income taxes, and legal contingencies. See </w:t>
      </w:r>
      <w:hyperlink w:anchor="page59">
        <w:r>
          <w:rPr>
            <w:rFonts w:ascii="Arial" w:cs="Arial" w:eastAsia="Arial" w:hAnsi="Arial"/>
            <w:sz w:val="16"/>
            <w:szCs w:val="16"/>
            <w:u w:val="single" w:color="auto"/>
            <w:color w:val="0000EE"/>
          </w:rPr>
          <w:t>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our discussion on fair value estimates.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-933450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36" w:lineRule="auto"/>
        <w:rPr>
          <w:sz w:val="20"/>
          <w:szCs w:val="20"/>
          <w:color w:val="auto"/>
        </w:rPr>
      </w:pPr>
      <w:r>
        <w:rPr>
          <w:rFonts w:ascii="Arial" w:cs="Arial" w:eastAsia="Arial" w:hAnsi="Arial"/>
          <w:sz w:val="18"/>
          <w:szCs w:val="18"/>
          <w:color w:val="auto"/>
        </w:rPr>
        <w:t>The carrying amounts of our cash equivalents approximate their fair value. Our cash equivalents consist primarily of money market funds and U.S. government obligations, as well as commercial paper and certificates of deposit with maturities of less than three months when purchased.</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Investments</w:t>
      </w:r>
    </w:p>
    <w:p>
      <w:pPr>
        <w:spacing w:after="0" w:line="18" w:lineRule="exact"/>
        <w:rPr>
          <w:sz w:val="20"/>
          <w:szCs w:val="20"/>
          <w:color w:val="auto"/>
        </w:rPr>
      </w:pPr>
    </w:p>
    <w:p>
      <w:pPr>
        <w:jc w:val="both"/>
        <w:ind w:left="140" w:right="120"/>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We classify unrestricted, publicly traded investments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Effective with the adoption of Statement of Financial Accounting Standards (“SFAS”) No. 159, “The Fair Value Option for Financial Assets and Financial Liabilities,” (“SFAS No. 159”), we classify the cash flows related to purchases of and proceeds from the sale of trading securities based on the nature of the securities and purpose for which they were acquired (see </w:t>
      </w:r>
      <w:hyperlink w:anchor="page52">
        <w:r>
          <w:rPr>
            <w:rFonts w:ascii="Arial" w:cs="Arial" w:eastAsia="Arial" w:hAnsi="Arial"/>
            <w:sz w:val="16"/>
            <w:szCs w:val="16"/>
            <w:u w:val="single" w:color="auto"/>
            <w:color w:val="0000EE"/>
          </w:rPr>
          <w:t>Note 3</w:t>
        </w:r>
      </w:hyperlink>
      <w:r>
        <w:rPr>
          <w:rFonts w:ascii="Arial" w:cs="Arial" w:eastAsia="Arial" w:hAnsi="Arial"/>
          <w:sz w:val="16"/>
          <w:szCs w:val="16"/>
          <w:color w:val="auto"/>
        </w:rPr>
        <w:t>).</w:t>
      </w:r>
    </w:p>
    <w:p>
      <w:pPr>
        <w:spacing w:after="0" w:line="345"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basis differences, (iii) additional contributions made and dividends received, and (iv) impairments resulting from other-than-temporary declines in fair value. We generally record our share of the investee’s net income or loss one quarter in arrears due to the timing of our receipt of such information. Gains or losses on the sale of equity method investments are recorded in other income (expense).</w:t>
      </w:r>
    </w:p>
    <w:p>
      <w:pPr>
        <w:spacing w:after="0" w:line="161"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Restricted, publicly traded investments and investments in privately held companies are stated at cost and adjusted for any known decrease in value.</w:t>
      </w:r>
    </w:p>
    <w:p>
      <w:pPr>
        <w:spacing w:after="0" w:line="154" w:lineRule="exact"/>
        <w:rPr>
          <w:sz w:val="20"/>
          <w:szCs w:val="20"/>
          <w:color w:val="auto"/>
        </w:rPr>
      </w:pPr>
    </w:p>
    <w:p>
      <w:pPr>
        <w:jc w:val="both"/>
        <w:ind w:left="140" w:right="120"/>
        <w:spacing w:after="0" w:line="268" w:lineRule="auto"/>
        <w:rPr>
          <w:sz w:val="20"/>
          <w:szCs w:val="20"/>
          <w:color w:val="auto"/>
        </w:rPr>
      </w:pPr>
      <w:r>
        <w:rPr>
          <w:rFonts w:ascii="Arial" w:cs="Arial" w:eastAsia="Arial" w:hAnsi="Arial"/>
          <w:sz w:val="16"/>
          <w:szCs w:val="16"/>
          <w:color w:val="auto"/>
        </w:rPr>
        <w:t>We review our investment portfolio each reporting period to determine whether there are identified events or circumstances that would indicate there is a decline in the fair value that is considered to be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w:t>
      </w:r>
    </w:p>
    <w:p>
      <w:pPr>
        <w:spacing w:after="0" w:line="208"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rFonts w:ascii="Arial" w:cs="Arial" w:eastAsia="Arial" w:hAnsi="Arial"/>
          <w:sz w:val="18"/>
          <w:szCs w:val="18"/>
          <w:color w:val="auto"/>
        </w:rPr>
      </w:pPr>
      <w:r>
        <w:rPr>
          <w:rFonts w:ascii="Arial" w:cs="Arial" w:eastAsia="Arial" w:hAnsi="Arial"/>
          <w:sz w:val="18"/>
          <w:szCs w:val="18"/>
          <w:color w:val="auto"/>
        </w:rPr>
        <w:t>ment. For our AFS and cost method investments, we charge the impairment to investment income (loss), net. For our equity method investments, the impairment is recorded to other income (expense) (</w:t>
      </w:r>
      <w:hyperlink w:anchor="page56">
        <w:r>
          <w:rPr>
            <w:rFonts w:ascii="Arial" w:cs="Arial" w:eastAsia="Arial" w:hAnsi="Arial"/>
            <w:sz w:val="18"/>
            <w:szCs w:val="18"/>
            <w:u w:val="single" w:color="auto"/>
            <w:color w:val="0000EE"/>
          </w:rPr>
          <w:t>see Note 6</w:t>
        </w:r>
      </w:hyperlink>
      <w:r>
        <w:rPr>
          <w:rFonts w:ascii="Arial" w:cs="Arial" w:eastAsia="Arial" w:hAnsi="Arial"/>
          <w:sz w:val="18"/>
          <w:szCs w:val="18"/>
          <w:color w:val="auto"/>
        </w:rPr>
        <w: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 consolidated entity or equity method investee issues additional securities that change our proportionate share of the entity, we recognize the change as a gain or loss in our consolidated statement of operations. In cases where gain realization is not assured, we record the gain to additional paid-in capital.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other repairs and maintenance charges as incurred. For assets that are sold or retired, we remove the applicable cost and accumulated depreciation and, unless the gain or loss on disposition is presented separately, we recognize it as a component of depreciation expense.</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capitalize the costs associated with the construction of our cable transmission and distribution facilities and new service installations. Costs include all direct labor and materials, as well as various indirect costs. We capitalize initial customer installation costs directly attributable to installation of the drop, including material, labor and overhead cost, in accordance with SFAS No. 51, “Financial Reporting by Cable Television Companies.” All costs incurred in connection with subsequent service disconnects and reconnects are expensed as they are incurred.</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depreciation using the straight-line method over estimated useful lives. Our significant components of property and equipment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520" w:type="dxa"/>
            <w:vAlign w:val="bottom"/>
          </w:tcPr>
          <w:p>
            <w:pPr>
              <w:jc w:val="right"/>
              <w:ind w:right="97"/>
              <w:spacing w:after="0"/>
              <w:rPr>
                <w:sz w:val="20"/>
                <w:szCs w:val="20"/>
                <w:color w:val="auto"/>
              </w:rPr>
            </w:pPr>
            <w:r>
              <w:rPr>
                <w:rFonts w:ascii="Arial" w:cs="Arial" w:eastAsia="Arial" w:hAnsi="Arial"/>
                <w:sz w:val="14"/>
                <w:szCs w:val="14"/>
                <w:color w:val="auto"/>
              </w:rPr>
              <w:t>Weighted Average</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88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December 31 (in millions)</w:t>
            </w:r>
          </w:p>
        </w:tc>
        <w:tc>
          <w:tcPr>
            <w:tcW w:w="1520" w:type="dxa"/>
            <w:vAlign w:val="bottom"/>
            <w:tcBorders>
              <w:bottom w:val="single" w:sz="8" w:color="auto"/>
            </w:tcBorders>
          </w:tcPr>
          <w:p>
            <w:pPr>
              <w:jc w:val="right"/>
              <w:ind w:right="97"/>
              <w:spacing w:after="0" w:line="149" w:lineRule="exact"/>
              <w:rPr>
                <w:sz w:val="20"/>
                <w:szCs w:val="20"/>
                <w:color w:val="auto"/>
              </w:rPr>
            </w:pPr>
            <w:r>
              <w:rPr>
                <w:rFonts w:ascii="Arial" w:cs="Arial" w:eastAsia="Arial" w:hAnsi="Arial"/>
                <w:sz w:val="14"/>
                <w:szCs w:val="14"/>
                <w:color w:val="auto"/>
              </w:rPr>
              <w:t>Original Useful Life</w:t>
            </w:r>
          </w:p>
        </w:tc>
        <w:tc>
          <w:tcPr>
            <w:tcW w:w="1140" w:type="dxa"/>
            <w:vAlign w:val="bottom"/>
            <w:tcBorders>
              <w:bottom w:val="single" w:sz="8" w:color="auto"/>
            </w:tcBorders>
          </w:tcPr>
          <w:p>
            <w:pPr>
              <w:jc w:val="right"/>
              <w:ind w:right="154"/>
              <w:spacing w:after="0" w:line="149" w:lineRule="exact"/>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2007</w:t>
            </w:r>
          </w:p>
        </w:tc>
      </w:tr>
      <w:tr>
        <w:trPr>
          <w:trHeight w:val="199"/>
        </w:trPr>
        <w:tc>
          <w:tcPr>
            <w:tcW w:w="1880" w:type="dxa"/>
            <w:vAlign w:val="bottom"/>
          </w:tcPr>
          <w:p>
            <w:pPr>
              <w:ind w:left="20"/>
              <w:spacing w:after="0" w:line="200" w:lineRule="exact"/>
              <w:rPr>
                <w:sz w:val="20"/>
                <w:szCs w:val="20"/>
                <w:color w:val="auto"/>
              </w:rPr>
            </w:pPr>
            <w:r>
              <w:rPr>
                <w:rFonts w:ascii="Arial" w:cs="Arial" w:eastAsia="Arial" w:hAnsi="Arial"/>
                <w:sz w:val="18"/>
                <w:szCs w:val="18"/>
                <w:color w:val="auto"/>
              </w:rPr>
              <w:t>Cable transmission</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equipment and</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distribution</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facilities</w:t>
            </w:r>
          </w:p>
        </w:tc>
        <w:tc>
          <w:tcPr>
            <w:tcW w:w="1520" w:type="dxa"/>
            <w:vAlign w:val="bottom"/>
          </w:tcPr>
          <w:p>
            <w:pPr>
              <w:jc w:val="right"/>
              <w:ind w:right="97"/>
              <w:spacing w:after="0" w:line="202" w:lineRule="exact"/>
              <w:rPr>
                <w:sz w:val="20"/>
                <w:szCs w:val="20"/>
                <w:color w:val="auto"/>
              </w:rPr>
            </w:pPr>
            <w:r>
              <w:rPr>
                <w:rFonts w:ascii="Arial" w:cs="Arial" w:eastAsia="Arial" w:hAnsi="Arial"/>
                <w:sz w:val="18"/>
                <w:szCs w:val="18"/>
                <w:color w:val="auto"/>
              </w:rPr>
              <w:t>12 years</w:t>
            </w:r>
          </w:p>
        </w:tc>
        <w:tc>
          <w:tcPr>
            <w:tcW w:w="11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$ 15,660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14,978</w:t>
            </w: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Customer premises</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equipment</w:t>
            </w:r>
          </w:p>
        </w:tc>
        <w:tc>
          <w:tcPr>
            <w:tcW w:w="152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 years</w:t>
            </w:r>
          </w:p>
        </w:tc>
        <w:tc>
          <w:tcPr>
            <w:tcW w:w="11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17,788</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15,373</w:t>
            </w: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Scalable</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infrastructure</w:t>
            </w:r>
          </w:p>
        </w:tc>
        <w:tc>
          <w:tcPr>
            <w:tcW w:w="152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 years</w:t>
            </w:r>
          </w:p>
        </w:tc>
        <w:tc>
          <w:tcPr>
            <w:tcW w:w="11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5,776</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5,179</w:t>
            </w: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Support capital</w:t>
            </w:r>
          </w:p>
        </w:tc>
        <w:tc>
          <w:tcPr>
            <w:tcW w:w="1520" w:type="dxa"/>
            <w:vAlign w:val="bottom"/>
          </w:tcPr>
          <w:p>
            <w:pPr>
              <w:jc w:val="right"/>
              <w:ind w:right="97"/>
              <w:spacing w:after="0" w:line="202" w:lineRule="exact"/>
              <w:rPr>
                <w:sz w:val="20"/>
                <w:szCs w:val="20"/>
                <w:color w:val="auto"/>
              </w:rPr>
            </w:pPr>
            <w:r>
              <w:rPr>
                <w:rFonts w:ascii="Arial" w:cs="Arial" w:eastAsia="Arial" w:hAnsi="Arial"/>
                <w:sz w:val="18"/>
                <w:szCs w:val="18"/>
                <w:color w:val="auto"/>
              </w:rPr>
              <w:t>5 years</w:t>
            </w:r>
          </w:p>
        </w:tc>
        <w:tc>
          <w:tcPr>
            <w:tcW w:w="11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5,820</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5,521</w:t>
            </w: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Buildings and</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building</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improvements</w:t>
            </w:r>
          </w:p>
        </w:tc>
        <w:tc>
          <w:tcPr>
            <w:tcW w:w="1520" w:type="dxa"/>
            <w:vAlign w:val="bottom"/>
          </w:tcPr>
          <w:p>
            <w:pPr>
              <w:jc w:val="right"/>
              <w:ind w:right="97"/>
              <w:spacing w:after="0" w:line="202" w:lineRule="exact"/>
              <w:rPr>
                <w:sz w:val="20"/>
                <w:szCs w:val="20"/>
                <w:color w:val="auto"/>
              </w:rPr>
            </w:pPr>
            <w:r>
              <w:rPr>
                <w:rFonts w:ascii="Arial" w:cs="Arial" w:eastAsia="Arial" w:hAnsi="Arial"/>
                <w:sz w:val="18"/>
                <w:szCs w:val="18"/>
                <w:color w:val="auto"/>
              </w:rPr>
              <w:t>20 years</w:t>
            </w:r>
          </w:p>
        </w:tc>
        <w:tc>
          <w:tcPr>
            <w:tcW w:w="11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1,874</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1,667</w:t>
            </w: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152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205</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199"/>
        </w:trPr>
        <w:tc>
          <w:tcPr>
            <w:tcW w:w="18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97"/>
              <w:spacing w:after="0" w:line="200" w:lineRule="exact"/>
              <w:rPr>
                <w:sz w:val="20"/>
                <w:szCs w:val="20"/>
                <w:color w:val="auto"/>
              </w:rPr>
            </w:pPr>
            <w:r>
              <w:rPr>
                <w:rFonts w:ascii="Arial" w:cs="Arial" w:eastAsia="Arial" w:hAnsi="Arial"/>
                <w:sz w:val="18"/>
                <w:szCs w:val="18"/>
                <w:color w:val="auto"/>
              </w:rPr>
              <w:t>8 years</w:t>
            </w:r>
          </w:p>
        </w:tc>
        <w:tc>
          <w:tcPr>
            <w:tcW w:w="114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556</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512</w:t>
            </w:r>
          </w:p>
        </w:tc>
      </w:tr>
      <w:tr>
        <w:trPr>
          <w:trHeight w:val="199"/>
        </w:trPr>
        <w:tc>
          <w:tcPr>
            <w:tcW w:w="1880" w:type="dxa"/>
            <w:vAlign w:val="bottom"/>
          </w:tcPr>
          <w:p>
            <w:pPr>
              <w:ind w:left="20"/>
              <w:spacing w:after="0" w:line="200" w:lineRule="exact"/>
              <w:rPr>
                <w:sz w:val="20"/>
                <w:szCs w:val="20"/>
                <w:color w:val="auto"/>
              </w:rPr>
            </w:pPr>
            <w:r>
              <w:rPr>
                <w:rFonts w:ascii="Arial" w:cs="Arial" w:eastAsia="Arial" w:hAnsi="Arial"/>
                <w:sz w:val="18"/>
                <w:szCs w:val="18"/>
                <w:color w:val="auto"/>
              </w:rPr>
              <w:t>Property and</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equipment, at cost</w:t>
            </w:r>
          </w:p>
        </w:tc>
        <w:tc>
          <w:tcPr>
            <w:tcW w:w="1520" w:type="dxa"/>
            <w:vAlign w:val="bottom"/>
          </w:tcPr>
          <w:p>
            <w:pPr>
              <w:spacing w:after="0"/>
              <w:rPr>
                <w:sz w:val="17"/>
                <w:szCs w:val="17"/>
                <w:color w:val="auto"/>
              </w:rPr>
            </w:pPr>
          </w:p>
        </w:tc>
        <w:tc>
          <w:tcPr>
            <w:tcW w:w="11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47,679</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43,432</w:t>
            </w: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9"/>
        </w:trPr>
        <w:tc>
          <w:tcPr>
            <w:tcW w:w="18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depreciation</w:t>
            </w:r>
          </w:p>
        </w:tc>
        <w:tc>
          <w:tcPr>
            <w:tcW w:w="1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(23,235)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(19,808)</w:t>
            </w:r>
          </w:p>
        </w:tc>
      </w:tr>
      <w:tr>
        <w:trPr>
          <w:trHeight w:val="199"/>
        </w:trPr>
        <w:tc>
          <w:tcPr>
            <w:tcW w:w="1880" w:type="dxa"/>
            <w:vAlign w:val="bottom"/>
          </w:tcPr>
          <w:p>
            <w:pPr>
              <w:ind w:left="20"/>
              <w:spacing w:after="0" w:line="200" w:lineRule="exact"/>
              <w:rPr>
                <w:sz w:val="20"/>
                <w:szCs w:val="20"/>
                <w:color w:val="auto"/>
              </w:rPr>
            </w:pPr>
            <w:r>
              <w:rPr>
                <w:rFonts w:ascii="Arial" w:cs="Arial" w:eastAsia="Arial" w:hAnsi="Arial"/>
                <w:sz w:val="18"/>
                <w:szCs w:val="18"/>
                <w:color w:val="auto"/>
              </w:rPr>
              <w:t>Property and</w:t>
            </w: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9"/>
        </w:trPr>
        <w:tc>
          <w:tcPr>
            <w:tcW w:w="188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equipment, net</w:t>
            </w:r>
          </w:p>
        </w:tc>
        <w:tc>
          <w:tcPr>
            <w:tcW w:w="1520" w:type="dxa"/>
            <w:vAlign w:val="bottom"/>
            <w:tcBorders>
              <w:bottom w:val="single" w:sz="8" w:color="52A2DD"/>
            </w:tcBorders>
          </w:tcPr>
          <w:p>
            <w:pPr>
              <w:spacing w:after="0"/>
              <w:rPr>
                <w:sz w:val="17"/>
                <w:szCs w:val="17"/>
                <w:color w:val="auto"/>
              </w:rPr>
            </w:pPr>
          </w:p>
        </w:tc>
        <w:tc>
          <w:tcPr>
            <w:tcW w:w="1140" w:type="dxa"/>
            <w:vAlign w:val="bottom"/>
            <w:tcBorders>
              <w:bottom w:val="single" w:sz="8" w:color="52A2DD"/>
            </w:tcBorders>
          </w:tcPr>
          <w:p>
            <w:pPr>
              <w:jc w:val="right"/>
              <w:ind w:right="154"/>
              <w:spacing w:after="0" w:line="200" w:lineRule="exact"/>
              <w:rPr>
                <w:sz w:val="20"/>
                <w:szCs w:val="20"/>
                <w:color w:val="auto"/>
              </w:rPr>
            </w:pPr>
            <w:r>
              <w:rPr>
                <w:rFonts w:ascii="Arial" w:cs="Arial" w:eastAsia="Arial" w:hAnsi="Arial"/>
                <w:sz w:val="18"/>
                <w:szCs w:val="18"/>
                <w:color w:val="auto"/>
              </w:rPr>
              <w:t>$ 24,444</w:t>
            </w:r>
          </w:p>
        </w:tc>
        <w:tc>
          <w:tcPr>
            <w:tcW w:w="26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23,624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evaluate the recoverability and estimated lives of our property and equipment whenever events or changes in circumstances indicate that the carrying amount may not be recoverable or the useful life has changed. The evaluation is based on the cash flows generated by the underlying assets and profitability information, including estimated future operating results, trends or other determinants of fair value. If the total of the expected future undiscounted cash flows is less than the carrying amount of the asset, we would recognize a loss for the difference between the estimated fair value and the carrying value of the asset. Unless presented separately, the loss is included as a component of 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-1940560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Indefinite-Lived Intangibles</w:t>
      </w:r>
    </w:p>
    <w:p>
      <w:pPr>
        <w:spacing w:after="0" w:line="234" w:lineRule="auto"/>
        <w:rPr>
          <w:sz w:val="20"/>
          <w:szCs w:val="20"/>
          <w:color w:val="auto"/>
        </w:rPr>
      </w:pPr>
      <w:r>
        <w:rPr>
          <w:rFonts w:ascii="Arial" w:cs="Arial" w:eastAsia="Arial" w:hAnsi="Arial"/>
          <w:sz w:val="18"/>
          <w:szCs w:val="18"/>
          <w:i w:val="1"/>
          <w:iCs w:val="1"/>
          <w:color w:val="52A2DD"/>
        </w:rPr>
        <w:t>Franchise Rights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franchise rights consist of cable franchise rights and sports franchise rights. Cable franchise rights represent the value attributed to agreements with local authorities that allow access to homes in cable service areas acquired in business combinations. Sports franchise rights represent the value we attribute to our professional sports teams. We do not amortize cable franchise rights or sports franchise rights because we have determined that they have an indefinite life. We reassess this determination periodically for each franchise based on the factors included in SFAS No. 142, “Goodwill and Other Intangible Assets,” (“SFAS No. 142”). Costs we incur in negotiating and renewing cable franchise agreements are included in other intangible assets and are primarily amortized on a straight-line basis over the term of the franchise renewal period.</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evaluate the recoverability of our franchise rights annually, or more frequently whenever events or changes in circumstances indicate that the assets might be impaired. We estimate the fair value of our cable franchise rights primarily based on a discounted cash flow analysis. We also consider multiples of operating income before depreciation and amortization generated by the underlying assets, current market transactions, and profitability information in analyzing the fair values indicated under the discounted cash flow models. If the value of our cable franchise rights is less than the carrying amount, we would recognize an impairment for the difference between the estimated fair value and the carrying value of the assets. We evaluate the unit of account used to test for impairment of our cable franchise rights periodically to ensure testing is performed at an appropriate level. In July 2008, our Cable division management structure was reorganized from five divisions to four. Our impairment testing as of July 1, 2008 confirmed that no impairment existed before the change.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Goodwill</w:t>
      </w:r>
    </w:p>
    <w:p>
      <w:pPr>
        <w:spacing w:after="0" w:line="1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Goodwill is the excess of the acquisition cost of an acquired entity over the fair value of the identifiable net assets acquired. In accordance with SFAS No. 142, we do not amortize goodwill.</w:t>
      </w:r>
    </w:p>
    <w:p>
      <w:pPr>
        <w:spacing w:after="0" w:line="945"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300"/>
          </w:cols>
          <w:pgMar w:left="240" w:top="459" w:right="35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assess the recoverability of our goodwill annually, or more frequently whenever events or changes in circumstances indicate that the asset might be impaired. We generally perform the assessment of our goodwill one level below the operating segment level. In our Cable business, since components one level below the segment level (Cable divisions) are not separate reporting units and have similar economic characteristics, we aggregate the components into one reporting unit at the Cable segment level.</w:t>
      </w:r>
    </w:p>
    <w:p>
      <w:pPr>
        <w:spacing w:after="0" w:line="73"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Since the adoption of SFAS No. 142, we have performed annual impairment testing of our indefinite-lived intangibles, including cable franchise rights, sports franchise rights and goodwill, using April 1 as the measurement date. In 2008, we changed the timing of our financial and strategic planning process, including the preparation of long-term projections, from completion in the early part of each calendar year to a midyear completion. These long-term financial projections are used as the basis for performing our annual impairment testing. As a result, we have changed our measurement date from April 1 to July 1. We tested our indefinite-lived intangibles for impairment as of April 1, 2008 and July 1, 2008, and no impairments were indicated as of either date. Since the adoption of SFAS No. 142 in 2002, we have not recorded any significant impairments as a result of our impairment testing. We believe changing the measurement date to coincide with the completion of our long-term financial projections is preferable and does not result in the delay, acceleration or avoidance of an impairment.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Other Intangibles</w:t>
      </w: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Other intangible assets consist primarily of franchise-related customer relationships acquired in business combinations, programming distribution rights, software, cable franchise renewal costs, and programming agreements and rights. We record these costs as assets and amortize them on a straight-line basis over the term of the related agreements or estimated useful life. </w:t>
      </w:r>
      <w:hyperlink w:anchor="page58">
        <w:r>
          <w:rPr>
            <w:rFonts w:ascii="Arial" w:cs="Arial" w:eastAsia="Arial" w:hAnsi="Arial"/>
            <w:sz w:val="18"/>
            <w:szCs w:val="18"/>
            <w:u w:val="single" w:color="auto"/>
            <w:color w:val="0000EE"/>
          </w:rPr>
          <w:t>See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ranges of useful lives of our intangible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Programming Distribution Rights</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Programming subsidiaries enter into multiyear license agreements with various multichannel video providers for distribution of their programming (“distribution rights”). We capitalize amounts paid to secure or extend these distribution rights and include them within other intangible assets. We amortize these distribution rights on a straight-line basis over the term of the related license agreements. We classify the amortization of these distribution rights as a reduction of revenue unless the Programming subsidiary receives, or will receive, an identifiable benefit from the distributor separate from the fee paid for the distribution right, in which case we recognize the fair value of the identified benefit as an operating expense in the period in which it was received.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Software</w:t>
      </w:r>
    </w:p>
    <w:p>
      <w:pPr>
        <w:spacing w:after="0" w:line="14"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within other intangible assets and amortize them on a straight-line basis over a period not to exceed 5 years, beginning when the asset is substantially ready for use.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80" w:lineRule="exact"/>
        <w:rPr>
          <w:sz w:val="20"/>
          <w:szCs w:val="20"/>
          <w:color w:val="auto"/>
        </w:rPr>
      </w:pPr>
    </w:p>
    <w:p>
      <w:pPr>
        <w:jc w:val="center"/>
        <w:ind w:right="120"/>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7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periodically evaluate the recoverability and estimated lives of our intangible assets subject to amortization whenever events or changes in circumstances indicate that the carrying amount may not be recoverable or the useful life has changed. The evaluation is based on the cash flows generated by the underlying assets and profitability information, including estimated future operating results, trends or other determinants of fair value. If the total of the expected future undiscounted cash flows is less than the carrying amount of the asset, we would recognize a loss for the difference between the estimated fair value and the carrying value of the asset. Unless presented separately, the loss would be included as a component of amortization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SFAS No. 143, “Accounting for Asset Retirement Obligations,” as interpreted by Financial Accounting Standards Board (“FASB”) Interpretation (“FIN”) No. 47, “Accounting for Conditional Asset Retirement Obligations — an Interpretation of FASB Statement No. 143,” requires that a liability be recognized for an asset retirement obligation in the period in which it is incurred if a reasonable estimate of fair value can be made.</w:t>
      </w:r>
    </w:p>
    <w:p>
      <w:pPr>
        <w:spacing w:after="0" w:line="155"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Certain of our franchise and lease agreements contain provisions requiring us to restore facilities or remove property in the event that the franchise or lease agreement is not renewed. We expect to continually renew our franchise agreements and therefore cannot estimate any liabilities associated with such agreements. A remote possibility exists that franchise agreements could terminate unexpectedly, which could result in us incurring significant expense in complying with restoration or removal provisions. The disposal obligations related to our properties are not material to our consolidated financial statements. No such liabilities have been recorded in our consolidated financial statements.</w:t>
      </w:r>
    </w:p>
    <w:p>
      <w:pPr>
        <w:spacing w:after="0" w:line="80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8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Cable segment revenue is primarily derived from customer fees received for our video, high-speed Internet and phone services (“cable services”) and from advertising. We recognize revenue from cable services as the service is provided. We manage credit risk by screening applicants through the use of credit bureau data. If a customer’s account is delinquent, various measures are used to collect outstanding amounts, including termination of the customer’s cable service. Installation revenue obtained from the connection of customers to our cable systems is less than related direct selling costs. Therefore, such revenue is recognized as connections are completed. We recognize advertising revenue when the advertising is aired and based on the broadcast calendar. Revenue earned from other sources is recognized when services are provided or events occur. Under the terms of our franchise agreements, we are generally required to pay to the local franchising authority an amount based on our gross video revenue. We normally pass these fees through to our cable customers and classify the fees as a component of revenue with the corresponding costs included in operating expenses. Prior to 2008, the corresponding costs were included in selling, general and administrative expenses. For 2007 and 2006, we reclassified approximately $863 million and $788 million, respectively, from selling, general and administrative expenses to operating expenses. The 2008 amount is approximately $933 million. We believe such classification is more appropriate based on the nature of these expenses. We present other taxes imposed on a revenue-producing transaction as revenue if we are acting as a principal or as a reduction to operating expenses if we are acting as an agent.</w:t>
      </w:r>
    </w:p>
    <w:p>
      <w:pPr>
        <w:spacing w:after="0" w:line="200" w:lineRule="exact"/>
        <w:rPr>
          <w:sz w:val="20"/>
          <w:szCs w:val="20"/>
          <w:color w:val="auto"/>
        </w:rPr>
      </w:pPr>
    </w:p>
    <w:p>
      <w:pPr>
        <w:spacing w:after="0" w:line="3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Programming segment recognizes revenue from distributors as programming is provided, generally under multiyear distribution agreements. From time to time these agreements expire while programming continues to be provided to the operator based on interim arrangements while the parties negotiate new contract terms. Revenue recognition is generally limited to current payments being made by the operator,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for our Programming segment is recognized in the period in which commercials or programs are aired. In some instances, our Programming businesses guarantee viewer ratings either for the programming or for the commercials. Revenue is deferred to the extent of an estimated shortfall in the ratings. Such shortfalls are primarily settled by providing additional advertising time, at which point the revenue is recognized.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Programming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Cable programming expenses are the fees we pay to programming networks to license the programming we package, offer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distribute to our video customers. Programming is acquired for distribution to our video customers, generally under multiyear distribution agreements, with rates typically based on the number of customers that receive the programming, adjusted for channel positioning and the extent of distribution. From time to time these contracts expire and programming continues to be provided based on interim arrangements while the parties negotiate new contractual terms, sometimes with effective dates that affect prior periods. While payments are typically made under the prior contract terms, the amount of our programming expenses recorded during these interim arrangements is based on our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-2566670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When our Cable segment receives incentives from programming networks for the licensing of their programming, we classify the deferred portion of these fees within liabilities and recognize them over the term of the contract as a reduction of programming expenses, which are included in 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jc w:val="both"/>
        <w:spacing w:after="0" w:line="267" w:lineRule="auto"/>
        <w:rPr>
          <w:rFonts w:ascii="Arial" w:cs="Arial" w:eastAsia="Arial" w:hAnsi="Arial"/>
          <w:sz w:val="16"/>
          <w:szCs w:val="16"/>
          <w:color w:val="auto"/>
        </w:rPr>
      </w:pPr>
      <w:r>
        <w:rPr>
          <w:rFonts w:ascii="Arial" w:cs="Arial" w:eastAsia="Arial" w:hAnsi="Arial"/>
          <w:sz w:val="16"/>
          <w:szCs w:val="16"/>
          <w:color w:val="auto"/>
        </w:rPr>
        <w:t xml:space="preserve">Effective January 1, 2006, we adopted SFAS No. 123R, “Share-Based Payment,” (“SFAS No. 123R”), using the Modified Prospective Approach. Under the Modified Prospective Approach, the amount of compensation cost recognized includes (i) compensation cost for all share-based payments granted before but not yet vested as of January 1, 2006, based on the grant date fair value estimated in accordance with SFAS No. 123, “Accounting for Stock-Based Compensation,” (“SFAS No. 123”), and (ii) compensation cost for all share-based payments granted or modified after January 1, 2006, based on the estimated fair value at the date of grant or subsequent modification date in accordance with SFAS No. 123R. </w:t>
      </w:r>
      <w:hyperlink w:anchor="page64">
        <w:r>
          <w:rPr>
            <w:rFonts w:ascii="Arial" w:cs="Arial" w:eastAsia="Arial" w:hAnsi="Arial"/>
            <w:sz w:val="16"/>
            <w:szCs w:val="16"/>
            <w:u w:val="single" w:color="auto"/>
            <w:color w:val="0000EE"/>
          </w:rPr>
          <w:t>See Note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 regarding share-based compensation.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provision for income taxes is based on our current period income, changes in deferred income tax assets and liabilities, income tax rates, changes in estimates of our uncertain tax positions, and tax planning opportunities available in the jurisdictions in which we operate. Substantially all of our income is from operations in the United States. We recognize deferred tax assets and liabilities when there are temporary differences between the financial reporting basis and tax basis of our assets and liabilities and for the expected benefits of using net operating loss carryforwards. When changes in tax rates or tax laws have an impact on deferred taxes, we apply the change during the years in which temporary differences are expected to reverse. These amounts are recorded in our consolidated financial statements in the period of enactment.</w:t>
      </w:r>
    </w:p>
    <w:p>
      <w:pPr>
        <w:spacing w:after="0" w:line="789"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300"/>
          </w:cols>
          <w:pgMar w:left="240" w:top="459" w:right="35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1, 2007, we adopted FIN 48, “Accounting for Uncertainty in Income Taxes — an Interpretation of FASB Statement No. 109,” (“FIN 48”). FIN 48 prescribes the recognition threshold and measurement attribute for the financial statement recognition and measurement of uncertain tax positions taken or expected to be taken in a tax return.</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account for income tax uncertainties that arise in connection with business combinations and those that are associated with entities acquired in business combinations in accordance with Emerging Issues Task Force (“EITF”) Issue No. 93-7, “Uncertainties Related to Income Taxes in a Purchase Business Combination,” (“EITF 93-7”). Deferred tax assets and liabilities are recorded as of the date of a business combination and are based on our estimate of the ultimate tax basis that will be accepted by the various taxing authorities. Liabilities for contingencies associated with prior tax returns filed by the acquired entity are recorded based on criteria set forth in FIN 48. We adjust the deferred tax accounts and the liabilities periodically to reflect any revised estimated tax basis and any estimated settlements with the various taxing authorities. The effect of these adjustments is generally applied to goodwill except for post-acquisition interest expense, which is recognized as an adjustment to income tax expense. Effective with the adoption on January 1, 2009 of SFAS No. 141R, “Business Combinations — a replacement of FASB Statement No. 141,” (“SFAS No. 141R”), which also supersedes EITF 93-7, all tax adjustments recognized that would have impacted goodwill will be recognized within income tax expense.</w:t>
      </w:r>
    </w:p>
    <w:p>
      <w:pPr>
        <w:spacing w:after="0" w:line="200" w:lineRule="exact"/>
        <w:rPr>
          <w:sz w:val="20"/>
          <w:szCs w:val="20"/>
          <w:color w:val="auto"/>
        </w:rPr>
      </w:pPr>
    </w:p>
    <w:p>
      <w:pPr>
        <w:spacing w:after="0" w:line="3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and equity prices. All derivative transactions must comply with a derivatives policy authorized by our Board of Directors. We do not engage in any speculative or leveraged derivative transactions.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manage our exposure to fluctuations in interest rates by using derivative financial instruments such as interest rate exchange agreements (“swaps”) and interest rate lock agreements (“rate locks”). We sometimes enter into rate locks to hedge the risk that the cash flows related to the interest payments on an anticipated issuance or assumption of fixed-rate debt may be adversely affected by interest-rate fluctuations.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manage our exposure to and benefits from price fluctuations in the common stock of some of our investments by using equity derivative financial instruments embedded in other contracts such as indexed debt instruments and prepaid forward sale agreements whose values, in part, are derived from the market value of certain publicly traded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periodically examine the instruments we use to hedge exposure to interest rate and equity price risks to ensure that the instruments are matched with underlying assets or liabilities, to reduce our risks relating to changes in interest rates or equity prices and, through market value and sensitivity analysis, to maintain a high correlation to the risk inherent in the hedged item. For those instruments that do not meet the above conditions, and for those derivative instruments that are not designated as a hedge, changes in fair value are recognized on a current basis in earnings.</w:t>
      </w:r>
    </w:p>
    <w:p>
      <w:pPr>
        <w:spacing w:after="0" w:line="161"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5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For derivative instruments designated and effective as fair value hedges, such as fixed to variable swaps, changes in the fair value of the derivative instrument substantially offset changes in the fair value of the hedged item, each of which is recorded to interest expense. When fair value hedges are terminated, sold, exercised or have expired, any gain or loss resulting from changes in the fair value of the hedged item is deferred and recognized in earnings over the remaining life of the hedged item. When the hedged item is settled or sold, the unamortized adjustment in the carrying amount of the hedged item is recognized in earnings.</w:t>
      </w:r>
    </w:p>
    <w:p>
      <w:pPr>
        <w:spacing w:after="0" w:line="161"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For derivative instruments designated as cash flow hedges, such as variable to fixed swaps and rate locks, the effective portion of the hedge is reported in other comprehensive income (loss) and recognized as an adjustment to interest expense over the same period in which the related interest costs are recognized in earnings. When hedged variable-rate debt is settled, the previously deferred effective portion of the hedge is written off to interest expense in a manner similar to debt extinguishment costs.</w:t>
      </w:r>
    </w:p>
    <w:p>
      <w:pPr>
        <w:spacing w:after="0" w:line="15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Equity derivative instruments embedded in other contracts are separated from their host contract. The derivative component is recorded at its estimated fair value in our consolidated balance sheet and changes in its value are recorded each period to investment income (loss),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Reclassifications have been made between operating expenses and selling, general and administrative expenses in the prior years’ consolidated financial statements to conform to classifications used in 2008.</w:t>
      </w:r>
    </w:p>
    <w:p>
      <w:pPr>
        <w:spacing w:after="0" w:line="1211"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8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49</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141R</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November 2007, the FASB issued SFAS No. 141R, which continues to require that all business combinations be accounted for by applying the acquisition method. Under the acquisition method, the acquirer recognizes and measures the identifiable assets acquired, the liabilities assumed, and any contingent consideration and contractual contingencies, as a whole, at their fair value as of the acquisition date. Under SFAS No. 141R, all transaction costs are expensed as incurred. SFAS No. 141R rescinds EITF 93-7. Under EITF 93-7, the effect of any subsequent adjustments to uncertain tax positions was generally applied to goodwill, except for post-acquisition interest on uncertain tax positions, which was recognized as an adjustment to income tax expense. Under SFAS No. 141R, all subsequent adjustments to income tax liabilities and related interest that would have impacted goodwill are recognized within income tax expense. The guidance in SFAS No. 141R will be applied prospectively to any business combination for which the acquisition date is on or after January 1, 2009.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157</w:t>
      </w:r>
    </w:p>
    <w:p>
      <w:pPr>
        <w:spacing w:after="0" w:line="18" w:lineRule="exact"/>
        <w:rPr>
          <w:sz w:val="20"/>
          <w:szCs w:val="20"/>
          <w:color w:val="auto"/>
        </w:rPr>
      </w:pPr>
    </w:p>
    <w:p>
      <w:pPr>
        <w:jc w:val="both"/>
        <w:spacing w:after="0" w:line="267" w:lineRule="auto"/>
        <w:rPr>
          <w:rFonts w:ascii="Arial" w:cs="Arial" w:eastAsia="Arial" w:hAnsi="Arial"/>
          <w:sz w:val="16"/>
          <w:szCs w:val="16"/>
          <w:color w:val="0000EE"/>
        </w:rPr>
      </w:pPr>
      <w:r>
        <w:rPr>
          <w:rFonts w:ascii="Arial" w:cs="Arial" w:eastAsia="Arial" w:hAnsi="Arial"/>
          <w:sz w:val="16"/>
          <w:szCs w:val="16"/>
          <w:color w:val="auto"/>
        </w:rPr>
        <w:t xml:space="preserve">In September 2006, the FASB issued SFAS No. 157, “Fair Value Measurements,” (“SFAS No. 157”). SFAS No. 157 defines fair value, establishes a framework for measuring fair value and expands disclosure about fair value measurements. SFAS No. 157 is effective for financial assets and financial liabilities in fiscal years beginning after November 15, 2007 and for nonfinancial assets and nonfinancial liabilities in fiscal years beginning after March 15, 2008. Effective January 1, 2008, we adopted the provisions of SFAS No. 157 that relate to our financial assets and financial liabilities. We are evaluating the impact of the provisions of SFAS No. 157 that relate to our nonfinancial assets and nonfinancial liabilities, which are effective for us as of January 1, 2009, and currently do not expect the adoption to </w:t>
      </w:r>
      <w:hyperlink w:anchor="page59">
        <w:r>
          <w:rPr>
            <w:rFonts w:ascii="Arial" w:cs="Arial" w:eastAsia="Arial" w:hAnsi="Arial"/>
            <w:sz w:val="16"/>
            <w:szCs w:val="16"/>
            <w:color w:val="auto"/>
          </w:rPr>
          <w:t xml:space="preserve">have a material impact on our consolidated financial statements. </w:t>
        </w:r>
        <w:r>
          <w:rPr>
            <w:rFonts w:ascii="Arial" w:cs="Arial" w:eastAsia="Arial" w:hAnsi="Arial"/>
            <w:sz w:val="16"/>
            <w:szCs w:val="16"/>
            <w:u w:val="single" w:color="auto"/>
            <w:color w:val="0000EE"/>
          </w:rPr>
          <w:t>See</w:t>
        </w:r>
      </w:hyperlink>
      <w:r>
        <w:rPr>
          <w:rFonts w:ascii="Arial" w:cs="Arial" w:eastAsia="Arial" w:hAnsi="Arial"/>
          <w:sz w:val="16"/>
          <w:szCs w:val="16"/>
          <w:color w:val="auto"/>
        </w:rPr>
        <w:t xml:space="preserve"> </w:t>
      </w:r>
      <w:hyperlink w:anchor="page59">
        <w:r>
          <w:rPr>
            <w:rFonts w:ascii="Arial" w:cs="Arial" w:eastAsia="Arial" w:hAnsi="Arial"/>
            <w:sz w:val="16"/>
            <w:szCs w:val="16"/>
            <w:u w:val="single" w:color="auto"/>
            <w:color w:val="0000EE"/>
          </w:rPr>
          <w:t>Note 8</w:t>
        </w:r>
        <w:r>
          <w:rPr>
            <w:rFonts w:ascii="Arial" w:cs="Arial" w:eastAsia="Arial" w:hAnsi="Arial"/>
            <w:sz w:val="16"/>
            <w:szCs w:val="16"/>
            <w:color w:val="0000EE"/>
          </w:rPr>
          <w:t xml:space="preserve"> </w:t>
        </w:r>
        <w:r>
          <w:rPr>
            <w:rFonts w:ascii="Arial" w:cs="Arial" w:eastAsia="Arial" w:hAnsi="Arial"/>
            <w:sz w:val="16"/>
            <w:szCs w:val="16"/>
            <w:color w:val="000000"/>
          </w:rPr>
          <w:t>for further details regarding the adoption of this standard.</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159</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February 2007, the FASB issued SFAS No. 159, which provides the option to report certain financial assets and financial liabilities at fair value, with the intent to mitigate the volatility in financial reporting that can occur when related assets and liabilities are each recorded on a different basis. SFAS No. 159 amends FASB Statement No. 95, “Statement of Cash Flows,” (“SFAS No. 95”) and FASB Statement No. 115, “Accounting for Certain Investments in Debt and Equity Securities,” (“SFAS No. 115”). SFAS No. 159 specifies that cash flows from trading securities, including securities for which an entity has elected the fair value option, should be classified in the statement of cash flows based on the nature of and purpose for which the securities were acquired. Before this amendment, SFAS No. 95 and SFAS No. 115 specified that cash flows from trading securities must be classified as cash flows from operating activities. Effective January 1, 2008,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adopted SFAS No. 159. We have not elected the fair value option for any financial assets or financial liabilities. Upon adoption, we reclassified $603 million of proceeds from the sale of trading securities within our statement of cash flows for the year ended December 31, 2007 from an operating activity to an investing activity. The adoption of SFAS No. 159 had no effect on our statement of cash flows for the 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-1540510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160</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November 2007, the FASB issued SFAS No. 160, “Accounting and Reporting of Noncontrolling Interest,” (“SFAS No. 160”). SFAS No. 160 requires that a noncontrolling interest (previously referred to as a minority interest) be separately reported in the equity section of the consolidated entity’s balance sheet. SFAS No. 160 also established accounting and reporting standards for (i) ownership interests in subsidiaries held by parties other than the parent, (ii) the amount of consolidated net income attributable to the parent and to the noncontrolling interest, (iii) changes in a parent’s ownership interest and (iv) the valuation of retained noncontrolling equity investments when a subsidiary is deconsolidated. SFAS No. 160 is effective for us beginning January 1, 2009, at which time our financial statements will reflect the new presentation for noncontrolling interests.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06-10</w:t>
      </w:r>
    </w:p>
    <w:p>
      <w:pPr>
        <w:spacing w:after="0" w:line="18" w:lineRule="exact"/>
        <w:rPr>
          <w:sz w:val="20"/>
          <w:szCs w:val="20"/>
          <w:color w:val="auto"/>
        </w:rPr>
      </w:pPr>
    </w:p>
    <w:p>
      <w:pPr>
        <w:jc w:val="both"/>
        <w:spacing w:after="0" w:line="268" w:lineRule="auto"/>
        <w:rPr>
          <w:rFonts w:ascii="Arial" w:cs="Arial" w:eastAsia="Arial" w:hAnsi="Arial"/>
          <w:sz w:val="16"/>
          <w:szCs w:val="16"/>
          <w:color w:val="0000EE"/>
        </w:rPr>
      </w:pPr>
      <w:r>
        <w:rPr>
          <w:rFonts w:ascii="Arial" w:cs="Arial" w:eastAsia="Arial" w:hAnsi="Arial"/>
          <w:sz w:val="16"/>
          <w:szCs w:val="16"/>
          <w:color w:val="auto"/>
        </w:rPr>
        <w:t xml:space="preserve">In March 2007, the EITF reached a consensus on EITF Issue No. 06-10, “Accounting for Deferred Compensation and Postretirement Benefit Aspects of Collateral Assignment Split-Dollar Life Insurance Arrangements,” (“EITF 06-10”). EITF 06-10 provides that an employer should recognize a liability for the postretirement benefit related to collateral assignment split-dollar life insurance arrangements. We adopted EITF 06-10 on January 1, 2008, at which time we adjusted beginning retained earnings and recorded a liability of $132 million. </w:t>
      </w:r>
      <w:hyperlink w:anchor="page62">
        <w:r>
          <w:rPr>
            <w:rFonts w:ascii="Arial" w:cs="Arial" w:eastAsia="Arial" w:hAnsi="Arial"/>
            <w:sz w:val="16"/>
            <w:szCs w:val="16"/>
            <w:u w:val="single" w:color="auto"/>
            <w:color w:val="0000EE"/>
          </w:rPr>
          <w:t>See Note 10</w:t>
        </w:r>
        <w:r>
          <w:rPr>
            <w:rFonts w:ascii="Arial" w:cs="Arial" w:eastAsia="Arial" w:hAnsi="Arial"/>
            <w:sz w:val="16"/>
            <w:szCs w:val="16"/>
            <w:color w:val="0000EE"/>
          </w:rPr>
          <w:t xml:space="preserve"> </w:t>
        </w:r>
      </w:hyperlink>
      <w:r>
        <w:rPr>
          <w:rFonts w:ascii="Arial" w:cs="Arial" w:eastAsia="Arial" w:hAnsi="Arial"/>
          <w:sz w:val="16"/>
          <w:szCs w:val="16"/>
          <w:color w:val="000000"/>
        </w:rPr>
        <w:t>for</w:t>
      </w:r>
      <w:r>
        <w:rPr>
          <w:rFonts w:ascii="Arial" w:cs="Arial" w:eastAsia="Arial" w:hAnsi="Arial"/>
          <w:sz w:val="16"/>
          <w:szCs w:val="16"/>
          <w:color w:val="0000EE"/>
        </w:rPr>
        <w:t xml:space="preserve"> </w:t>
      </w:r>
      <w:r>
        <w:rPr>
          <w:rFonts w:ascii="Arial" w:cs="Arial" w:eastAsia="Arial" w:hAnsi="Arial"/>
          <w:sz w:val="16"/>
          <w:szCs w:val="16"/>
          <w:color w:val="000000"/>
        </w:rPr>
        <w:t>further details regarding the adoption of this standard.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earnings per common share (“Basic EPS”) is computed by dividing net income from continuing operations by the weighted-average number of common shares outstanding during the period.</w:t>
      </w:r>
    </w:p>
    <w:p>
      <w:pPr>
        <w:spacing w:after="0" w:line="154" w:lineRule="exact"/>
        <w:rPr>
          <w:sz w:val="20"/>
          <w:szCs w:val="20"/>
          <w:color w:val="auto"/>
        </w:rPr>
      </w:pPr>
    </w:p>
    <w:p>
      <w:pPr>
        <w:jc w:val="both"/>
        <w:spacing w:after="0" w:line="268" w:lineRule="auto"/>
        <w:rPr>
          <w:rFonts w:ascii="Arial" w:cs="Arial" w:eastAsia="Arial" w:hAnsi="Arial"/>
          <w:sz w:val="16"/>
          <w:szCs w:val="16"/>
          <w:color w:val="auto"/>
        </w:rPr>
      </w:pPr>
      <w:r>
        <w:rPr>
          <w:rFonts w:ascii="Arial" w:cs="Arial" w:eastAsia="Arial" w:hAnsi="Arial"/>
          <w:sz w:val="16"/>
          <w:szCs w:val="16"/>
          <w:color w:val="auto"/>
        </w:rPr>
        <w:t xml:space="preserve">Our potentially dilutive securities include potential common shares related to our stock options and restricted share units (“RSUs”). Diluted earnings per common share (“Diluted EPS”) considers the impact of potentially dilutive securities using the treasury stock method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or our Class A Special common stock, as applicable </w:t>
      </w:r>
      <w:hyperlink w:anchor="page64">
        <w:r>
          <w:rPr>
            <w:rFonts w:ascii="Arial" w:cs="Arial" w:eastAsia="Arial" w:hAnsi="Arial"/>
            <w:sz w:val="16"/>
            <w:szCs w:val="16"/>
            <w:u w:val="single" w:color="auto"/>
            <w:color w:val="0000EE"/>
          </w:rPr>
          <w:t>(see Note 12)</w:t>
        </w:r>
      </w:hyperlink>
      <w:r>
        <w:rPr>
          <w:rFonts w:ascii="Arial" w:cs="Arial" w:eastAsia="Arial" w:hAnsi="Arial"/>
          <w:sz w:val="16"/>
          <w:szCs w:val="16"/>
          <w:color w:val="auto"/>
        </w:rPr>
        <w:t>.</w:t>
      </w:r>
    </w:p>
    <w:p>
      <w:pPr>
        <w:spacing w:after="0" w:line="904"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300"/>
          </w:cols>
          <w:pgMar w:left="240" w:top="459" w:right="3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Diluted EPS for 2008, 2007 and 2006 excludes approximately 159 million, 61 million and 116 million, respectively, of potential common shares related to our share-based compensation plans, because the inclusion of the potential common shares would have an antidilutive effect.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2006</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1"/>
        </w:trPr>
        <w:tc>
          <w:tcPr>
            <w:tcW w:w="3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Per</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Per</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Per</w:t>
            </w:r>
          </w:p>
        </w:tc>
        <w:tc>
          <w:tcPr>
            <w:tcW w:w="20" w:type="dxa"/>
            <w:vAlign w:val="bottom"/>
          </w:tcPr>
          <w:p>
            <w:pPr>
              <w:spacing w:after="0"/>
              <w:rPr>
                <w:sz w:val="12"/>
                <w:szCs w:val="12"/>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Share</w:t>
            </w: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Share</w:t>
            </w: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Share</w:t>
            </w:r>
          </w:p>
        </w:tc>
      </w:tr>
      <w:tr>
        <w:trPr>
          <w:trHeight w:val="149"/>
        </w:trPr>
        <w:tc>
          <w:tcPr>
            <w:tcW w:w="36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except per share data)</w:t>
            </w:r>
          </w:p>
        </w:tc>
        <w:tc>
          <w:tcPr>
            <w:tcW w:w="1000" w:type="dxa"/>
            <w:vAlign w:val="bottom"/>
            <w:tcBorders>
              <w:bottom w:val="single" w:sz="8" w:color="auto"/>
            </w:tcBorders>
          </w:tcPr>
          <w:p>
            <w:pPr>
              <w:jc w:val="right"/>
              <w:ind w:right="59"/>
              <w:spacing w:after="0" w:line="149" w:lineRule="exact"/>
              <w:rPr>
                <w:sz w:val="20"/>
                <w:szCs w:val="20"/>
                <w:color w:val="auto"/>
              </w:rPr>
            </w:pPr>
            <w:r>
              <w:rPr>
                <w:rFonts w:ascii="Arial" w:cs="Arial" w:eastAsia="Arial" w:hAnsi="Arial"/>
                <w:sz w:val="14"/>
                <w:szCs w:val="14"/>
                <w:color w:val="auto"/>
              </w:rPr>
              <w:t>Income</w:t>
            </w:r>
          </w:p>
        </w:tc>
        <w:tc>
          <w:tcPr>
            <w:tcW w:w="740" w:type="dxa"/>
            <w:vAlign w:val="bottom"/>
            <w:tcBorders>
              <w:bottom w:val="single" w:sz="8" w:color="auto"/>
            </w:tcBorders>
          </w:tcPr>
          <w:p>
            <w:pPr>
              <w:jc w:val="right"/>
              <w:ind w:right="60"/>
              <w:spacing w:after="0" w:line="149" w:lineRule="exact"/>
              <w:rPr>
                <w:sz w:val="20"/>
                <w:szCs w:val="20"/>
                <w:color w:val="auto"/>
              </w:rPr>
            </w:pPr>
            <w:r>
              <w:rPr>
                <w:rFonts w:ascii="Arial" w:cs="Arial" w:eastAsia="Arial" w:hAnsi="Arial"/>
                <w:sz w:val="14"/>
                <w:szCs w:val="14"/>
                <w:color w:val="auto"/>
              </w:rPr>
              <w:t>Shares</w:t>
            </w:r>
          </w:p>
        </w:tc>
        <w:tc>
          <w:tcPr>
            <w:tcW w:w="940" w:type="dxa"/>
            <w:vAlign w:val="bottom"/>
            <w:tcBorders>
              <w:bottom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Amount</w:t>
            </w:r>
          </w:p>
        </w:tc>
        <w:tc>
          <w:tcPr>
            <w:tcW w:w="102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color w:val="auto"/>
              </w:rPr>
              <w:t>Income</w:t>
            </w:r>
          </w:p>
        </w:tc>
        <w:tc>
          <w:tcPr>
            <w:tcW w:w="760" w:type="dxa"/>
            <w:vAlign w:val="bottom"/>
            <w:tcBorders>
              <w:bottom w:val="single" w:sz="8" w:color="auto"/>
            </w:tcBorders>
          </w:tcPr>
          <w:p>
            <w:pPr>
              <w:jc w:val="right"/>
              <w:ind w:right="80"/>
              <w:spacing w:after="0" w:line="149" w:lineRule="exact"/>
              <w:rPr>
                <w:sz w:val="20"/>
                <w:szCs w:val="20"/>
                <w:color w:val="auto"/>
              </w:rPr>
            </w:pPr>
            <w:r>
              <w:rPr>
                <w:rFonts w:ascii="Arial" w:cs="Arial" w:eastAsia="Arial" w:hAnsi="Arial"/>
                <w:sz w:val="14"/>
                <w:szCs w:val="14"/>
                <w:color w:val="auto"/>
              </w:rPr>
              <w:t>Shares</w:t>
            </w:r>
          </w:p>
        </w:tc>
        <w:tc>
          <w:tcPr>
            <w:tcW w:w="920" w:type="dxa"/>
            <w:vAlign w:val="bottom"/>
            <w:tcBorders>
              <w:bottom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Amount</w:t>
            </w:r>
          </w:p>
        </w:tc>
        <w:tc>
          <w:tcPr>
            <w:tcW w:w="102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color w:val="auto"/>
              </w:rPr>
              <w:t>Income</w:t>
            </w:r>
          </w:p>
        </w:tc>
        <w:tc>
          <w:tcPr>
            <w:tcW w:w="760" w:type="dxa"/>
            <w:vAlign w:val="bottom"/>
            <w:tcBorders>
              <w:bottom w:val="single" w:sz="8" w:color="auto"/>
            </w:tcBorders>
          </w:tcPr>
          <w:p>
            <w:pPr>
              <w:jc w:val="right"/>
              <w:ind w:right="80"/>
              <w:spacing w:after="0" w:line="149" w:lineRule="exact"/>
              <w:rPr>
                <w:sz w:val="20"/>
                <w:szCs w:val="20"/>
                <w:color w:val="auto"/>
              </w:rPr>
            </w:pPr>
            <w:r>
              <w:rPr>
                <w:rFonts w:ascii="Arial" w:cs="Arial" w:eastAsia="Arial" w:hAnsi="Arial"/>
                <w:sz w:val="14"/>
                <w:szCs w:val="14"/>
                <w:color w:val="auto"/>
              </w:rPr>
              <w:t>Shares</w:t>
            </w:r>
          </w:p>
        </w:tc>
        <w:tc>
          <w:tcPr>
            <w:tcW w:w="6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Amount</w:t>
            </w:r>
          </w:p>
        </w:tc>
      </w:tr>
      <w:tr>
        <w:trPr>
          <w:trHeight w:val="199"/>
        </w:trPr>
        <w:tc>
          <w:tcPr>
            <w:tcW w:w="3640" w:type="dxa"/>
            <w:vAlign w:val="bottom"/>
          </w:tcPr>
          <w:p>
            <w:pPr>
              <w:spacing w:after="0" w:line="200" w:lineRule="exact"/>
              <w:rPr>
                <w:sz w:val="20"/>
                <w:szCs w:val="20"/>
                <w:color w:val="auto"/>
              </w:rPr>
            </w:pPr>
            <w:r>
              <w:rPr>
                <w:rFonts w:ascii="Arial" w:cs="Arial" w:eastAsia="Arial" w:hAnsi="Arial"/>
                <w:sz w:val="18"/>
                <w:szCs w:val="18"/>
                <w:color w:val="auto"/>
              </w:rPr>
              <w:t>Basic EPS</w:t>
            </w:r>
          </w:p>
        </w:tc>
        <w:tc>
          <w:tcPr>
            <w:tcW w:w="1000" w:type="dxa"/>
            <w:vAlign w:val="bottom"/>
          </w:tcPr>
          <w:p>
            <w:pPr>
              <w:jc w:val="right"/>
              <w:ind w:right="59"/>
              <w:spacing w:after="0" w:line="200" w:lineRule="exact"/>
              <w:rPr>
                <w:sz w:val="20"/>
                <w:szCs w:val="20"/>
                <w:color w:val="auto"/>
              </w:rPr>
            </w:pPr>
            <w:r>
              <w:rPr>
                <w:rFonts w:ascii="Arial" w:cs="Arial" w:eastAsia="Arial" w:hAnsi="Arial"/>
                <w:sz w:val="18"/>
                <w:szCs w:val="18"/>
                <w:color w:val="auto"/>
              </w:rPr>
              <w:t>$2,547</w:t>
            </w:r>
          </w:p>
        </w:tc>
        <w:tc>
          <w:tcPr>
            <w:tcW w:w="740" w:type="dxa"/>
            <w:vAlign w:val="bottom"/>
          </w:tcPr>
          <w:p>
            <w:pPr>
              <w:jc w:val="right"/>
              <w:ind w:right="60"/>
              <w:spacing w:after="0" w:line="200" w:lineRule="exact"/>
              <w:rPr>
                <w:sz w:val="20"/>
                <w:szCs w:val="20"/>
                <w:color w:val="auto"/>
              </w:rPr>
            </w:pPr>
            <w:r>
              <w:rPr>
                <w:rFonts w:ascii="Arial" w:cs="Arial" w:eastAsia="Arial" w:hAnsi="Arial"/>
                <w:sz w:val="18"/>
                <w:szCs w:val="18"/>
                <w:color w:val="auto"/>
              </w:rPr>
              <w:t>2,939</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$ 0.87</w:t>
            </w:r>
          </w:p>
        </w:tc>
        <w:tc>
          <w:tcPr>
            <w:tcW w:w="300" w:type="dxa"/>
            <w:vAlign w:val="bottom"/>
          </w:tcPr>
          <w:p>
            <w:pPr>
              <w:spacing w:after="0"/>
              <w:rPr>
                <w:sz w:val="17"/>
                <w:szCs w:val="17"/>
                <w:color w:val="auto"/>
              </w:rPr>
            </w:pPr>
          </w:p>
        </w:tc>
        <w:tc>
          <w:tcPr>
            <w:tcW w:w="1020" w:type="dxa"/>
            <w:vAlign w:val="bottom"/>
          </w:tcPr>
          <w:p>
            <w:pPr>
              <w:jc w:val="right"/>
              <w:ind w:right="79"/>
              <w:spacing w:after="0" w:line="200" w:lineRule="exact"/>
              <w:rPr>
                <w:sz w:val="20"/>
                <w:szCs w:val="20"/>
                <w:color w:val="auto"/>
              </w:rPr>
            </w:pPr>
            <w:r>
              <w:rPr>
                <w:rFonts w:ascii="Arial" w:cs="Arial" w:eastAsia="Arial" w:hAnsi="Arial"/>
                <w:sz w:val="18"/>
                <w:szCs w:val="18"/>
                <w:color w:val="auto"/>
              </w:rPr>
              <w:t>$2,587</w:t>
            </w:r>
          </w:p>
        </w:tc>
        <w:tc>
          <w:tcPr>
            <w:tcW w:w="760" w:type="dxa"/>
            <w:vAlign w:val="bottom"/>
          </w:tcPr>
          <w:p>
            <w:pPr>
              <w:jc w:val="right"/>
              <w:ind w:right="80"/>
              <w:spacing w:after="0" w:line="200" w:lineRule="exact"/>
              <w:rPr>
                <w:sz w:val="20"/>
                <w:szCs w:val="20"/>
                <w:color w:val="auto"/>
              </w:rPr>
            </w:pPr>
            <w:r>
              <w:rPr>
                <w:rFonts w:ascii="Arial" w:cs="Arial" w:eastAsia="Arial" w:hAnsi="Arial"/>
                <w:sz w:val="18"/>
                <w:szCs w:val="18"/>
                <w:color w:val="auto"/>
              </w:rPr>
              <w:t>3,098</w:t>
            </w:r>
          </w:p>
        </w:tc>
        <w:tc>
          <w:tcPr>
            <w:tcW w:w="92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$ 0.84</w:t>
            </w:r>
          </w:p>
        </w:tc>
        <w:tc>
          <w:tcPr>
            <w:tcW w:w="1020" w:type="dxa"/>
            <w:vAlign w:val="bottom"/>
          </w:tcPr>
          <w:p>
            <w:pPr>
              <w:jc w:val="right"/>
              <w:ind w:right="79"/>
              <w:spacing w:after="0" w:line="200" w:lineRule="exact"/>
              <w:rPr>
                <w:sz w:val="20"/>
                <w:szCs w:val="20"/>
                <w:color w:val="auto"/>
              </w:rPr>
            </w:pPr>
            <w:r>
              <w:rPr>
                <w:rFonts w:ascii="Arial" w:cs="Arial" w:eastAsia="Arial" w:hAnsi="Arial"/>
                <w:sz w:val="18"/>
                <w:szCs w:val="18"/>
                <w:color w:val="auto"/>
              </w:rPr>
              <w:t>$2,235</w:t>
            </w:r>
          </w:p>
        </w:tc>
        <w:tc>
          <w:tcPr>
            <w:tcW w:w="760" w:type="dxa"/>
            <w:vAlign w:val="bottom"/>
          </w:tcPr>
          <w:p>
            <w:pPr>
              <w:jc w:val="right"/>
              <w:ind w:right="80"/>
              <w:spacing w:after="0" w:line="200" w:lineRule="exact"/>
              <w:rPr>
                <w:sz w:val="20"/>
                <w:szCs w:val="20"/>
                <w:color w:val="auto"/>
              </w:rPr>
            </w:pPr>
            <w:r>
              <w:rPr>
                <w:rFonts w:ascii="Arial" w:cs="Arial" w:eastAsia="Arial" w:hAnsi="Arial"/>
                <w:sz w:val="18"/>
                <w:szCs w:val="18"/>
                <w:color w:val="auto"/>
              </w:rPr>
              <w:t>3,160</w:t>
            </w: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$ 0.71</w:t>
            </w:r>
          </w:p>
        </w:tc>
        <w:tc>
          <w:tcPr>
            <w:tcW w:w="2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Assumed exercise or issuance of shares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36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relating to stock plans</w:t>
            </w:r>
          </w:p>
        </w:tc>
        <w:tc>
          <w:tcPr>
            <w:tcW w:w="10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0"/>
              <w:spacing w:after="0" w:line="200" w:lineRule="exact"/>
              <w:rPr>
                <w:sz w:val="20"/>
                <w:szCs w:val="20"/>
                <w:color w:val="auto"/>
              </w:rPr>
            </w:pPr>
            <w:r>
              <w:rPr>
                <w:rFonts w:ascii="Arial" w:cs="Arial" w:eastAsia="Arial" w:hAnsi="Arial"/>
                <w:sz w:val="18"/>
                <w:szCs w:val="18"/>
                <w:color w:val="auto"/>
              </w:rPr>
              <w:t>13</w:t>
            </w:r>
          </w:p>
        </w:tc>
        <w:tc>
          <w:tcPr>
            <w:tcW w:w="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line="200" w:lineRule="exact"/>
              <w:rPr>
                <w:sz w:val="20"/>
                <w:szCs w:val="20"/>
                <w:color w:val="auto"/>
              </w:rPr>
            </w:pPr>
            <w:r>
              <w:rPr>
                <w:rFonts w:ascii="Arial" w:cs="Arial" w:eastAsia="Arial" w:hAnsi="Arial"/>
                <w:sz w:val="18"/>
                <w:szCs w:val="18"/>
                <w:color w:val="auto"/>
              </w:rPr>
              <w:t>31</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line="200" w:lineRule="exact"/>
              <w:rPr>
                <w:sz w:val="20"/>
                <w:szCs w:val="20"/>
                <w:color w:val="auto"/>
              </w:rPr>
            </w:pPr>
            <w:r>
              <w:rPr>
                <w:rFonts w:ascii="Arial" w:cs="Arial" w:eastAsia="Arial" w:hAnsi="Arial"/>
                <w:sz w:val="18"/>
                <w:szCs w:val="18"/>
                <w:color w:val="auto"/>
              </w:rPr>
              <w:t>20</w:t>
            </w: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6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Diluted EPS</w:t>
            </w:r>
          </w:p>
        </w:tc>
        <w:tc>
          <w:tcPr>
            <w:tcW w:w="1000" w:type="dxa"/>
            <w:vAlign w:val="bottom"/>
            <w:tcBorders>
              <w:bottom w:val="single" w:sz="8" w:color="52A2DD"/>
            </w:tcBorders>
          </w:tcPr>
          <w:p>
            <w:pPr>
              <w:jc w:val="right"/>
              <w:ind w:right="59"/>
              <w:spacing w:after="0" w:line="196" w:lineRule="exact"/>
              <w:rPr>
                <w:sz w:val="20"/>
                <w:szCs w:val="20"/>
                <w:color w:val="auto"/>
              </w:rPr>
            </w:pPr>
            <w:r>
              <w:rPr>
                <w:rFonts w:ascii="Arial" w:cs="Arial" w:eastAsia="Arial" w:hAnsi="Arial"/>
                <w:sz w:val="18"/>
                <w:szCs w:val="18"/>
                <w:color w:val="auto"/>
              </w:rPr>
              <w:t>$2,547</w:t>
            </w:r>
          </w:p>
        </w:tc>
        <w:tc>
          <w:tcPr>
            <w:tcW w:w="740" w:type="dxa"/>
            <w:vAlign w:val="bottom"/>
            <w:tcBorders>
              <w:bottom w:val="single" w:sz="8" w:color="52A2DD"/>
            </w:tcBorders>
          </w:tcPr>
          <w:p>
            <w:pPr>
              <w:jc w:val="right"/>
              <w:ind w:right="60"/>
              <w:spacing w:after="0" w:line="196" w:lineRule="exact"/>
              <w:rPr>
                <w:sz w:val="20"/>
                <w:szCs w:val="20"/>
                <w:color w:val="auto"/>
              </w:rPr>
            </w:pPr>
            <w:r>
              <w:rPr>
                <w:rFonts w:ascii="Arial" w:cs="Arial" w:eastAsia="Arial" w:hAnsi="Arial"/>
                <w:sz w:val="18"/>
                <w:szCs w:val="18"/>
                <w:color w:val="auto"/>
              </w:rPr>
              <w:t>2,952</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$ 0.86</w:t>
            </w:r>
          </w:p>
        </w:tc>
        <w:tc>
          <w:tcPr>
            <w:tcW w:w="300" w:type="dxa"/>
            <w:vAlign w:val="bottom"/>
            <w:tcBorders>
              <w:bottom w:val="single" w:sz="8" w:color="52A2DD"/>
            </w:tcBorders>
          </w:tcPr>
          <w:p>
            <w:pPr>
              <w:spacing w:after="0"/>
              <w:rPr>
                <w:sz w:val="17"/>
                <w:szCs w:val="17"/>
                <w:color w:val="auto"/>
              </w:rPr>
            </w:pPr>
          </w:p>
        </w:tc>
        <w:tc>
          <w:tcPr>
            <w:tcW w:w="1020" w:type="dxa"/>
            <w:vAlign w:val="bottom"/>
            <w:tcBorders>
              <w:bottom w:val="single" w:sz="8" w:color="52A2DD"/>
            </w:tcBorders>
          </w:tcPr>
          <w:p>
            <w:pPr>
              <w:jc w:val="right"/>
              <w:ind w:right="79"/>
              <w:spacing w:after="0" w:line="196" w:lineRule="exact"/>
              <w:rPr>
                <w:sz w:val="20"/>
                <w:szCs w:val="20"/>
                <w:color w:val="auto"/>
              </w:rPr>
            </w:pPr>
            <w:r>
              <w:rPr>
                <w:rFonts w:ascii="Arial" w:cs="Arial" w:eastAsia="Arial" w:hAnsi="Arial"/>
                <w:sz w:val="18"/>
                <w:szCs w:val="18"/>
                <w:color w:val="auto"/>
              </w:rPr>
              <w:t>$2,587</w:t>
            </w:r>
          </w:p>
        </w:tc>
        <w:tc>
          <w:tcPr>
            <w:tcW w:w="760" w:type="dxa"/>
            <w:vAlign w:val="bottom"/>
            <w:tcBorders>
              <w:bottom w:val="single" w:sz="8" w:color="52A2DD"/>
            </w:tcBorders>
          </w:tcPr>
          <w:p>
            <w:pPr>
              <w:jc w:val="right"/>
              <w:ind w:right="80"/>
              <w:spacing w:after="0" w:line="196" w:lineRule="exact"/>
              <w:rPr>
                <w:sz w:val="20"/>
                <w:szCs w:val="20"/>
                <w:color w:val="auto"/>
              </w:rPr>
            </w:pPr>
            <w:r>
              <w:rPr>
                <w:rFonts w:ascii="Arial" w:cs="Arial" w:eastAsia="Arial" w:hAnsi="Arial"/>
                <w:sz w:val="18"/>
                <w:szCs w:val="18"/>
                <w:color w:val="auto"/>
              </w:rPr>
              <w:t>3,129</w:t>
            </w:r>
          </w:p>
        </w:tc>
        <w:tc>
          <w:tcPr>
            <w:tcW w:w="920" w:type="dxa"/>
            <w:vAlign w:val="bottom"/>
            <w:tcBorders>
              <w:bottom w:val="single" w:sz="8" w:color="52A2DD"/>
            </w:tcBorders>
            <w:gridSpan w:val="2"/>
          </w:tcPr>
          <w:p>
            <w:pPr>
              <w:jc w:val="right"/>
              <w:ind w:right="300"/>
              <w:spacing w:after="0" w:line="196" w:lineRule="exact"/>
              <w:rPr>
                <w:sz w:val="20"/>
                <w:szCs w:val="20"/>
                <w:color w:val="auto"/>
              </w:rPr>
            </w:pPr>
            <w:r>
              <w:rPr>
                <w:rFonts w:ascii="Arial" w:cs="Arial" w:eastAsia="Arial" w:hAnsi="Arial"/>
                <w:sz w:val="18"/>
                <w:szCs w:val="18"/>
                <w:color w:val="auto"/>
              </w:rPr>
              <w:t>$ 0.83</w:t>
            </w:r>
          </w:p>
        </w:tc>
        <w:tc>
          <w:tcPr>
            <w:tcW w:w="1020" w:type="dxa"/>
            <w:vAlign w:val="bottom"/>
            <w:tcBorders>
              <w:bottom w:val="single" w:sz="8" w:color="52A2DD"/>
            </w:tcBorders>
          </w:tcPr>
          <w:p>
            <w:pPr>
              <w:jc w:val="right"/>
              <w:ind w:right="79"/>
              <w:spacing w:after="0" w:line="196" w:lineRule="exact"/>
              <w:rPr>
                <w:sz w:val="20"/>
                <w:szCs w:val="20"/>
                <w:color w:val="auto"/>
              </w:rPr>
            </w:pPr>
            <w:r>
              <w:rPr>
                <w:rFonts w:ascii="Arial" w:cs="Arial" w:eastAsia="Arial" w:hAnsi="Arial"/>
                <w:sz w:val="18"/>
                <w:szCs w:val="18"/>
                <w:color w:val="auto"/>
              </w:rPr>
              <w:t>$2,235</w:t>
            </w:r>
          </w:p>
        </w:tc>
        <w:tc>
          <w:tcPr>
            <w:tcW w:w="760" w:type="dxa"/>
            <w:vAlign w:val="bottom"/>
            <w:tcBorders>
              <w:bottom w:val="single" w:sz="8" w:color="52A2DD"/>
            </w:tcBorders>
          </w:tcPr>
          <w:p>
            <w:pPr>
              <w:jc w:val="right"/>
              <w:ind w:right="80"/>
              <w:spacing w:after="0" w:line="196" w:lineRule="exact"/>
              <w:rPr>
                <w:sz w:val="20"/>
                <w:szCs w:val="20"/>
                <w:color w:val="auto"/>
              </w:rPr>
            </w:pPr>
            <w:r>
              <w:rPr>
                <w:rFonts w:ascii="Arial" w:cs="Arial" w:eastAsia="Arial" w:hAnsi="Arial"/>
                <w:sz w:val="18"/>
                <w:szCs w:val="18"/>
                <w:color w:val="auto"/>
              </w:rPr>
              <w:t>3,180</w:t>
            </w:r>
          </w:p>
        </w:tc>
        <w:tc>
          <w:tcPr>
            <w:tcW w:w="6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$ 0.70</w:t>
            </w:r>
          </w:p>
        </w:tc>
        <w:tc>
          <w:tcPr>
            <w:tcW w:w="20" w:type="dxa"/>
            <w:vAlign w:val="bottom"/>
            <w:tcBorders>
              <w:bottom w:val="single" w:sz="8" w:color="52A2DD"/>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5: Acquisitions and Other Significant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4817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Insight Transaction</w:t>
      </w:r>
    </w:p>
    <w:p>
      <w:pPr>
        <w:jc w:val="both"/>
        <w:spacing w:after="0" w:line="235" w:lineRule="auto"/>
        <w:rPr>
          <w:sz w:val="20"/>
          <w:szCs w:val="20"/>
          <w:color w:val="auto"/>
        </w:rPr>
      </w:pPr>
      <w:r>
        <w:rPr>
          <w:rFonts w:ascii="Arial" w:cs="Arial" w:eastAsia="Arial" w:hAnsi="Arial"/>
          <w:sz w:val="18"/>
          <w:szCs w:val="18"/>
          <w:color w:val="auto"/>
        </w:rPr>
        <w:t>In April 2007, we and Insight Communications (“Insight”) agreed to divide the assets and liabilities of Insight Midwest, a 50%-50% cable system partnership with Insight (the “Insight transaction”). On December 31, 2007, we contributed approximately $1.3 billion to Insight Midwest for our share of the partnership’s debt. On January 1, 2008, the distribution of the assets of Insight Midwest was completed without assumption of any of Insight’s debt by us and we received cable systems serving approximately 696,000 video customers in Illinois and Indiana (the “Comcast asset pool”). Insight received cable systems serving approximately 652,000 video customers, together with approximately $1.24 billion of debt allocated to those cable systems (the “Insight asset pool”). We accounted for our interest in Insight Midwest as an equity method investment until the Comcast asset pool was distributed to us on January 1, 2008. We accounted for the distribution of assets by Insight Midwest as a sale of our 50% interest in the Insight asset pool in exchange for acquiring an additional 50% interest in the Comcast asset pool. The estimated fair value of the 50% interest of the Comcast asset pool we received was approximately $1.2 billion and resulted in a pretax gain of approximately $235 million, which is included in other income (expense). We recorded our 50% interest in the Comcast asset pool as a step acquisition in accordance with SFAS No. 141, “Business Combinations,” (“SFAS No. 141”).</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results of operations for the cable systems acquired in the Insight transaction have been reported in our consolidated financial statements since January 1, 2008 and are reported in our Cable segment. The weighted-average amortization period of the franchise-related customer relationship intangible assets acquired was 4.5 years. Substantially all of the goodwill recorded is expected to be amortizable for tax purposes.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The table below presents the purchase price allocation to assets acquired and liabilities assumed as a result of the Insight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40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Property and equipment</w:t>
            </w: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587</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Franchise-related customer relationships</w:t>
            </w:r>
          </w:p>
        </w:tc>
        <w:tc>
          <w:tcPr>
            <w:tcW w:w="9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Cable franchise rights</w:t>
            </w:r>
          </w:p>
        </w:tc>
        <w:tc>
          <w:tcPr>
            <w:tcW w:w="9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1,374</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199"/>
        </w:trPr>
        <w:tc>
          <w:tcPr>
            <w:tcW w:w="40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r>
      <w:tr>
        <w:trPr>
          <w:trHeight w:val="196"/>
        </w:trPr>
        <w:tc>
          <w:tcPr>
            <w:tcW w:w="40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Net assets acquired</w:t>
            </w:r>
          </w:p>
        </w:tc>
        <w:tc>
          <w:tcPr>
            <w:tcW w:w="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3"/>
              </w:rPr>
              <w:t>2,126</w:t>
            </w:r>
          </w:p>
        </w:tc>
      </w:tr>
    </w:tbl>
    <w:p>
      <w:pPr>
        <w:spacing w:after="0" w:line="192"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following unaudited pro forma information has been presented as if the Insight transaction had occurred on January 1, 2007. This information is based on historical results of operations, adjusted for purchase price allocations, and is not necessarily indicative of what the results would have been had we operated the cable systems since January 1, 2007.</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2007 (in millions, except per share data)</w:t>
      </w:r>
    </w:p>
    <w:tbl>
      <w:tblPr>
        <w:tblLayout w:type="fixed"/>
        <w:tblInd w:w="0" w:type="dxa"/>
        <w:tblCellMar>
          <w:top w:w="0" w:type="dxa"/>
          <w:left w:w="0" w:type="dxa"/>
          <w:bottom w:w="0" w:type="dxa"/>
          <w:right w:w="0" w:type="dxa"/>
        </w:tblCellMar>
      </w:tblPr>
      <w:tr>
        <w:trPr>
          <w:trHeight w:val="199"/>
        </w:trPr>
        <w:tc>
          <w:tcPr>
            <w:tcW w:w="28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Revenue</w:t>
            </w:r>
          </w:p>
        </w:tc>
        <w:tc>
          <w:tcPr>
            <w:tcW w:w="20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94"/>
              </w:rPr>
              <w:t>31,582</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2,627</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Basic EPS</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0.85</w:t>
            </w:r>
          </w:p>
        </w:tc>
      </w:tr>
      <w:tr>
        <w:trPr>
          <w:trHeight w:val="199"/>
        </w:trPr>
        <w:tc>
          <w:tcPr>
            <w:tcW w:w="2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Diluted EPS</w:t>
            </w:r>
          </w:p>
        </w:tc>
        <w:tc>
          <w:tcPr>
            <w:tcW w:w="2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0.84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A2DD"/>
        </w:rPr>
        <w:t>Other 2008 Acquisitions</w:t>
      </w:r>
    </w:p>
    <w:p>
      <w:pPr>
        <w:jc w:val="both"/>
        <w:ind w:right="120"/>
        <w:spacing w:after="0" w:line="235" w:lineRule="auto"/>
        <w:rPr>
          <w:sz w:val="20"/>
          <w:szCs w:val="20"/>
          <w:color w:val="auto"/>
        </w:rPr>
      </w:pPr>
      <w:r>
        <w:rPr>
          <w:rFonts w:ascii="Arial" w:cs="Arial" w:eastAsia="Arial" w:hAnsi="Arial"/>
          <w:sz w:val="18"/>
          <w:szCs w:val="18"/>
          <w:color w:val="auto"/>
        </w:rPr>
        <w:t>In April 2008, we acquired an additional interest in Comcast SportsNet Bay Area. In July 2008, we acquired Plaxo, an address book management and social networking Web site service. In August 2008, we acquired the remaining interest in G4 that we did not already own. In September 2008, we acquired DailyCandy, an e-mail newsletter and Web site. The results of operations for these acquisitions have been included in our consolidated results of operations since their respective acquisition dates. The results of operations for Plaxo and DailyCandy are reported in Corporate and</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71"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The aggregate purchase price of these other 2008 acquisitions was approximately $610 million. None of these acquisitions were material to our consolidated financial statements for the year ended December 31,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The Houston Transaction</w:t>
      </w:r>
    </w:p>
    <w:p>
      <w:pPr>
        <w:jc w:val="both"/>
        <w:spacing w:after="0" w:line="266" w:lineRule="auto"/>
        <w:rPr>
          <w:sz w:val="20"/>
          <w:szCs w:val="20"/>
          <w:color w:val="auto"/>
        </w:rPr>
      </w:pPr>
      <w:r>
        <w:rPr>
          <w:rFonts w:ascii="Arial" w:cs="Arial" w:eastAsia="Arial" w:hAnsi="Arial"/>
          <w:sz w:val="16"/>
          <w:szCs w:val="16"/>
          <w:color w:val="auto"/>
        </w:rPr>
        <w:t>In July 2006, we initiated the dissolution of Texas and Kansas City Cable Partners (the “Houston transaction”), our 50%-50% cable system partnership with Time Warner Cable. On January 1, 2007, the distribution of assets by Texas and Kansas City Cable Partners was completed and we received the cable system serving Houston, Texas (the “Houston asset pool”) and Time Warner Cable received the cable systems serving Kansas City, south and west Texas, and New Mexico (the “Kansas City asset pool”). We accounted for the distribution of assets by Texas and Kansas City Cable Partners as a sale of our 50% interest in the Kansas City asset pool in exchange for acquiring an additional 50% interest in the Houston asset pool. This transaction resulted in an increase of approximately 700,000 video customers. The estimated fair value of the 50% interest of the Houston asset pool we received was approximately $1.1 billion and resulted in a pretax gain of approximately $500 million, which is included in other income (expense). We recorded our 50% interest in the Houston asset pool as a step acquisition in accordance with SFAS No. 141.</w:t>
      </w:r>
    </w:p>
    <w:p>
      <w:pPr>
        <w:spacing w:after="0" w:line="34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results of operations for the cable systems acquired in the Houston transaction have been reported in our Cable segment since August 1, 2006 and in our consolidated financial statements since January 1, 2007 (the date of the distribution of assets). The weighted-average amortization period of the franchise-related customer relationship intangible assets acquired was 7 years. As a result of the Houston transaction, we reversed deferred tax liabilities of approximately $200 million, which were primarily related to the excess of tax basis of the assets acquired over the tax basis of the assets exchanged, and reduced the amount of goodwill that would have otherwise been recorded in the acquisition. Substantially all of the goodwill recorded is expected to be amortizable for tax purposes.</w:t>
      </w:r>
    </w:p>
    <w:p>
      <w:pPr>
        <w:spacing w:after="0" w:line="3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table below presents the purchase price allocation to assets acquired and liabilities assumed as a result of the Houston transaction.</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402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Property and equipment</w:t>
            </w: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870</w:t>
            </w: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Franchise-related customer relationships</w:t>
            </w:r>
          </w:p>
        </w:tc>
        <w:tc>
          <w:tcPr>
            <w:tcW w:w="9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Cable franchise rights</w:t>
            </w:r>
          </w:p>
        </w:tc>
        <w:tc>
          <w:tcPr>
            <w:tcW w:w="9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1,954</w:t>
            </w: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r>
      <w:tr>
        <w:trPr>
          <w:trHeight w:val="199"/>
        </w:trPr>
        <w:tc>
          <w:tcPr>
            <w:tcW w:w="40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(73)</w:t>
            </w:r>
          </w:p>
        </w:tc>
      </w:tr>
      <w:tr>
        <w:trPr>
          <w:trHeight w:val="196"/>
        </w:trPr>
        <w:tc>
          <w:tcPr>
            <w:tcW w:w="402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7"/>
              </w:rPr>
              <w:t>3,710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52A2DD"/>
        </w:rPr>
        <w:t>Other 2007 Acquisitions</w:t>
      </w:r>
    </w:p>
    <w:p>
      <w:pPr>
        <w:jc w:val="both"/>
        <w:spacing w:after="0" w:line="266" w:lineRule="auto"/>
        <w:rPr>
          <w:sz w:val="20"/>
          <w:szCs w:val="20"/>
          <w:color w:val="auto"/>
        </w:rPr>
      </w:pPr>
      <w:r>
        <w:rPr>
          <w:rFonts w:ascii="Arial" w:cs="Arial" w:eastAsia="Arial" w:hAnsi="Arial"/>
          <w:sz w:val="16"/>
          <w:szCs w:val="16"/>
          <w:color w:val="auto"/>
        </w:rPr>
        <w:t>In April 2007, we acquired Fandango, an online entertainment site and movie-ticket service. The results of operations of Fandango have been included in our consolidated financial statements since the acquisition date and are reported in Corporate and Other. In June 2007, we acquired Rainbow Media Holdings LLC’s 60% interest in Comcast SportsNet Bay Area (formerly known as Bay Area SportsNet) and its 50% interest in Comcast SportsNet New England (formerly known as Sports Channel New England), expanding our regional sports networks. The completion of this transaction resulted in our 100% ownership in Comcast SportsNet New England and 60% ownership in Comcast SportsNet Bay Area. In August 2007, we acquired the cable system of Patriot Media serving approximately 81,000 video customers in central New Jersey. The results of operations of Patriot Media, Comcast SportsNet Bay Area and Comcast SportsNet New England have been included in our consolidated financial statements since their acquisition dates and are reported in our Cable segment. The aggregate purchase price of these other 2007 acquisitions was approximately $1.288 billion. None of these acquisitions were material to our consolidated financial statements for the year ended December 31, 2007.</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The Adelphia and Time Warner Transactions</w:t>
      </w:r>
    </w:p>
    <w:p>
      <w:pPr>
        <w:jc w:val="both"/>
        <w:spacing w:after="0" w:line="264" w:lineRule="auto"/>
        <w:rPr>
          <w:sz w:val="20"/>
          <w:szCs w:val="20"/>
          <w:color w:val="auto"/>
        </w:rPr>
      </w:pPr>
      <w:r>
        <w:rPr>
          <w:rFonts w:ascii="Arial" w:cs="Arial" w:eastAsia="Arial" w:hAnsi="Arial"/>
          <w:sz w:val="16"/>
          <w:szCs w:val="16"/>
          <w:color w:val="auto"/>
        </w:rPr>
        <w:t>In April 2005, we entered into an agreement with Adelphia Communications (“Adelphia”) in which we agreed to acquire certain assets and assume certain liabilities of Adelphia (the “Adelphia acquisition”). At the same time, we and Time Warner Cable Inc. and certain of its affiliates (“TWC”) entered into several agreements in which we agreed to (i) have our interest in Time Warner Entertainment Company, L.P. (“TWE”) redeemed, (ii) have our interest in TWC redeemed (together with the TWE redemption, the “redemptions”) and</w:t>
      </w:r>
    </w:p>
    <w:p>
      <w:pPr>
        <w:spacing w:after="0" w:line="2" w:lineRule="exact"/>
        <w:rPr>
          <w:sz w:val="20"/>
          <w:szCs w:val="20"/>
          <w:color w:val="auto"/>
        </w:rPr>
      </w:pPr>
    </w:p>
    <w:p>
      <w:pPr>
        <w:jc w:val="both"/>
        <w:ind w:firstLine="1"/>
        <w:spacing w:after="0" w:line="236"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certain cable systems acquired from Adelphia and certain Comcast cable systems with TWC (the “exchanges”). On July 31, 2006, these transactions were completed. We collectively refer to the Adelphia acquisition, the redemptions and the exchanges as the “Adelphia and Time Warner transactions.” Also in April 2005, Adelphia and TWC entered into an agreement for the acquisition of substantially all of the remaining cable system assets and the assumption of certain of the liabilities of Adelphia.</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Adelphia and Time Warner transactions resulted in a net increase of 1.7 million video customers, a net cash payment by us of approximately $1.5 billion and the disposition of our ownership interests in TWE and TWC and the assets of two cable system partnerships.</w:t>
      </w:r>
    </w:p>
    <w:p>
      <w:pPr>
        <w:spacing w:after="0" w:line="1015"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300"/>
          </w:cols>
          <w:pgMar w:left="240" w:top="459" w:right="35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Adelphia and Time Warner transactions added cable systems in 16 states (California, Colorado, Connecticut, Florida, Georgia, Louisiana, Maryland, Massachusetts, Minnesota, Mississippi, Oregon, Pennsylvania, Tennessee, Vermont, Virginia and West Virginia).</w:t>
      </w:r>
    </w:p>
    <w:p>
      <w:pPr>
        <w:spacing w:after="0" w:line="129" w:lineRule="exact"/>
        <w:rPr>
          <w:sz w:val="20"/>
          <w:szCs w:val="20"/>
          <w:color w:val="auto"/>
        </w:rPr>
      </w:pP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The cable systems we transferred to TWC included our previously owned cable systems located in Los Angeles, Cleveland and Dallas (the “Comcast exchange systems”). The operating results of the Comcast exchange systems are reported as discontinued operations and are presented in accordance with SFAS No. 144, “Accounting for the Impairment or Disposal of Long-Lived Assets,” (“SFAS No. 144”) (</w:t>
      </w:r>
      <w:hyperlink w:anchor="page55">
        <w:r>
          <w:rPr>
            <w:rFonts w:ascii="Arial" w:cs="Arial" w:eastAsia="Arial" w:hAnsi="Arial"/>
            <w:sz w:val="18"/>
            <w:szCs w:val="18"/>
            <w:u w:val="single" w:color="auto"/>
            <w:color w:val="0000EE"/>
          </w:rPr>
          <w:t>see “Discontinued Operations” below</w:t>
        </w:r>
      </w:hyperlink>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Purchase Price Allocation</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results of operations for the cable systems acquired in the Adelphia and Time Warner transactions have been included in our consolidated financial statements since July 31, 2006 (the acquisition date). The weighted-average amortization period of the franchise-related customer relationship intangible assets acquired was 7 years. As a result of the redemption of our investment in TWC and the exchange of certain cable systems in 2006, we reversed deferred tax liabilities of approximately $760 million, which were primarily related to the excess of tax basis of the assets acquired over the tax basis of the assets exchanged, and reduced the amount of goodwill and other noncurrent assets that would have otherwise been recorded in the acquisition. Substantially all of the goodwill recorded is expected to be amortizable for tax purposes.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table below presents the purchase price allocation to assets acquired and liabilities assumed as a result of the Adelphia and Time Warner transactions.</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398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Property and equipment</w:t>
            </w:r>
          </w:p>
        </w:tc>
        <w:tc>
          <w:tcPr>
            <w:tcW w:w="9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2,640</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Franchise-related customer relationships</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1,627</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Cable franchise rights</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6,730</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199"/>
        </w:trPr>
        <w:tc>
          <w:tcPr>
            <w:tcW w:w="39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(351)</w:t>
            </w:r>
          </w:p>
        </w:tc>
      </w:tr>
      <w:tr>
        <w:trPr>
          <w:trHeight w:val="196"/>
        </w:trPr>
        <w:tc>
          <w:tcPr>
            <w:tcW w:w="398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9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4"/>
              </w:rPr>
              <w:t>11,177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52A2DD"/>
        </w:rPr>
        <w:t>Discontinued Operations</w:t>
      </w:r>
    </w:p>
    <w:p>
      <w:pPr>
        <w:spacing w:after="0" w:line="14"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As discussed above, the operating results of the Comcast exchange systems transferred to TWC are reported as discontinued operations and are presented in accordance with SFAS No. 144. The table below presents the operating results of the Comcast exchange systems through the closing date of the exchanges (July 31, 2006):</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Year ended December 31, 2006 (in millions)</w:t>
      </w:r>
    </w:p>
    <w:tbl>
      <w:tblPr>
        <w:tblLayout w:type="fixed"/>
        <w:tblInd w:w="140" w:type="dxa"/>
        <w:tblCellMar>
          <w:top w:w="0" w:type="dxa"/>
          <w:left w:w="0" w:type="dxa"/>
          <w:bottom w:w="0" w:type="dxa"/>
          <w:right w:w="0" w:type="dxa"/>
        </w:tblCellMar>
      </w:tblPr>
      <w:tr>
        <w:trPr>
          <w:trHeight w:val="199"/>
        </w:trPr>
        <w:tc>
          <w:tcPr>
            <w:tcW w:w="36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Revenue</w:t>
            </w:r>
          </w:p>
        </w:tc>
        <w:tc>
          <w:tcPr>
            <w:tcW w:w="1880" w:type="dxa"/>
            <w:vAlign w:val="bottom"/>
            <w:tcBorders>
              <w:top w:val="single" w:sz="8" w:color="auto"/>
            </w:tcBorders>
          </w:tcPr>
          <w:p>
            <w:pPr>
              <w:ind w:left="1400"/>
              <w:spacing w:after="0" w:line="200" w:lineRule="exact"/>
              <w:rPr>
                <w:sz w:val="20"/>
                <w:szCs w:val="20"/>
                <w:color w:val="auto"/>
              </w:rPr>
            </w:pPr>
            <w:r>
              <w:rPr>
                <w:rFonts w:ascii="Arial" w:cs="Arial" w:eastAsia="Arial" w:hAnsi="Arial"/>
                <w:sz w:val="18"/>
                <w:szCs w:val="18"/>
                <w:color w:val="auto"/>
              </w:rPr>
              <w:t>$734</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1880" w:type="dxa"/>
            <w:vAlign w:val="bottom"/>
          </w:tcPr>
          <w:p>
            <w:pPr>
              <w:ind w:left="1400"/>
              <w:spacing w:after="0" w:line="202" w:lineRule="exact"/>
              <w:rPr>
                <w:sz w:val="20"/>
                <w:szCs w:val="20"/>
                <w:color w:val="auto"/>
              </w:rPr>
            </w:pPr>
            <w:r>
              <w:rPr>
                <w:rFonts w:ascii="Arial" w:cs="Arial" w:eastAsia="Arial" w:hAnsi="Arial"/>
                <w:sz w:val="18"/>
                <w:szCs w:val="18"/>
                <w:color w:val="auto"/>
              </w:rPr>
              <w:t>$121</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880" w:type="dxa"/>
            <w:vAlign w:val="bottom"/>
          </w:tcPr>
          <w:p>
            <w:pPr>
              <w:ind w:left="1400"/>
              <w:spacing w:after="0" w:line="202" w:lineRule="exact"/>
              <w:rPr>
                <w:sz w:val="20"/>
                <w:szCs w:val="20"/>
                <w:color w:val="auto"/>
              </w:rPr>
            </w:pPr>
            <w:r>
              <w:rPr>
                <w:rFonts w:ascii="Arial" w:cs="Arial" w:eastAsia="Arial" w:hAnsi="Arial"/>
                <w:sz w:val="18"/>
                <w:szCs w:val="18"/>
                <w:color w:val="auto"/>
                <w:w w:val="97"/>
              </w:rPr>
              <w:t>$ (18)</w:t>
            </w:r>
          </w:p>
        </w:tc>
      </w:tr>
      <w:tr>
        <w:trPr>
          <w:trHeight w:val="199"/>
        </w:trPr>
        <w:tc>
          <w:tcPr>
            <w:tcW w:w="3600" w:type="dxa"/>
            <w:vAlign w:val="bottom"/>
            <w:tcBorders>
              <w:bottom w:val="single" w:sz="8" w:color="52A2DD"/>
            </w:tcBorders>
          </w:tcPr>
          <w:p>
            <w:pPr>
              <w:spacing w:after="0" w:line="200" w:lineRule="exact"/>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52A2DD"/>
            </w:tcBorders>
          </w:tcPr>
          <w:p>
            <w:pPr>
              <w:ind w:left="1400"/>
              <w:spacing w:after="0" w:line="200" w:lineRule="exact"/>
              <w:rPr>
                <w:sz w:val="20"/>
                <w:szCs w:val="20"/>
                <w:color w:val="auto"/>
              </w:rPr>
            </w:pPr>
            <w:r>
              <w:rPr>
                <w:rFonts w:ascii="Arial" w:cs="Arial" w:eastAsia="Arial" w:hAnsi="Arial"/>
                <w:sz w:val="18"/>
                <w:szCs w:val="18"/>
                <w:color w:val="auto"/>
              </w:rPr>
              <w:t>$103</w:t>
            </w:r>
          </w:p>
        </w:tc>
      </w:tr>
    </w:tbl>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Other 2006 Acquisitions</w:t>
      </w:r>
    </w:p>
    <w:p>
      <w:pPr>
        <w:ind w:left="140"/>
        <w:spacing w:after="0" w:line="234" w:lineRule="auto"/>
        <w:rPr>
          <w:sz w:val="20"/>
          <w:szCs w:val="20"/>
          <w:color w:val="auto"/>
        </w:rPr>
      </w:pPr>
      <w:r>
        <w:rPr>
          <w:rFonts w:ascii="Arial" w:cs="Arial" w:eastAsia="Arial" w:hAnsi="Arial"/>
          <w:sz w:val="18"/>
          <w:szCs w:val="18"/>
          <w:i w:val="1"/>
          <w:iCs w:val="1"/>
          <w:color w:val="52A2DD"/>
        </w:rPr>
        <w:t>E! Entertainment Television</w:t>
      </w:r>
    </w:p>
    <w:p>
      <w:pPr>
        <w:spacing w:after="0" w:line="1"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In November 2006, we acquired the 39.5% of E! Entertainment Television, which operates the E! and Style programming networks, that we did not already own for approximately $1.2 billion. We have historically consolidated the results of operations of E! Entertainment Television. We allocated the purchase price to property and equipment, intangibles, and goodwill.</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52A2DD"/>
        </w:rPr>
        <w:t>Susquehanna</w:t>
      </w:r>
    </w:p>
    <w:p>
      <w:pPr>
        <w:spacing w:after="0" w:line="14"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In April 2006, we acquired the cable systems of Susquehanna Cable Co. and its subsidiaries (“Susquehanna”) for a total purchase price of approximately $775 million. These cable systems are located primarily in Pennsylvania, New York, Maine and Mississippi. Before the acquisition, we held an approximate 30% equity ownership interest in Susquehanna that we accounted for as an equity method investment. On May 1, 2006, Susquehanna Cable Co. redeemed the approximate 70% equity ownership interest in Susquehanna held by Susquehanna Media Co., which resulted in Susquehanna becoming 100% owned by us. The results of operations of these cable systems have been included in our consolidated financial statements since the acquisition date and are reported in our Cable segment. We allocated the purchase price to property and equipment, franchise-related customer relationship intangibles, cable franchise rights, and goodwill. The acquisition of these cable systems was not material to our consolidated financial statements for the year ended December 31, 2006.</w:t>
      </w:r>
    </w:p>
    <w:p>
      <w:pPr>
        <w:spacing w:after="0" w:line="235"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investments are presented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99"/>
        </w:trPr>
        <w:tc>
          <w:tcPr>
            <w:tcW w:w="2980" w:type="dxa"/>
            <w:vAlign w:val="bottom"/>
          </w:tcPr>
          <w:p>
            <w:pPr>
              <w:ind w:left="20"/>
              <w:spacing w:after="0" w:line="200" w:lineRule="exact"/>
              <w:rPr>
                <w:sz w:val="20"/>
                <w:szCs w:val="20"/>
                <w:color w:val="auto"/>
              </w:rPr>
            </w:pPr>
            <w:r>
              <w:rPr>
                <w:rFonts w:ascii="Arial" w:cs="Arial" w:eastAsia="Arial" w:hAnsi="Arial"/>
                <w:sz w:val="18"/>
                <w:szCs w:val="18"/>
                <w:color w:val="auto"/>
              </w:rPr>
              <w:t>Fair Value Method</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940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Debt securities</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3</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8"/>
        </w:trPr>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Equity Method</w:t>
            </w:r>
          </w:p>
        </w:tc>
        <w:tc>
          <w:tcPr>
            <w:tcW w:w="106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943</w:t>
            </w:r>
          </w:p>
        </w:tc>
        <w:tc>
          <w:tcPr>
            <w:tcW w:w="780" w:type="dxa"/>
            <w:vAlign w:val="bottom"/>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194"/>
        </w:trPr>
        <w:tc>
          <w:tcPr>
            <w:tcW w:w="29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Insight Midwest</w:t>
            </w:r>
          </w:p>
        </w:tc>
        <w:tc>
          <w:tcPr>
            <w:tcW w:w="1060" w:type="dxa"/>
            <w:vAlign w:val="bottom"/>
          </w:tcPr>
          <w:p>
            <w:pPr>
              <w:spacing w:after="0"/>
              <w:rPr>
                <w:sz w:val="17"/>
                <w:szCs w:val="17"/>
                <w:color w:val="auto"/>
              </w:rPr>
            </w:pP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SpectrumCo, LLC</w:t>
            </w:r>
          </w:p>
        </w:tc>
        <w:tc>
          <w:tcPr>
            <w:tcW w:w="1060" w:type="dxa"/>
            <w:vAlign w:val="bottom"/>
          </w:tcPr>
          <w:p>
            <w:pPr>
              <w:spacing w:after="0"/>
              <w:rPr>
                <w:sz w:val="17"/>
                <w:szCs w:val="17"/>
                <w:color w:val="auto"/>
              </w:rPr>
            </w:pP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3"/>
              </w:rPr>
              <w:t>1,354</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Clearwire</w:t>
            </w:r>
          </w:p>
        </w:tc>
        <w:tc>
          <w:tcPr>
            <w:tcW w:w="1060" w:type="dxa"/>
            <w:vAlign w:val="bottom"/>
          </w:tcPr>
          <w:p>
            <w:pPr>
              <w:spacing w:after="0"/>
              <w:rPr>
                <w:sz w:val="17"/>
                <w:szCs w:val="17"/>
                <w:color w:val="auto"/>
              </w:rPr>
            </w:pP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421</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402</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8"/>
        </w:trPr>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Cost Method</w:t>
            </w:r>
          </w:p>
        </w:tc>
        <w:tc>
          <w:tcPr>
            <w:tcW w:w="106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2,177</w:t>
            </w:r>
          </w:p>
        </w:tc>
        <w:tc>
          <w:tcPr>
            <w:tcW w:w="780" w:type="dxa"/>
            <w:vAlign w:val="bottom"/>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194"/>
        </w:trPr>
        <w:tc>
          <w:tcPr>
            <w:tcW w:w="29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AirTouch</w:t>
            </w:r>
          </w:p>
        </w:tc>
        <w:tc>
          <w:tcPr>
            <w:tcW w:w="1060" w:type="dxa"/>
            <w:vAlign w:val="bottom"/>
          </w:tcPr>
          <w:p>
            <w:pPr>
              <w:spacing w:after="0"/>
              <w:rPr>
                <w:sz w:val="17"/>
                <w:szCs w:val="17"/>
                <w:color w:val="auto"/>
              </w:rPr>
            </w:pP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3"/>
              </w:rPr>
              <w:t>1,479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243</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ind w:right="134"/>
              <w:spacing w:after="0" w:line="200" w:lineRule="exact"/>
              <w:rPr>
                <w:sz w:val="20"/>
                <w:szCs w:val="20"/>
                <w:color w:val="auto"/>
              </w:rPr>
            </w:pPr>
            <w:r>
              <w:rPr>
                <w:rFonts w:ascii="Arial" w:cs="Arial" w:eastAsia="Arial" w:hAnsi="Arial"/>
                <w:sz w:val="18"/>
                <w:szCs w:val="18"/>
                <w:color w:val="auto"/>
                <w:w w:val="93"/>
              </w:rPr>
              <w:t>1,722</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03"/>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Total investments</w:t>
            </w:r>
          </w:p>
        </w:tc>
        <w:tc>
          <w:tcPr>
            <w:tcW w:w="1060" w:type="dxa"/>
            <w:vAlign w:val="bottom"/>
          </w:tcPr>
          <w:p>
            <w:pPr>
              <w:spacing w:after="0"/>
              <w:rPr>
                <w:sz w:val="17"/>
                <w:szCs w:val="17"/>
                <w:color w:val="auto"/>
              </w:rPr>
            </w:pP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3"/>
              </w:rPr>
              <w:t>4,842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Less: Current investments</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59</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Noncurrent investments</w:t>
            </w:r>
          </w:p>
        </w:tc>
        <w:tc>
          <w:tcPr>
            <w:tcW w:w="10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134"/>
              <w:spacing w:after="0" w:line="196" w:lineRule="exact"/>
              <w:rPr>
                <w:sz w:val="20"/>
                <w:szCs w:val="20"/>
                <w:color w:val="auto"/>
              </w:rPr>
            </w:pPr>
            <w:r>
              <w:rPr>
                <w:rFonts w:ascii="Arial" w:cs="Arial" w:eastAsia="Arial" w:hAnsi="Arial"/>
                <w:sz w:val="18"/>
                <w:szCs w:val="18"/>
                <w:color w:val="auto"/>
                <w:w w:val="93"/>
              </w:rPr>
              <w:t>4,783</w:t>
            </w:r>
          </w:p>
        </w:tc>
        <w:tc>
          <w:tcPr>
            <w:tcW w:w="7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hold equity investments in publicly traded companies that we account for as AFS or trading securities. As of December 31, 2008, we held $932 million of fair value method equity securities related to our obligations under prepaid forward contracts, which mature between 2011 and 2015. At maturity of these prepaid forward contracts, the counterparties are entitled to receive some or all of the equity securities, or an equivalent amount of cash at our option, based upon the market value of the equity securities at that time.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net unrealized gains on investments accounted for as AFS securities as of December 31, 2008 and 2007 were $29 million and $42 million, respectively. The amounts were reported primarily as a component of accumulated other comprehensive income (loss), net of related deferred income taxes of $10 million and $15 million in 2008 and 2007, respectively.</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fair value, and unrealized gains and losses related to our AFS securities are presented in the table below. The decreases in 2008 from 2007 are primarily due to the sale of debt securities.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99"/>
        </w:trPr>
        <w:tc>
          <w:tcPr>
            <w:tcW w:w="3260" w:type="dxa"/>
            <w:vAlign w:val="bottom"/>
          </w:tcPr>
          <w:p>
            <w:pPr>
              <w:ind w:left="20"/>
              <w:spacing w:after="0" w:line="200" w:lineRule="exact"/>
              <w:rPr>
                <w:sz w:val="20"/>
                <w:szCs w:val="20"/>
                <w:color w:val="auto"/>
              </w:rPr>
            </w:pPr>
            <w:r>
              <w:rPr>
                <w:rFonts w:ascii="Arial" w:cs="Arial" w:eastAsia="Arial" w:hAnsi="Arial"/>
                <w:sz w:val="18"/>
                <w:szCs w:val="18"/>
                <w:color w:val="auto"/>
              </w:rPr>
              <w:t>Cost</w:t>
            </w:r>
          </w:p>
        </w:tc>
        <w:tc>
          <w:tcPr>
            <w:tcW w:w="1540" w:type="dxa"/>
            <w:vAlign w:val="bottom"/>
          </w:tcPr>
          <w:p>
            <w:pPr>
              <w:jc w:val="right"/>
              <w:ind w:right="176"/>
              <w:spacing w:after="0" w:line="200" w:lineRule="exact"/>
              <w:rPr>
                <w:sz w:val="20"/>
                <w:szCs w:val="20"/>
                <w:color w:val="auto"/>
              </w:rPr>
            </w:pPr>
            <w:r>
              <w:rPr>
                <w:rFonts w:ascii="Arial" w:cs="Arial" w:eastAsia="Arial" w:hAnsi="Arial"/>
                <w:sz w:val="18"/>
                <w:szCs w:val="18"/>
                <w:color w:val="auto"/>
              </w:rPr>
              <w:t>$60</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$685</w:t>
            </w: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Unrealized gains</w:t>
            </w:r>
          </w:p>
        </w:tc>
        <w:tc>
          <w:tcPr>
            <w:tcW w:w="15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34</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199"/>
        </w:trPr>
        <w:tc>
          <w:tcPr>
            <w:tcW w:w="32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Unrealized losses</w:t>
            </w:r>
          </w:p>
        </w:tc>
        <w:tc>
          <w:tcPr>
            <w:tcW w:w="154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r>
      <w:tr>
        <w:trPr>
          <w:trHeight w:val="196"/>
        </w:trPr>
        <w:tc>
          <w:tcPr>
            <w:tcW w:w="326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Fair value</w:t>
            </w:r>
          </w:p>
        </w:tc>
        <w:tc>
          <w:tcPr>
            <w:tcW w:w="1540" w:type="dxa"/>
            <w:vAlign w:val="bottom"/>
            <w:tcBorders>
              <w:bottom w:val="single" w:sz="8" w:color="52A2DD"/>
            </w:tcBorders>
          </w:tcPr>
          <w:p>
            <w:pPr>
              <w:jc w:val="right"/>
              <w:ind w:right="176"/>
              <w:spacing w:after="0" w:line="196" w:lineRule="exact"/>
              <w:rPr>
                <w:sz w:val="20"/>
                <w:szCs w:val="20"/>
                <w:color w:val="auto"/>
              </w:rPr>
            </w:pPr>
            <w:r>
              <w:rPr>
                <w:rFonts w:ascii="Arial" w:cs="Arial" w:eastAsia="Arial" w:hAnsi="Arial"/>
                <w:sz w:val="18"/>
                <w:szCs w:val="18"/>
                <w:color w:val="auto"/>
              </w:rPr>
              <w:t>$89</w:t>
            </w:r>
          </w:p>
        </w:tc>
        <w:tc>
          <w:tcPr>
            <w:tcW w:w="6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$727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Proceeds from the sale of AFS securities in 2008, 2007 and 2006 were $638 million, $1.033 billion and $209 million, respectively. Gross realized gains on these sales in 2008, 2007 and 2006 were $1 million, $145 million and $59 million, respectively. Sales of AFS securities for the year ended December 31, 2008 consisted primarily of the sale of debt securities. Sales of AFS securities in 2007 and 2006 consisted primarily of sales of Time Warner Inc.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-1572895</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Insight Midwest Partnership</w:t>
      </w: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We accounted for our interest in Insight Midwest as an equity method investment until January 1, 2008, the date the Comcast asset pool was distributed to us (</w:t>
      </w:r>
      <w:hyperlink w:anchor="page53">
        <w:r>
          <w:rPr>
            <w:rFonts w:ascii="Arial" w:cs="Arial" w:eastAsia="Arial" w:hAnsi="Arial"/>
            <w:sz w:val="18"/>
            <w:szCs w:val="18"/>
            <w:u w:val="single" w:color="auto"/>
            <w:color w:val="0000EE"/>
          </w:rPr>
          <w:t>see Note 5</w:t>
        </w:r>
      </w:hyperlink>
      <w:r>
        <w:rPr>
          <w:rFonts w:ascii="Arial" w:cs="Arial" w:eastAsia="Arial" w:hAnsi="Arial"/>
          <w:sz w:val="18"/>
          <w:szCs w:val="18"/>
          <w:color w:val="auto"/>
        </w:rPr>
        <w:t>). As of December 31, 2007, our recorded investment in Insight exceeded our proportionate interest in the book value of its net assets by $144 million. The basis difference was attributed to indefinite-lived intangible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2A2DD"/>
        </w:rPr>
        <w:t>SpectrumCo, LLC</w:t>
      </w:r>
    </w:p>
    <w:p>
      <w:pPr>
        <w:jc w:val="both"/>
        <w:spacing w:after="0" w:line="235" w:lineRule="auto"/>
        <w:rPr>
          <w:sz w:val="20"/>
          <w:szCs w:val="20"/>
          <w:color w:val="auto"/>
        </w:rPr>
      </w:pPr>
      <w:r>
        <w:rPr>
          <w:rFonts w:ascii="Arial" w:cs="Arial" w:eastAsia="Arial" w:hAnsi="Arial"/>
          <w:sz w:val="18"/>
          <w:szCs w:val="18"/>
          <w:color w:val="auto"/>
        </w:rPr>
        <w:t>SpectrumCo, LLC (“SpectrumCo”), a consortium of investors including us, Time Warner Cable, Bright House Networks and Cox Communications (“Cox”), was the successful bidder for 137 wireless spectrum licenses for approximately $2.4 billion in the Federal Communications Commission’s advanced wireless spectrum auction that concluded in September 2006. Our portion of the total cost to purchase the licenses was approximately $1.3 billion. In October 2008, SpectrumCo and its members entered into an agreement under which Cox would withdraw as a member of SpectrumCo and have its interest in SpectrumCo redeemed in accordance with its pre-existing exit rights. Under the agreement, Cox was entitled to receive from SpectrumCo at the closing approximately $70 million and certain spectrum licenses covering areas in or near Cox’s service area. The agreement required the $70 million to be funded by contributions to SpectrumCo from the remaining members. This transaction closed in January 2009 and we contributed $45 million to SpectrumCo to satisfy our funding obligations under the agreement. Based on SpectrumCo’s currently planned activities, we have determined that it is not a VIE. We have and continue to account for this joint venture as an equity method investment based on its governance structure, notwithstanding our majority interest.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A2DD"/>
        </w:rPr>
        <w:t>Clearwire</w:t>
      </w:r>
    </w:p>
    <w:p>
      <w:pPr>
        <w:jc w:val="both"/>
        <w:spacing w:after="0" w:line="235" w:lineRule="auto"/>
        <w:rPr>
          <w:sz w:val="20"/>
          <w:szCs w:val="20"/>
          <w:color w:val="auto"/>
        </w:rPr>
      </w:pPr>
      <w:r>
        <w:rPr>
          <w:rFonts w:ascii="Arial" w:cs="Arial" w:eastAsia="Arial" w:hAnsi="Arial"/>
          <w:sz w:val="18"/>
          <w:szCs w:val="18"/>
          <w:color w:val="auto"/>
        </w:rPr>
        <w:t>In November 2008, Sprint Nextel (“Sprint”) and the legal predecessor of Clearwire Corporation (“old Clearwire”) closed on a series of transactions (collectively the “Clearwire transaction”) with an investor group made up of us, Intel, Google, Time Warner Cable and Bright House Networks. As a result of the Clearwire transaction, Sprint and old Clearwire combined their next-generation wireless broadband businesses and formed a new independent holding company, Clearwire Corporation, and its operating subsidiary, Clearwire Communications LLC (“Clearwire</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300"/>
          </w:cols>
          <w:pgMar w:left="240" w:top="459" w:right="3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LLC”), that will focus on the deployment of a nationwide 4G wireless network. We, together with the other members of the investor group, have invested $3.2 billion in Clearwire LLC. Our portion of the investment was $1.05 billion. As a result of our investment, we received ownership units (“ownership units”) of Clearwire LLC and Class B stock (“voting stock”) of Clearwire Corporation, the publicly traded holding company that controls Clearwire LLC. The voting stock has voting rights equal to those of the publicly traded Class A stock of Clearwire Corporation, but has only minimal economic rights. We hold our economic rights through the ownership units, which have limited voting rights. One ownership unit combined with one share of voting stock are exchangeable into one share of Clearwire Corporation’s publicly traded Class A stock. At closing, we received 52.5 million ownership units and 52.5 million shares of voting stock, which represents an approximate 7% ownership interest on a fully diluted basis. During the first quarter of 2009, the purchase price per share is expected to be adjusted based on the trading prices of Clearwire Corporation’s publicly traded Class A stock. After the post-closing adjustment, we anticipate that we will have an approximate 8% ownership interest on a fully diluted basis.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connection with the Clearwire transaction, we entered into an agreement with Sprint that allows us to offer wireless services utilizing certain of Sprint’s existing wireless networks and an agreement with Clearwire LLC that allows us to offer wireless services utilizing Clearwire’s next generation wireless broadband network. We allocated a portion of our $1.05 billion investment to the related agreements.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will account for our investment under the equity method and record our share of net income or loss one quarter in arrears. Clearwire LLC is expected to incur losses in the early years of operation, which under the equity method of accounting, will be reflected in our future operating results and reduce the cost basis of our investment. We evaluated our investment at December 31, 2008 to determine if an other than temporary decline in fair value below our cost basis had occurred. The primary input in estimating the fair value of our investment was the quoted market value of Clearwire publicly traded Class A shares at December 31, 2008, which declined significantly from the date of our initial agreement in May 2008. As a result of the severe decline in the quoted market value, we recognized an impairment in other income (expense) of $600 million to adjust our cost basis in our investment to its estimated fair value. In the future, our evaluation of other than temporary declines in fair value of our investment will include a comparison of actual operating results and updated forecasts to the projected discounted cash flows that were used in making our initial investment decision, other impairment indicators, such as changes in competition or technology, as well as a comparison to the value that would be obtained by exchanging our investment into Clearwire Corporation’s publicly traded Class A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-856615</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AirTouch Communications, Inc.</w:t>
      </w:r>
    </w:p>
    <w:p>
      <w:pPr>
        <w:jc w:val="both"/>
        <w:ind w:left="140" w:right="120"/>
        <w:spacing w:after="0" w:line="236" w:lineRule="auto"/>
        <w:rPr>
          <w:sz w:val="20"/>
          <w:szCs w:val="20"/>
          <w:color w:val="auto"/>
        </w:rPr>
      </w:pPr>
      <w:r>
        <w:rPr>
          <w:rFonts w:ascii="Arial" w:cs="Arial" w:eastAsia="Arial" w:hAnsi="Arial"/>
          <w:sz w:val="18"/>
          <w:szCs w:val="18"/>
          <w:color w:val="auto"/>
        </w:rPr>
        <w:t>We hold two series of preferred stock of AirTouch Communications, Inc. (“AirTouch”), a subsidiary of Vodafone, which are redeemable in April 2020. As of December 31, 2008 and 2007, the AirTouch preferred stock was recorded at $1.479 billion and $1.465 billion, respectively.</w:t>
      </w:r>
    </w:p>
    <w:p>
      <w:pPr>
        <w:spacing w:after="0" w:line="157" w:lineRule="exact"/>
        <w:rPr>
          <w:sz w:val="20"/>
          <w:szCs w:val="20"/>
          <w:color w:val="auto"/>
        </w:rPr>
      </w:pPr>
    </w:p>
    <w:p>
      <w:pPr>
        <w:jc w:val="both"/>
        <w:ind w:left="140" w:right="120"/>
        <w:spacing w:after="0" w:line="268" w:lineRule="auto"/>
        <w:rPr>
          <w:sz w:val="20"/>
          <w:szCs w:val="20"/>
          <w:color w:val="auto"/>
        </w:rPr>
      </w:pPr>
      <w:r>
        <w:rPr>
          <w:rFonts w:ascii="Arial" w:cs="Arial" w:eastAsia="Arial" w:hAnsi="Arial"/>
          <w:sz w:val="16"/>
          <w:szCs w:val="16"/>
          <w:color w:val="auto"/>
        </w:rPr>
        <w:t>As of December 31, 2008, the estimated fair value of the AirTouch preferred stock was $1.357 billion, which is below our carrying amount. The recent decline in fair value is attributable to changes in interest rates. We have determined this decline to be temporary. The factors considered were the length of time and the extent to which the market value has been less than cost, the credit rating of AirTouch, and our intent and ability to retain the investment for a period of time sufficient to allow for recovery. Specifically, we expect to hold the two series of AirTouch preferred stock until their redemption in 2020.</w:t>
      </w:r>
    </w:p>
    <w:p>
      <w:pPr>
        <w:spacing w:after="0" w:line="136"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$1.750 billion. Substantially all of the preferred shares are redeemable in April 2020 at a redemption value of $1.650 billion. As of December 31, 2008 and 2007, the two redeemable series of subsidiary preferred shares were recorded at $1.468 billion and $1.465 billion, respectively, and those amounts are included in other noncurrent liabilities. The one nonredeemable series of subsidiary preferred shares was recorded at $100 million as of both December 31, 2008 and 2007 and those amounts are included in minority interest on our consolidated balance sheet.</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Investment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29210</wp:posOffset>
            </wp:positionV>
            <wp:extent cx="34817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2008</w:t>
            </w: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120" w:type="dxa"/>
            <w:vAlign w:val="bottom"/>
          </w:tcPr>
          <w:p>
            <w:pPr>
              <w:spacing w:after="0"/>
              <w:rPr>
                <w:sz w:val="14"/>
                <w:szCs w:val="14"/>
                <w:color w:val="auto"/>
              </w:rPr>
            </w:pPr>
          </w:p>
        </w:tc>
      </w:tr>
      <w:tr>
        <w:trPr>
          <w:trHeight w:val="199"/>
        </w:trPr>
        <w:tc>
          <w:tcPr>
            <w:tcW w:w="140" w:type="dxa"/>
            <w:vAlign w:val="bottom"/>
          </w:tcPr>
          <w:p>
            <w:pPr>
              <w:spacing w:after="0"/>
              <w:rPr>
                <w:sz w:val="17"/>
                <w:szCs w:val="17"/>
                <w:color w:val="auto"/>
              </w:rPr>
            </w:pPr>
          </w:p>
        </w:tc>
        <w:tc>
          <w:tcPr>
            <w:tcW w:w="2600" w:type="dxa"/>
            <w:vAlign w:val="bottom"/>
          </w:tcPr>
          <w:p>
            <w:pPr>
              <w:spacing w:after="0" w:line="200" w:lineRule="exact"/>
              <w:rPr>
                <w:sz w:val="20"/>
                <w:szCs w:val="20"/>
                <w:color w:val="auto"/>
              </w:rPr>
            </w:pPr>
            <w:r>
              <w:rPr>
                <w:rFonts w:ascii="Arial" w:cs="Arial" w:eastAsia="Arial" w:hAnsi="Arial"/>
                <w:sz w:val="18"/>
                <w:szCs w:val="18"/>
                <w:color w:val="auto"/>
              </w:rPr>
              <w:t>Gains on sales and</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exchanges of investments,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net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8</w:t>
            </w:r>
          </w:p>
        </w:tc>
        <w:tc>
          <w:tcPr>
            <w:tcW w:w="9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$ 151</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$ 733</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Investment impairment losses</w:t>
            </w:r>
          </w:p>
        </w:tc>
        <w:tc>
          <w:tcPr>
            <w:tcW w:w="380" w:type="dxa"/>
            <w:vAlign w:val="bottom"/>
          </w:tcPr>
          <w:p>
            <w:pPr>
              <w:spacing w:after="0"/>
              <w:rPr>
                <w:sz w:val="17"/>
                <w:szCs w:val="17"/>
                <w:color w:val="auto"/>
              </w:rPr>
            </w:pPr>
          </w:p>
        </w:tc>
        <w:tc>
          <w:tcPr>
            <w:tcW w:w="7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(28)</w:t>
            </w:r>
          </w:p>
        </w:tc>
        <w:tc>
          <w:tcPr>
            <w:tcW w:w="9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(4)</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Unrealized gains (losses) on</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trading securities and</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hedged items</w:t>
            </w:r>
          </w:p>
        </w:tc>
        <w:tc>
          <w:tcPr>
            <w:tcW w:w="380" w:type="dxa"/>
            <w:vAlign w:val="bottom"/>
          </w:tcPr>
          <w:p>
            <w:pPr>
              <w:spacing w:after="0"/>
              <w:rPr>
                <w:sz w:val="17"/>
                <w:szCs w:val="17"/>
                <w:color w:val="auto"/>
              </w:rPr>
            </w:pPr>
          </w:p>
        </w:tc>
        <w:tc>
          <w:tcPr>
            <w:tcW w:w="780" w:type="dxa"/>
            <w:vAlign w:val="bottom"/>
          </w:tcPr>
          <w:p>
            <w:pPr>
              <w:jc w:val="right"/>
              <w:ind w:right="134"/>
              <w:spacing w:after="0" w:line="202" w:lineRule="exact"/>
              <w:rPr>
                <w:sz w:val="20"/>
                <w:szCs w:val="20"/>
                <w:color w:val="auto"/>
              </w:rPr>
            </w:pPr>
            <w:r>
              <w:rPr>
                <w:rFonts w:ascii="Arial" w:cs="Arial" w:eastAsia="Arial" w:hAnsi="Arial"/>
                <w:sz w:val="18"/>
                <w:szCs w:val="18"/>
                <w:color w:val="auto"/>
                <w:w w:val="94"/>
              </w:rPr>
              <w:t>(1,117)</w:t>
            </w:r>
          </w:p>
        </w:tc>
        <w:tc>
          <w:tcPr>
            <w:tcW w:w="9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315</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Mark to market adjustments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on derivatives related to</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trading securities and</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hedged items</w:t>
            </w:r>
          </w:p>
        </w:tc>
        <w:tc>
          <w:tcPr>
            <w:tcW w:w="380" w:type="dxa"/>
            <w:vAlign w:val="bottom"/>
          </w:tcPr>
          <w:p>
            <w:pPr>
              <w:spacing w:after="0"/>
              <w:rPr>
                <w:sz w:val="17"/>
                <w:szCs w:val="17"/>
                <w:color w:val="auto"/>
              </w:rPr>
            </w:pPr>
          </w:p>
        </w:tc>
        <w:tc>
          <w:tcPr>
            <w:tcW w:w="7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1,120</w:t>
            </w:r>
          </w:p>
        </w:tc>
        <w:tc>
          <w:tcPr>
            <w:tcW w:w="9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(188)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Mark to market adjustments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on derivatives</w:t>
            </w:r>
          </w:p>
        </w:tc>
        <w:tc>
          <w:tcPr>
            <w:tcW w:w="380" w:type="dxa"/>
            <w:vAlign w:val="bottom"/>
          </w:tcPr>
          <w:p>
            <w:pPr>
              <w:spacing w:after="0"/>
              <w:rPr>
                <w:sz w:val="17"/>
                <w:szCs w:val="17"/>
                <w:color w:val="auto"/>
              </w:rPr>
            </w:pPr>
          </w:p>
        </w:tc>
        <w:tc>
          <w:tcPr>
            <w:tcW w:w="7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57</w:t>
            </w:r>
          </w:p>
        </w:tc>
        <w:tc>
          <w:tcPr>
            <w:tcW w:w="9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160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380" w:type="dxa"/>
            <w:vAlign w:val="bottom"/>
          </w:tcPr>
          <w:p>
            <w:pPr>
              <w:spacing w:after="0"/>
              <w:rPr>
                <w:sz w:val="17"/>
                <w:szCs w:val="17"/>
                <w:color w:val="auto"/>
              </w:rPr>
            </w:pPr>
          </w:p>
        </w:tc>
        <w:tc>
          <w:tcPr>
            <w:tcW w:w="78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149</w:t>
            </w:r>
          </w:p>
        </w:tc>
        <w:tc>
          <w:tcPr>
            <w:tcW w:w="96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199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7"/>
                <w:szCs w:val="17"/>
                <w:color w:val="auto"/>
              </w:rPr>
            </w:pPr>
          </w:p>
        </w:tc>
      </w:tr>
      <w:tr>
        <w:trPr>
          <w:trHeight w:val="199"/>
        </w:trPr>
        <w:tc>
          <w:tcPr>
            <w:tcW w:w="140" w:type="dxa"/>
            <w:vAlign w:val="bottom"/>
          </w:tcPr>
          <w:p>
            <w:pPr>
              <w:spacing w:after="0"/>
              <w:rPr>
                <w:sz w:val="17"/>
                <w:szCs w:val="17"/>
                <w:color w:val="auto"/>
              </w:rPr>
            </w:pPr>
          </w:p>
        </w:tc>
        <w:tc>
          <w:tcPr>
            <w:tcW w:w="26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(100)</w:t>
            </w:r>
          </w:p>
        </w:tc>
        <w:tc>
          <w:tcPr>
            <w:tcW w:w="96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(32)</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26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color w:val="auto"/>
              </w:rPr>
              <w:t>89</w:t>
            </w:r>
          </w:p>
        </w:tc>
        <w:tc>
          <w:tcPr>
            <w:tcW w:w="9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color w:val="auto"/>
              </w:rPr>
              <w:t>$ 601</w:t>
            </w:r>
          </w:p>
        </w:tc>
        <w:tc>
          <w:tcPr>
            <w:tcW w:w="7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$ 990</w:t>
            </w:r>
          </w:p>
        </w:tc>
        <w:tc>
          <w:tcPr>
            <w:tcW w:w="120" w:type="dxa"/>
            <w:vAlign w:val="bottom"/>
          </w:tcPr>
          <w:p>
            <w:pPr>
              <w:spacing w:after="0"/>
              <w:rPr>
                <w:sz w:val="17"/>
                <w:szCs w:val="17"/>
                <w:color w:val="auto"/>
              </w:rPr>
            </w:pPr>
          </w:p>
        </w:tc>
      </w:tr>
      <w:tr>
        <w:trPr>
          <w:trHeight w:val="412"/>
        </w:trPr>
        <w:tc>
          <w:tcPr>
            <w:tcW w:w="2740" w:type="dxa"/>
            <w:vAlign w:val="bottom"/>
            <w:gridSpan w:val="2"/>
          </w:tcPr>
          <w:p>
            <w:pPr>
              <w:jc w:val="right"/>
              <w:ind w:right="2493"/>
              <w:spacing w:after="0"/>
              <w:rPr>
                <w:sz w:val="20"/>
                <w:szCs w:val="20"/>
                <w:color w:val="auto"/>
              </w:rPr>
            </w:pPr>
            <w:r>
              <w:rPr>
                <w:rFonts w:ascii="Arial" w:cs="Arial" w:eastAsia="Arial" w:hAnsi="Arial"/>
                <w:sz w:val="14"/>
                <w:szCs w:val="14"/>
                <w:b w:val="1"/>
                <w:bCs w:val="1"/>
                <w:color w:val="auto"/>
                <w:w w:val="89"/>
              </w:rPr>
              <w:t>55</w:t>
            </w:r>
          </w:p>
        </w:tc>
        <w:tc>
          <w:tcPr>
            <w:tcW w:w="3000" w:type="dxa"/>
            <w:vAlign w:val="bottom"/>
            <w:gridSpan w:val="5"/>
          </w:tcPr>
          <w:p>
            <w:pPr>
              <w:ind w:left="360"/>
              <w:spacing w:after="0"/>
              <w:rPr>
                <w:sz w:val="20"/>
                <w:szCs w:val="20"/>
                <w:color w:val="auto"/>
              </w:rPr>
            </w:pPr>
            <w:r>
              <w:rPr>
                <w:rFonts w:ascii="Arial" w:cs="Arial" w:eastAsia="Arial" w:hAnsi="Arial"/>
                <w:sz w:val="14"/>
                <w:szCs w:val="14"/>
                <w:color w:val="auto"/>
                <w:w w:val="95"/>
              </w:rPr>
              <w:t>Comcast 2008 Annual Report on Form 10-K</w:t>
            </w:r>
          </w:p>
        </w:tc>
      </w:tr>
    </w:tbl>
    <w:p>
      <w:pPr>
        <w:sectPr>
          <w:pgSz w:w="11900" w:h="16838" w:orient="portrait"/>
          <w:cols w:equalWidth="0" w:num="2">
            <w:col w:w="5480" w:space="200"/>
            <w:col w:w="574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Adelphia and Time Warner transactions in 2006, we recognized total gains of approximately $646 million on the redemptions and the exchange of cable systems held by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7: Goodwill and Other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8" w:lineRule="auto"/>
        <w:rPr>
          <w:rFonts w:ascii="Arial" w:cs="Arial" w:eastAsia="Arial" w:hAnsi="Arial"/>
          <w:sz w:val="18"/>
          <w:szCs w:val="18"/>
          <w:color w:val="auto"/>
        </w:rPr>
      </w:pPr>
      <w:r>
        <w:rPr>
          <w:rFonts w:ascii="Arial" w:cs="Arial" w:eastAsia="Arial" w:hAnsi="Arial"/>
          <w:sz w:val="18"/>
          <w:szCs w:val="18"/>
          <w:color w:val="auto"/>
        </w:rPr>
        <w:t>Century and Parnassos (</w:t>
      </w:r>
      <w:hyperlink w:anchor="page53">
        <w:r>
          <w:rPr>
            <w:rFonts w:ascii="Arial" w:cs="Arial" w:eastAsia="Arial" w:hAnsi="Arial"/>
            <w:sz w:val="18"/>
            <w:szCs w:val="18"/>
            <w:u w:val="single" w:color="auto"/>
            <w:color w:val="0000EE"/>
          </w:rPr>
          <w:t>see Note 5</w:t>
        </w:r>
      </w:hyperlink>
      <w:r>
        <w:rPr>
          <w:rFonts w:ascii="Arial" w:cs="Arial" w:eastAsia="Arial" w:hAnsi="Arial"/>
          <w:sz w:val="18"/>
          <w:szCs w:val="18"/>
          <w:color w:val="auto"/>
        </w:rPr>
        <w:t>). These gains are included within the “Gains on sales and exchanges of investments, net” caption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-1026795</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473075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9"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rPr>
          <w:rFonts w:ascii="Arial" w:cs="Arial" w:eastAsia="Arial" w:hAnsi="Arial"/>
          <w:sz w:val="18"/>
          <w:szCs w:val="18"/>
          <w:color w:val="auto"/>
        </w:rPr>
      </w:pPr>
      <w:r>
        <w:rPr>
          <w:rFonts w:ascii="Arial" w:cs="Arial" w:eastAsia="Arial" w:hAnsi="Arial"/>
          <w:sz w:val="18"/>
          <w:szCs w:val="18"/>
          <w:color w:val="auto"/>
        </w:rPr>
        <w:t>The changes in the carrying amount of goodwill by business segment (</w:t>
      </w:r>
      <w:hyperlink w:anchor="page71">
        <w:r>
          <w:rPr>
            <w:rFonts w:ascii="Arial" w:cs="Arial" w:eastAsia="Arial" w:hAnsi="Arial"/>
            <w:sz w:val="18"/>
            <w:szCs w:val="18"/>
            <w:u w:val="single" w:color="auto"/>
            <w:color w:val="0000EE"/>
          </w:rPr>
          <w:t>see Note 16</w:t>
        </w:r>
      </w:hyperlink>
      <w:r>
        <w:rPr>
          <w:rFonts w:ascii="Arial" w:cs="Arial" w:eastAsia="Arial" w:hAnsi="Arial"/>
          <w:sz w:val="18"/>
          <w:szCs w:val="18"/>
          <w:color w:val="auto"/>
        </w:rPr>
        <w:t>) are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color w:val="auto"/>
              </w:rPr>
              <w:t>Corporate</w:t>
            </w:r>
          </w:p>
        </w:tc>
        <w:tc>
          <w:tcPr>
            <w:tcW w:w="920" w:type="dxa"/>
            <w:vAlign w:val="bottom"/>
          </w:tcPr>
          <w:p>
            <w:pPr>
              <w:spacing w:after="0"/>
              <w:rPr>
                <w:sz w:val="14"/>
                <w:szCs w:val="14"/>
                <w:color w:val="auto"/>
              </w:rPr>
            </w:pPr>
          </w:p>
        </w:tc>
      </w:tr>
      <w:tr>
        <w:trPr>
          <w:trHeight w:val="163"/>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Cable</w:t>
            </w: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Programming</w:t>
            </w: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and 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9"/>
        </w:trPr>
        <w:tc>
          <w:tcPr>
            <w:tcW w:w="4740" w:type="dxa"/>
            <w:vAlign w:val="bottom"/>
          </w:tcPr>
          <w:p>
            <w:pPr>
              <w:spacing w:after="0" w:line="200" w:lineRule="exact"/>
              <w:rPr>
                <w:sz w:val="20"/>
                <w:szCs w:val="20"/>
                <w:color w:val="auto"/>
              </w:rPr>
            </w:pPr>
            <w:r>
              <w:rPr>
                <w:rFonts w:ascii="Arial" w:cs="Arial" w:eastAsia="Arial" w:hAnsi="Arial"/>
                <w:sz w:val="18"/>
                <w:szCs w:val="18"/>
                <w:color w:val="auto"/>
              </w:rPr>
              <w:t>Balance, December 31, 2006</w:t>
            </w:r>
          </w:p>
        </w:tc>
        <w:tc>
          <w:tcPr>
            <w:tcW w:w="338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$12,010</w:t>
            </w:r>
          </w:p>
        </w:tc>
        <w:tc>
          <w:tcPr>
            <w:tcW w:w="44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1,441</w:t>
            </w:r>
          </w:p>
        </w:tc>
        <w:tc>
          <w:tcPr>
            <w:tcW w:w="42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317</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$13,768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3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660</w:t>
            </w:r>
          </w:p>
        </w:tc>
        <w:tc>
          <w:tcPr>
            <w:tcW w:w="44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806</w:t>
            </w:r>
          </w:p>
        </w:tc>
      </w:tr>
      <w:tr>
        <w:trPr>
          <w:trHeight w:val="199"/>
        </w:trPr>
        <w:tc>
          <w:tcPr>
            <w:tcW w:w="4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and adjustments</w:t>
            </w:r>
          </w:p>
        </w:tc>
        <w:tc>
          <w:tcPr>
            <w:tcW w:w="3380" w:type="dxa"/>
            <w:vAlign w:val="bottom"/>
            <w:tcBorders>
              <w:bottom w:val="single" w:sz="8" w:color="auto"/>
            </w:tcBorders>
          </w:tcPr>
          <w:p>
            <w:pPr>
              <w:jc w:val="right"/>
              <w:ind w:right="175"/>
              <w:spacing w:after="0" w:line="200" w:lineRule="exact"/>
              <w:rPr>
                <w:sz w:val="20"/>
                <w:szCs w:val="20"/>
                <w:color w:val="auto"/>
              </w:rPr>
            </w:pPr>
            <w:r>
              <w:rPr>
                <w:rFonts w:ascii="Arial" w:cs="Arial" w:eastAsia="Arial" w:hAnsi="Arial"/>
                <w:sz w:val="18"/>
                <w:szCs w:val="18"/>
                <w:color w:val="auto"/>
              </w:rPr>
              <w:t>172</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(82)</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131</w:t>
            </w:r>
          </w:p>
        </w:tc>
      </w:tr>
      <w:tr>
        <w:trPr>
          <w:trHeight w:val="199"/>
        </w:trPr>
        <w:tc>
          <w:tcPr>
            <w:tcW w:w="4740" w:type="dxa"/>
            <w:vAlign w:val="bottom"/>
          </w:tcPr>
          <w:p>
            <w:pPr>
              <w:spacing w:after="0" w:line="200" w:lineRule="exact"/>
              <w:rPr>
                <w:sz w:val="20"/>
                <w:szCs w:val="20"/>
                <w:color w:val="auto"/>
              </w:rPr>
            </w:pPr>
            <w:r>
              <w:rPr>
                <w:rFonts w:ascii="Arial" w:cs="Arial" w:eastAsia="Arial" w:hAnsi="Arial"/>
                <w:sz w:val="18"/>
                <w:szCs w:val="18"/>
                <w:color w:val="auto"/>
              </w:rPr>
              <w:t>Balance, December 31, 2007</w:t>
            </w:r>
          </w:p>
        </w:tc>
        <w:tc>
          <w:tcPr>
            <w:tcW w:w="338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$12,842</w:t>
            </w:r>
          </w:p>
        </w:tc>
        <w:tc>
          <w:tcPr>
            <w:tcW w:w="44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1,482</w:t>
            </w:r>
          </w:p>
        </w:tc>
        <w:tc>
          <w:tcPr>
            <w:tcW w:w="42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381</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$14,705</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3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306</w:t>
            </w:r>
          </w:p>
        </w:tc>
        <w:tc>
          <w:tcPr>
            <w:tcW w:w="44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139</w:t>
            </w:r>
          </w:p>
        </w:tc>
        <w:tc>
          <w:tcPr>
            <w:tcW w:w="420" w:type="dxa"/>
            <w:vAlign w:val="bottom"/>
          </w:tcPr>
          <w:p>
            <w:pPr>
              <w:spacing w:after="0"/>
              <w:rPr>
                <w:sz w:val="17"/>
                <w:szCs w:val="17"/>
                <w:color w:val="auto"/>
              </w:rPr>
            </w:pP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209</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r>
      <w:tr>
        <w:trPr>
          <w:trHeight w:val="199"/>
        </w:trPr>
        <w:tc>
          <w:tcPr>
            <w:tcW w:w="4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and adjustments</w:t>
            </w:r>
          </w:p>
        </w:tc>
        <w:tc>
          <w:tcPr>
            <w:tcW w:w="338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(475)</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6</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(470)</w:t>
            </w:r>
          </w:p>
        </w:tc>
      </w:tr>
      <w:tr>
        <w:trPr>
          <w:trHeight w:val="196"/>
        </w:trPr>
        <w:tc>
          <w:tcPr>
            <w:tcW w:w="47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Balance, December 31, 2008</w:t>
            </w:r>
          </w:p>
        </w:tc>
        <w:tc>
          <w:tcPr>
            <w:tcW w:w="338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color w:val="auto"/>
              </w:rPr>
              <w:t>$12,673</w:t>
            </w:r>
          </w:p>
        </w:tc>
        <w:tc>
          <w:tcPr>
            <w:tcW w:w="44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172"/>
              <w:spacing w:after="0" w:line="196" w:lineRule="exact"/>
              <w:rPr>
                <w:sz w:val="20"/>
                <w:szCs w:val="20"/>
                <w:color w:val="auto"/>
              </w:rPr>
            </w:pPr>
            <w:r>
              <w:rPr>
                <w:rFonts w:ascii="Arial" w:cs="Arial" w:eastAsia="Arial" w:hAnsi="Arial"/>
                <w:sz w:val="18"/>
                <w:szCs w:val="18"/>
                <w:color w:val="auto"/>
              </w:rPr>
              <w:t>1,620</w:t>
            </w:r>
          </w:p>
        </w:tc>
        <w:tc>
          <w:tcPr>
            <w:tcW w:w="42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172"/>
              <w:spacing w:after="0" w:line="196" w:lineRule="exact"/>
              <w:rPr>
                <w:sz w:val="20"/>
                <w:szCs w:val="20"/>
                <w:color w:val="auto"/>
              </w:rPr>
            </w:pPr>
            <w:r>
              <w:rPr>
                <w:rFonts w:ascii="Arial" w:cs="Arial" w:eastAsia="Arial" w:hAnsi="Arial"/>
                <w:sz w:val="18"/>
                <w:szCs w:val="18"/>
                <w:color w:val="auto"/>
              </w:rPr>
              <w:t>596</w:t>
            </w:r>
          </w:p>
        </w:tc>
        <w:tc>
          <w:tcPr>
            <w:tcW w:w="9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$14,889</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6"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Cable segment acquisitions in 2008 were primarily related to the Insight transaction and the acquisition of an additional interest in Comcast SportsNet Bay Area. Programming segment acquisitions in 2008 were primarily related to the acquisition of the remaining interest in G4 that we did not already own. Corporate and Other acquisitions in 2008 were primarily related to Internet-related business, including Plaxo and DailyCandy. Settlements and adjustments in 2008 were primarily related to the settlement of an uncertain tax position of an acquired entity (</w:t>
      </w:r>
      <w:hyperlink w:anchor="page66">
        <w:r>
          <w:rPr>
            <w:rFonts w:ascii="Arial" w:cs="Arial" w:eastAsia="Arial" w:hAnsi="Arial"/>
            <w:sz w:val="18"/>
            <w:szCs w:val="18"/>
            <w:u w:val="single" w:color="auto"/>
            <w:color w:val="0000EE"/>
          </w:rPr>
          <w:t>see Note 13</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120"/>
        <w:spacing w:after="0" w:line="236" w:lineRule="auto"/>
        <w:rPr>
          <w:sz w:val="20"/>
          <w:szCs w:val="20"/>
          <w:color w:val="auto"/>
        </w:rPr>
      </w:pPr>
      <w:r>
        <w:rPr>
          <w:rFonts w:ascii="Arial" w:cs="Arial" w:eastAsia="Arial" w:hAnsi="Arial"/>
          <w:sz w:val="18"/>
          <w:szCs w:val="18"/>
          <w:color w:val="auto"/>
        </w:rPr>
        <w:t>Cable segment acquisitions in 2007 were primarily related to the Houston transaction, the acquisition of the cable system of Patriot Media and various smaller acquisitions. Corporate and Other acquisitions in 2007 were primarily related to the acquisition of Fandango. Settlements and adjustments in 2007 were primarily related to valuation refinements made in connection with the Adelphia and Time Warner transactions and the adoption of FIN 48.</w:t>
      </w:r>
    </w:p>
    <w:p>
      <w:pPr>
        <w:spacing w:after="0" w:line="59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subject to amortization are presented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2008</w:t>
            </w: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4"/>
                <w:szCs w:val="14"/>
                <w:color w:val="auto"/>
              </w:rPr>
            </w:pPr>
          </w:p>
        </w:tc>
      </w:tr>
      <w:tr>
        <w:trPr>
          <w:trHeight w:val="141"/>
        </w:trPr>
        <w:tc>
          <w:tcPr>
            <w:tcW w:w="5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4"/>
                <w:szCs w:val="14"/>
                <w:color w:val="auto"/>
              </w:rPr>
              <w:t>Gross</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4"/>
                <w:szCs w:val="14"/>
                <w:color w:val="auto"/>
              </w:rPr>
              <w:t>Gross</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5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8"/>
              </w:rPr>
              <w:t>Carrying</w:t>
            </w:r>
          </w:p>
        </w:tc>
        <w:tc>
          <w:tcPr>
            <w:tcW w:w="13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Accumulated</w:t>
            </w:r>
          </w:p>
        </w:tc>
      </w:tr>
      <w:tr>
        <w:trPr>
          <w:trHeight w:val="163"/>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Useful Life</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3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Amortization</w:t>
            </w:r>
          </w:p>
        </w:tc>
      </w:tr>
      <w:tr>
        <w:trPr>
          <w:trHeight w:val="199"/>
        </w:trPr>
        <w:tc>
          <w:tcPr>
            <w:tcW w:w="5280" w:type="dxa"/>
            <w:vAlign w:val="bottom"/>
          </w:tcPr>
          <w:p>
            <w:pPr>
              <w:spacing w:after="0" w:line="200" w:lineRule="exact"/>
              <w:rPr>
                <w:sz w:val="20"/>
                <w:szCs w:val="20"/>
                <w:color w:val="auto"/>
              </w:rPr>
            </w:pPr>
            <w:r>
              <w:rPr>
                <w:rFonts w:ascii="Arial" w:cs="Arial" w:eastAsia="Arial" w:hAnsi="Arial"/>
                <w:sz w:val="18"/>
                <w:szCs w:val="18"/>
                <w:color w:val="auto"/>
              </w:rPr>
              <w:t>Customer relationships</w:t>
            </w:r>
          </w:p>
        </w:tc>
        <w:tc>
          <w:tcPr>
            <w:tcW w:w="182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4-12 years</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5,512</w:t>
            </w:r>
          </w:p>
        </w:tc>
        <w:tc>
          <w:tcPr>
            <w:tcW w:w="540" w:type="dxa"/>
            <w:vAlign w:val="bottom"/>
          </w:tcPr>
          <w:p>
            <w:pPr>
              <w:ind w:left="36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line="200" w:lineRule="exact"/>
              <w:rPr>
                <w:sz w:val="20"/>
                <w:szCs w:val="20"/>
                <w:color w:val="auto"/>
              </w:rPr>
            </w:pPr>
            <w:r>
              <w:rPr>
                <w:rFonts w:ascii="Arial" w:cs="Arial" w:eastAsia="Arial" w:hAnsi="Arial"/>
                <w:sz w:val="18"/>
                <w:szCs w:val="18"/>
                <w:color w:val="auto"/>
              </w:rPr>
              <w:t>(4,030)</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5,466</w:t>
            </w:r>
          </w:p>
        </w:tc>
        <w:tc>
          <w:tcPr>
            <w:tcW w:w="540" w:type="dxa"/>
            <w:vAlign w:val="bottom"/>
          </w:tcPr>
          <w:p>
            <w:pPr>
              <w:ind w:left="34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(3,694)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Cable and satellite television distribution rights</w:t>
            </w:r>
          </w:p>
        </w:tc>
        <w:tc>
          <w:tcPr>
            <w:tcW w:w="1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6-22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1,533</w:t>
            </w:r>
          </w:p>
        </w:tc>
        <w:tc>
          <w:tcPr>
            <w:tcW w:w="54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(859)</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1,482</w:t>
            </w:r>
          </w:p>
        </w:tc>
        <w:tc>
          <w:tcPr>
            <w:tcW w:w="5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(702)</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1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5-15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1,154</w:t>
            </w:r>
          </w:p>
        </w:tc>
        <w:tc>
          <w:tcPr>
            <w:tcW w:w="54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(484)</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1,045</w:t>
            </w:r>
          </w:p>
        </w:tc>
        <w:tc>
          <w:tcPr>
            <w:tcW w:w="5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Computer software</w:t>
            </w:r>
          </w:p>
        </w:tc>
        <w:tc>
          <w:tcPr>
            <w:tcW w:w="1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1,887</w:t>
            </w:r>
          </w:p>
        </w:tc>
        <w:tc>
          <w:tcPr>
            <w:tcW w:w="54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(1,045)</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1,445</w:t>
            </w:r>
          </w:p>
        </w:tc>
        <w:tc>
          <w:tcPr>
            <w:tcW w:w="5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(798)</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Patents and other technology rights</w:t>
            </w:r>
          </w:p>
        </w:tc>
        <w:tc>
          <w:tcPr>
            <w:tcW w:w="1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3-12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54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(119)</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5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Programming agreements and rights</w:t>
            </w:r>
          </w:p>
        </w:tc>
        <w:tc>
          <w:tcPr>
            <w:tcW w:w="1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1-10 years</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1,508</w:t>
            </w:r>
          </w:p>
        </w:tc>
        <w:tc>
          <w:tcPr>
            <w:tcW w:w="540" w:type="dxa"/>
            <w:vAlign w:val="bottom"/>
          </w:tcPr>
          <w:p>
            <w:pPr>
              <w:spacing w:after="0"/>
              <w:rPr>
                <w:sz w:val="17"/>
                <w:szCs w:val="17"/>
                <w:color w:val="auto"/>
              </w:rPr>
            </w:pP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(1,303)</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1,199</w:t>
            </w:r>
          </w:p>
        </w:tc>
        <w:tc>
          <w:tcPr>
            <w:tcW w:w="5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(1,017)</w:t>
            </w:r>
          </w:p>
        </w:tc>
      </w:tr>
      <w:tr>
        <w:trPr>
          <w:trHeight w:val="199"/>
        </w:trPr>
        <w:tc>
          <w:tcPr>
            <w:tcW w:w="5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agreements and rights</w:t>
            </w:r>
          </w:p>
        </w:tc>
        <w:tc>
          <w:tcPr>
            <w:tcW w:w="1820" w:type="dxa"/>
            <w:vAlign w:val="bottom"/>
            <w:tcBorders>
              <w:bottom w:val="single" w:sz="8" w:color="auto"/>
            </w:tcBorders>
            <w:gridSpan w:val="2"/>
          </w:tcPr>
          <w:p>
            <w:pPr>
              <w:jc w:val="right"/>
              <w:ind w:right="200"/>
              <w:spacing w:after="0" w:line="200" w:lineRule="exact"/>
              <w:rPr>
                <w:sz w:val="20"/>
                <w:szCs w:val="20"/>
                <w:color w:val="auto"/>
              </w:rPr>
            </w:pPr>
            <w:r>
              <w:rPr>
                <w:rFonts w:ascii="Arial" w:cs="Arial" w:eastAsia="Arial" w:hAnsi="Arial"/>
                <w:sz w:val="18"/>
                <w:szCs w:val="18"/>
                <w:color w:val="auto"/>
              </w:rPr>
              <w:t>2-21 years</w:t>
            </w: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880</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(320)</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854</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(299)</w:t>
            </w:r>
          </w:p>
        </w:tc>
      </w:tr>
      <w:tr>
        <w:trPr>
          <w:trHeight w:val="196"/>
        </w:trPr>
        <w:tc>
          <w:tcPr>
            <w:tcW w:w="52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1620" w:type="dxa"/>
            <w:vAlign w:val="bottom"/>
            <w:tcBorders>
              <w:bottom w:val="single" w:sz="8" w:color="52A2DD"/>
            </w:tcBorders>
          </w:tcPr>
          <w:p>
            <w:pPr>
              <w:spacing w:after="0"/>
              <w:rPr>
                <w:sz w:val="17"/>
                <w:szCs w:val="17"/>
                <w:color w:val="auto"/>
              </w:rPr>
            </w:pPr>
          </w:p>
        </w:tc>
        <w:tc>
          <w:tcPr>
            <w:tcW w:w="200" w:type="dxa"/>
            <w:vAlign w:val="bottom"/>
            <w:tcBorders>
              <w:bottom w:val="single" w:sz="8" w:color="52A2DD"/>
            </w:tcBorders>
          </w:tcPr>
          <w:p>
            <w:pPr>
              <w:spacing w:after="0"/>
              <w:rPr>
                <w:sz w:val="17"/>
                <w:szCs w:val="17"/>
                <w:color w:val="auto"/>
              </w:rPr>
            </w:pP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4"/>
              </w:rPr>
              <w:t>12,718</w:t>
            </w:r>
          </w:p>
        </w:tc>
        <w:tc>
          <w:tcPr>
            <w:tcW w:w="540" w:type="dxa"/>
            <w:vAlign w:val="bottom"/>
            <w:tcBorders>
              <w:bottom w:val="single" w:sz="8" w:color="52A2DD"/>
            </w:tcBorders>
          </w:tcPr>
          <w:p>
            <w:pPr>
              <w:ind w:left="36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52A2DD"/>
            </w:tcBorders>
          </w:tcPr>
          <w:p>
            <w:pPr>
              <w:jc w:val="right"/>
              <w:ind w:right="72"/>
              <w:spacing w:after="0" w:line="196" w:lineRule="exact"/>
              <w:rPr>
                <w:sz w:val="20"/>
                <w:szCs w:val="20"/>
                <w:color w:val="auto"/>
              </w:rPr>
            </w:pPr>
            <w:r>
              <w:rPr>
                <w:rFonts w:ascii="Arial" w:cs="Arial" w:eastAsia="Arial" w:hAnsi="Arial"/>
                <w:sz w:val="18"/>
                <w:szCs w:val="18"/>
                <w:color w:val="auto"/>
              </w:rPr>
              <w:t>(8,160)</w:t>
            </w:r>
          </w:p>
        </w:tc>
        <w:tc>
          <w:tcPr>
            <w:tcW w:w="2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4"/>
              </w:rPr>
              <w:t>11,716</w:t>
            </w:r>
          </w:p>
        </w:tc>
        <w:tc>
          <w:tcPr>
            <w:tcW w:w="540" w:type="dxa"/>
            <w:vAlign w:val="bottom"/>
            <w:tcBorders>
              <w:bottom w:val="single" w:sz="8" w:color="52A2DD"/>
            </w:tcBorders>
          </w:tcPr>
          <w:p>
            <w:pPr>
              <w:ind w:left="34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(6,977)</w:t>
            </w:r>
          </w:p>
        </w:tc>
      </w:tr>
      <w:tr>
        <w:trPr>
          <w:trHeight w:val="506"/>
        </w:trPr>
        <w:tc>
          <w:tcPr>
            <w:tcW w:w="52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20" w:type="dxa"/>
            <w:vAlign w:val="bottom"/>
          </w:tcPr>
          <w:p>
            <w:pPr>
              <w:jc w:val="right"/>
              <w:ind w:right="977"/>
              <w:spacing w:after="0"/>
              <w:rPr>
                <w:sz w:val="20"/>
                <w:szCs w:val="20"/>
                <w:color w:val="auto"/>
              </w:rPr>
            </w:pPr>
            <w:r>
              <w:rPr>
                <w:rFonts w:ascii="Arial" w:cs="Arial" w:eastAsia="Arial" w:hAnsi="Arial"/>
                <w:sz w:val="14"/>
                <w:szCs w:val="14"/>
                <w:b w:val="1"/>
                <w:bCs w:val="1"/>
                <w:color w:val="auto"/>
              </w:rPr>
              <w:t>56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estimated expense for each of the next five years recognized in amortization expense and other accounts are presented in the table below. The amortization of certain intangible assets of our Programming segment are not recognized as amortization expense but as a reduction to revenue or as an operating expense and are presented under the caption “Other Accounts.”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480" w:type="dxa"/>
            <w:vAlign w:val="bottom"/>
            <w:gridSpan w:val="2"/>
          </w:tcPr>
          <w:p>
            <w:pPr>
              <w:ind w:left="1420"/>
              <w:spacing w:after="0"/>
              <w:rPr>
                <w:sz w:val="20"/>
                <w:szCs w:val="20"/>
                <w:color w:val="auto"/>
              </w:rPr>
            </w:pPr>
            <w:r>
              <w:rPr>
                <w:rFonts w:ascii="Arial" w:cs="Arial" w:eastAsia="Arial" w:hAnsi="Arial"/>
                <w:sz w:val="14"/>
                <w:szCs w:val="14"/>
                <w:color w:val="auto"/>
              </w:rPr>
              <w:t>Amortization</w:t>
            </w:r>
          </w:p>
        </w:tc>
        <w:tc>
          <w:tcPr>
            <w:tcW w:w="4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Other</w:t>
            </w:r>
          </w:p>
        </w:tc>
      </w:tr>
      <w:tr>
        <w:trPr>
          <w:trHeight w:val="149"/>
        </w:trPr>
        <w:tc>
          <w:tcPr>
            <w:tcW w:w="212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6"/>
              <w:spacing w:after="0" w:line="149" w:lineRule="exact"/>
              <w:rPr>
                <w:sz w:val="20"/>
                <w:szCs w:val="20"/>
                <w:color w:val="auto"/>
              </w:rPr>
            </w:pPr>
            <w:r>
              <w:rPr>
                <w:rFonts w:ascii="Arial" w:cs="Arial" w:eastAsia="Arial" w:hAnsi="Arial"/>
                <w:sz w:val="14"/>
                <w:szCs w:val="14"/>
                <w:color w:val="auto"/>
              </w:rPr>
              <w:t>Expense</w:t>
            </w:r>
          </w:p>
        </w:tc>
        <w:tc>
          <w:tcPr>
            <w:tcW w:w="880" w:type="dxa"/>
            <w:vAlign w:val="bottom"/>
            <w:tcBorders>
              <w:bottom w:val="single" w:sz="8" w:color="auto"/>
            </w:tcBorders>
            <w:gridSpan w:val="2"/>
          </w:tcPr>
          <w:p>
            <w:pPr>
              <w:ind w:left="320"/>
              <w:spacing w:after="0" w:line="149" w:lineRule="exact"/>
              <w:rPr>
                <w:sz w:val="20"/>
                <w:szCs w:val="20"/>
                <w:color w:val="auto"/>
              </w:rPr>
            </w:pPr>
            <w:r>
              <w:rPr>
                <w:rFonts w:ascii="Arial" w:cs="Arial" w:eastAsia="Arial" w:hAnsi="Arial"/>
                <w:sz w:val="14"/>
                <w:szCs w:val="14"/>
                <w:color w:val="auto"/>
                <w:w w:val="93"/>
              </w:rPr>
              <w:t>Accounts</w:t>
            </w:r>
          </w:p>
        </w:tc>
      </w:tr>
      <w:tr>
        <w:trPr>
          <w:trHeight w:val="199"/>
        </w:trPr>
        <w:tc>
          <w:tcPr>
            <w:tcW w:w="2120" w:type="dxa"/>
            <w:vAlign w:val="bottom"/>
          </w:tcPr>
          <w:p>
            <w:pPr>
              <w:ind w:left="20"/>
              <w:spacing w:after="0" w:line="200" w:lineRule="exact"/>
              <w:rPr>
                <w:sz w:val="20"/>
                <w:szCs w:val="20"/>
                <w:color w:val="auto"/>
              </w:rPr>
            </w:pPr>
            <w:r>
              <w:rPr>
                <w:rFonts w:ascii="Arial" w:cs="Arial" w:eastAsia="Arial" w:hAnsi="Arial"/>
                <w:sz w:val="18"/>
                <w:szCs w:val="18"/>
                <w:color w:val="auto"/>
              </w:rPr>
              <w:t>2009</w:t>
            </w:r>
          </w:p>
        </w:tc>
        <w:tc>
          <w:tcPr>
            <w:tcW w:w="1580" w:type="dxa"/>
            <w:vAlign w:val="bottom"/>
          </w:tcPr>
          <w:p>
            <w:pPr>
              <w:ind w:left="14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987</w:t>
            </w:r>
          </w:p>
        </w:tc>
        <w:tc>
          <w:tcPr>
            <w:tcW w:w="480" w:type="dxa"/>
            <w:vAlign w:val="bottom"/>
          </w:tcPr>
          <w:p>
            <w:pPr>
              <w:ind w:left="320"/>
              <w:spacing w:after="0" w:line="200"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154</w:t>
            </w: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2010</w:t>
            </w:r>
          </w:p>
        </w:tc>
        <w:tc>
          <w:tcPr>
            <w:tcW w:w="1580" w:type="dxa"/>
            <w:vAlign w:val="bottom"/>
          </w:tcPr>
          <w:p>
            <w:pPr>
              <w:ind w:left="14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882</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2011</w:t>
            </w:r>
          </w:p>
        </w:tc>
        <w:tc>
          <w:tcPr>
            <w:tcW w:w="1580" w:type="dxa"/>
            <w:vAlign w:val="bottom"/>
          </w:tcPr>
          <w:p>
            <w:pPr>
              <w:ind w:left="14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748</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2012</w:t>
            </w:r>
          </w:p>
        </w:tc>
        <w:tc>
          <w:tcPr>
            <w:tcW w:w="1580" w:type="dxa"/>
            <w:vAlign w:val="bottom"/>
          </w:tcPr>
          <w:p>
            <w:pPr>
              <w:ind w:left="14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623</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199"/>
        </w:trPr>
        <w:tc>
          <w:tcPr>
            <w:tcW w:w="21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2013</w:t>
            </w:r>
          </w:p>
        </w:tc>
        <w:tc>
          <w:tcPr>
            <w:tcW w:w="1580" w:type="dxa"/>
            <w:vAlign w:val="bottom"/>
            <w:tcBorders>
              <w:bottom w:val="single" w:sz="8" w:color="auto"/>
            </w:tcBorders>
          </w:tcPr>
          <w:p>
            <w:pPr>
              <w:ind w:left="1420"/>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6"/>
              <w:spacing w:after="0" w:line="200" w:lineRule="exact"/>
              <w:rPr>
                <w:sz w:val="20"/>
                <w:szCs w:val="20"/>
                <w:color w:val="auto"/>
              </w:rPr>
            </w:pPr>
            <w:r>
              <w:rPr>
                <w:rFonts w:ascii="Arial" w:cs="Arial" w:eastAsia="Arial" w:hAnsi="Arial"/>
                <w:sz w:val="18"/>
                <w:szCs w:val="18"/>
                <w:color w:val="auto"/>
              </w:rPr>
              <w:t>389</w:t>
            </w:r>
          </w:p>
        </w:tc>
        <w:tc>
          <w:tcPr>
            <w:tcW w:w="480" w:type="dxa"/>
            <w:vAlign w:val="bottom"/>
            <w:tcBorders>
              <w:bottom w:val="single" w:sz="8" w:color="auto"/>
            </w:tcBorders>
          </w:tcPr>
          <w:p>
            <w:pPr>
              <w:ind w:left="320"/>
              <w:spacing w:after="0" w:line="200"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8: Fair Value of Financial Assets and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Effective January 1, 2008, we adopted the provisions of SFAS No. 157 that relate to our financial assets and financial liabilities (“financial instruments”) as discussed in </w:t>
      </w:r>
      <w:hyperlink w:anchor="page52">
        <w:r>
          <w:rPr>
            <w:rFonts w:ascii="Arial" w:cs="Arial" w:eastAsia="Arial" w:hAnsi="Arial"/>
            <w:sz w:val="18"/>
            <w:szCs w:val="18"/>
            <w:u w:val="single" w:color="auto"/>
            <w:color w:val="0000EE"/>
          </w:rPr>
          <w:t>Note 3</w:t>
        </w:r>
      </w:hyperlink>
      <w:r>
        <w:rPr>
          <w:rFonts w:ascii="Arial" w:cs="Arial" w:eastAsia="Arial" w:hAnsi="Arial"/>
          <w:sz w:val="18"/>
          <w:szCs w:val="18"/>
          <w:color w:val="auto"/>
        </w:rPr>
        <w:t>. SFAS No. 157 establishes a hierarchy that prioritizes fair value measurements based on the types of inputs used for the various valuation techniques (market approach, income approach and cost approach). The levels of the hierarchy are described below:</w:t>
      </w:r>
    </w:p>
    <w:p>
      <w:pPr>
        <w:spacing w:after="0" w:line="196" w:lineRule="exact"/>
        <w:rPr>
          <w:sz w:val="20"/>
          <w:szCs w:val="20"/>
          <w:color w:val="auto"/>
        </w:rPr>
      </w:pPr>
    </w:p>
    <w:p>
      <w:pPr>
        <w:jc w:val="both"/>
        <w:ind w:left="220" w:hanging="212"/>
        <w:spacing w:after="0" w:line="238"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 is based on quoted market prices for identical financial instruments in an active market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200" w:right="120" w:hanging="199"/>
        <w:spacing w:after="0" w:line="268" w:lineRule="auto"/>
        <w:tabs>
          <w:tab w:leader="none" w:pos="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 instrument and (iv) pricing models whose inputs are derived principally from or corroborated by observable market data through correlation or other means for substantially the full term of the financial instrument</w:t>
      </w:r>
    </w:p>
    <w:p>
      <w:pPr>
        <w:spacing w:after="0" w:line="173" w:lineRule="exact"/>
        <w:rPr>
          <w:rFonts w:ascii="Arial" w:cs="Arial" w:eastAsia="Arial" w:hAnsi="Arial"/>
          <w:sz w:val="16"/>
          <w:szCs w:val="16"/>
          <w:color w:val="auto"/>
        </w:rPr>
      </w:pPr>
    </w:p>
    <w:p>
      <w:pPr>
        <w:jc w:val="both"/>
        <w:ind w:left="200" w:right="140" w:hanging="199"/>
        <w:spacing w:after="0" w:line="236"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utilize significant inputs that are primarily unobservable, discounted cash flow methodologies, or similar techniques, as well as instruments for which the determination of fair value requires significant management judgment or estimation</w:t>
      </w:r>
    </w:p>
    <w:p>
      <w:pPr>
        <w:spacing w:after="0" w:line="156"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As required by SFAS No. 157, financial instruments are classified in their entirety based on the lowest level of input that is significant to the fair value measurement. There have been no changes in the classification of any financial instruments within the fair value hierarchy since our adoption of SFAS No. 157. Our financial instruments that are accounted for at fair value on a recurring basis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460375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3"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6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7"/>
              </w:rPr>
              <w:t>Fair value as of December 31, 2008</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vMerge w:val="continue"/>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440"/>
              <w:spacing w:after="0" w:line="142" w:lineRule="exact"/>
              <w:rPr>
                <w:sz w:val="20"/>
                <w:szCs w:val="20"/>
                <w:color w:val="auto"/>
              </w:rPr>
            </w:pPr>
            <w:r>
              <w:rPr>
                <w:rFonts w:ascii="Arial" w:cs="Arial" w:eastAsia="Arial" w:hAnsi="Arial"/>
                <w:sz w:val="14"/>
                <w:szCs w:val="14"/>
                <w:color w:val="auto"/>
                <w:w w:val="97"/>
              </w:rPr>
              <w:t>Level 1</w:t>
            </w:r>
          </w:p>
        </w:tc>
        <w:tc>
          <w:tcPr>
            <w:tcW w:w="10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color w:val="auto"/>
              </w:rPr>
              <w:t>Level 2</w:t>
            </w:r>
          </w:p>
        </w:tc>
        <w:tc>
          <w:tcPr>
            <w:tcW w:w="82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color w:val="auto"/>
              </w:rPr>
              <w:t>Level 3</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5100" w:type="dxa"/>
            <w:vAlign w:val="bottom"/>
          </w:tcPr>
          <w:p>
            <w:pPr>
              <w:spacing w:after="0" w:line="200" w:lineRule="exact"/>
              <w:rPr>
                <w:sz w:val="20"/>
                <w:szCs w:val="20"/>
                <w:color w:val="auto"/>
              </w:rPr>
            </w:pPr>
            <w:r>
              <w:rPr>
                <w:rFonts w:ascii="Arial" w:cs="Arial" w:eastAsia="Arial" w:hAnsi="Arial"/>
                <w:sz w:val="18"/>
                <w:szCs w:val="18"/>
                <w:color w:val="auto"/>
              </w:rPr>
              <w:t>Assets</w:t>
            </w:r>
          </w:p>
        </w:tc>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Trading securities</w:t>
            </w:r>
          </w:p>
        </w:tc>
        <w:tc>
          <w:tcPr>
            <w:tcW w:w="3240" w:type="dxa"/>
            <w:vAlign w:val="bottom"/>
            <w:gridSpan w:val="2"/>
          </w:tcPr>
          <w:p>
            <w:pPr>
              <w:ind w:left="31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9"/>
              </w:rPr>
              <w:t>932</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500" w:type="dxa"/>
            <w:vAlign w:val="bottom"/>
          </w:tcPr>
          <w:p>
            <w:pPr>
              <w:spacing w:after="0"/>
              <w:rPr>
                <w:sz w:val="17"/>
                <w:szCs w:val="17"/>
                <w:color w:val="auto"/>
              </w:rPr>
            </w:pPr>
          </w:p>
        </w:tc>
        <w:tc>
          <w:tcPr>
            <w:tcW w:w="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Equity warrants</w:t>
            </w:r>
          </w:p>
        </w:tc>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Cash surrender value of life insurance policies</w:t>
            </w:r>
          </w:p>
        </w:tc>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147</w:t>
            </w:r>
          </w:p>
        </w:tc>
        <w:tc>
          <w:tcPr>
            <w:tcW w:w="360" w:type="dxa"/>
            <w:vAlign w:val="bottom"/>
          </w:tcPr>
          <w:p>
            <w:pPr>
              <w:spacing w:after="0"/>
              <w:rPr>
                <w:sz w:val="17"/>
                <w:szCs w:val="17"/>
                <w:color w:val="auto"/>
              </w:rPr>
            </w:pP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9"/>
        </w:trPr>
        <w:tc>
          <w:tcPr>
            <w:tcW w:w="5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Interest rate exchange agreements</w:t>
            </w:r>
          </w:p>
        </w:tc>
        <w:tc>
          <w:tcPr>
            <w:tcW w:w="2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291</w:t>
            </w: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52A2DD"/>
            </w:tcBorders>
          </w:tcPr>
          <w:p>
            <w:pPr>
              <w:spacing w:after="0"/>
              <w:rPr>
                <w:sz w:val="17"/>
                <w:szCs w:val="17"/>
                <w:color w:val="auto"/>
              </w:rPr>
            </w:pPr>
          </w:p>
        </w:tc>
        <w:tc>
          <w:tcPr>
            <w:tcW w:w="3240" w:type="dxa"/>
            <w:vAlign w:val="bottom"/>
            <w:tcBorders>
              <w:bottom w:val="single" w:sz="8" w:color="52A2DD"/>
            </w:tcBorders>
            <w:gridSpan w:val="2"/>
          </w:tcPr>
          <w:p>
            <w:pPr>
              <w:ind w:left="310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9"/>
              </w:rPr>
              <w:t>939</w:t>
            </w:r>
          </w:p>
        </w:tc>
        <w:tc>
          <w:tcPr>
            <w:tcW w:w="5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ind w:right="132"/>
              <w:spacing w:after="0" w:line="196" w:lineRule="exact"/>
              <w:rPr>
                <w:sz w:val="20"/>
                <w:szCs w:val="20"/>
                <w:color w:val="auto"/>
              </w:rPr>
            </w:pPr>
            <w:r>
              <w:rPr>
                <w:rFonts w:ascii="Arial" w:cs="Arial" w:eastAsia="Arial" w:hAnsi="Arial"/>
                <w:sz w:val="18"/>
                <w:szCs w:val="18"/>
                <w:color w:val="auto"/>
              </w:rPr>
              <w:t>441</w:t>
            </w:r>
          </w:p>
        </w:tc>
        <w:tc>
          <w:tcPr>
            <w:tcW w:w="360" w:type="dxa"/>
            <w:vAlign w:val="bottom"/>
            <w:tcBorders>
              <w:bottom w:val="single" w:sz="8" w:color="52A2DD"/>
            </w:tcBorders>
          </w:tcPr>
          <w:p>
            <w:pPr>
              <w:ind w:left="18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52A2DD"/>
            </w:tcBorders>
          </w:tcPr>
          <w:p>
            <w:pPr>
              <w:jc w:val="right"/>
              <w:ind w:right="112"/>
              <w:spacing w:after="0" w:line="196"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7"/>
              </w:rPr>
              <w:t>1,381</w:t>
            </w:r>
          </w:p>
        </w:tc>
        <w:tc>
          <w:tcPr>
            <w:tcW w:w="0" w:type="dxa"/>
            <w:vAlign w:val="bottom"/>
          </w:tcPr>
          <w:p>
            <w:pPr>
              <w:spacing w:after="0"/>
              <w:rPr>
                <w:sz w:val="1"/>
                <w:szCs w:val="1"/>
                <w:color w:val="auto"/>
              </w:rPr>
            </w:pPr>
          </w:p>
        </w:tc>
      </w:tr>
      <w:tr>
        <w:trPr>
          <w:trHeight w:val="199"/>
        </w:trPr>
        <w:tc>
          <w:tcPr>
            <w:tcW w:w="5100" w:type="dxa"/>
            <w:vAlign w:val="bottom"/>
          </w:tcPr>
          <w:p>
            <w:pPr>
              <w:spacing w:after="0" w:line="200" w:lineRule="exact"/>
              <w:rPr>
                <w:sz w:val="20"/>
                <w:szCs w:val="20"/>
                <w:color w:val="auto"/>
              </w:rPr>
            </w:pPr>
            <w:r>
              <w:rPr>
                <w:rFonts w:ascii="Arial" w:cs="Arial" w:eastAsia="Arial" w:hAnsi="Arial"/>
                <w:sz w:val="18"/>
                <w:szCs w:val="18"/>
                <w:color w:val="auto"/>
              </w:rPr>
              <w:t>Liabilities</w:t>
            </w:r>
          </w:p>
        </w:tc>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Derivative component of indexed debt instruments</w:t>
            </w:r>
          </w:p>
        </w:tc>
        <w:tc>
          <w:tcPr>
            <w:tcW w:w="3240" w:type="dxa"/>
            <w:vAlign w:val="bottom"/>
            <w:gridSpan w:val="2"/>
          </w:tcPr>
          <w:p>
            <w:pPr>
              <w:ind w:left="31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w:t>
            </w: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Derivative component of prepaid forward sale agreements</w:t>
            </w:r>
          </w:p>
        </w:tc>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5"/>
              </w:rPr>
              <w:t>(466)</w:t>
            </w:r>
          </w:p>
        </w:tc>
        <w:tc>
          <w:tcPr>
            <w:tcW w:w="360" w:type="dxa"/>
            <w:vAlign w:val="bottom"/>
          </w:tcPr>
          <w:p>
            <w:pPr>
              <w:spacing w:after="0"/>
              <w:rPr>
                <w:sz w:val="17"/>
                <w:szCs w:val="17"/>
                <w:color w:val="auto"/>
              </w:rPr>
            </w:pP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199"/>
        </w:trPr>
        <w:tc>
          <w:tcPr>
            <w:tcW w:w="5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Interest rate exchange agreements</w:t>
            </w:r>
          </w:p>
        </w:tc>
        <w:tc>
          <w:tcPr>
            <w:tcW w:w="2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2"/>
              <w:spacing w:after="0" w:line="200" w:lineRule="exact"/>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52A2DD"/>
            </w:tcBorders>
          </w:tcPr>
          <w:p>
            <w:pPr>
              <w:spacing w:after="0"/>
              <w:rPr>
                <w:sz w:val="17"/>
                <w:szCs w:val="17"/>
                <w:color w:val="auto"/>
              </w:rPr>
            </w:pPr>
          </w:p>
        </w:tc>
        <w:tc>
          <w:tcPr>
            <w:tcW w:w="3240" w:type="dxa"/>
            <w:vAlign w:val="bottom"/>
            <w:tcBorders>
              <w:bottom w:val="single" w:sz="8" w:color="52A2DD"/>
            </w:tcBorders>
            <w:gridSpan w:val="2"/>
          </w:tcPr>
          <w:p>
            <w:pPr>
              <w:ind w:left="310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ind w:right="72"/>
              <w:spacing w:after="0" w:line="196" w:lineRule="exact"/>
              <w:rPr>
                <w:sz w:val="20"/>
                <w:szCs w:val="20"/>
                <w:color w:val="auto"/>
              </w:rPr>
            </w:pPr>
            <w:r>
              <w:rPr>
                <w:rFonts w:ascii="Arial" w:cs="Arial" w:eastAsia="Arial" w:hAnsi="Arial"/>
                <w:sz w:val="18"/>
                <w:szCs w:val="18"/>
                <w:color w:val="auto"/>
                <w:w w:val="95"/>
              </w:rPr>
              <w:t>(442)</w:t>
            </w:r>
          </w:p>
        </w:tc>
        <w:tc>
          <w:tcPr>
            <w:tcW w:w="360" w:type="dxa"/>
            <w:vAlign w:val="bottom"/>
            <w:tcBorders>
              <w:bottom w:val="single" w:sz="8" w:color="52A2DD"/>
            </w:tcBorders>
          </w:tcPr>
          <w:p>
            <w:pPr>
              <w:ind w:left="18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52A2DD"/>
            </w:tcBorders>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304"/>
        </w:trPr>
        <w:tc>
          <w:tcPr>
            <w:tcW w:w="5100" w:type="dxa"/>
            <w:vAlign w:val="bottom"/>
          </w:tcPr>
          <w:p>
            <w:pPr>
              <w:spacing w:after="0"/>
              <w:rPr>
                <w:sz w:val="24"/>
                <w:szCs w:val="24"/>
                <w:color w:val="auto"/>
              </w:rPr>
            </w:pPr>
          </w:p>
        </w:tc>
        <w:tc>
          <w:tcPr>
            <w:tcW w:w="2680" w:type="dxa"/>
            <w:vAlign w:val="bottom"/>
          </w:tcPr>
          <w:p>
            <w:pPr>
              <w:jc w:val="right"/>
              <w:ind w:right="1856"/>
              <w:spacing w:after="0"/>
              <w:rPr>
                <w:sz w:val="20"/>
                <w:szCs w:val="20"/>
                <w:color w:val="auto"/>
              </w:rPr>
            </w:pPr>
            <w:r>
              <w:rPr>
                <w:rFonts w:ascii="Arial" w:cs="Arial" w:eastAsia="Arial" w:hAnsi="Arial"/>
                <w:sz w:val="14"/>
                <w:szCs w:val="14"/>
                <w:b w:val="1"/>
                <w:bCs w:val="1"/>
                <w:color w:val="auto"/>
              </w:rPr>
              <w:t>57</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6"/>
          </w:tcPr>
          <w:p>
            <w:pPr>
              <w:jc w:val="right"/>
              <w:spacing w:after="0"/>
              <w:rPr>
                <w:sz w:val="20"/>
                <w:szCs w:val="20"/>
                <w:color w:val="auto"/>
              </w:rPr>
            </w:pPr>
            <w:r>
              <w:rPr>
                <w:rFonts w:ascii="Arial" w:cs="Arial" w:eastAsia="Arial" w:hAnsi="Arial"/>
                <w:sz w:val="14"/>
                <w:szCs w:val="14"/>
                <w:color w:val="auto"/>
                <w:w w:val="99"/>
              </w:rPr>
              <w:t>Comcast 2008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00"/>
        <w:spacing w:after="0" w:line="381" w:lineRule="auto"/>
        <w:rPr>
          <w:sz w:val="20"/>
          <w:szCs w:val="20"/>
          <w:color w:val="auto"/>
        </w:rPr>
      </w:pPr>
      <w:r>
        <w:rPr>
          <w:rFonts w:ascii="Arial" w:cs="Arial" w:eastAsia="Arial" w:hAnsi="Arial"/>
          <w:sz w:val="18"/>
          <w:szCs w:val="18"/>
          <w:color w:val="auto"/>
        </w:rPr>
        <w:t>For the year ended December 31, 2008, the financial instruments measured at fair value on a nonrecurring basis are presented in the table below. Nonrecurring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3420" w:type="dxa"/>
            <w:vAlign w:val="bottom"/>
            <w:gridSpan w:val="2"/>
          </w:tcPr>
          <w:p>
            <w:pPr>
              <w:ind w:left="2320"/>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Total</w:t>
            </w:r>
          </w:p>
        </w:tc>
      </w:tr>
      <w:tr>
        <w:trPr>
          <w:trHeight w:val="163"/>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2008</w:t>
            </w: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Level 1</w:t>
            </w: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Level 2</w:t>
            </w: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Level 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Losses</w:t>
            </w:r>
          </w:p>
        </w:tc>
      </w:tr>
      <w:tr>
        <w:trPr>
          <w:trHeight w:val="199"/>
        </w:trPr>
        <w:tc>
          <w:tcPr>
            <w:tcW w:w="4460" w:type="dxa"/>
            <w:vAlign w:val="bottom"/>
          </w:tcPr>
          <w:p>
            <w:pPr>
              <w:spacing w:after="0" w:line="200" w:lineRule="exact"/>
              <w:rPr>
                <w:sz w:val="20"/>
                <w:szCs w:val="20"/>
                <w:color w:val="auto"/>
              </w:rPr>
            </w:pPr>
            <w:r>
              <w:rPr>
                <w:rFonts w:ascii="Arial" w:cs="Arial" w:eastAsia="Arial" w:hAnsi="Arial"/>
                <w:sz w:val="18"/>
                <w:szCs w:val="18"/>
                <w:color w:val="auto"/>
              </w:rPr>
              <w:t>Assets</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4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Equity method investments</w:t>
            </w:r>
          </w:p>
        </w:tc>
        <w:tc>
          <w:tcPr>
            <w:tcW w:w="2520" w:type="dxa"/>
            <w:vAlign w:val="bottom"/>
            <w:tcBorders>
              <w:bottom w:val="single" w:sz="8" w:color="auto"/>
            </w:tcBorders>
          </w:tcPr>
          <w:p>
            <w:pPr>
              <w:ind w:left="2320"/>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62"/>
              <w:spacing w:after="0" w:line="200" w:lineRule="exact"/>
              <w:rPr>
                <w:sz w:val="20"/>
                <w:szCs w:val="20"/>
                <w:color w:val="auto"/>
              </w:rPr>
            </w:pPr>
            <w:r>
              <w:rPr>
                <w:rFonts w:ascii="Arial" w:cs="Arial" w:eastAsia="Arial" w:hAnsi="Arial"/>
                <w:sz w:val="18"/>
                <w:szCs w:val="18"/>
                <w:color w:val="auto"/>
              </w:rPr>
              <w:t>421</w:t>
            </w:r>
          </w:p>
        </w:tc>
        <w:tc>
          <w:tcPr>
            <w:tcW w:w="920" w:type="dxa"/>
            <w:vAlign w:val="bottom"/>
            <w:tcBorders>
              <w:bottom w:val="single" w:sz="8" w:color="auto"/>
            </w:tcBorders>
          </w:tcPr>
          <w:p>
            <w:pPr>
              <w:jc w:val="right"/>
              <w:ind w:right="162"/>
              <w:spacing w:after="0" w:line="200"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auto"/>
            </w:tcBorders>
          </w:tcPr>
          <w:p>
            <w:pPr>
              <w:jc w:val="right"/>
              <w:ind w:right="162"/>
              <w:spacing w:after="0" w:line="200"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auto"/>
            </w:tcBorders>
          </w:tcPr>
          <w:p>
            <w:pPr>
              <w:jc w:val="right"/>
              <w:ind w:right="162"/>
              <w:spacing w:after="0" w:line="200" w:lineRule="exact"/>
              <w:rPr>
                <w:sz w:val="20"/>
                <w:szCs w:val="20"/>
                <w:color w:val="auto"/>
              </w:rPr>
            </w:pPr>
            <w:r>
              <w:rPr>
                <w:rFonts w:ascii="Arial" w:cs="Arial" w:eastAsia="Arial" w:hAnsi="Arial"/>
                <w:sz w:val="18"/>
                <w:szCs w:val="18"/>
                <w:color w:val="auto"/>
              </w:rPr>
              <w:t>$ 421</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(600)</w:t>
            </w:r>
          </w:p>
        </w:tc>
      </w:tr>
    </w:tbl>
    <w:p>
      <w:pPr>
        <w:spacing w:after="0" w:line="165" w:lineRule="exact"/>
        <w:rPr>
          <w:sz w:val="20"/>
          <w:szCs w:val="20"/>
          <w:color w:val="auto"/>
        </w:rPr>
      </w:pP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In accordance with Accounting Principles Board (“APB”) No. 18, “The Equity Method of Accounting for Investments in Common Stock,” we recognized an other than temporary impairment to other income (expense) of $600 million to adjust our cost basis in our investment in Clearwire LLC of approximately $1 billion to its estimated fair value (</w:t>
      </w:r>
      <w:hyperlink w:anchor="page56">
        <w:r>
          <w:rPr>
            <w:rFonts w:ascii="Arial" w:cs="Arial" w:eastAsia="Arial" w:hAnsi="Arial"/>
            <w:sz w:val="18"/>
            <w:szCs w:val="18"/>
            <w:u w:val="single" w:color="auto"/>
            <w:color w:val="0000EE"/>
          </w:rPr>
          <w:t>see Note 6</w:t>
        </w:r>
      </w:hyperlink>
      <w:r>
        <w:rPr>
          <w:rFonts w:ascii="Arial" w:cs="Arial" w:eastAsia="Arial" w:hAnsi="Arial"/>
          <w:sz w:val="18"/>
          <w:szCs w:val="18"/>
          <w:color w:val="auto"/>
        </w:rPr>
        <w:t>). Our valuation methodology utilized a combination of the quoted market value of Clearwire Corporation’s publicly traded Class A shares and unobservable inputs related to the ownership units of Clearwire LLC and the voting stock of Clearwire Corporation, including the use of discounted cash flow models. Our investment in Clearwire LLC is classified as a Level 3 financial instrument in accordance SFAS No. 157 in the fair value hierarchy, as a portion of the estimated fair value of the investment is based on unobservable inputs. We believe the estimated fair value is consistent with the underlying principle of SFAS No. 157, which is that the estimated fair value should represent the exit price from a marketplace participant’s perspective.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80" w:type="dxa"/>
            <w:vAlign w:val="bottom"/>
          </w:tcPr>
          <w:p>
            <w:pPr>
              <w:spacing w:after="0"/>
              <w:rPr>
                <w:sz w:val="20"/>
                <w:szCs w:val="20"/>
                <w:color w:val="auto"/>
              </w:rPr>
            </w:pPr>
            <w:r>
              <w:rPr>
                <w:rFonts w:ascii="Arial" w:cs="Arial" w:eastAsia="Arial" w:hAnsi="Arial"/>
                <w:sz w:val="18"/>
                <w:szCs w:val="18"/>
                <w:b w:val="1"/>
                <w:bCs w:val="1"/>
                <w:color w:val="52A2DD"/>
              </w:rPr>
              <w:t>Note 9: Long-Term Debt</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rPr>
              <w:t>As of December 31, 2008 and 2007, our debt had an estimated fair</w:t>
            </w:r>
          </w:p>
        </w:tc>
        <w:tc>
          <w:tcPr>
            <w:tcW w:w="0" w:type="dxa"/>
            <w:vAlign w:val="bottom"/>
          </w:tcPr>
          <w:p>
            <w:pPr>
              <w:spacing w:after="0"/>
              <w:rPr>
                <w:sz w:val="1"/>
                <w:szCs w:val="1"/>
                <w:color w:val="auto"/>
              </w:rPr>
            </w:pPr>
          </w:p>
        </w:tc>
      </w:tr>
      <w:tr>
        <w:trPr>
          <w:trHeight w:val="37"/>
        </w:trPr>
        <w:tc>
          <w:tcPr>
            <w:tcW w:w="2080" w:type="dxa"/>
            <w:vAlign w:val="bottom"/>
            <w:tcBorders>
              <w:bottom w:val="single" w:sz="8" w:color="52A2DD"/>
            </w:tcBorders>
          </w:tcPr>
          <w:p>
            <w:pPr>
              <w:spacing w:after="0"/>
              <w:rPr>
                <w:sz w:val="3"/>
                <w:szCs w:val="3"/>
                <w:color w:val="auto"/>
              </w:rPr>
            </w:pPr>
          </w:p>
        </w:tc>
        <w:tc>
          <w:tcPr>
            <w:tcW w:w="1760" w:type="dxa"/>
            <w:vAlign w:val="bottom"/>
            <w:tcBorders>
              <w:bottom w:val="single" w:sz="8" w:color="52A2DD"/>
            </w:tcBorders>
          </w:tcPr>
          <w:p>
            <w:pPr>
              <w:spacing w:after="0"/>
              <w:rPr>
                <w:sz w:val="3"/>
                <w:szCs w:val="3"/>
                <w:color w:val="auto"/>
              </w:rPr>
            </w:pPr>
          </w:p>
        </w:tc>
        <w:tc>
          <w:tcPr>
            <w:tcW w:w="260" w:type="dxa"/>
            <w:vAlign w:val="bottom"/>
            <w:tcBorders>
              <w:bottom w:val="single" w:sz="8" w:color="52A2DD"/>
            </w:tcBorders>
          </w:tcPr>
          <w:p>
            <w:pPr>
              <w:spacing w:after="0"/>
              <w:rPr>
                <w:sz w:val="3"/>
                <w:szCs w:val="3"/>
                <w:color w:val="auto"/>
              </w:rPr>
            </w:pPr>
          </w:p>
        </w:tc>
        <w:tc>
          <w:tcPr>
            <w:tcW w:w="640" w:type="dxa"/>
            <w:vAlign w:val="bottom"/>
            <w:tcBorders>
              <w:bottom w:val="single" w:sz="8" w:color="52A2DD"/>
            </w:tcBorders>
          </w:tcPr>
          <w:p>
            <w:pPr>
              <w:spacing w:after="0"/>
              <w:rPr>
                <w:sz w:val="3"/>
                <w:szCs w:val="3"/>
                <w:color w:val="auto"/>
              </w:rPr>
            </w:pPr>
          </w:p>
        </w:tc>
        <w:tc>
          <w:tcPr>
            <w:tcW w:w="740" w:type="dxa"/>
            <w:vAlign w:val="bottom"/>
            <w:tcBorders>
              <w:bottom w:val="single" w:sz="8" w:color="52A2DD"/>
            </w:tcBorders>
          </w:tcPr>
          <w:p>
            <w:pPr>
              <w:spacing w:after="0"/>
              <w:rPr>
                <w:sz w:val="3"/>
                <w:szCs w:val="3"/>
                <w:color w:val="auto"/>
              </w:rPr>
            </w:pPr>
          </w:p>
        </w:tc>
        <w:tc>
          <w:tcPr>
            <w:tcW w:w="20" w:type="dxa"/>
            <w:vAlign w:val="bottom"/>
            <w:tcBorders>
              <w:bottom w:val="single" w:sz="8" w:color="52A2DD"/>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548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value  of  $32.001  billion  and  $32.565  billion,  respectively.  The</w:t>
            </w:r>
          </w:p>
        </w:tc>
        <w:tc>
          <w:tcPr>
            <w:tcW w:w="0" w:type="dxa"/>
            <w:vAlign w:val="bottom"/>
          </w:tcPr>
          <w:p>
            <w:pPr>
              <w:spacing w:after="0"/>
              <w:rPr>
                <w:sz w:val="1"/>
                <w:szCs w:val="1"/>
                <w:color w:val="auto"/>
              </w:rPr>
            </w:pPr>
          </w:p>
        </w:tc>
      </w:tr>
      <w:tr>
        <w:trPr>
          <w:trHeight w:val="145"/>
        </w:trPr>
        <w:tc>
          <w:tcPr>
            <w:tcW w:w="2080" w:type="dxa"/>
            <w:vAlign w:val="bottom"/>
          </w:tcPr>
          <w:p>
            <w:pPr>
              <w:spacing w:after="0"/>
              <w:rPr>
                <w:sz w:val="12"/>
                <w:szCs w:val="12"/>
                <w:color w:val="auto"/>
              </w:rPr>
            </w:pPr>
          </w:p>
        </w:tc>
        <w:tc>
          <w:tcPr>
            <w:tcW w:w="1760" w:type="dxa"/>
            <w:vAlign w:val="bottom"/>
            <w:vMerge w:val="restart"/>
          </w:tcPr>
          <w:p>
            <w:pPr>
              <w:jc w:val="right"/>
              <w:ind w:right="413"/>
              <w:spacing w:after="0"/>
              <w:rPr>
                <w:sz w:val="20"/>
                <w:szCs w:val="20"/>
                <w:color w:val="auto"/>
              </w:rPr>
            </w:pPr>
            <w:r>
              <w:rPr>
                <w:rFonts w:ascii="Arial" w:cs="Arial" w:eastAsia="Arial" w:hAnsi="Arial"/>
                <w:sz w:val="14"/>
                <w:szCs w:val="14"/>
                <w:color w:val="auto"/>
              </w:rPr>
              <w:t>Weighted Average</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54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80" w:type="dxa"/>
            <w:vAlign w:val="bottom"/>
            <w:gridSpan w:val="6"/>
          </w:tcPr>
          <w:p>
            <w:pPr>
              <w:spacing w:after="0" w:line="159" w:lineRule="exact"/>
              <w:rPr>
                <w:sz w:val="20"/>
                <w:szCs w:val="20"/>
                <w:color w:val="auto"/>
              </w:rPr>
            </w:pPr>
            <w:r>
              <w:rPr>
                <w:rFonts w:ascii="Arial" w:cs="Arial" w:eastAsia="Arial" w:hAnsi="Arial"/>
                <w:sz w:val="18"/>
                <w:szCs w:val="18"/>
                <w:color w:val="auto"/>
              </w:rPr>
              <w:t>estimated fair value of our publicly traded debt is based on quoted</w:t>
            </w:r>
          </w:p>
        </w:tc>
        <w:tc>
          <w:tcPr>
            <w:tcW w:w="0" w:type="dxa"/>
            <w:vAlign w:val="bottom"/>
          </w:tcPr>
          <w:p>
            <w:pPr>
              <w:spacing w:after="0"/>
              <w:rPr>
                <w:sz w:val="1"/>
                <w:szCs w:val="1"/>
                <w:color w:val="auto"/>
              </w:rPr>
            </w:pPr>
          </w:p>
        </w:tc>
      </w:tr>
      <w:tr>
        <w:trPr>
          <w:trHeight w:val="134"/>
        </w:trPr>
        <w:tc>
          <w:tcPr>
            <w:tcW w:w="2080" w:type="dxa"/>
            <w:vAlign w:val="bottom"/>
          </w:tcPr>
          <w:p>
            <w:pPr>
              <w:spacing w:after="0"/>
              <w:rPr>
                <w:sz w:val="11"/>
                <w:szCs w:val="11"/>
                <w:color w:val="auto"/>
              </w:rPr>
            </w:pPr>
          </w:p>
        </w:tc>
        <w:tc>
          <w:tcPr>
            <w:tcW w:w="1760" w:type="dxa"/>
            <w:vAlign w:val="bottom"/>
          </w:tcPr>
          <w:p>
            <w:pPr>
              <w:jc w:val="right"/>
              <w:ind w:right="413"/>
              <w:spacing w:after="0" w:line="135" w:lineRule="exact"/>
              <w:rPr>
                <w:sz w:val="20"/>
                <w:szCs w:val="20"/>
                <w:color w:val="auto"/>
              </w:rPr>
            </w:pPr>
            <w:r>
              <w:rPr>
                <w:rFonts w:ascii="Arial" w:cs="Arial" w:eastAsia="Arial" w:hAnsi="Arial"/>
                <w:sz w:val="14"/>
                <w:szCs w:val="14"/>
                <w:color w:val="auto"/>
              </w:rPr>
              <w:t>Interest Rate as of</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market  values  for  the  debt.  To  estimate  the  fair  value</w:t>
            </w:r>
          </w:p>
        </w:tc>
        <w:tc>
          <w:tcPr>
            <w:tcW w:w="340" w:type="dxa"/>
            <w:vAlign w:val="bottom"/>
            <w:gridSpan w:val="2"/>
            <w:vMerge w:val="restart"/>
          </w:tcPr>
          <w:p>
            <w:pPr>
              <w:ind w:left="100"/>
              <w:spacing w:after="0"/>
              <w:rPr>
                <w:sz w:val="20"/>
                <w:szCs w:val="20"/>
                <w:color w:val="auto"/>
              </w:rPr>
            </w:pPr>
            <w:r>
              <w:rPr>
                <w:rFonts w:ascii="Arial" w:cs="Arial" w:eastAsia="Arial" w:hAnsi="Arial"/>
                <w:sz w:val="18"/>
                <w:szCs w:val="18"/>
                <w:color w:val="auto"/>
              </w:rPr>
              <w:t>of</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debt</w:t>
            </w:r>
          </w:p>
        </w:tc>
        <w:tc>
          <w:tcPr>
            <w:tcW w:w="0" w:type="dxa"/>
            <w:vAlign w:val="bottom"/>
          </w:tcPr>
          <w:p>
            <w:pPr>
              <w:spacing w:after="0"/>
              <w:rPr>
                <w:sz w:val="1"/>
                <w:szCs w:val="1"/>
                <w:color w:val="auto"/>
              </w:rPr>
            </w:pPr>
          </w:p>
        </w:tc>
      </w:tr>
      <w:tr>
        <w:trPr>
          <w:trHeight w:val="112"/>
        </w:trPr>
        <w:tc>
          <w:tcPr>
            <w:tcW w:w="208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December 31 (in millions)</w:t>
            </w:r>
          </w:p>
        </w:tc>
        <w:tc>
          <w:tcPr>
            <w:tcW w:w="1760" w:type="dxa"/>
            <w:vAlign w:val="bottom"/>
            <w:vMerge w:val="restart"/>
          </w:tcPr>
          <w:p>
            <w:pPr>
              <w:jc w:val="right"/>
              <w:ind w:right="413"/>
              <w:spacing w:after="0" w:line="149" w:lineRule="exact"/>
              <w:rPr>
                <w:sz w:val="20"/>
                <w:szCs w:val="20"/>
                <w:color w:val="auto"/>
              </w:rPr>
            </w:pPr>
            <w:r>
              <w:rPr>
                <w:rFonts w:ascii="Arial" w:cs="Arial" w:eastAsia="Arial" w:hAnsi="Arial"/>
                <w:sz w:val="14"/>
                <w:szCs w:val="14"/>
                <w:color w:val="auto"/>
              </w:rPr>
              <w:t>December 31, 2008</w:t>
            </w:r>
          </w:p>
        </w:tc>
        <w:tc>
          <w:tcPr>
            <w:tcW w:w="260" w:type="dxa"/>
            <w:vAlign w:val="bottom"/>
          </w:tcPr>
          <w:p>
            <w:pPr>
              <w:spacing w:after="0"/>
              <w:rPr>
                <w:sz w:val="9"/>
                <w:szCs w:val="9"/>
                <w:color w:val="auto"/>
              </w:rPr>
            </w:pPr>
          </w:p>
        </w:tc>
        <w:tc>
          <w:tcPr>
            <w:tcW w:w="64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auto"/>
              </w:rPr>
              <w:t>2008</w:t>
            </w:r>
          </w:p>
        </w:tc>
        <w:tc>
          <w:tcPr>
            <w:tcW w:w="7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760" w:type="dxa"/>
            <w:vAlign w:val="bottom"/>
            <w:gridSpan w:val="3"/>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80" w:type="dxa"/>
            <w:vAlign w:val="bottom"/>
            <w:tcBorders>
              <w:bottom w:val="single" w:sz="8" w:color="auto"/>
            </w:tcBorders>
            <w:vMerge w:val="continue"/>
          </w:tcPr>
          <w:p>
            <w:pPr>
              <w:spacing w:after="0"/>
              <w:rPr>
                <w:sz w:val="3"/>
                <w:szCs w:val="3"/>
                <w:color w:val="auto"/>
              </w:rPr>
            </w:pPr>
          </w:p>
        </w:tc>
        <w:tc>
          <w:tcPr>
            <w:tcW w:w="176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760" w:type="dxa"/>
            <w:vAlign w:val="bottom"/>
            <w:gridSpan w:val="3"/>
            <w:vMerge w:val="restart"/>
          </w:tcPr>
          <w:p>
            <w:pPr>
              <w:spacing w:after="0" w:line="199" w:lineRule="exact"/>
              <w:rPr>
                <w:sz w:val="20"/>
                <w:szCs w:val="20"/>
                <w:color w:val="auto"/>
              </w:rPr>
            </w:pPr>
            <w:r>
              <w:rPr>
                <w:rFonts w:ascii="Arial" w:cs="Arial" w:eastAsia="Arial" w:hAnsi="Arial"/>
                <w:sz w:val="18"/>
                <w:szCs w:val="18"/>
                <w:color w:val="auto"/>
              </w:rPr>
              <w:t>issuances for which there are no quoted market prices,</w:t>
            </w:r>
          </w:p>
        </w:tc>
        <w:tc>
          <w:tcPr>
            <w:tcW w:w="340" w:type="dxa"/>
            <w:vAlign w:val="bottom"/>
            <w:gridSpan w:val="2"/>
            <w:vMerge w:val="restart"/>
          </w:tcPr>
          <w:p>
            <w:pPr>
              <w:ind w:left="100"/>
              <w:spacing w:after="0" w:line="199" w:lineRule="exact"/>
              <w:rPr>
                <w:sz w:val="20"/>
                <w:szCs w:val="20"/>
                <w:color w:val="auto"/>
              </w:rPr>
            </w:pPr>
            <w:r>
              <w:rPr>
                <w:rFonts w:ascii="Arial" w:cs="Arial" w:eastAsia="Arial" w:hAnsi="Arial"/>
                <w:sz w:val="18"/>
                <w:szCs w:val="18"/>
                <w:color w:val="auto"/>
                <w:w w:val="95"/>
              </w:rPr>
              <w:t>we</w:t>
            </w:r>
          </w:p>
        </w:tc>
        <w:tc>
          <w:tcPr>
            <w:tcW w:w="38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use</w:t>
            </w:r>
          </w:p>
        </w:tc>
        <w:tc>
          <w:tcPr>
            <w:tcW w:w="0" w:type="dxa"/>
            <w:vAlign w:val="bottom"/>
          </w:tcPr>
          <w:p>
            <w:pPr>
              <w:spacing w:after="0"/>
              <w:rPr>
                <w:sz w:val="1"/>
                <w:szCs w:val="1"/>
                <w:color w:val="auto"/>
              </w:rPr>
            </w:pPr>
          </w:p>
        </w:tc>
      </w:tr>
      <w:tr>
        <w:trPr>
          <w:trHeight w:val="141"/>
        </w:trPr>
        <w:tc>
          <w:tcPr>
            <w:tcW w:w="2080" w:type="dxa"/>
            <w:vAlign w:val="bottom"/>
          </w:tcPr>
          <w:p>
            <w:pPr>
              <w:ind w:left="20"/>
              <w:spacing w:after="0" w:line="141" w:lineRule="exact"/>
              <w:rPr>
                <w:sz w:val="20"/>
                <w:szCs w:val="20"/>
                <w:color w:val="auto"/>
              </w:rPr>
            </w:pPr>
            <w:r>
              <w:rPr>
                <w:rFonts w:ascii="Arial" w:cs="Arial" w:eastAsia="Arial" w:hAnsi="Arial"/>
                <w:sz w:val="14"/>
                <w:szCs w:val="14"/>
                <w:color w:val="auto"/>
              </w:rPr>
              <w:t>Commercial paper</w:t>
            </w:r>
          </w:p>
        </w:tc>
        <w:tc>
          <w:tcPr>
            <w:tcW w:w="1760" w:type="dxa"/>
            <w:vAlign w:val="bottom"/>
          </w:tcPr>
          <w:p>
            <w:pPr>
              <w:jc w:val="right"/>
              <w:ind w:right="413"/>
              <w:spacing w:after="0" w:line="141" w:lineRule="exact"/>
              <w:rPr>
                <w:sz w:val="20"/>
                <w:szCs w:val="20"/>
                <w:color w:val="auto"/>
              </w:rPr>
            </w:pPr>
            <w:r>
              <w:rPr>
                <w:rFonts w:ascii="Arial" w:cs="Arial" w:eastAsia="Arial" w:hAnsi="Arial"/>
                <w:sz w:val="14"/>
                <w:szCs w:val="14"/>
                <w:color w:val="auto"/>
              </w:rPr>
              <w:t>N/A</w:t>
            </w:r>
          </w:p>
        </w:tc>
        <w:tc>
          <w:tcPr>
            <w:tcW w:w="2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    300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760" w:type="dxa"/>
            <w:vAlign w:val="bottom"/>
            <w:gridSpan w:val="3"/>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80" w:type="dxa"/>
            <w:vAlign w:val="bottom"/>
          </w:tcPr>
          <w:p>
            <w:pPr>
              <w:ind w:left="20"/>
              <w:spacing w:after="0"/>
              <w:rPr>
                <w:sz w:val="20"/>
                <w:szCs w:val="20"/>
                <w:color w:val="auto"/>
              </w:rPr>
            </w:pPr>
            <w:r>
              <w:rPr>
                <w:rFonts w:ascii="Arial" w:cs="Arial" w:eastAsia="Arial" w:hAnsi="Arial"/>
                <w:sz w:val="14"/>
                <w:szCs w:val="14"/>
                <w:color w:val="auto"/>
              </w:rPr>
              <w:t>Revolving bank credit facility</w:t>
            </w:r>
          </w:p>
        </w:tc>
        <w:tc>
          <w:tcPr>
            <w:tcW w:w="1760" w:type="dxa"/>
            <w:vAlign w:val="bottom"/>
            <w:vMerge w:val="restart"/>
          </w:tcPr>
          <w:p>
            <w:pPr>
              <w:jc w:val="right"/>
              <w:ind w:right="293"/>
              <w:spacing w:after="0"/>
              <w:rPr>
                <w:sz w:val="20"/>
                <w:szCs w:val="20"/>
                <w:color w:val="auto"/>
              </w:rPr>
            </w:pPr>
            <w:r>
              <w:rPr>
                <w:rFonts w:ascii="Arial" w:cs="Arial" w:eastAsia="Arial" w:hAnsi="Arial"/>
                <w:sz w:val="14"/>
                <w:szCs w:val="14"/>
                <w:color w:val="auto"/>
              </w:rPr>
              <w:t>0.81%</w:t>
            </w:r>
          </w:p>
        </w:tc>
        <w:tc>
          <w:tcPr>
            <w:tcW w:w="260" w:type="dxa"/>
            <w:vAlign w:val="bottom"/>
          </w:tcPr>
          <w:p>
            <w:pPr>
              <w:spacing w:after="0"/>
              <w:rPr>
                <w:sz w:val="14"/>
                <w:szCs w:val="14"/>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color w:val="auto"/>
              </w:rPr>
              <w:t>1,000</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480" w:type="dxa"/>
            <w:vAlign w:val="bottom"/>
            <w:gridSpan w:val="6"/>
          </w:tcPr>
          <w:p>
            <w:pPr>
              <w:spacing w:after="0" w:line="163" w:lineRule="exact"/>
              <w:rPr>
                <w:sz w:val="20"/>
                <w:szCs w:val="20"/>
                <w:color w:val="auto"/>
              </w:rPr>
            </w:pPr>
            <w:r>
              <w:rPr>
                <w:rFonts w:ascii="Arial" w:cs="Arial" w:eastAsia="Arial" w:hAnsi="Arial"/>
                <w:sz w:val="18"/>
                <w:szCs w:val="18"/>
                <w:color w:val="auto"/>
                <w:w w:val="98"/>
              </w:rPr>
              <w:t>interest rates available to us for debt issuances with similar terms and</w:t>
            </w:r>
          </w:p>
        </w:tc>
        <w:tc>
          <w:tcPr>
            <w:tcW w:w="0" w:type="dxa"/>
            <w:vAlign w:val="bottom"/>
          </w:tcPr>
          <w:p>
            <w:pPr>
              <w:spacing w:after="0"/>
              <w:rPr>
                <w:sz w:val="1"/>
                <w:szCs w:val="1"/>
                <w:color w:val="auto"/>
              </w:rPr>
            </w:pPr>
          </w:p>
        </w:tc>
      </w:tr>
      <w:tr>
        <w:trPr>
          <w:trHeight w:val="134"/>
        </w:trPr>
        <w:tc>
          <w:tcPr>
            <w:tcW w:w="2080" w:type="dxa"/>
            <w:vAlign w:val="bottom"/>
          </w:tcPr>
          <w:p>
            <w:pPr>
              <w:ind w:left="220"/>
              <w:spacing w:after="0" w:line="135" w:lineRule="exact"/>
              <w:rPr>
                <w:sz w:val="20"/>
                <w:szCs w:val="20"/>
                <w:color w:val="auto"/>
              </w:rPr>
            </w:pPr>
            <w:r>
              <w:rPr>
                <w:rFonts w:ascii="Arial" w:cs="Arial" w:eastAsia="Arial" w:hAnsi="Arial"/>
                <w:sz w:val="14"/>
                <w:szCs w:val="14"/>
                <w:color w:val="auto"/>
              </w:rPr>
              <w:t>due 2013</w:t>
            </w:r>
          </w:p>
        </w:tc>
        <w:tc>
          <w:tcPr>
            <w:tcW w:w="1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remaining maturities.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line="149" w:lineRule="exact"/>
              <w:rPr>
                <w:sz w:val="20"/>
                <w:szCs w:val="20"/>
                <w:color w:val="auto"/>
              </w:rPr>
            </w:pPr>
            <w:r>
              <w:rPr>
                <w:rFonts w:ascii="Arial" w:cs="Arial" w:eastAsia="Arial" w:hAnsi="Arial"/>
                <w:sz w:val="14"/>
                <w:szCs w:val="14"/>
                <w:color w:val="auto"/>
              </w:rPr>
              <w:t>Senior notes with maturities of</w:t>
            </w: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20"/>
              <w:spacing w:after="0" w:line="149" w:lineRule="exact"/>
              <w:rPr>
                <w:sz w:val="20"/>
                <w:szCs w:val="20"/>
                <w:color w:val="auto"/>
              </w:rPr>
            </w:pPr>
            <w:r>
              <w:rPr>
                <w:rFonts w:ascii="Arial" w:cs="Arial" w:eastAsia="Arial" w:hAnsi="Arial"/>
                <w:sz w:val="14"/>
                <w:szCs w:val="14"/>
                <w:color w:val="auto"/>
              </w:rPr>
              <w:t>5 years or less</w:t>
            </w:r>
          </w:p>
        </w:tc>
        <w:tc>
          <w:tcPr>
            <w:tcW w:w="176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6.99%</w:t>
            </w:r>
          </w:p>
        </w:tc>
        <w:tc>
          <w:tcPr>
            <w:tcW w:w="26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9,425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6,895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gridSpan w:val="6"/>
            <w:vMerge w:val="restart"/>
          </w:tcPr>
          <w:p>
            <w:pPr>
              <w:spacing w:after="0"/>
              <w:rPr>
                <w:sz w:val="20"/>
                <w:szCs w:val="20"/>
                <w:color w:val="auto"/>
              </w:rPr>
            </w:pPr>
            <w:r>
              <w:rPr>
                <w:rFonts w:ascii="Arial" w:cs="Arial" w:eastAsia="Arial" w:hAnsi="Arial"/>
                <w:sz w:val="18"/>
                <w:szCs w:val="18"/>
                <w:color w:val="auto"/>
              </w:rPr>
              <w:t>Some  of  our  loan  agreements  require  that  we  maintain  certain</w:t>
            </w: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line="149" w:lineRule="exact"/>
              <w:rPr>
                <w:sz w:val="20"/>
                <w:szCs w:val="20"/>
                <w:color w:val="auto"/>
              </w:rPr>
            </w:pPr>
            <w:r>
              <w:rPr>
                <w:rFonts w:ascii="Arial" w:cs="Arial" w:eastAsia="Arial" w:hAnsi="Arial"/>
                <w:sz w:val="14"/>
                <w:szCs w:val="14"/>
                <w:color w:val="auto"/>
              </w:rPr>
              <w:t>Senior notes with maturities</w:t>
            </w: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20"/>
              <w:spacing w:after="0"/>
              <w:rPr>
                <w:sz w:val="20"/>
                <w:szCs w:val="20"/>
                <w:color w:val="auto"/>
              </w:rPr>
            </w:pPr>
            <w:r>
              <w:rPr>
                <w:rFonts w:ascii="Arial" w:cs="Arial" w:eastAsia="Arial" w:hAnsi="Arial"/>
                <w:sz w:val="14"/>
                <w:szCs w:val="14"/>
                <w:color w:val="auto"/>
              </w:rPr>
              <w:t>between 6 and 10 years</w:t>
            </w:r>
          </w:p>
        </w:tc>
        <w:tc>
          <w:tcPr>
            <w:tcW w:w="1760" w:type="dxa"/>
            <w:vAlign w:val="bottom"/>
          </w:tcPr>
          <w:p>
            <w:pPr>
              <w:jc w:val="right"/>
              <w:ind w:right="293"/>
              <w:spacing w:after="0"/>
              <w:rPr>
                <w:sz w:val="20"/>
                <w:szCs w:val="20"/>
                <w:color w:val="auto"/>
              </w:rPr>
            </w:pPr>
            <w:r>
              <w:rPr>
                <w:rFonts w:ascii="Arial" w:cs="Arial" w:eastAsia="Arial" w:hAnsi="Arial"/>
                <w:sz w:val="14"/>
                <w:szCs w:val="14"/>
                <w:color w:val="auto"/>
              </w:rPr>
              <w:t>6.09%</w:t>
            </w:r>
          </w:p>
        </w:tc>
        <w:tc>
          <w:tcPr>
            <w:tcW w:w="26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9,798</w:t>
            </w:r>
          </w:p>
        </w:tc>
        <w:tc>
          <w:tcPr>
            <w:tcW w:w="740" w:type="dxa"/>
            <w:vAlign w:val="bottom"/>
          </w:tcPr>
          <w:p>
            <w:pPr>
              <w:jc w:val="right"/>
              <w:spacing w:after="0"/>
              <w:rPr>
                <w:sz w:val="20"/>
                <w:szCs w:val="20"/>
                <w:color w:val="auto"/>
              </w:rPr>
            </w:pPr>
            <w:r>
              <w:rPr>
                <w:rFonts w:ascii="Arial" w:cs="Arial" w:eastAsia="Arial" w:hAnsi="Arial"/>
                <w:sz w:val="14"/>
                <w:szCs w:val="14"/>
                <w:color w:val="auto"/>
              </w:rPr>
              <w:t>11,429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80" w:type="dxa"/>
            <w:vAlign w:val="bottom"/>
            <w:gridSpan w:val="6"/>
          </w:tcPr>
          <w:p>
            <w:pPr>
              <w:spacing w:after="0" w:line="190" w:lineRule="exact"/>
              <w:rPr>
                <w:sz w:val="20"/>
                <w:szCs w:val="20"/>
                <w:color w:val="auto"/>
              </w:rPr>
            </w:pPr>
            <w:r>
              <w:rPr>
                <w:rFonts w:ascii="Arial" w:cs="Arial" w:eastAsia="Arial" w:hAnsi="Arial"/>
                <w:sz w:val="18"/>
                <w:szCs w:val="18"/>
                <w:color w:val="auto"/>
              </w:rPr>
              <w:t>financial ratios based on our debt and our operating income before</w:t>
            </w:r>
          </w:p>
        </w:tc>
        <w:tc>
          <w:tcPr>
            <w:tcW w:w="0" w:type="dxa"/>
            <w:vAlign w:val="bottom"/>
          </w:tcPr>
          <w:p>
            <w:pPr>
              <w:spacing w:after="0"/>
              <w:rPr>
                <w:sz w:val="1"/>
                <w:szCs w:val="1"/>
                <w:color w:val="auto"/>
              </w:rPr>
            </w:pPr>
          </w:p>
        </w:tc>
      </w:tr>
      <w:tr>
        <w:trPr>
          <w:trHeight w:val="107"/>
        </w:trPr>
        <w:tc>
          <w:tcPr>
            <w:tcW w:w="2080" w:type="dxa"/>
            <w:vAlign w:val="bottom"/>
          </w:tcPr>
          <w:p>
            <w:pPr>
              <w:ind w:left="20"/>
              <w:spacing w:after="0" w:line="107" w:lineRule="exact"/>
              <w:rPr>
                <w:sz w:val="20"/>
                <w:szCs w:val="20"/>
                <w:color w:val="auto"/>
              </w:rPr>
            </w:pPr>
            <w:r>
              <w:rPr>
                <w:rFonts w:ascii="Arial" w:cs="Arial" w:eastAsia="Arial" w:hAnsi="Arial"/>
                <w:sz w:val="12"/>
                <w:szCs w:val="12"/>
                <w:color w:val="auto"/>
              </w:rPr>
              <w:t>Senior notes with maturities</w:t>
            </w: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depreciation  and  amortization.  We  were  in  compliance</w:t>
            </w:r>
          </w:p>
        </w:tc>
        <w:tc>
          <w:tcPr>
            <w:tcW w:w="720" w:type="dxa"/>
            <w:vAlign w:val="bottom"/>
            <w:gridSpan w:val="3"/>
            <w:vMerge w:val="restart"/>
          </w:tcPr>
          <w:p>
            <w:pPr>
              <w:jc w:val="right"/>
              <w:spacing w:after="0"/>
              <w:rPr>
                <w:sz w:val="20"/>
                <w:szCs w:val="20"/>
                <w:color w:val="auto"/>
              </w:rPr>
            </w:pPr>
            <w:r>
              <w:rPr>
                <w:rFonts w:ascii="Arial" w:cs="Arial" w:eastAsia="Arial" w:hAnsi="Arial"/>
                <w:sz w:val="18"/>
                <w:szCs w:val="18"/>
                <w:color w:val="auto"/>
              </w:rPr>
              <w:t>with  all</w:t>
            </w:r>
          </w:p>
        </w:tc>
        <w:tc>
          <w:tcPr>
            <w:tcW w:w="0" w:type="dxa"/>
            <w:vAlign w:val="bottom"/>
          </w:tcPr>
          <w:p>
            <w:pPr>
              <w:spacing w:after="0"/>
              <w:rPr>
                <w:sz w:val="1"/>
                <w:szCs w:val="1"/>
                <w:color w:val="auto"/>
              </w:rPr>
            </w:pPr>
          </w:p>
        </w:tc>
      </w:tr>
      <w:tr>
        <w:trPr>
          <w:trHeight w:val="139"/>
        </w:trPr>
        <w:tc>
          <w:tcPr>
            <w:tcW w:w="2080" w:type="dxa"/>
            <w:vAlign w:val="bottom"/>
          </w:tcPr>
          <w:p>
            <w:pPr>
              <w:ind w:left="220"/>
              <w:spacing w:after="0" w:line="139" w:lineRule="exact"/>
              <w:rPr>
                <w:sz w:val="20"/>
                <w:szCs w:val="20"/>
                <w:color w:val="auto"/>
              </w:rPr>
            </w:pPr>
            <w:r>
              <w:rPr>
                <w:rFonts w:ascii="Arial" w:cs="Arial" w:eastAsia="Arial" w:hAnsi="Arial"/>
                <w:sz w:val="14"/>
                <w:szCs w:val="14"/>
                <w:color w:val="auto"/>
              </w:rPr>
              <w:t>greater than 10 years</w:t>
            </w:r>
          </w:p>
        </w:tc>
        <w:tc>
          <w:tcPr>
            <w:tcW w:w="1760" w:type="dxa"/>
            <w:vAlign w:val="bottom"/>
          </w:tcPr>
          <w:p>
            <w:pPr>
              <w:jc w:val="right"/>
              <w:ind w:right="293"/>
              <w:spacing w:after="0" w:line="139" w:lineRule="exact"/>
              <w:rPr>
                <w:sz w:val="20"/>
                <w:szCs w:val="20"/>
                <w:color w:val="auto"/>
              </w:rPr>
            </w:pPr>
            <w:r>
              <w:rPr>
                <w:rFonts w:ascii="Arial" w:cs="Arial" w:eastAsia="Arial" w:hAnsi="Arial"/>
                <w:sz w:val="14"/>
                <w:szCs w:val="14"/>
                <w:color w:val="auto"/>
              </w:rPr>
              <w:t>7.00%</w:t>
            </w:r>
          </w:p>
        </w:tc>
        <w:tc>
          <w:tcPr>
            <w:tcW w:w="260" w:type="dxa"/>
            <w:vAlign w:val="bottom"/>
          </w:tcPr>
          <w:p>
            <w:pPr>
              <w:spacing w:after="0"/>
              <w:rPr>
                <w:sz w:val="12"/>
                <w:szCs w:val="12"/>
                <w:color w:val="auto"/>
              </w:rPr>
            </w:pPr>
          </w:p>
        </w:tc>
        <w:tc>
          <w:tcPr>
            <w:tcW w:w="640" w:type="dxa"/>
            <w:vAlign w:val="bottom"/>
          </w:tcPr>
          <w:p>
            <w:pPr>
              <w:jc w:val="right"/>
              <w:ind w:right="132"/>
              <w:spacing w:after="0" w:line="139" w:lineRule="exact"/>
              <w:rPr>
                <w:sz w:val="20"/>
                <w:szCs w:val="20"/>
                <w:color w:val="auto"/>
              </w:rPr>
            </w:pPr>
            <w:r>
              <w:rPr>
                <w:rFonts w:ascii="Arial" w:cs="Arial" w:eastAsia="Arial" w:hAnsi="Arial"/>
                <w:sz w:val="14"/>
                <w:szCs w:val="14"/>
                <w:color w:val="auto"/>
                <w:w w:val="97"/>
              </w:rPr>
              <w:t>11,284</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11,435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76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20"/>
              <w:spacing w:after="0" w:line="159" w:lineRule="exact"/>
              <w:rPr>
                <w:sz w:val="20"/>
                <w:szCs w:val="20"/>
                <w:color w:val="auto"/>
              </w:rPr>
            </w:pPr>
            <w:r>
              <w:rPr>
                <w:rFonts w:ascii="Arial" w:cs="Arial" w:eastAsia="Arial" w:hAnsi="Arial"/>
                <w:sz w:val="14"/>
                <w:szCs w:val="14"/>
                <w:color w:val="auto"/>
              </w:rPr>
              <w:t>Senior subordinated</w:t>
            </w: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80" w:type="dxa"/>
            <w:vAlign w:val="bottom"/>
            <w:gridSpan w:val="6"/>
          </w:tcPr>
          <w:p>
            <w:pPr>
              <w:spacing w:after="0" w:line="159" w:lineRule="exact"/>
              <w:rPr>
                <w:rFonts w:ascii="Arial" w:cs="Arial" w:eastAsia="Arial" w:hAnsi="Arial"/>
                <w:sz w:val="18"/>
                <w:szCs w:val="18"/>
                <w:color w:val="auto"/>
              </w:rPr>
            </w:pPr>
            <w:r>
              <w:rPr>
                <w:rFonts w:ascii="Arial" w:cs="Arial" w:eastAsia="Arial" w:hAnsi="Arial"/>
                <w:sz w:val="18"/>
                <w:szCs w:val="18"/>
                <w:color w:val="auto"/>
              </w:rPr>
              <w:t xml:space="preserve">financial covenants for all periods presented. </w:t>
            </w:r>
            <w:hyperlink w:anchor="page73">
              <w:r>
                <w:rPr>
                  <w:rFonts w:ascii="Arial" w:cs="Arial" w:eastAsia="Arial" w:hAnsi="Arial"/>
                  <w:sz w:val="18"/>
                  <w:szCs w:val="18"/>
                  <w:color w:val="0000EE"/>
                </w:rPr>
                <w:t>See Note 18</w:t>
              </w:r>
              <w:r>
                <w:rPr>
                  <w:rFonts w:ascii="Arial" w:cs="Arial" w:eastAsia="Arial" w:hAnsi="Arial"/>
                  <w:sz w:val="18"/>
                  <w:szCs w:val="18"/>
                  <w:color w:val="auto"/>
                </w:rPr>
                <w:t xml:space="preserve"> </w:t>
              </w:r>
            </w:hyperlink>
            <w:r>
              <w:rPr>
                <w:rFonts w:ascii="Arial" w:cs="Arial" w:eastAsia="Arial" w:hAnsi="Arial"/>
                <w:sz w:val="18"/>
                <w:szCs w:val="18"/>
                <w:color w:val="auto"/>
              </w:rPr>
              <w:t>for a</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220"/>
              <w:spacing w:after="0" w:line="148" w:lineRule="exact"/>
              <w:rPr>
                <w:sz w:val="20"/>
                <w:szCs w:val="20"/>
                <w:color w:val="auto"/>
              </w:rPr>
            </w:pPr>
            <w:r>
              <w:rPr>
                <w:rFonts w:ascii="Arial" w:cs="Arial" w:eastAsia="Arial" w:hAnsi="Arial"/>
                <w:sz w:val="14"/>
                <w:szCs w:val="14"/>
                <w:color w:val="auto"/>
              </w:rPr>
              <w:t>notes due 2012</w:t>
            </w:r>
          </w:p>
        </w:tc>
        <w:tc>
          <w:tcPr>
            <w:tcW w:w="1760" w:type="dxa"/>
            <w:vAlign w:val="bottom"/>
            <w:vMerge w:val="restart"/>
          </w:tcPr>
          <w:p>
            <w:pPr>
              <w:jc w:val="right"/>
              <w:ind w:right="293"/>
              <w:spacing w:after="0" w:line="148" w:lineRule="exact"/>
              <w:rPr>
                <w:sz w:val="20"/>
                <w:szCs w:val="20"/>
                <w:color w:val="auto"/>
              </w:rPr>
            </w:pPr>
            <w:r>
              <w:rPr>
                <w:rFonts w:ascii="Arial" w:cs="Arial" w:eastAsia="Arial" w:hAnsi="Arial"/>
                <w:sz w:val="14"/>
                <w:szCs w:val="14"/>
                <w:color w:val="auto"/>
              </w:rPr>
              <w:t>10.63%</w:t>
            </w:r>
          </w:p>
        </w:tc>
        <w:tc>
          <w:tcPr>
            <w:tcW w:w="260" w:type="dxa"/>
            <w:vAlign w:val="bottom"/>
          </w:tcPr>
          <w:p>
            <w:pPr>
              <w:spacing w:after="0"/>
              <w:rPr>
                <w:sz w:val="2"/>
                <w:szCs w:val="2"/>
                <w:color w:val="auto"/>
              </w:rPr>
            </w:pPr>
          </w:p>
        </w:tc>
        <w:tc>
          <w:tcPr>
            <w:tcW w:w="640" w:type="dxa"/>
            <w:vAlign w:val="bottom"/>
            <w:vMerge w:val="restart"/>
          </w:tcPr>
          <w:p>
            <w:pPr>
              <w:jc w:val="right"/>
              <w:ind w:right="132"/>
              <w:spacing w:after="0" w:line="148" w:lineRule="exact"/>
              <w:rPr>
                <w:sz w:val="20"/>
                <w:szCs w:val="20"/>
                <w:color w:val="auto"/>
              </w:rPr>
            </w:pPr>
            <w:r>
              <w:rPr>
                <w:rFonts w:ascii="Arial" w:cs="Arial" w:eastAsia="Arial" w:hAnsi="Arial"/>
                <w:sz w:val="14"/>
                <w:szCs w:val="14"/>
                <w:color w:val="auto"/>
              </w:rPr>
              <w:t>202</w:t>
            </w:r>
          </w:p>
        </w:tc>
        <w:tc>
          <w:tcPr>
            <w:tcW w:w="740" w:type="dxa"/>
            <w:vAlign w:val="bottom"/>
            <w:vMerge w:val="restart"/>
          </w:tcPr>
          <w:p>
            <w:pPr>
              <w:jc w:val="right"/>
              <w:spacing w:after="0" w:line="148"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discussion of our subsidiary guarantee structures.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8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ZONES due 2029</w:t>
            </w:r>
          </w:p>
        </w:tc>
        <w:tc>
          <w:tcPr>
            <w:tcW w:w="1760" w:type="dxa"/>
            <w:vAlign w:val="bottom"/>
            <w:vMerge w:val="restart"/>
          </w:tcPr>
          <w:p>
            <w:pPr>
              <w:jc w:val="right"/>
              <w:ind w:right="293"/>
              <w:spacing w:after="0" w:line="149" w:lineRule="exact"/>
              <w:rPr>
                <w:sz w:val="20"/>
                <w:szCs w:val="20"/>
                <w:color w:val="auto"/>
              </w:rPr>
            </w:pPr>
            <w:r>
              <w:rPr>
                <w:rFonts w:ascii="Arial" w:cs="Arial" w:eastAsia="Arial" w:hAnsi="Arial"/>
                <w:sz w:val="14"/>
                <w:szCs w:val="14"/>
                <w:color w:val="auto"/>
              </w:rPr>
              <w:t>2.00%</w:t>
            </w:r>
          </w:p>
        </w:tc>
        <w:tc>
          <w:tcPr>
            <w:tcW w:w="260" w:type="dxa"/>
            <w:vAlign w:val="bottom"/>
          </w:tcPr>
          <w:p>
            <w:pPr>
              <w:spacing w:after="0"/>
              <w:rPr>
                <w:sz w:val="9"/>
                <w:szCs w:val="9"/>
                <w:color w:val="auto"/>
              </w:rPr>
            </w:pPr>
          </w:p>
        </w:tc>
        <w:tc>
          <w:tcPr>
            <w:tcW w:w="64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auto"/>
              </w:rPr>
              <w:t>408</w:t>
            </w:r>
          </w:p>
        </w:tc>
        <w:tc>
          <w:tcPr>
            <w:tcW w:w="7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706</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7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80" w:type="dxa"/>
            <w:vAlign w:val="bottom"/>
            <w:vMerge w:val="continue"/>
          </w:tcPr>
          <w:p>
            <w:pPr>
              <w:spacing w:after="0"/>
              <w:rPr>
                <w:sz w:val="3"/>
                <w:szCs w:val="3"/>
                <w:color w:val="auto"/>
              </w:rPr>
            </w:pPr>
          </w:p>
        </w:tc>
        <w:tc>
          <w:tcPr>
            <w:tcW w:w="17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line="149" w:lineRule="exact"/>
              <w:rPr>
                <w:sz w:val="20"/>
                <w:szCs w:val="20"/>
                <w:color w:val="auto"/>
              </w:rPr>
            </w:pPr>
            <w:r>
              <w:rPr>
                <w:rFonts w:ascii="Arial" w:cs="Arial" w:eastAsia="Arial" w:hAnsi="Arial"/>
                <w:sz w:val="14"/>
                <w:szCs w:val="14"/>
                <w:color w:val="auto"/>
              </w:rPr>
              <w:t>Other, including capital lease</w:t>
            </w: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gridSpan w:val="6"/>
            <w:vMerge w:val="restart"/>
          </w:tcPr>
          <w:p>
            <w:pPr>
              <w:spacing w:after="0"/>
              <w:rPr>
                <w:sz w:val="20"/>
                <w:szCs w:val="20"/>
                <w:color w:val="auto"/>
              </w:rPr>
            </w:pPr>
            <w:r>
              <w:rPr>
                <w:rFonts w:ascii="Arial" w:cs="Arial" w:eastAsia="Arial" w:hAnsi="Arial"/>
                <w:sz w:val="18"/>
                <w:szCs w:val="18"/>
                <w:color w:val="auto"/>
                <w:w w:val="97"/>
              </w:rPr>
              <w:t>As of December 31, 2008 and 2007, accrued interest was $520 million</w:t>
            </w:r>
          </w:p>
        </w:tc>
        <w:tc>
          <w:tcPr>
            <w:tcW w:w="0" w:type="dxa"/>
            <w:vAlign w:val="bottom"/>
          </w:tcPr>
          <w:p>
            <w:pPr>
              <w:spacing w:after="0"/>
              <w:rPr>
                <w:sz w:val="1"/>
                <w:szCs w:val="1"/>
                <w:color w:val="auto"/>
              </w:rPr>
            </w:pPr>
          </w:p>
        </w:tc>
      </w:tr>
      <w:tr>
        <w:trPr>
          <w:trHeight w:val="149"/>
        </w:trPr>
        <w:tc>
          <w:tcPr>
            <w:tcW w:w="208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obligations</w:t>
            </w:r>
          </w:p>
        </w:tc>
        <w:tc>
          <w:tcPr>
            <w:tcW w:w="1760" w:type="dxa"/>
            <w:vAlign w:val="bottom"/>
            <w:tcBorders>
              <w:bottom w:val="single" w:sz="8" w:color="auto"/>
            </w:tcBorders>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339</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1760" w:type="dxa"/>
            <w:vAlign w:val="bottom"/>
          </w:tcPr>
          <w:p>
            <w:pPr>
              <w:jc w:val="right"/>
              <w:ind w:right="153"/>
              <w:spacing w:after="0" w:line="182" w:lineRule="exact"/>
              <w:rPr>
                <w:sz w:val="20"/>
                <w:szCs w:val="20"/>
                <w:color w:val="auto"/>
              </w:rPr>
            </w:pPr>
            <w:r>
              <w:rPr>
                <w:rFonts w:ascii="Arial" w:cs="Arial" w:eastAsia="Arial" w:hAnsi="Arial"/>
                <w:sz w:val="13"/>
                <w:szCs w:val="13"/>
                <w:color w:val="auto"/>
              </w:rPr>
              <w:t>6.44%</w:t>
            </w:r>
            <w:r>
              <w:rPr>
                <w:rFonts w:ascii="Arial" w:cs="Arial" w:eastAsia="Arial" w:hAnsi="Arial"/>
                <w:sz w:val="21"/>
                <w:szCs w:val="21"/>
                <w:color w:val="auto"/>
                <w:vertAlign w:val="superscript"/>
              </w:rPr>
              <w:t>(a)</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2"/>
              <w:spacing w:after="0"/>
              <w:rPr>
                <w:sz w:val="20"/>
                <w:szCs w:val="20"/>
                <w:color w:val="auto"/>
              </w:rPr>
            </w:pPr>
            <w:r>
              <w:rPr>
                <w:rFonts w:ascii="Arial" w:cs="Arial" w:eastAsia="Arial" w:hAnsi="Arial"/>
                <w:sz w:val="14"/>
                <w:szCs w:val="14"/>
                <w:color w:val="auto"/>
                <w:w w:val="97"/>
              </w:rPr>
              <w:t>32,456</w:t>
            </w:r>
          </w:p>
        </w:tc>
        <w:tc>
          <w:tcPr>
            <w:tcW w:w="740" w:type="dxa"/>
            <w:vAlign w:val="bottom"/>
          </w:tcPr>
          <w:p>
            <w:pPr>
              <w:jc w:val="right"/>
              <w:spacing w:after="0"/>
              <w:rPr>
                <w:sz w:val="20"/>
                <w:szCs w:val="20"/>
                <w:color w:val="auto"/>
              </w:rPr>
            </w:pPr>
            <w:r>
              <w:rPr>
                <w:rFonts w:ascii="Arial" w:cs="Arial" w:eastAsia="Arial" w:hAnsi="Arial"/>
                <w:sz w:val="14"/>
                <w:szCs w:val="14"/>
                <w:color w:val="auto"/>
              </w:rPr>
              <w:t>$ 31,323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760" w:type="dxa"/>
            <w:vAlign w:val="bottom"/>
            <w:gridSpan w:val="3"/>
          </w:tcPr>
          <w:p>
            <w:pPr>
              <w:spacing w:after="0" w:line="182" w:lineRule="exact"/>
              <w:rPr>
                <w:sz w:val="20"/>
                <w:szCs w:val="20"/>
                <w:color w:val="auto"/>
              </w:rPr>
            </w:pPr>
            <w:r>
              <w:rPr>
                <w:rFonts w:ascii="Arial" w:cs="Arial" w:eastAsia="Arial" w:hAnsi="Arial"/>
                <w:sz w:val="18"/>
                <w:szCs w:val="18"/>
                <w:color w:val="auto"/>
              </w:rPr>
              <w:t>and $546 million, respectively.</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8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Less: Current portion</w:t>
            </w:r>
          </w:p>
        </w:tc>
        <w:tc>
          <w:tcPr>
            <w:tcW w:w="17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2,278</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Borders>
              <w:bottom w:val="single" w:sz="8" w:color="52A2DD"/>
            </w:tcBorders>
          </w:tcPr>
          <w:p>
            <w:pPr>
              <w:ind w:left="20"/>
              <w:spacing w:after="0" w:line="129" w:lineRule="exact"/>
              <w:rPr>
                <w:sz w:val="20"/>
                <w:szCs w:val="20"/>
                <w:color w:val="auto"/>
              </w:rPr>
            </w:pPr>
            <w:r>
              <w:rPr>
                <w:rFonts w:ascii="Arial" w:cs="Arial" w:eastAsia="Arial" w:hAnsi="Arial"/>
                <w:sz w:val="14"/>
                <w:szCs w:val="14"/>
                <w:color w:val="auto"/>
              </w:rPr>
              <w:t>Long-term debt</w:t>
            </w:r>
          </w:p>
        </w:tc>
        <w:tc>
          <w:tcPr>
            <w:tcW w:w="1760" w:type="dxa"/>
            <w:vAlign w:val="bottom"/>
            <w:tcBorders>
              <w:bottom w:val="single" w:sz="8" w:color="52A2DD"/>
            </w:tcBorders>
          </w:tcPr>
          <w:p>
            <w:pPr>
              <w:spacing w:after="0"/>
              <w:rPr>
                <w:sz w:val="12"/>
                <w:szCs w:val="12"/>
                <w:color w:val="auto"/>
              </w:rPr>
            </w:pPr>
          </w:p>
        </w:tc>
        <w:tc>
          <w:tcPr>
            <w:tcW w:w="260" w:type="dxa"/>
            <w:vAlign w:val="bottom"/>
            <w:tcBorders>
              <w:bottom w:val="single" w:sz="8" w:color="52A2DD"/>
            </w:tcBorders>
          </w:tcPr>
          <w:p>
            <w:pPr>
              <w:jc w:val="right"/>
              <w:spacing w:after="0" w:line="12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52A2DD"/>
            </w:tcBorders>
          </w:tcPr>
          <w:p>
            <w:pPr>
              <w:jc w:val="right"/>
              <w:ind w:right="132"/>
              <w:spacing w:after="0" w:line="129" w:lineRule="exact"/>
              <w:rPr>
                <w:sz w:val="20"/>
                <w:szCs w:val="20"/>
                <w:color w:val="auto"/>
              </w:rPr>
            </w:pPr>
            <w:r>
              <w:rPr>
                <w:rFonts w:ascii="Arial" w:cs="Arial" w:eastAsia="Arial" w:hAnsi="Arial"/>
                <w:sz w:val="14"/>
                <w:szCs w:val="14"/>
                <w:color w:val="auto"/>
                <w:w w:val="97"/>
              </w:rPr>
              <w:t>30,178</w:t>
            </w:r>
          </w:p>
        </w:tc>
        <w:tc>
          <w:tcPr>
            <w:tcW w:w="740" w:type="dxa"/>
            <w:vAlign w:val="bottom"/>
            <w:tcBorders>
              <w:bottom w:val="single" w:sz="8" w:color="52A2DD"/>
            </w:tcBorders>
          </w:tcPr>
          <w:p>
            <w:pPr>
              <w:jc w:val="right"/>
              <w:spacing w:after="0" w:line="129" w:lineRule="exact"/>
              <w:rPr>
                <w:sz w:val="20"/>
                <w:szCs w:val="20"/>
                <w:color w:val="auto"/>
              </w:rPr>
            </w:pPr>
            <w:r>
              <w:rPr>
                <w:rFonts w:ascii="Arial" w:cs="Arial" w:eastAsia="Arial" w:hAnsi="Arial"/>
                <w:sz w:val="14"/>
                <w:szCs w:val="14"/>
                <w:color w:val="auto"/>
              </w:rPr>
              <w:t>$ 29,828</w:t>
            </w:r>
          </w:p>
        </w:tc>
        <w:tc>
          <w:tcPr>
            <w:tcW w:w="20" w:type="dxa"/>
            <w:vAlign w:val="bottom"/>
          </w:tcPr>
          <w:p>
            <w:pPr>
              <w:spacing w:after="0"/>
              <w:rPr>
                <w:sz w:val="12"/>
                <w:szCs w:val="12"/>
                <w:color w:val="auto"/>
              </w:rPr>
            </w:pPr>
          </w:p>
        </w:tc>
        <w:tc>
          <w:tcPr>
            <w:tcW w:w="320" w:type="dxa"/>
            <w:vAlign w:val="bottom"/>
            <w:vMerge w:val="restart"/>
          </w:tcPr>
          <w:p>
            <w:pPr>
              <w:spacing w:after="0"/>
              <w:rPr>
                <w:sz w:val="12"/>
                <w:szCs w:val="12"/>
                <w:color w:val="auto"/>
              </w:rPr>
            </w:pPr>
          </w:p>
        </w:tc>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Debt Maturities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(a) Includes the effects of our derivative financial instruments.</w:t>
            </w: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47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38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8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As of December 31, 2008 (in millions)</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
          </w:tcPr>
          <w:p>
            <w:pPr>
              <w:ind w:left="320"/>
              <w:spacing w:after="0" w:line="200" w:lineRule="exact"/>
              <w:rPr>
                <w:sz w:val="20"/>
                <w:szCs w:val="20"/>
                <w:color w:val="auto"/>
              </w:rPr>
            </w:pPr>
            <w:r>
              <w:rPr>
                <w:rFonts w:ascii="Arial" w:cs="Arial" w:eastAsia="Arial" w:hAnsi="Arial"/>
                <w:sz w:val="18"/>
                <w:szCs w:val="18"/>
                <w:color w:val="auto"/>
              </w:rPr>
              <w:t>2009</w:t>
            </w:r>
          </w:p>
        </w:tc>
        <w:tc>
          <w:tcPr>
            <w:tcW w:w="90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2010</w:t>
            </w:r>
          </w:p>
        </w:tc>
        <w:tc>
          <w:tcPr>
            <w:tcW w:w="9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2011</w:t>
            </w:r>
          </w:p>
        </w:tc>
        <w:tc>
          <w:tcPr>
            <w:tcW w:w="9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2012</w:t>
            </w:r>
          </w:p>
        </w:tc>
        <w:tc>
          <w:tcPr>
            <w:tcW w:w="9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2013</w:t>
            </w:r>
          </w:p>
        </w:tc>
        <w:tc>
          <w:tcPr>
            <w:tcW w:w="9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199"/>
        </w:trPr>
        <w:tc>
          <w:tcPr>
            <w:tcW w:w="2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w w:val="94"/>
              </w:rPr>
              <w:t>21,564</w:t>
            </w:r>
          </w:p>
        </w:tc>
        <w:tc>
          <w:tcPr>
            <w:tcW w:w="0" w:type="dxa"/>
            <w:vAlign w:val="bottom"/>
          </w:tcPr>
          <w:p>
            <w:pPr>
              <w:spacing w:after="0"/>
              <w:rPr>
                <w:sz w:val="1"/>
                <w:szCs w:val="1"/>
                <w:color w:val="auto"/>
              </w:rPr>
            </w:pPr>
          </w:p>
        </w:tc>
      </w:tr>
      <w:tr>
        <w:trPr>
          <w:trHeight w:val="412"/>
        </w:trPr>
        <w:tc>
          <w:tcPr>
            <w:tcW w:w="3840" w:type="dxa"/>
            <w:vAlign w:val="bottom"/>
            <w:gridSpan w:val="2"/>
          </w:tcPr>
          <w:p>
            <w:pPr>
              <w:spacing w:after="0"/>
              <w:rPr>
                <w:sz w:val="20"/>
                <w:szCs w:val="20"/>
                <w:color w:val="auto"/>
              </w:rPr>
            </w:pPr>
            <w:r>
              <w:rPr>
                <w:rFonts w:ascii="Arial" w:cs="Arial" w:eastAsia="Arial" w:hAnsi="Arial"/>
                <w:sz w:val="14"/>
                <w:szCs w:val="14"/>
                <w:color w:val="auto"/>
              </w:rPr>
              <w:t>Comcast 2008 Annual Report on Form 10-K</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3"/>
          </w:tcPr>
          <w:p>
            <w:pPr>
              <w:jc w:val="right"/>
              <w:ind w:right="3762"/>
              <w:spacing w:after="0"/>
              <w:rPr>
                <w:sz w:val="20"/>
                <w:szCs w:val="20"/>
                <w:color w:val="auto"/>
              </w:rPr>
            </w:pPr>
            <w:r>
              <w:rPr>
                <w:rFonts w:ascii="Arial" w:cs="Arial" w:eastAsia="Arial" w:hAnsi="Arial"/>
                <w:sz w:val="14"/>
                <w:szCs w:val="14"/>
                <w:b w:val="1"/>
                <w:bCs w:val="1"/>
                <w:color w:val="auto"/>
              </w:rPr>
              <w:t>58</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Debt Issuances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17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Year ended December 31, 2008 (in millions)</w:t>
      </w:r>
    </w:p>
    <w:tbl>
      <w:tblPr>
        <w:tblLayout w:type="fixed"/>
        <w:tblInd w:w="0" w:type="dxa"/>
        <w:tblCellMar>
          <w:top w:w="0" w:type="dxa"/>
          <w:left w:w="0" w:type="dxa"/>
          <w:bottom w:w="0" w:type="dxa"/>
          <w:right w:w="0" w:type="dxa"/>
        </w:tblCellMar>
      </w:tblPr>
      <w:tr>
        <w:trPr>
          <w:trHeight w:val="199"/>
        </w:trPr>
        <w:tc>
          <w:tcPr>
            <w:tcW w:w="394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Revolving bank credit facility due 2013</w:t>
            </w:r>
          </w:p>
        </w:tc>
        <w:tc>
          <w:tcPr>
            <w:tcW w:w="15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$ 1,510</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5.70% notes due 2018</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6.40% notes due 2038</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199"/>
        </w:trPr>
        <w:tc>
          <w:tcPr>
            <w:tcW w:w="394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Other, net</w:t>
            </w:r>
          </w:p>
        </w:tc>
        <w:tc>
          <w:tcPr>
            <w:tcW w:w="1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w:t>
            </w:r>
          </w:p>
        </w:tc>
      </w:tr>
      <w:tr>
        <w:trPr>
          <w:trHeight w:val="196"/>
        </w:trPr>
        <w:tc>
          <w:tcPr>
            <w:tcW w:w="394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5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$ 3,535</w:t>
            </w: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used the net proceeds of these issuances and borrowings for the repayment of certain debt obligations, the repurchase of our common stock, the purchase of investments, working capital and general corporate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Debt Redemptions and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817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Year ended December 31, 2008 (in millions)</w:t>
      </w:r>
    </w:p>
    <w:tbl>
      <w:tblPr>
        <w:tblLayout w:type="fixed"/>
        <w:tblInd w:w="0" w:type="dxa"/>
        <w:tblCellMar>
          <w:top w:w="0" w:type="dxa"/>
          <w:left w:w="0" w:type="dxa"/>
          <w:bottom w:w="0" w:type="dxa"/>
          <w:right w:w="0" w:type="dxa"/>
        </w:tblCellMar>
      </w:tblPr>
      <w:tr>
        <w:trPr>
          <w:trHeight w:val="199"/>
        </w:trPr>
        <w:tc>
          <w:tcPr>
            <w:tcW w:w="394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Commercial paper</w:t>
            </w:r>
          </w:p>
        </w:tc>
        <w:tc>
          <w:tcPr>
            <w:tcW w:w="10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300</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Revolving bank credit facility due 2013</w:t>
            </w:r>
          </w:p>
        </w:tc>
        <w:tc>
          <w:tcPr>
            <w:tcW w:w="1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6.2% notes due 2008</w:t>
            </w:r>
          </w:p>
        </w:tc>
        <w:tc>
          <w:tcPr>
            <w:tcW w:w="1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800</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7.625% notes due 2008</w:t>
            </w:r>
          </w:p>
        </w:tc>
        <w:tc>
          <w:tcPr>
            <w:tcW w:w="1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9.0% notes due 2008</w:t>
            </w:r>
          </w:p>
        </w:tc>
        <w:tc>
          <w:tcPr>
            <w:tcW w:w="1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ZONES due 2029</w:t>
            </w:r>
          </w:p>
        </w:tc>
        <w:tc>
          <w:tcPr>
            <w:tcW w:w="1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r>
      <w:tr>
        <w:trPr>
          <w:trHeight w:val="199"/>
        </w:trPr>
        <w:tc>
          <w:tcPr>
            <w:tcW w:w="394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91</w:t>
            </w:r>
          </w:p>
        </w:tc>
      </w:tr>
      <w:tr>
        <w:trPr>
          <w:trHeight w:val="196"/>
        </w:trPr>
        <w:tc>
          <w:tcPr>
            <w:tcW w:w="394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0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2,610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Commercial Paper Program</w:t>
      </w:r>
    </w:p>
    <w:p>
      <w:pPr>
        <w:jc w:val="both"/>
        <w:spacing w:after="0" w:line="235" w:lineRule="auto"/>
        <w:rPr>
          <w:sz w:val="20"/>
          <w:szCs w:val="20"/>
          <w:color w:val="auto"/>
        </w:rPr>
      </w:pPr>
      <w:r>
        <w:rPr>
          <w:rFonts w:ascii="Arial" w:cs="Arial" w:eastAsia="Arial" w:hAnsi="Arial"/>
          <w:sz w:val="18"/>
          <w:szCs w:val="18"/>
          <w:color w:val="auto"/>
        </w:rPr>
        <w:t>Our commercial paper program provides a lower cost borrowing source of liquidity to fund our short-term working capital requirements. The program allows for a maximum of $2.25 billion of commercial paper to be issued at any one time. Our revolving bank credit facility supports this program. Amounts outstanding under the program are classified as long term in our consolidated balance sheet because we have both the ability and the intent to refinance these obligations, if necessary, on a long-term basis using funds available through our revolving bank credit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Revolving Bank Credit Facility</w:t>
      </w:r>
    </w:p>
    <w:p>
      <w:pPr>
        <w:jc w:val="both"/>
        <w:spacing w:after="0" w:line="236" w:lineRule="auto"/>
        <w:rPr>
          <w:sz w:val="20"/>
          <w:szCs w:val="20"/>
          <w:color w:val="auto"/>
        </w:rPr>
      </w:pPr>
      <w:r>
        <w:rPr>
          <w:rFonts w:ascii="Arial" w:cs="Arial" w:eastAsia="Arial" w:hAnsi="Arial"/>
          <w:sz w:val="18"/>
          <w:szCs w:val="18"/>
          <w:color w:val="auto"/>
        </w:rPr>
        <w:t>In January 2008, we entered into an amended and restated revolving bank credit facility that may be used for general corporate purposes. This amendment increased the size of our existing revolving bank credit facility from $5.0 billion to $7.0 billion and extended the maturity of the loan commitment from October 2010 to January 2013. The base rate, chosen at our option, is either the London Interbank Offered Rate (“LIBOR”) or the greater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8" w:lineRule="auto"/>
        <w:rPr>
          <w:sz w:val="20"/>
          <w:szCs w:val="20"/>
          <w:color w:val="auto"/>
        </w:rPr>
      </w:pPr>
      <w:r>
        <w:rPr>
          <w:rFonts w:ascii="Arial" w:cs="Arial" w:eastAsia="Arial" w:hAnsi="Arial"/>
          <w:sz w:val="16"/>
          <w:szCs w:val="16"/>
          <w:color w:val="auto"/>
        </w:rPr>
        <w:t>prime rate or the Federal Funds rate plus 0.5%. The borrowing margin is based on our senior unsecured debt ratings. As of December 31, 2008, the interest rate for borrowings under the credit facility was LIBOR plus 0.35%. In December 2008, we terminated a $200 million commitment to our credit facility by Lehman Brothers Bank, FSB (“Lehman”) as a result of Lehman’s default under a borrowing request. At a discounted value, we repaid Lehman’s portion of our outstanding credit facility, along with accrued interest and fees. Subsequent to this termination, the size of the credit facility is $6.8 billion.</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Lines and Letters of Credit</w:t>
      </w:r>
    </w:p>
    <w:p>
      <w:pPr>
        <w:jc w:val="both"/>
        <w:ind w:left="140" w:right="120"/>
        <w:spacing w:after="0" w:line="237" w:lineRule="auto"/>
        <w:rPr>
          <w:sz w:val="20"/>
          <w:szCs w:val="20"/>
          <w:color w:val="auto"/>
        </w:rPr>
      </w:pPr>
      <w:r>
        <w:rPr>
          <w:rFonts w:ascii="Arial" w:cs="Arial" w:eastAsia="Arial" w:hAnsi="Arial"/>
          <w:sz w:val="18"/>
          <w:szCs w:val="18"/>
          <w:color w:val="auto"/>
        </w:rPr>
        <w:t>As of December 31, 2008, we and certain of our subsidiaries had unused lines of credit totaling $5.501 billion under various credit facilities and unused irrevocable standby letters of credit totaling $337 million to cover potential fundings under various agreements.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ZONES</w:t>
      </w:r>
    </w:p>
    <w:p>
      <w:pPr>
        <w:jc w:val="both"/>
        <w:ind w:left="140" w:right="120"/>
        <w:spacing w:after="0" w:line="235"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outstanding ZONES of $1.060 billion or the market value of approximately 14.1 million shares of Sprint Nextel common stock and approximately 0.7 million shares of Embarq common stock. Before maturity, each of the ZONES is exchangeable at the holder’s option for an amount of cash equal to 95% of the aggregate market value of one share of Sprint Nextel common stock and 0.05 shares of Embarq common stock.</w:t>
      </w:r>
    </w:p>
    <w:p>
      <w:pPr>
        <w:spacing w:after="0" w:line="161"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We separate the accounting for the ZONES into derivative and debt components. The following table presents the change in the carrying value of the debt component and the change in the fair value of the derivative component (see Note 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auto"/>
              </w:rPr>
              <w:t>Debt</w:t>
            </w:r>
          </w:p>
        </w:tc>
        <w:tc>
          <w:tcPr>
            <w:tcW w:w="32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color w:val="auto"/>
                <w:w w:val="93"/>
              </w:rPr>
              <w:t>Derivative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14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80" w:type="dxa"/>
            <w:vAlign w:val="bottom"/>
            <w:gridSpan w:val="2"/>
          </w:tcPr>
          <w:p>
            <w:pPr>
              <w:ind w:left="300"/>
              <w:spacing w:after="0"/>
              <w:rPr>
                <w:sz w:val="20"/>
                <w:szCs w:val="20"/>
                <w:color w:val="auto"/>
              </w:rPr>
            </w:pPr>
            <w:r>
              <w:rPr>
                <w:rFonts w:ascii="Arial" w:cs="Arial" w:eastAsia="Arial" w:hAnsi="Arial"/>
                <w:sz w:val="14"/>
                <w:szCs w:val="14"/>
                <w:color w:val="auto"/>
              </w:rPr>
              <w:t>Component</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Component</w:t>
            </w:r>
          </w:p>
        </w:tc>
        <w:tc>
          <w:tcPr>
            <w:tcW w:w="880" w:type="dxa"/>
            <w:vAlign w:val="bottom"/>
            <w:gridSpan w:val="2"/>
          </w:tcPr>
          <w:p>
            <w:pPr>
              <w:ind w:left="400"/>
              <w:spacing w:after="0"/>
              <w:rPr>
                <w:sz w:val="20"/>
                <w:szCs w:val="20"/>
                <w:color w:val="auto"/>
              </w:rPr>
            </w:pPr>
            <w:r>
              <w:rPr>
                <w:rFonts w:ascii="Arial" w:cs="Arial" w:eastAsia="Arial" w:hAnsi="Arial"/>
                <w:sz w:val="14"/>
                <w:szCs w:val="14"/>
                <w:color w:val="auto"/>
              </w:rPr>
              <w:t>Total</w:t>
            </w:r>
          </w:p>
        </w:tc>
      </w:tr>
      <w:tr>
        <w:trPr>
          <w:trHeight w:val="199"/>
        </w:trPr>
        <w:tc>
          <w:tcPr>
            <w:tcW w:w="140" w:type="dxa"/>
            <w:vAlign w:val="bottom"/>
          </w:tcPr>
          <w:p>
            <w:pPr>
              <w:spacing w:after="0"/>
              <w:rPr>
                <w:sz w:val="17"/>
                <w:szCs w:val="17"/>
                <w:color w:val="auto"/>
              </w:rPr>
            </w:pPr>
          </w:p>
        </w:tc>
        <w:tc>
          <w:tcPr>
            <w:tcW w:w="2240" w:type="dxa"/>
            <w:vAlign w:val="bottom"/>
            <w:tcBorders>
              <w:top w:val="single" w:sz="8" w:color="auto"/>
            </w:tcBorders>
            <w:gridSpan w:val="2"/>
          </w:tcPr>
          <w:p>
            <w:pPr>
              <w:spacing w:after="0" w:line="200" w:lineRule="exact"/>
              <w:rPr>
                <w:sz w:val="20"/>
                <w:szCs w:val="20"/>
                <w:color w:val="auto"/>
              </w:rPr>
            </w:pPr>
            <w:r>
              <w:rPr>
                <w:rFonts w:ascii="Arial" w:cs="Arial" w:eastAsia="Arial" w:hAnsi="Arial"/>
                <w:sz w:val="18"/>
                <w:szCs w:val="18"/>
                <w:color w:val="auto"/>
              </w:rPr>
              <w:t>Balance as of January 1,</w:t>
            </w:r>
          </w:p>
        </w:tc>
        <w:tc>
          <w:tcPr>
            <w:tcW w:w="5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2008</w:t>
            </w:r>
          </w:p>
        </w:tc>
        <w:tc>
          <w:tcPr>
            <w:tcW w:w="52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625</w:t>
            </w:r>
          </w:p>
        </w:tc>
        <w:tc>
          <w:tcPr>
            <w:tcW w:w="320" w:type="dxa"/>
            <w:vAlign w:val="bottom"/>
          </w:tcPr>
          <w:p>
            <w:pPr>
              <w:ind w:left="22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81</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$ 706</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Change in debt</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ind w:left="200"/>
              <w:spacing w:after="0" w:line="202" w:lineRule="exact"/>
              <w:rPr>
                <w:sz w:val="20"/>
                <w:szCs w:val="20"/>
                <w:color w:val="auto"/>
              </w:rPr>
            </w:pPr>
            <w:r>
              <w:rPr>
                <w:rFonts w:ascii="Arial" w:cs="Arial" w:eastAsia="Arial" w:hAnsi="Arial"/>
                <w:sz w:val="18"/>
                <w:szCs w:val="18"/>
                <w:color w:val="auto"/>
              </w:rPr>
              <w:t>component to interest</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ind w:left="200"/>
              <w:spacing w:after="0" w:line="202" w:lineRule="exact"/>
              <w:rPr>
                <w:sz w:val="20"/>
                <w:szCs w:val="20"/>
                <w:color w:val="auto"/>
              </w:rPr>
            </w:pPr>
            <w:r>
              <w:rPr>
                <w:rFonts w:ascii="Arial" w:cs="Arial" w:eastAsia="Arial" w:hAnsi="Arial"/>
                <w:sz w:val="18"/>
                <w:szCs w:val="18"/>
                <w:color w:val="auto"/>
              </w:rPr>
              <w:t>expense</w:t>
            </w:r>
          </w:p>
        </w:tc>
        <w:tc>
          <w:tcPr>
            <w:tcW w:w="520" w:type="dxa"/>
            <w:vAlign w:val="bottom"/>
          </w:tcPr>
          <w:p>
            <w:pPr>
              <w:spacing w:after="0"/>
              <w:rPr>
                <w:sz w:val="17"/>
                <w:szCs w:val="17"/>
                <w:color w:val="auto"/>
              </w:rPr>
            </w:pPr>
          </w:p>
        </w:tc>
        <w:tc>
          <w:tcPr>
            <w:tcW w:w="7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24</w:t>
            </w:r>
          </w:p>
        </w:tc>
        <w:tc>
          <w:tcPr>
            <w:tcW w:w="320" w:type="dxa"/>
            <w:vAlign w:val="bottom"/>
          </w:tcPr>
          <w:p>
            <w:pPr>
              <w:spacing w:after="0"/>
              <w:rPr>
                <w:sz w:val="17"/>
                <w:szCs w:val="17"/>
                <w:color w:val="auto"/>
              </w:rPr>
            </w:pPr>
          </w:p>
        </w:tc>
        <w:tc>
          <w:tcPr>
            <w:tcW w:w="88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Change in derivative</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ind w:left="200"/>
              <w:spacing w:after="0" w:line="202" w:lineRule="exact"/>
              <w:rPr>
                <w:sz w:val="20"/>
                <w:szCs w:val="20"/>
                <w:color w:val="auto"/>
              </w:rPr>
            </w:pPr>
            <w:r>
              <w:rPr>
                <w:rFonts w:ascii="Arial" w:cs="Arial" w:eastAsia="Arial" w:hAnsi="Arial"/>
                <w:sz w:val="18"/>
                <w:szCs w:val="18"/>
                <w:color w:val="auto"/>
              </w:rPr>
              <w:t>component to</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ind w:left="200"/>
              <w:spacing w:after="0" w:line="202" w:lineRule="exact"/>
              <w:rPr>
                <w:sz w:val="20"/>
                <w:szCs w:val="20"/>
                <w:color w:val="auto"/>
              </w:rPr>
            </w:pPr>
            <w:r>
              <w:rPr>
                <w:rFonts w:ascii="Arial" w:cs="Arial" w:eastAsia="Arial" w:hAnsi="Arial"/>
                <w:sz w:val="18"/>
                <w:szCs w:val="18"/>
                <w:color w:val="auto"/>
              </w:rPr>
              <w:t>(loss), net</w:t>
            </w:r>
          </w:p>
        </w:tc>
        <w:tc>
          <w:tcPr>
            <w:tcW w:w="520" w:type="dxa"/>
            <w:vAlign w:val="bottom"/>
          </w:tcPr>
          <w:p>
            <w:pPr>
              <w:spacing w:after="0"/>
              <w:rPr>
                <w:sz w:val="17"/>
                <w:szCs w:val="17"/>
                <w:color w:val="auto"/>
              </w:rPr>
            </w:pPr>
          </w:p>
        </w:tc>
        <w:tc>
          <w:tcPr>
            <w:tcW w:w="7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(58)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Repurchases and</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retirements</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8"/>
              <w:spacing w:after="0" w:line="200" w:lineRule="exact"/>
              <w:rPr>
                <w:sz w:val="20"/>
                <w:szCs w:val="20"/>
                <w:color w:val="auto"/>
              </w:rPr>
            </w:pPr>
            <w:r>
              <w:rPr>
                <w:rFonts w:ascii="Arial" w:cs="Arial" w:eastAsia="Arial" w:hAnsi="Arial"/>
                <w:sz w:val="18"/>
                <w:szCs w:val="18"/>
                <w:color w:val="auto"/>
              </w:rPr>
              <w:t>(264)</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6"/>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(264)</w:t>
            </w:r>
          </w:p>
        </w:tc>
        <w:tc>
          <w:tcPr>
            <w:tcW w:w="120" w:type="dxa"/>
            <w:vAlign w:val="bottom"/>
          </w:tcPr>
          <w:p>
            <w:pPr>
              <w:spacing w:after="0"/>
              <w:rPr>
                <w:sz w:val="17"/>
                <w:szCs w:val="17"/>
                <w:color w:val="auto"/>
              </w:rPr>
            </w:pPr>
          </w:p>
        </w:tc>
      </w:tr>
      <w:tr>
        <w:trPr>
          <w:trHeight w:val="199"/>
        </w:trPr>
        <w:tc>
          <w:tcPr>
            <w:tcW w:w="140" w:type="dxa"/>
            <w:vAlign w:val="bottom"/>
          </w:tcPr>
          <w:p>
            <w:pPr>
              <w:spacing w:after="0"/>
              <w:rPr>
                <w:sz w:val="17"/>
                <w:szCs w:val="17"/>
                <w:color w:val="auto"/>
              </w:rPr>
            </w:pPr>
          </w:p>
        </w:tc>
        <w:tc>
          <w:tcPr>
            <w:tcW w:w="2240" w:type="dxa"/>
            <w:vAlign w:val="bottom"/>
            <w:gridSpan w:val="2"/>
          </w:tcPr>
          <w:p>
            <w:pPr>
              <w:spacing w:after="0" w:line="200" w:lineRule="exact"/>
              <w:rPr>
                <w:sz w:val="20"/>
                <w:szCs w:val="20"/>
                <w:color w:val="auto"/>
              </w:rPr>
            </w:pPr>
            <w:r>
              <w:rPr>
                <w:rFonts w:ascii="Arial" w:cs="Arial" w:eastAsia="Arial" w:hAnsi="Arial"/>
                <w:sz w:val="18"/>
                <w:szCs w:val="18"/>
                <w:color w:val="auto"/>
              </w:rPr>
              <w:t>Balance as of</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52A2DD"/>
            </w:tcBorders>
          </w:tcPr>
          <w:p>
            <w:pPr>
              <w:ind w:left="200"/>
              <w:spacing w:after="0" w:line="200" w:lineRule="exact"/>
              <w:rPr>
                <w:sz w:val="20"/>
                <w:szCs w:val="20"/>
                <w:color w:val="auto"/>
              </w:rPr>
            </w:pPr>
            <w:r>
              <w:rPr>
                <w:rFonts w:ascii="Arial" w:cs="Arial" w:eastAsia="Arial" w:hAnsi="Arial"/>
                <w:sz w:val="18"/>
                <w:szCs w:val="18"/>
                <w:color w:val="auto"/>
              </w:rPr>
              <w:t>December 31, 2008</w:t>
            </w:r>
          </w:p>
        </w:tc>
        <w:tc>
          <w:tcPr>
            <w:tcW w:w="520" w:type="dxa"/>
            <w:vAlign w:val="bottom"/>
            <w:tcBorders>
              <w:bottom w:val="single" w:sz="8" w:color="52A2DD"/>
            </w:tcBorders>
          </w:tcPr>
          <w:p>
            <w:pPr>
              <w:ind w:left="300"/>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2A2DD"/>
            </w:tcBorders>
          </w:tcPr>
          <w:p>
            <w:pPr>
              <w:jc w:val="right"/>
              <w:ind w:right="198"/>
              <w:spacing w:after="0" w:line="200" w:lineRule="exact"/>
              <w:rPr>
                <w:sz w:val="20"/>
                <w:szCs w:val="20"/>
                <w:color w:val="auto"/>
              </w:rPr>
            </w:pPr>
            <w:r>
              <w:rPr>
                <w:rFonts w:ascii="Arial" w:cs="Arial" w:eastAsia="Arial" w:hAnsi="Arial"/>
                <w:sz w:val="18"/>
                <w:szCs w:val="18"/>
                <w:color w:val="auto"/>
              </w:rPr>
              <w:t>385</w:t>
            </w:r>
          </w:p>
        </w:tc>
        <w:tc>
          <w:tcPr>
            <w:tcW w:w="32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52A2DD"/>
            </w:tcBorders>
          </w:tcPr>
          <w:p>
            <w:pPr>
              <w:jc w:val="right"/>
              <w:ind w:right="196"/>
              <w:spacing w:after="0" w:line="200" w:lineRule="exact"/>
              <w:rPr>
                <w:sz w:val="20"/>
                <w:szCs w:val="20"/>
                <w:color w:val="auto"/>
              </w:rPr>
            </w:pPr>
            <w:r>
              <w:rPr>
                <w:rFonts w:ascii="Arial" w:cs="Arial" w:eastAsia="Arial" w:hAnsi="Arial"/>
                <w:sz w:val="18"/>
                <w:szCs w:val="18"/>
                <w:color w:val="auto"/>
              </w:rPr>
              <w:t>23</w:t>
            </w:r>
          </w:p>
        </w:tc>
        <w:tc>
          <w:tcPr>
            <w:tcW w:w="76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$ 408</w:t>
            </w:r>
          </w:p>
        </w:tc>
        <w:tc>
          <w:tcPr>
            <w:tcW w:w="120" w:type="dxa"/>
            <w:vAlign w:val="bottom"/>
          </w:tcPr>
          <w:p>
            <w:pPr>
              <w:spacing w:after="0"/>
              <w:rPr>
                <w:sz w:val="17"/>
                <w:szCs w:val="17"/>
                <w:color w:val="auto"/>
              </w:rPr>
            </w:pPr>
          </w:p>
        </w:tc>
      </w:tr>
      <w:tr>
        <w:trPr>
          <w:trHeight w:val="412"/>
        </w:trPr>
        <w:tc>
          <w:tcPr>
            <w:tcW w:w="2380" w:type="dxa"/>
            <w:vAlign w:val="bottom"/>
            <w:gridSpan w:val="3"/>
          </w:tcPr>
          <w:p>
            <w:pPr>
              <w:jc w:val="right"/>
              <w:ind w:right="2132"/>
              <w:spacing w:after="0"/>
              <w:rPr>
                <w:sz w:val="20"/>
                <w:szCs w:val="20"/>
                <w:color w:val="auto"/>
              </w:rPr>
            </w:pPr>
            <w:r>
              <w:rPr>
                <w:rFonts w:ascii="Arial" w:cs="Arial" w:eastAsia="Arial" w:hAnsi="Arial"/>
                <w:sz w:val="14"/>
                <w:szCs w:val="14"/>
                <w:b w:val="1"/>
                <w:bCs w:val="1"/>
                <w:color w:val="auto"/>
                <w:w w:val="89"/>
              </w:rPr>
              <w:t>59</w:t>
            </w:r>
          </w:p>
        </w:tc>
        <w:tc>
          <w:tcPr>
            <w:tcW w:w="520" w:type="dxa"/>
            <w:vAlign w:val="bottom"/>
          </w:tcPr>
          <w:p>
            <w:pPr>
              <w:spacing w:after="0"/>
              <w:rPr>
                <w:sz w:val="24"/>
                <w:szCs w:val="24"/>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color w:val="auto"/>
                <w:w w:val="95"/>
              </w:rPr>
              <w:t>Comcast 2008 Annual Report on Form 10-K</w:t>
            </w:r>
          </w:p>
        </w:tc>
      </w:tr>
    </w:tbl>
    <w:p>
      <w:pPr>
        <w:sectPr>
          <w:pgSz w:w="11900" w:h="16838" w:orient="portrait"/>
          <w:cols w:equalWidth="0" w:num="2">
            <w:col w:w="5480" w:space="200"/>
            <w:col w:w="574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exposed to the market risk of adverse changes in interest rates. To manage the volatility relating to these exposures, our policy is to maintain a mix of fixed-rate and variable-rate debt and to use interest rate derivative transactions.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Using swaps, we agree to exchange, at specified dates, the difference between fixed and variable interest amounts calculated by reference to an agreed-upon notional principal amount. The table below summarizes the terms of our existing swaps.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Fixed to Variable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17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9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2008</w:t>
            </w: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2007</w:t>
            </w:r>
          </w:p>
        </w:tc>
      </w:tr>
      <w:tr>
        <w:trPr>
          <w:trHeight w:val="199"/>
        </w:trPr>
        <w:tc>
          <w:tcPr>
            <w:tcW w:w="2460" w:type="dxa"/>
            <w:vAlign w:val="bottom"/>
          </w:tcPr>
          <w:p>
            <w:pPr>
              <w:ind w:left="20"/>
              <w:spacing w:after="0" w:line="200" w:lineRule="exact"/>
              <w:rPr>
                <w:sz w:val="20"/>
                <w:szCs w:val="20"/>
                <w:color w:val="auto"/>
              </w:rPr>
            </w:pPr>
            <w:r>
              <w:rPr>
                <w:rFonts w:ascii="Arial" w:cs="Arial" w:eastAsia="Arial" w:hAnsi="Arial"/>
                <w:sz w:val="18"/>
                <w:szCs w:val="18"/>
                <w:color w:val="auto"/>
              </w:rPr>
              <w:t>Maturities</w:t>
            </w:r>
          </w:p>
        </w:tc>
        <w:tc>
          <w:tcPr>
            <w:tcW w:w="920" w:type="dxa"/>
            <w:vAlign w:val="bottom"/>
          </w:tcPr>
          <w:p>
            <w:pPr>
              <w:spacing w:after="0"/>
              <w:rPr>
                <w:sz w:val="17"/>
                <w:szCs w:val="17"/>
                <w:color w:val="auto"/>
              </w:rPr>
            </w:pPr>
          </w:p>
        </w:tc>
        <w:tc>
          <w:tcPr>
            <w:tcW w:w="1000" w:type="dxa"/>
            <w:vAlign w:val="bottom"/>
          </w:tcPr>
          <w:p>
            <w:pPr>
              <w:jc w:val="right"/>
              <w:ind w:right="455"/>
              <w:spacing w:after="0" w:line="200" w:lineRule="exact"/>
              <w:rPr>
                <w:sz w:val="20"/>
                <w:szCs w:val="20"/>
                <w:color w:val="auto"/>
              </w:rPr>
            </w:pPr>
            <w:r>
              <w:rPr>
                <w:rFonts w:ascii="Arial" w:cs="Arial" w:eastAsia="Arial" w:hAnsi="Arial"/>
                <w:sz w:val="18"/>
                <w:szCs w:val="18"/>
                <w:color w:val="auto"/>
                <w:w w:val="95"/>
              </w:rPr>
              <w:t>2009-</w:t>
            </w:r>
          </w:p>
        </w:tc>
        <w:tc>
          <w:tcPr>
            <w:tcW w:w="480" w:type="dxa"/>
            <w:vAlign w:val="bottom"/>
          </w:tcPr>
          <w:p>
            <w:pPr>
              <w:spacing w:after="0"/>
              <w:rPr>
                <w:sz w:val="17"/>
                <w:szCs w:val="17"/>
                <w:color w:val="auto"/>
              </w:rPr>
            </w:pPr>
          </w:p>
        </w:tc>
        <w:tc>
          <w:tcPr>
            <w:tcW w:w="620" w:type="dxa"/>
            <w:vAlign w:val="bottom"/>
          </w:tcPr>
          <w:p>
            <w:pPr>
              <w:jc w:val="right"/>
              <w:ind w:right="75"/>
              <w:spacing w:after="0" w:line="200" w:lineRule="exact"/>
              <w:rPr>
                <w:sz w:val="20"/>
                <w:szCs w:val="20"/>
                <w:color w:val="auto"/>
              </w:rPr>
            </w:pPr>
            <w:r>
              <w:rPr>
                <w:rFonts w:ascii="Arial" w:cs="Arial" w:eastAsia="Arial" w:hAnsi="Arial"/>
                <w:sz w:val="18"/>
                <w:szCs w:val="18"/>
                <w:color w:val="auto"/>
                <w:w w:val="95"/>
              </w:rPr>
              <w:t>2008-</w:t>
            </w: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jc w:val="right"/>
              <w:ind w:right="455"/>
              <w:spacing w:after="0" w:line="202" w:lineRule="exact"/>
              <w:rPr>
                <w:sz w:val="20"/>
                <w:szCs w:val="20"/>
                <w:color w:val="auto"/>
              </w:rPr>
            </w:pPr>
            <w:r>
              <w:rPr>
                <w:rFonts w:ascii="Arial" w:cs="Arial" w:eastAsia="Arial" w:hAnsi="Arial"/>
                <w:sz w:val="18"/>
                <w:szCs w:val="18"/>
                <w:color w:val="auto"/>
              </w:rPr>
              <w:t>2018</w:t>
            </w:r>
          </w:p>
        </w:tc>
        <w:tc>
          <w:tcPr>
            <w:tcW w:w="480" w:type="dxa"/>
            <w:vAlign w:val="bottom"/>
          </w:tcPr>
          <w:p>
            <w:pPr>
              <w:spacing w:after="0"/>
              <w:rPr>
                <w:sz w:val="17"/>
                <w:szCs w:val="17"/>
                <w:color w:val="auto"/>
              </w:rPr>
            </w:pPr>
          </w:p>
        </w:tc>
        <w:tc>
          <w:tcPr>
            <w:tcW w:w="6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2014</w:t>
            </w:r>
          </w:p>
        </w:tc>
      </w:tr>
      <w:tr>
        <w:trPr>
          <w:trHeight w:val="203"/>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Notional amount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455"/>
              <w:spacing w:after="0" w:line="202" w:lineRule="exact"/>
              <w:rPr>
                <w:sz w:val="20"/>
                <w:szCs w:val="20"/>
                <w:color w:val="auto"/>
              </w:rPr>
            </w:pPr>
            <w:r>
              <w:rPr>
                <w:rFonts w:ascii="Arial" w:cs="Arial" w:eastAsia="Arial" w:hAnsi="Arial"/>
                <w:sz w:val="18"/>
                <w:szCs w:val="18"/>
                <w:color w:val="auto"/>
                <w:w w:val="97"/>
              </w:rPr>
              <w:t>3,500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5"/>
              <w:spacing w:after="0" w:line="202" w:lineRule="exact"/>
              <w:rPr>
                <w:sz w:val="20"/>
                <w:szCs w:val="20"/>
                <w:color w:val="auto"/>
              </w:rPr>
            </w:pPr>
            <w:r>
              <w:rPr>
                <w:rFonts w:ascii="Arial" w:cs="Arial" w:eastAsia="Arial" w:hAnsi="Arial"/>
                <w:sz w:val="18"/>
                <w:szCs w:val="18"/>
                <w:color w:val="auto"/>
                <w:w w:val="97"/>
              </w:rPr>
              <w:t>3,200</w:t>
            </w:r>
          </w:p>
        </w:tc>
      </w:tr>
      <w:tr>
        <w:trPr>
          <w:trHeight w:val="203"/>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Average pay rate</w:t>
            </w:r>
          </w:p>
        </w:tc>
        <w:tc>
          <w:tcPr>
            <w:tcW w:w="920" w:type="dxa"/>
            <w:vAlign w:val="bottom"/>
          </w:tcPr>
          <w:p>
            <w:pPr>
              <w:spacing w:after="0"/>
              <w:rPr>
                <w:sz w:val="17"/>
                <w:szCs w:val="17"/>
                <w:color w:val="auto"/>
              </w:rPr>
            </w:pPr>
          </w:p>
        </w:tc>
        <w:tc>
          <w:tcPr>
            <w:tcW w:w="100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3.9%</w:t>
            </w:r>
          </w:p>
        </w:tc>
        <w:tc>
          <w:tcPr>
            <w:tcW w:w="4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Average receive rate</w:t>
            </w:r>
          </w:p>
        </w:tc>
        <w:tc>
          <w:tcPr>
            <w:tcW w:w="920" w:type="dxa"/>
            <w:vAlign w:val="bottom"/>
          </w:tcPr>
          <w:p>
            <w:pPr>
              <w:spacing w:after="0"/>
              <w:rPr>
                <w:sz w:val="17"/>
                <w:szCs w:val="17"/>
                <w:color w:val="auto"/>
              </w:rPr>
            </w:pPr>
          </w:p>
        </w:tc>
        <w:tc>
          <w:tcPr>
            <w:tcW w:w="100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5.8%</w:t>
            </w:r>
          </w:p>
        </w:tc>
        <w:tc>
          <w:tcPr>
            <w:tcW w:w="4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199"/>
        </w:trPr>
        <w:tc>
          <w:tcPr>
            <w:tcW w:w="24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Estimated fair value</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455"/>
              <w:spacing w:after="0" w:line="200" w:lineRule="exact"/>
              <w:rPr>
                <w:sz w:val="20"/>
                <w:szCs w:val="20"/>
                <w:color w:val="auto"/>
              </w:rPr>
            </w:pPr>
            <w:r>
              <w:rPr>
                <w:rFonts w:ascii="Arial" w:cs="Arial" w:eastAsia="Arial" w:hAnsi="Arial"/>
                <w:sz w:val="18"/>
                <w:szCs w:val="18"/>
                <w:color w:val="auto"/>
              </w:rPr>
              <w:t>309</w:t>
            </w: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The notional amounts presented in the table above are used to measure interest to be paid or received and do not represent the amount of exposure to credit loss. The estimated fair value represents the approximate amount of proceeds or payments required to settle the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-1342390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7"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In 2008, 2007 and 2006, the effect of our interest rate derivative financial instruments was an (decrease) increase to our interest expense of approximately $(34) million, $43 million and $39 million, respectively.</w:t>
      </w:r>
    </w:p>
    <w:p>
      <w:pPr>
        <w:spacing w:after="0" w:line="1945"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10: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2008</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2007</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2006</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41"/>
        </w:trPr>
        <w:tc>
          <w:tcPr>
            <w:tcW w:w="4000" w:type="dxa"/>
            <w:vAlign w:val="bottom"/>
          </w:tcPr>
          <w:p>
            <w:pPr>
              <w:spacing w:after="0"/>
              <w:rPr>
                <w:sz w:val="12"/>
                <w:szCs w:val="12"/>
                <w:color w:val="auto"/>
              </w:rPr>
            </w:pPr>
          </w:p>
        </w:tc>
        <w:tc>
          <w:tcPr>
            <w:tcW w:w="1700" w:type="dxa"/>
            <w:vAlign w:val="bottom"/>
            <w:gridSpan w:val="2"/>
          </w:tcPr>
          <w:p>
            <w:pPr>
              <w:ind w:left="460"/>
              <w:spacing w:after="0" w:line="141" w:lineRule="exact"/>
              <w:rPr>
                <w:sz w:val="20"/>
                <w:szCs w:val="20"/>
                <w:color w:val="auto"/>
              </w:rPr>
            </w:pPr>
            <w:r>
              <w:rPr>
                <w:rFonts w:ascii="Arial" w:cs="Arial" w:eastAsia="Arial" w:hAnsi="Arial"/>
                <w:sz w:val="14"/>
                <w:szCs w:val="14"/>
                <w:color w:val="auto"/>
              </w:rPr>
              <w:t>Postretirement</w:t>
            </w:r>
          </w:p>
        </w:tc>
        <w:tc>
          <w:tcPr>
            <w:tcW w:w="1000" w:type="dxa"/>
            <w:vAlign w:val="bottom"/>
            <w:gridSpan w:val="2"/>
          </w:tcPr>
          <w:p>
            <w:pPr>
              <w:ind w:left="160"/>
              <w:spacing w:after="0" w:line="141" w:lineRule="exact"/>
              <w:rPr>
                <w:sz w:val="20"/>
                <w:szCs w:val="20"/>
                <w:color w:val="auto"/>
              </w:rPr>
            </w:pPr>
            <w:r>
              <w:rPr>
                <w:rFonts w:ascii="Arial" w:cs="Arial" w:eastAsia="Arial" w:hAnsi="Arial"/>
                <w:sz w:val="14"/>
                <w:szCs w:val="14"/>
                <w:color w:val="auto"/>
              </w:rPr>
              <w:t>Pension</w:t>
            </w:r>
          </w:p>
        </w:tc>
        <w:tc>
          <w:tcPr>
            <w:tcW w:w="144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Postretirement</w:t>
            </w:r>
          </w:p>
        </w:tc>
        <w:tc>
          <w:tcPr>
            <w:tcW w:w="100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Pension</w:t>
            </w:r>
          </w:p>
        </w:tc>
        <w:tc>
          <w:tcPr>
            <w:tcW w:w="146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Postretirement</w:t>
            </w:r>
          </w:p>
        </w:tc>
        <w:tc>
          <w:tcPr>
            <w:tcW w:w="82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Pension</w:t>
            </w:r>
          </w:p>
        </w:tc>
      </w:tr>
      <w:tr>
        <w:trPr>
          <w:trHeight w:val="149"/>
        </w:trPr>
        <w:tc>
          <w:tcPr>
            <w:tcW w:w="4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97"/>
              <w:spacing w:after="0" w:line="149" w:lineRule="exact"/>
              <w:rPr>
                <w:sz w:val="20"/>
                <w:szCs w:val="20"/>
                <w:color w:val="auto"/>
              </w:rPr>
            </w:pPr>
            <w:r>
              <w:rPr>
                <w:rFonts w:ascii="Arial" w:cs="Arial" w:eastAsia="Arial" w:hAnsi="Arial"/>
                <w:sz w:val="14"/>
                <w:szCs w:val="14"/>
                <w:color w:val="auto"/>
              </w:rPr>
              <w:t>Benefits</w:t>
            </w:r>
          </w:p>
        </w:tc>
        <w:tc>
          <w:tcPr>
            <w:tcW w:w="1000" w:type="dxa"/>
            <w:vAlign w:val="bottom"/>
            <w:tcBorders>
              <w:bottom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Benefits</w:t>
            </w: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7"/>
              <w:spacing w:after="0" w:line="149" w:lineRule="exact"/>
              <w:rPr>
                <w:sz w:val="20"/>
                <w:szCs w:val="20"/>
                <w:color w:val="auto"/>
              </w:rPr>
            </w:pPr>
            <w:r>
              <w:rPr>
                <w:rFonts w:ascii="Arial" w:cs="Arial" w:eastAsia="Arial" w:hAnsi="Arial"/>
                <w:sz w:val="14"/>
                <w:szCs w:val="14"/>
                <w:color w:val="auto"/>
              </w:rPr>
              <w:t>Benefits</w:t>
            </w:r>
          </w:p>
        </w:tc>
        <w:tc>
          <w:tcPr>
            <w:tcW w:w="1000" w:type="dxa"/>
            <w:vAlign w:val="bottom"/>
            <w:tcBorders>
              <w:bottom w:val="single" w:sz="8" w:color="auto"/>
            </w:tcBorders>
            <w:gridSpan w:val="2"/>
          </w:tcPr>
          <w:p>
            <w:pPr>
              <w:ind w:left="180"/>
              <w:spacing w:after="0" w:line="149" w:lineRule="exact"/>
              <w:rPr>
                <w:sz w:val="20"/>
                <w:szCs w:val="20"/>
                <w:color w:val="auto"/>
              </w:rPr>
            </w:pPr>
            <w:r>
              <w:rPr>
                <w:rFonts w:ascii="Arial" w:cs="Arial" w:eastAsia="Arial" w:hAnsi="Arial"/>
                <w:sz w:val="14"/>
                <w:szCs w:val="14"/>
                <w:color w:val="auto"/>
              </w:rPr>
              <w:t>Benefits</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97"/>
              <w:spacing w:after="0" w:line="149" w:lineRule="exact"/>
              <w:rPr>
                <w:sz w:val="20"/>
                <w:szCs w:val="20"/>
                <w:color w:val="auto"/>
              </w:rPr>
            </w:pPr>
            <w:r>
              <w:rPr>
                <w:rFonts w:ascii="Arial" w:cs="Arial" w:eastAsia="Arial" w:hAnsi="Arial"/>
                <w:sz w:val="14"/>
                <w:szCs w:val="14"/>
                <w:color w:val="auto"/>
              </w:rPr>
              <w:t>Benefits</w:t>
            </w:r>
          </w:p>
        </w:tc>
        <w:tc>
          <w:tcPr>
            <w:tcW w:w="820" w:type="dxa"/>
            <w:vAlign w:val="bottom"/>
            <w:tcBorders>
              <w:bottom w:val="single" w:sz="8" w:color="auto"/>
            </w:tcBorders>
            <w:gridSpan w:val="2"/>
          </w:tcPr>
          <w:p>
            <w:pPr>
              <w:ind w:left="180"/>
              <w:spacing w:after="0" w:line="149" w:lineRule="exact"/>
              <w:rPr>
                <w:sz w:val="20"/>
                <w:szCs w:val="20"/>
                <w:color w:val="auto"/>
              </w:rPr>
            </w:pPr>
            <w:r>
              <w:rPr>
                <w:rFonts w:ascii="Arial" w:cs="Arial" w:eastAsia="Arial" w:hAnsi="Arial"/>
                <w:sz w:val="14"/>
                <w:szCs w:val="14"/>
                <w:color w:val="auto"/>
              </w:rPr>
              <w:t>Benefits</w:t>
            </w:r>
          </w:p>
        </w:tc>
      </w:tr>
      <w:tr>
        <w:trPr>
          <w:trHeight w:val="199"/>
        </w:trPr>
        <w:tc>
          <w:tcPr>
            <w:tcW w:w="4000" w:type="dxa"/>
            <w:vAlign w:val="bottom"/>
          </w:tcPr>
          <w:p>
            <w:pPr>
              <w:spacing w:after="0" w:line="200" w:lineRule="exact"/>
              <w:rPr>
                <w:sz w:val="20"/>
                <w:szCs w:val="20"/>
                <w:color w:val="auto"/>
              </w:rPr>
            </w:pPr>
            <w:r>
              <w:rPr>
                <w:rFonts w:ascii="Arial" w:cs="Arial" w:eastAsia="Arial" w:hAnsi="Arial"/>
                <w:sz w:val="18"/>
                <w:szCs w:val="18"/>
                <w:color w:val="auto"/>
              </w:rPr>
              <w:t>Benefit obligation</w:t>
            </w:r>
          </w:p>
        </w:tc>
        <w:tc>
          <w:tcPr>
            <w:tcW w:w="680" w:type="dxa"/>
            <w:vAlign w:val="bottom"/>
          </w:tcPr>
          <w:p>
            <w:pPr>
              <w:ind w:left="440"/>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7"/>
              <w:spacing w:after="0" w:line="200" w:lineRule="exact"/>
              <w:rPr>
                <w:sz w:val="20"/>
                <w:szCs w:val="20"/>
                <w:color w:val="auto"/>
              </w:rPr>
            </w:pPr>
            <w:r>
              <w:rPr>
                <w:rFonts w:ascii="Arial" w:cs="Arial" w:eastAsia="Arial" w:hAnsi="Arial"/>
                <w:sz w:val="18"/>
                <w:szCs w:val="18"/>
                <w:color w:val="auto"/>
              </w:rPr>
              <w:t>338</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252"/>
              <w:spacing w:after="0" w:line="200" w:lineRule="exact"/>
              <w:rPr>
                <w:sz w:val="20"/>
                <w:szCs w:val="20"/>
                <w:color w:val="auto"/>
              </w:rPr>
            </w:pPr>
            <w:r>
              <w:rPr>
                <w:rFonts w:ascii="Arial" w:cs="Arial" w:eastAsia="Arial" w:hAnsi="Arial"/>
                <w:sz w:val="18"/>
                <w:szCs w:val="18"/>
                <w:color w:val="auto"/>
              </w:rPr>
              <w:t>181</w:t>
            </w:r>
          </w:p>
        </w:tc>
        <w:tc>
          <w:tcPr>
            <w:tcW w:w="440" w:type="dxa"/>
            <w:vAlign w:val="bottom"/>
          </w:tcPr>
          <w:p>
            <w:pPr>
              <w:ind w:left="18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77"/>
              <w:spacing w:after="0" w:line="200" w:lineRule="exact"/>
              <w:rPr>
                <w:sz w:val="20"/>
                <w:szCs w:val="20"/>
                <w:color w:val="auto"/>
              </w:rPr>
            </w:pPr>
            <w:r>
              <w:rPr>
                <w:rFonts w:ascii="Arial" w:cs="Arial" w:eastAsia="Arial" w:hAnsi="Arial"/>
                <w:sz w:val="18"/>
                <w:szCs w:val="18"/>
                <w:color w:val="auto"/>
              </w:rPr>
              <w:t>280</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252"/>
              <w:spacing w:after="0" w:line="200" w:lineRule="exact"/>
              <w:rPr>
                <w:sz w:val="20"/>
                <w:szCs w:val="20"/>
                <w:color w:val="auto"/>
              </w:rPr>
            </w:pPr>
            <w:r>
              <w:rPr>
                <w:rFonts w:ascii="Arial" w:cs="Arial" w:eastAsia="Arial" w:hAnsi="Arial"/>
                <w:sz w:val="18"/>
                <w:szCs w:val="18"/>
                <w:color w:val="auto"/>
              </w:rPr>
              <w:t>179</w:t>
            </w:r>
          </w:p>
        </w:tc>
        <w:tc>
          <w:tcPr>
            <w:tcW w:w="440" w:type="dxa"/>
            <w:vAlign w:val="bottom"/>
          </w:tcPr>
          <w:p>
            <w:pPr>
              <w:ind w:left="180"/>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7"/>
              <w:spacing w:after="0" w:line="200" w:lineRule="exact"/>
              <w:rPr>
                <w:sz w:val="20"/>
                <w:szCs w:val="20"/>
                <w:color w:val="auto"/>
              </w:rPr>
            </w:pPr>
            <w:r>
              <w:rPr>
                <w:rFonts w:ascii="Arial" w:cs="Arial" w:eastAsia="Arial" w:hAnsi="Arial"/>
                <w:sz w:val="18"/>
                <w:szCs w:val="18"/>
                <w:color w:val="auto"/>
              </w:rPr>
              <w:t>280</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ind w:right="72"/>
              <w:spacing w:after="0" w:line="200" w:lineRule="exact"/>
              <w:rPr>
                <w:sz w:val="20"/>
                <w:szCs w:val="20"/>
                <w:color w:val="auto"/>
              </w:rPr>
            </w:pPr>
            <w:r>
              <w:rPr>
                <w:rFonts w:ascii="Arial" w:cs="Arial" w:eastAsia="Arial" w:hAnsi="Arial"/>
                <w:sz w:val="18"/>
                <w:szCs w:val="18"/>
                <w:color w:val="auto"/>
              </w:rPr>
              <w:t>184</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Fair value of plan assets</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152</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157</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122</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w w:val="99"/>
              </w:rPr>
              <w:t>Plan funded status and recorded benefit obligation</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(338)</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(29)</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(280)</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(22)</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(280)</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benefits expense</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(18)</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67</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(39)</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w:t>
            </w:r>
          </w:p>
        </w:tc>
      </w:tr>
      <w:tr>
        <w:trPr>
          <w:trHeight w:val="199"/>
        </w:trPr>
        <w:tc>
          <w:tcPr>
            <w:tcW w:w="4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Benefits expense</w:t>
            </w:r>
          </w:p>
        </w:tc>
        <w:tc>
          <w:tcPr>
            <w:tcW w:w="68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97"/>
              <w:spacing w:after="0" w:line="200" w:lineRule="exact"/>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252"/>
              <w:spacing w:after="0" w:line="200" w:lineRule="exact"/>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77"/>
              <w:spacing w:after="0" w:line="200" w:lineRule="exact"/>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252"/>
              <w:spacing w:after="0" w:line="200" w:lineRule="exact"/>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97"/>
              <w:spacing w:after="0" w:line="200" w:lineRule="exact"/>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8</w:t>
            </w:r>
          </w:p>
        </w:tc>
      </w:tr>
      <w:tr>
        <w:trPr>
          <w:trHeight w:val="199"/>
        </w:trPr>
        <w:tc>
          <w:tcPr>
            <w:tcW w:w="4000" w:type="dxa"/>
            <w:vAlign w:val="bottom"/>
          </w:tcPr>
          <w:p>
            <w:pPr>
              <w:spacing w:after="0" w:line="200" w:lineRule="exact"/>
              <w:rPr>
                <w:sz w:val="20"/>
                <w:szCs w:val="20"/>
                <w:color w:val="auto"/>
              </w:rPr>
            </w:pPr>
            <w:r>
              <w:rPr>
                <w:rFonts w:ascii="Arial" w:cs="Arial" w:eastAsia="Arial" w:hAnsi="Arial"/>
                <w:sz w:val="18"/>
                <w:szCs w:val="18"/>
                <w:color w:val="auto"/>
              </w:rPr>
              <w:t>Discount rate</w:t>
            </w:r>
          </w:p>
        </w:tc>
        <w:tc>
          <w:tcPr>
            <w:tcW w:w="680" w:type="dxa"/>
            <w:vAlign w:val="bottom"/>
          </w:tcPr>
          <w:p>
            <w:pPr>
              <w:spacing w:after="0"/>
              <w:rPr>
                <w:sz w:val="17"/>
                <w:szCs w:val="17"/>
                <w:color w:val="auto"/>
              </w:rPr>
            </w:pPr>
          </w:p>
        </w:tc>
        <w:tc>
          <w:tcPr>
            <w:tcW w:w="102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6.15%</w:t>
            </w:r>
          </w:p>
        </w:tc>
        <w:tc>
          <w:tcPr>
            <w:tcW w:w="280" w:type="dxa"/>
            <w:vAlign w:val="bottom"/>
          </w:tcPr>
          <w:p>
            <w:pPr>
              <w:spacing w:after="0"/>
              <w:rPr>
                <w:sz w:val="17"/>
                <w:szCs w:val="17"/>
                <w:color w:val="auto"/>
              </w:rPr>
            </w:pPr>
          </w:p>
        </w:tc>
        <w:tc>
          <w:tcPr>
            <w:tcW w:w="720" w:type="dxa"/>
            <w:vAlign w:val="bottom"/>
          </w:tcPr>
          <w:p>
            <w:pPr>
              <w:jc w:val="right"/>
              <w:ind w:right="92"/>
              <w:spacing w:after="0" w:line="200" w:lineRule="exact"/>
              <w:rPr>
                <w:sz w:val="20"/>
                <w:szCs w:val="20"/>
                <w:color w:val="auto"/>
              </w:rPr>
            </w:pPr>
            <w:r>
              <w:rPr>
                <w:rFonts w:ascii="Arial" w:cs="Arial" w:eastAsia="Arial" w:hAnsi="Arial"/>
                <w:sz w:val="18"/>
                <w:szCs w:val="18"/>
                <w:color w:val="auto"/>
              </w:rPr>
              <w:t>6.00%</w:t>
            </w:r>
          </w:p>
        </w:tc>
        <w:tc>
          <w:tcPr>
            <w:tcW w:w="440" w:type="dxa"/>
            <w:vAlign w:val="bottom"/>
          </w:tcPr>
          <w:p>
            <w:pPr>
              <w:spacing w:after="0"/>
              <w:rPr>
                <w:sz w:val="17"/>
                <w:szCs w:val="17"/>
                <w:color w:val="auto"/>
              </w:rPr>
            </w:pPr>
          </w:p>
        </w:tc>
        <w:tc>
          <w:tcPr>
            <w:tcW w:w="100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6.65%</w:t>
            </w:r>
          </w:p>
        </w:tc>
        <w:tc>
          <w:tcPr>
            <w:tcW w:w="280" w:type="dxa"/>
            <w:vAlign w:val="bottom"/>
          </w:tcPr>
          <w:p>
            <w:pPr>
              <w:spacing w:after="0"/>
              <w:rPr>
                <w:sz w:val="17"/>
                <w:szCs w:val="17"/>
                <w:color w:val="auto"/>
              </w:rPr>
            </w:pPr>
          </w:p>
        </w:tc>
        <w:tc>
          <w:tcPr>
            <w:tcW w:w="720" w:type="dxa"/>
            <w:vAlign w:val="bottom"/>
          </w:tcPr>
          <w:p>
            <w:pPr>
              <w:jc w:val="right"/>
              <w:ind w:right="92"/>
              <w:spacing w:after="0" w:line="200" w:lineRule="exact"/>
              <w:rPr>
                <w:sz w:val="20"/>
                <w:szCs w:val="20"/>
                <w:color w:val="auto"/>
              </w:rPr>
            </w:pPr>
            <w:r>
              <w:rPr>
                <w:rFonts w:ascii="Arial" w:cs="Arial" w:eastAsia="Arial" w:hAnsi="Arial"/>
                <w:sz w:val="18"/>
                <w:szCs w:val="18"/>
                <w:color w:val="auto"/>
              </w:rPr>
              <w:t>6.25%</w:t>
            </w:r>
          </w:p>
        </w:tc>
        <w:tc>
          <w:tcPr>
            <w:tcW w:w="440" w:type="dxa"/>
            <w:vAlign w:val="bottom"/>
          </w:tcPr>
          <w:p>
            <w:pPr>
              <w:spacing w:after="0"/>
              <w:rPr>
                <w:sz w:val="17"/>
                <w:szCs w:val="17"/>
                <w:color w:val="auto"/>
              </w:rPr>
            </w:pPr>
          </w:p>
        </w:tc>
        <w:tc>
          <w:tcPr>
            <w:tcW w:w="102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6.00%</w:t>
            </w:r>
          </w:p>
        </w:tc>
        <w:tc>
          <w:tcPr>
            <w:tcW w:w="28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rPr>
              <w:t>5.75%</w:t>
            </w:r>
          </w:p>
        </w:tc>
      </w:tr>
      <w:tr>
        <w:trPr>
          <w:trHeight w:val="199"/>
        </w:trPr>
        <w:tc>
          <w:tcPr>
            <w:tcW w:w="4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Expected return on plan assets</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7"/>
              <w:spacing w:after="0" w:line="200" w:lineRule="exact"/>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2"/>
              <w:spacing w:after="0" w:line="200" w:lineRule="exact"/>
              <w:rPr>
                <w:sz w:val="20"/>
                <w:szCs w:val="20"/>
                <w:color w:val="auto"/>
              </w:rPr>
            </w:pPr>
            <w:r>
              <w:rPr>
                <w:rFonts w:ascii="Arial" w:cs="Arial" w:eastAsia="Arial" w:hAnsi="Arial"/>
                <w:sz w:val="18"/>
                <w:szCs w:val="18"/>
                <w:color w:val="auto"/>
              </w:rPr>
              <w:t>8.00%</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7"/>
              <w:spacing w:after="0" w:line="200" w:lineRule="exact"/>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2"/>
              <w:spacing w:after="0" w:line="200" w:lineRule="exact"/>
              <w:rPr>
                <w:sz w:val="20"/>
                <w:szCs w:val="20"/>
                <w:color w:val="auto"/>
              </w:rPr>
            </w:pPr>
            <w:r>
              <w:rPr>
                <w:rFonts w:ascii="Arial" w:cs="Arial" w:eastAsia="Arial" w:hAnsi="Arial"/>
                <w:sz w:val="18"/>
                <w:szCs w:val="18"/>
                <w:color w:val="auto"/>
              </w:rPr>
              <w:t>8.00%</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7"/>
              <w:spacing w:after="0" w:line="200" w:lineRule="exact"/>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7.00%</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postretirement medical benefits cover substantially all of our employees who meet certain age and service requirements. The majority of eligible employees participate in the Comcast Postretirement Healthcare Stipend Program (the “stipend plan”), and a small number of eligible employees participate in legacy plans of acquired companies.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 Plans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sponsor two pension plans that together provide benefits to substantially all former employees of a previously acquired company. Future benefits for both plans have been frozen.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Deferred Compensation Plans</w:t>
      </w:r>
    </w:p>
    <w:p>
      <w:pPr>
        <w:jc w:val="both"/>
        <w:ind w:right="120"/>
        <w:spacing w:after="0" w:line="235"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are credited with income primarily based on a fixed annual rate. Participants are eligible to receive distributions of the amounts credited to their account based on elected deferral periods that are consistent with the plans and applicable tax law. We have purchased life insurance policies to fund a portion of the unfunded obligation related to our deferred compensation plans. As of December 31, 2008 and 2007, the cash surrender value of these policies, which are recorded in other noncurrent assets, was approximately $147 million and $112 million, respectively.</w:t>
      </w:r>
    </w:p>
    <w:p>
      <w:pPr>
        <w:spacing w:after="0" w:line="206"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17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89"/>
              </w:rPr>
              <w:t>2008</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89"/>
              </w:rPr>
              <w:t>2007</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2006</w:t>
            </w:r>
          </w:p>
        </w:tc>
      </w:tr>
      <w:tr>
        <w:trPr>
          <w:trHeight w:val="199"/>
        </w:trPr>
        <w:tc>
          <w:tcPr>
            <w:tcW w:w="2840" w:type="dxa"/>
            <w:vAlign w:val="bottom"/>
          </w:tcPr>
          <w:p>
            <w:pPr>
              <w:ind w:left="20"/>
              <w:spacing w:after="0" w:line="200" w:lineRule="exact"/>
              <w:rPr>
                <w:sz w:val="20"/>
                <w:szCs w:val="20"/>
                <w:color w:val="auto"/>
              </w:rPr>
            </w:pPr>
            <w:r>
              <w:rPr>
                <w:rFonts w:ascii="Arial" w:cs="Arial" w:eastAsia="Arial" w:hAnsi="Arial"/>
                <w:sz w:val="18"/>
                <w:szCs w:val="18"/>
                <w:color w:val="auto"/>
              </w:rPr>
              <w:t>Benefit obligation</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39"/>
              <w:spacing w:after="0" w:line="200" w:lineRule="exact"/>
              <w:rPr>
                <w:sz w:val="20"/>
                <w:szCs w:val="20"/>
                <w:color w:val="auto"/>
              </w:rPr>
            </w:pPr>
            <w:r>
              <w:rPr>
                <w:rFonts w:ascii="Arial" w:cs="Arial" w:eastAsia="Arial" w:hAnsi="Arial"/>
                <w:sz w:val="18"/>
                <w:szCs w:val="18"/>
                <w:color w:val="auto"/>
                <w:w w:val="93"/>
              </w:rPr>
              <w:t>797</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39"/>
              <w:spacing w:after="0" w:line="200" w:lineRule="exact"/>
              <w:rPr>
                <w:sz w:val="20"/>
                <w:szCs w:val="20"/>
                <w:color w:val="auto"/>
              </w:rPr>
            </w:pPr>
            <w:r>
              <w:rPr>
                <w:rFonts w:ascii="Arial" w:cs="Arial" w:eastAsia="Arial" w:hAnsi="Arial"/>
                <w:sz w:val="18"/>
                <w:szCs w:val="18"/>
                <w:color w:val="auto"/>
                <w:w w:val="93"/>
              </w:rPr>
              <w:t>672</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w w:val="93"/>
              </w:rPr>
              <w:t>554</w:t>
            </w:r>
          </w:p>
        </w:tc>
      </w:tr>
      <w:tr>
        <w:trPr>
          <w:trHeight w:val="199"/>
        </w:trPr>
        <w:tc>
          <w:tcPr>
            <w:tcW w:w="284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76</w:t>
            </w:r>
          </w:p>
        </w:tc>
        <w:tc>
          <w:tcPr>
            <w:tcW w:w="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65</w:t>
            </w:r>
          </w:p>
        </w:tc>
        <w:tc>
          <w:tcPr>
            <w:tcW w:w="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52A2DD"/>
        </w:rPr>
        <w:t>Split Dollar Life Insurance</w:t>
      </w:r>
    </w:p>
    <w:p>
      <w:pPr>
        <w:jc w:val="both"/>
        <w:spacing w:after="0" w:line="236" w:lineRule="auto"/>
        <w:rPr>
          <w:sz w:val="20"/>
          <w:szCs w:val="20"/>
          <w:color w:val="auto"/>
        </w:rPr>
      </w:pPr>
      <w:r>
        <w:rPr>
          <w:rFonts w:ascii="Arial" w:cs="Arial" w:eastAsia="Arial" w:hAnsi="Arial"/>
          <w:sz w:val="18"/>
          <w:szCs w:val="18"/>
          <w:color w:val="auto"/>
        </w:rPr>
        <w:t>We also have collateral assignment split-dollar life insurance agreements with select key employees that require us to bear certain insurance-related costs. Under some of these agreements, our obligation to provide benefits to the employees extends beyond retirement.</w:t>
      </w:r>
    </w:p>
    <w:p>
      <w:pPr>
        <w:spacing w:after="0" w:line="157" w:lineRule="exact"/>
        <w:rPr>
          <w:sz w:val="20"/>
          <w:szCs w:val="20"/>
          <w:color w:val="auto"/>
        </w:rPr>
      </w:pPr>
    </w:p>
    <w:p>
      <w:pPr>
        <w:jc w:val="both"/>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On January 1, 2008, in connection with the adoption of EITF 06-10, we adjusted beginning retained earnings and recorded a liability of $132 million for the present value of the postretirement benefit </w:t>
      </w:r>
      <w:hyperlink w:anchor="page52">
        <w:r>
          <w:rPr>
            <w:rFonts w:ascii="Arial" w:cs="Arial" w:eastAsia="Arial" w:hAnsi="Arial"/>
            <w:sz w:val="18"/>
            <w:szCs w:val="18"/>
            <w:color w:val="auto"/>
          </w:rPr>
          <w:t>obligation related to our split-dollar life insurance agreements (</w:t>
        </w:r>
        <w:r>
          <w:rPr>
            <w:rFonts w:ascii="Arial" w:cs="Arial" w:eastAsia="Arial" w:hAnsi="Arial"/>
            <w:sz w:val="18"/>
            <w:szCs w:val="18"/>
            <w:u w:val="single" w:color="auto"/>
            <w:color w:val="0000EE"/>
          </w:rPr>
          <w:t>see</w:t>
        </w:r>
      </w:hyperlink>
      <w:r>
        <w:rPr>
          <w:rFonts w:ascii="Arial" w:cs="Arial" w:eastAsia="Arial" w:hAnsi="Arial"/>
          <w:sz w:val="18"/>
          <w:szCs w:val="18"/>
          <w:color w:val="auto"/>
        </w:rPr>
        <w:t xml:space="preserve"> </w:t>
      </w:r>
      <w:hyperlink w:anchor="page52">
        <w:r>
          <w:rPr>
            <w:rFonts w:ascii="Arial" w:cs="Arial" w:eastAsia="Arial" w:hAnsi="Arial"/>
            <w:sz w:val="18"/>
            <w:szCs w:val="18"/>
            <w:u w:val="single" w:color="auto"/>
            <w:color w:val="0000EE"/>
          </w:rPr>
          <w:t>Note 3</w:t>
        </w:r>
        <w:r>
          <w:rPr>
            <w:rFonts w:ascii="Arial" w:cs="Arial" w:eastAsia="Arial" w:hAnsi="Arial"/>
            <w:sz w:val="18"/>
            <w:szCs w:val="18"/>
            <w:color w:val="000000"/>
          </w:rPr>
          <w:t>). As of December 31, 2008, this benefit obligation was $145</w:t>
        </w:r>
      </w:hyperlink>
      <w:r>
        <w:rPr>
          <w:rFonts w:ascii="Arial" w:cs="Arial" w:eastAsia="Arial" w:hAnsi="Arial"/>
          <w:sz w:val="18"/>
          <w:szCs w:val="18"/>
          <w:color w:val="0000EE"/>
        </w:rPr>
        <w:t xml:space="preserve"> </w:t>
      </w:r>
      <w:r>
        <w:rPr>
          <w:rFonts w:ascii="Arial" w:cs="Arial" w:eastAsia="Arial" w:hAnsi="Arial"/>
          <w:sz w:val="18"/>
          <w:szCs w:val="18"/>
          <w:color w:val="000000"/>
        </w:rPr>
        <w:t>million. The related expenses were $24 million for the year ended December 31, 2008.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Retirement Investment Plans</w:t>
      </w:r>
    </w:p>
    <w:p>
      <w:pPr>
        <w:jc w:val="both"/>
        <w:spacing w:after="0" w:line="236" w:lineRule="auto"/>
        <w:rPr>
          <w:sz w:val="20"/>
          <w:szCs w:val="20"/>
          <w:color w:val="auto"/>
        </w:rPr>
      </w:pPr>
      <w:r>
        <w:rPr>
          <w:rFonts w:ascii="Arial" w:cs="Arial" w:eastAsia="Arial" w:hAnsi="Arial"/>
          <w:sz w:val="18"/>
          <w:szCs w:val="18"/>
          <w:color w:val="auto"/>
        </w:rPr>
        <w:t>We sponsor several 401(k) retirement plans that allow eligible employees to contribute a portion of their compensation through payroll deductions in accordance with specified guidelines. We match a percentage of the employees’ contributions up to certain limits. For the years ended December 31, 2008, 2007 and 2006, expenses related to these plans amounted to $178 million, $150 million and $125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11: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4817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the aggregate, holders of our Class A common stock have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our common stock and holders of our Class B common stock have 33</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voting power of our common stock.</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Class A Special common stock is generally nonvoting. Each share of our Class B common stock is entitled to 15 votes. The number of votes held by each share of our Class A common stock depends on the number of shares of Class A and Class B common stock</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outstanding at any given time. The 33</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aggregate voting power of</w:t>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Class B common stock cannot be diluted by additional issuances of any other class of common stock. Our Class B common stock is convertible, share for share, into Class A or Class A Special common stock, subject to certain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Share Repurchase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-764540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67" w:lineRule="auto"/>
        <w:rPr>
          <w:sz w:val="20"/>
          <w:szCs w:val="20"/>
          <w:color w:val="auto"/>
        </w:rPr>
      </w:pPr>
      <w:r>
        <w:rPr>
          <w:rFonts w:ascii="Arial" w:cs="Arial" w:eastAsia="Arial" w:hAnsi="Arial"/>
          <w:sz w:val="16"/>
          <w:szCs w:val="16"/>
          <w:color w:val="auto"/>
        </w:rPr>
        <w:t>In 2007, our Board of Directors authorized a $7 billion addition to our existing share repurchase authorization. Under this authorization, we may repurchase shares in the open market or in private transactions, subject to market conditions. As of December 31, 2008, we had approximately $4.1 billion of availability remaining under our share repurchase authorization. We have previously indicated our plan to fully use our remaining share repurchase authorization by the end of 2009, subject to market conditions. However, due to difficult economic conditions and instability in the capital markets, it is unlikely we will complete our share repurchase authorization by the end of 2009 as previously planned. The table below shows our aggregate repurchases during 2008, 2007 and 2006.</w:t>
      </w:r>
    </w:p>
    <w:p>
      <w:pPr>
        <w:spacing w:after="0" w:line="3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29210</wp:posOffset>
            </wp:positionV>
            <wp:extent cx="34817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2440" w:type="dxa"/>
            <w:vAlign w:val="bottom"/>
          </w:tcPr>
          <w:p>
            <w:pPr>
              <w:spacing w:after="0" w:line="200" w:lineRule="exact"/>
              <w:rPr>
                <w:sz w:val="20"/>
                <w:szCs w:val="20"/>
                <w:color w:val="auto"/>
              </w:rPr>
            </w:pPr>
            <w:r>
              <w:rPr>
                <w:rFonts w:ascii="Arial" w:cs="Arial" w:eastAsia="Arial" w:hAnsi="Arial"/>
                <w:sz w:val="18"/>
                <w:szCs w:val="18"/>
                <w:color w:val="auto"/>
              </w:rPr>
              <w:t>Aggregate consideration</w:t>
            </w:r>
          </w:p>
        </w:tc>
        <w:tc>
          <w:tcPr>
            <w:tcW w:w="130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$2,800</w:t>
            </w:r>
          </w:p>
        </w:tc>
        <w:tc>
          <w:tcPr>
            <w:tcW w:w="98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$3,102</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$2,347</w:t>
            </w:r>
          </w:p>
        </w:tc>
      </w:tr>
      <w:tr>
        <w:trPr>
          <w:trHeight w:val="199"/>
        </w:trPr>
        <w:tc>
          <w:tcPr>
            <w:tcW w:w="24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Shares repurchased</w:t>
            </w:r>
          </w:p>
        </w:tc>
        <w:tc>
          <w:tcPr>
            <w:tcW w:w="130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141</w:t>
            </w:r>
          </w:p>
        </w:tc>
        <w:tc>
          <w:tcPr>
            <w:tcW w:w="98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133</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113</w:t>
            </w:r>
          </w:p>
        </w:tc>
      </w:tr>
    </w:tbl>
    <w:p>
      <w:pPr>
        <w:spacing w:after="0" w:line="260"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Our Board of Directors declared a dividend of $0.0625 per share for each quarter in 2008, totaling approximately $727 million, of which approximately $547 million was paid in 2008. We expect to continue to pay quarterly dividends, though each subsequent dividend is subject to approval by our Board of Directors. We did not declare or pay any cash dividends in 2007 or 2006.</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8" w:lineRule="exact"/>
        <w:rPr>
          <w:sz w:val="20"/>
          <w:szCs w:val="20"/>
          <w:color w:val="auto"/>
        </w:rPr>
      </w:pPr>
    </w:p>
    <w:p>
      <w:pPr>
        <w:jc w:val="both"/>
        <w:ind w:left="140" w:right="120"/>
        <w:spacing w:after="0" w:line="239" w:lineRule="auto"/>
        <w:rPr>
          <w:sz w:val="20"/>
          <w:szCs w:val="20"/>
          <w:color w:val="auto"/>
        </w:rPr>
      </w:pPr>
      <w:r>
        <w:rPr>
          <w:rFonts w:ascii="Arial" w:cs="Arial" w:eastAsia="Arial" w:hAnsi="Arial"/>
          <w:sz w:val="18"/>
          <w:szCs w:val="18"/>
          <w:color w:val="auto"/>
        </w:rPr>
        <w:t>The table below presents our accumulated other comprehensive income (loss), net of taxes.</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99"/>
        </w:trPr>
        <w:tc>
          <w:tcPr>
            <w:tcW w:w="3620" w:type="dxa"/>
            <w:vAlign w:val="bottom"/>
          </w:tcPr>
          <w:p>
            <w:pPr>
              <w:spacing w:after="0" w:line="200" w:lineRule="exact"/>
              <w:rPr>
                <w:sz w:val="20"/>
                <w:szCs w:val="20"/>
                <w:color w:val="auto"/>
              </w:rPr>
            </w:pPr>
            <w:r>
              <w:rPr>
                <w:rFonts w:ascii="Arial" w:cs="Arial" w:eastAsia="Arial" w:hAnsi="Arial"/>
                <w:sz w:val="18"/>
                <w:szCs w:val="18"/>
                <w:color w:val="auto"/>
              </w:rPr>
              <w:t>Unrealized gains (losses) on marketable</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securities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19</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Unrealized gains (losses) on cash flow</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hedges</w:t>
            </w:r>
          </w:p>
        </w:tc>
        <w:tc>
          <w:tcPr>
            <w:tcW w:w="420" w:type="dxa"/>
            <w:vAlign w:val="bottom"/>
          </w:tcPr>
          <w:p>
            <w:pPr>
              <w:spacing w:after="0"/>
              <w:rPr>
                <w:sz w:val="17"/>
                <w:szCs w:val="17"/>
                <w:color w:val="auto"/>
              </w:rPr>
            </w:pPr>
          </w:p>
        </w:tc>
        <w:tc>
          <w:tcPr>
            <w:tcW w:w="66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(97)</w:t>
            </w:r>
          </w:p>
        </w:tc>
        <w:tc>
          <w:tcPr>
            <w:tcW w:w="3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5"/>
              </w:rPr>
              <w:t>(110)</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Unrealized gains (losses) on employee</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3620" w:type="dxa"/>
            <w:vAlign w:val="bottom"/>
          </w:tcPr>
          <w:p>
            <w:pPr>
              <w:ind w:left="220"/>
              <w:spacing w:after="0" w:line="202" w:lineRule="exact"/>
              <w:rPr>
                <w:sz w:val="20"/>
                <w:szCs w:val="20"/>
                <w:color w:val="auto"/>
              </w:rPr>
            </w:pPr>
            <w:r>
              <w:rPr>
                <w:rFonts w:ascii="Arial" w:cs="Arial" w:eastAsia="Arial" w:hAnsi="Arial"/>
                <w:sz w:val="18"/>
                <w:szCs w:val="18"/>
                <w:color w:val="auto"/>
              </w:rPr>
              <w:t>benefit obligations</w:t>
            </w:r>
          </w:p>
        </w:tc>
        <w:tc>
          <w:tcPr>
            <w:tcW w:w="420" w:type="dxa"/>
            <w:vAlign w:val="bottom"/>
          </w:tcPr>
          <w:p>
            <w:pPr>
              <w:spacing w:after="0"/>
              <w:rPr>
                <w:sz w:val="17"/>
                <w:szCs w:val="17"/>
                <w:color w:val="auto"/>
              </w:rPr>
            </w:pPr>
          </w:p>
        </w:tc>
        <w:tc>
          <w:tcPr>
            <w:tcW w:w="66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199"/>
        </w:trPr>
        <w:tc>
          <w:tcPr>
            <w:tcW w:w="36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Cumulative translation adjustments</w:t>
            </w: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r>
      <w:tr>
        <w:trPr>
          <w:trHeight w:val="199"/>
        </w:trPr>
        <w:tc>
          <w:tcPr>
            <w:tcW w:w="3620" w:type="dxa"/>
            <w:vAlign w:val="bottom"/>
          </w:tcPr>
          <w:p>
            <w:pPr>
              <w:spacing w:after="0" w:line="200" w:lineRule="exact"/>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9"/>
        </w:trPr>
        <w:tc>
          <w:tcPr>
            <w:tcW w:w="362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(loss)</w:t>
            </w:r>
          </w:p>
        </w:tc>
        <w:tc>
          <w:tcPr>
            <w:tcW w:w="42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136"/>
              <w:spacing w:after="0" w:line="200" w:lineRule="exact"/>
              <w:rPr>
                <w:sz w:val="20"/>
                <w:szCs w:val="20"/>
                <w:color w:val="auto"/>
              </w:rPr>
            </w:pPr>
            <w:r>
              <w:rPr>
                <w:rFonts w:ascii="Arial" w:cs="Arial" w:eastAsia="Arial" w:hAnsi="Arial"/>
                <w:sz w:val="18"/>
                <w:szCs w:val="18"/>
                <w:color w:val="auto"/>
                <w:w w:val="99"/>
              </w:rPr>
              <w:t>(113)</w:t>
            </w:r>
          </w:p>
        </w:tc>
        <w:tc>
          <w:tcPr>
            <w:tcW w:w="34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(56)</w:t>
            </w:r>
          </w:p>
        </w:tc>
      </w:tr>
    </w:tbl>
    <w:p>
      <w:pPr>
        <w:spacing w:after="0" w:line="165"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Unrealized losses on cash flow hedges in the table above relate to our interest rate lock agreements entered into to fix the interest rates of certain of our debt obligations in advance of their issuance. Unless we retire this debt early, these unrealized losses as of December 31, 2008 will be reclassified as an adjustment to interest expense over 9 years, the same period over which the related interest costs are recognized in earnings.</w:t>
      </w:r>
    </w:p>
    <w:p>
      <w:pPr>
        <w:spacing w:after="0" w:line="230"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12: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of Directors may grant share-based awards, in the form of stock options and RSUs, to certain employees and directors. Additionally, through our employee stock purchase plan, employees are able to purchase shares of Comcast Class A stock at a discount through payroll deductions.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Recognized Share-Based Compensation Expense Under SFAS 123R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4817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w w:val="89"/>
              </w:rPr>
              <w:t>2008</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w w:val="89"/>
              </w:rPr>
              <w:t>2007</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2006</w:t>
            </w:r>
          </w:p>
        </w:tc>
      </w:tr>
      <w:tr>
        <w:trPr>
          <w:trHeight w:val="199"/>
        </w:trPr>
        <w:tc>
          <w:tcPr>
            <w:tcW w:w="2900" w:type="dxa"/>
            <w:vAlign w:val="bottom"/>
          </w:tcPr>
          <w:p>
            <w:pPr>
              <w:ind w:left="20"/>
              <w:spacing w:after="0" w:line="200" w:lineRule="exact"/>
              <w:rPr>
                <w:sz w:val="20"/>
                <w:szCs w:val="20"/>
                <w:color w:val="auto"/>
              </w:rPr>
            </w:pPr>
            <w:r>
              <w:rPr>
                <w:rFonts w:ascii="Arial" w:cs="Arial" w:eastAsia="Arial" w:hAnsi="Arial"/>
                <w:sz w:val="18"/>
                <w:szCs w:val="18"/>
                <w:color w:val="auto"/>
              </w:rPr>
              <w:t>Stock options</w:t>
            </w: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36"/>
              <w:spacing w:after="0" w:line="200" w:lineRule="exact"/>
              <w:rPr>
                <w:sz w:val="20"/>
                <w:szCs w:val="20"/>
                <w:color w:val="auto"/>
              </w:rPr>
            </w:pPr>
            <w:r>
              <w:rPr>
                <w:rFonts w:ascii="Arial" w:cs="Arial" w:eastAsia="Arial" w:hAnsi="Arial"/>
                <w:sz w:val="18"/>
                <w:szCs w:val="18"/>
                <w:color w:val="auto"/>
              </w:rPr>
              <w:t>99</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36"/>
              <w:spacing w:after="0" w:line="200" w:lineRule="exact"/>
              <w:rPr>
                <w:sz w:val="20"/>
                <w:szCs w:val="20"/>
                <w:color w:val="auto"/>
              </w:rPr>
            </w:pPr>
            <w:r>
              <w:rPr>
                <w:rFonts w:ascii="Arial" w:cs="Arial" w:eastAsia="Arial" w:hAnsi="Arial"/>
                <w:sz w:val="18"/>
                <w:szCs w:val="18"/>
                <w:color w:val="auto"/>
              </w:rPr>
              <w:t>74</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w w:val="93"/>
              </w:rPr>
              <w:t>120</w:t>
            </w: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8"/>
                <w:szCs w:val="18"/>
                <w:color w:val="auto"/>
              </w:rPr>
              <w:t>Restricted share units</w:t>
            </w:r>
          </w:p>
        </w:tc>
        <w:tc>
          <w:tcPr>
            <w:tcW w:w="600" w:type="dxa"/>
            <w:vAlign w:val="bottom"/>
          </w:tcPr>
          <w:p>
            <w:pPr>
              <w:spacing w:after="0"/>
              <w:rPr>
                <w:sz w:val="17"/>
                <w:szCs w:val="17"/>
                <w:color w:val="auto"/>
              </w:rPr>
            </w:pPr>
          </w:p>
        </w:tc>
        <w:tc>
          <w:tcPr>
            <w:tcW w:w="5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96</w:t>
            </w:r>
          </w:p>
        </w:tc>
        <w:tc>
          <w:tcPr>
            <w:tcW w:w="320" w:type="dxa"/>
            <w:vAlign w:val="bottom"/>
          </w:tcPr>
          <w:p>
            <w:pPr>
              <w:spacing w:after="0"/>
              <w:rPr>
                <w:sz w:val="17"/>
                <w:szCs w:val="17"/>
                <w:color w:val="auto"/>
              </w:rPr>
            </w:pPr>
          </w:p>
        </w:tc>
        <w:tc>
          <w:tcPr>
            <w:tcW w:w="5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79</w:t>
            </w:r>
          </w:p>
        </w:tc>
        <w:tc>
          <w:tcPr>
            <w:tcW w:w="32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199"/>
        </w:trPr>
        <w:tc>
          <w:tcPr>
            <w:tcW w:w="290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Employee stock purchase plan</w:t>
            </w: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w:t>
            </w:r>
          </w:p>
        </w:tc>
      </w:tr>
      <w:tr>
        <w:trPr>
          <w:trHeight w:val="196"/>
        </w:trPr>
        <w:tc>
          <w:tcPr>
            <w:tcW w:w="29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93"/>
              </w:rPr>
              <w:t>208</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93"/>
              </w:rPr>
              <w:t>164</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190</w:t>
            </w:r>
          </w:p>
        </w:tc>
      </w:tr>
      <w:tr>
        <w:trPr>
          <w:trHeight w:val="196"/>
        </w:trPr>
        <w:tc>
          <w:tcPr>
            <w:tcW w:w="29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Tax benefit</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color w:val="auto"/>
              </w:rPr>
              <w:t>71</w:t>
            </w:r>
          </w:p>
        </w:tc>
        <w:tc>
          <w:tcPr>
            <w:tcW w:w="3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color w:val="auto"/>
              </w:rPr>
              <w:t>56</w:t>
            </w:r>
          </w:p>
        </w:tc>
        <w:tc>
          <w:tcPr>
            <w:tcW w:w="3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66</w:t>
            </w:r>
          </w:p>
        </w:tc>
      </w:tr>
    </w:tbl>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December 31, 2008, we had unrecognized pretax compensation expense of $292 million and $279 million related to nonvested stock options and nonvested RSUs, respectively, that will be recognized over a weighted average period of approximately 2.0 years. The amount of share-based compensation capitalized was not material to our consolidated financial statements for the periods presented.</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When stock options are exercised or RSU awards are settled through the issuance of shares, any income tax benefit realized in excess of the amount associated with compensation expense that was previously recognized for financial reporting purposes is presented as a financing activity rather than as an operating activity in our consolidated statement of cash flows. The excess cash income tax benefit classified as a financing cash inflow in 2008, 2007 and 2006 was approximately $15 million, $33 million and $33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Plans</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maintain stock option plans for certain employees under which fixed-price stock options may be granted and the option price is generally not less than the fair value of a share of the underlying stock at the date of grant. Under our stock option plans, a combined total of approximately 226 million shares of our Class A and Class A Special common stock are reserved for the exercise of stock options, including those outstanding as of December 31, 2008. Option terms are generally 10 years, with options generally becoming exercisable between 2 and 9.5 years from the 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 the Black-Scholes option pricing model to estimate the fair value of each stock option on the date of grant. The Black-Scholes option pricing model uses the assumptions summarized in the table below. Dividend yield is based on the yield at the date of grant. Expected volatility is based on a blend of implied and historical volatility of our Class A common stock. The risk-free rate is based on the U.S. Treasury yield curve in effect at the date of grant. We use historical data on the exercise of stock options and other factors expected to impact holders’ behavior to estimate the expected term of the options granted. The table below summarizes the weighted-average fair values at the date of grant of a Class A common stock option granted under our stock option plans and the related weighted-average valuation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-2308860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Stock Option Fair Value and Significant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34817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2008</w:t>
            </w: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2007</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2006</w:t>
            </w:r>
          </w:p>
        </w:tc>
      </w:tr>
      <w:tr>
        <w:trPr>
          <w:trHeight w:val="199"/>
        </w:trPr>
        <w:tc>
          <w:tcPr>
            <w:tcW w:w="2280" w:type="dxa"/>
            <w:vAlign w:val="bottom"/>
          </w:tcPr>
          <w:p>
            <w:pPr>
              <w:spacing w:after="0" w:line="200" w:lineRule="exact"/>
              <w:rPr>
                <w:sz w:val="20"/>
                <w:szCs w:val="20"/>
                <w:color w:val="auto"/>
              </w:rPr>
            </w:pPr>
            <w:r>
              <w:rPr>
                <w:rFonts w:ascii="Arial" w:cs="Arial" w:eastAsia="Arial" w:hAnsi="Arial"/>
                <w:sz w:val="18"/>
                <w:szCs w:val="18"/>
                <w:color w:val="auto"/>
              </w:rPr>
              <w:t>Fair value</w:t>
            </w:r>
          </w:p>
        </w:tc>
        <w:tc>
          <w:tcPr>
            <w:tcW w:w="1340" w:type="dxa"/>
            <w:vAlign w:val="bottom"/>
          </w:tcPr>
          <w:p>
            <w:pPr>
              <w:jc w:val="right"/>
              <w:ind w:right="256"/>
              <w:spacing w:after="0" w:line="200" w:lineRule="exact"/>
              <w:rPr>
                <w:sz w:val="20"/>
                <w:szCs w:val="20"/>
                <w:color w:val="auto"/>
              </w:rPr>
            </w:pPr>
            <w:r>
              <w:rPr>
                <w:rFonts w:ascii="Arial" w:cs="Arial" w:eastAsia="Arial" w:hAnsi="Arial"/>
                <w:sz w:val="18"/>
                <w:szCs w:val="18"/>
                <w:color w:val="auto"/>
              </w:rPr>
              <w:t>$ 6.47</w:t>
            </w:r>
          </w:p>
        </w:tc>
        <w:tc>
          <w:tcPr>
            <w:tcW w:w="1020" w:type="dxa"/>
            <w:vAlign w:val="bottom"/>
          </w:tcPr>
          <w:p>
            <w:pPr>
              <w:jc w:val="right"/>
              <w:ind w:right="256"/>
              <w:spacing w:after="0" w:line="200" w:lineRule="exact"/>
              <w:rPr>
                <w:sz w:val="20"/>
                <w:szCs w:val="20"/>
                <w:color w:val="auto"/>
              </w:rPr>
            </w:pPr>
            <w:r>
              <w:rPr>
                <w:rFonts w:ascii="Arial" w:cs="Arial" w:eastAsia="Arial" w:hAnsi="Arial"/>
                <w:sz w:val="18"/>
                <w:szCs w:val="18"/>
                <w:color w:val="auto"/>
              </w:rPr>
              <w:t>$ 9.61</w:t>
            </w:r>
          </w:p>
        </w:tc>
        <w:tc>
          <w:tcPr>
            <w:tcW w:w="840" w:type="dxa"/>
            <w:vAlign w:val="bottom"/>
          </w:tcPr>
          <w:p>
            <w:pPr>
              <w:jc w:val="right"/>
              <w:ind w:right="76"/>
              <w:spacing w:after="0" w:line="200" w:lineRule="exact"/>
              <w:rPr>
                <w:sz w:val="20"/>
                <w:szCs w:val="20"/>
                <w:color w:val="auto"/>
              </w:rPr>
            </w:pPr>
            <w:r>
              <w:rPr>
                <w:rFonts w:ascii="Arial" w:cs="Arial" w:eastAsia="Arial" w:hAnsi="Arial"/>
                <w:sz w:val="18"/>
                <w:szCs w:val="18"/>
                <w:color w:val="auto"/>
              </w:rPr>
              <w:t>$ 7.30</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1.3%</w:t>
            </w:r>
          </w:p>
        </w:tc>
        <w:tc>
          <w:tcPr>
            <w:tcW w:w="10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32.8%</w:t>
            </w:r>
          </w:p>
        </w:tc>
        <w:tc>
          <w:tcPr>
            <w:tcW w:w="10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24.3%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3.0%</w:t>
            </w:r>
          </w:p>
        </w:tc>
        <w:tc>
          <w:tcPr>
            <w:tcW w:w="10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Expected option life (in</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22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years)</w:t>
            </w:r>
          </w:p>
        </w:tc>
        <w:tc>
          <w:tcPr>
            <w:tcW w:w="1340" w:type="dxa"/>
            <w:vAlign w:val="bottom"/>
            <w:tcBorders>
              <w:bottom w:val="single" w:sz="8" w:color="auto"/>
            </w:tcBorders>
          </w:tcPr>
          <w:p>
            <w:pPr>
              <w:jc w:val="right"/>
              <w:ind w:right="256"/>
              <w:spacing w:after="0" w:line="200" w:lineRule="exact"/>
              <w:rPr>
                <w:sz w:val="20"/>
                <w:szCs w:val="20"/>
                <w:color w:val="auto"/>
              </w:rPr>
            </w:pPr>
            <w:r>
              <w:rPr>
                <w:rFonts w:ascii="Arial" w:cs="Arial" w:eastAsia="Arial" w:hAnsi="Arial"/>
                <w:sz w:val="18"/>
                <w:szCs w:val="18"/>
                <w:color w:val="auto"/>
              </w:rPr>
              <w:t>7.0</w:t>
            </w:r>
          </w:p>
        </w:tc>
        <w:tc>
          <w:tcPr>
            <w:tcW w:w="1020" w:type="dxa"/>
            <w:vAlign w:val="bottom"/>
            <w:tcBorders>
              <w:bottom w:val="single" w:sz="8" w:color="auto"/>
            </w:tcBorders>
          </w:tcPr>
          <w:p>
            <w:pPr>
              <w:jc w:val="right"/>
              <w:ind w:right="256"/>
              <w:spacing w:after="0" w:line="200" w:lineRule="exact"/>
              <w:rPr>
                <w:sz w:val="20"/>
                <w:szCs w:val="20"/>
                <w:color w:val="auto"/>
              </w:rPr>
            </w:pPr>
            <w:r>
              <w:rPr>
                <w:rFonts w:ascii="Arial" w:cs="Arial" w:eastAsia="Arial" w:hAnsi="Arial"/>
                <w:sz w:val="18"/>
                <w:szCs w:val="18"/>
                <w:color w:val="auto"/>
              </w:rPr>
              <w:t>7.0</w:t>
            </w:r>
          </w:p>
        </w:tc>
        <w:tc>
          <w:tcPr>
            <w:tcW w:w="84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7.0</w:t>
            </w:r>
          </w:p>
        </w:tc>
      </w:tr>
    </w:tbl>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2007, we began granting net settled stock options instead of stock options exercised with a cash payment (“cash settled stock options”). In net settled stock options, an employee receives the number of shares equal to the number of options being exercised less the number of shares necessary to satisfy the cost to exercise the options and, if applicable, taxes due on exercise based on the fair value of the shares at the exercise date. The change to net settled stock options will result in fewer shares being issued and no cash proceeds being received by us when a net settled option is exercised. Following the change, we offered employees the opportunity to modify their outstanding stock options from cash settled to net settled. The modifications that were made did not result in any additional compensation expense.</w:t>
      </w:r>
    </w:p>
    <w:p>
      <w:pPr>
        <w:spacing w:after="0" w:line="122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300"/>
          </w:cols>
          <w:pgMar w:left="240" w:top="459" w:right="3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2008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Pr>
          <w:p>
            <w:pPr>
              <w:jc w:val="right"/>
              <w:ind w:right="203"/>
              <w:spacing w:after="0"/>
              <w:rPr>
                <w:sz w:val="20"/>
                <w:szCs w:val="20"/>
                <w:color w:val="auto"/>
              </w:rPr>
            </w:pPr>
            <w:r>
              <w:rPr>
                <w:rFonts w:ascii="Arial" w:cs="Arial" w:eastAsia="Arial" w:hAnsi="Arial"/>
                <w:sz w:val="14"/>
                <w:szCs w:val="14"/>
                <w:color w:val="auto"/>
              </w:rPr>
              <w:t>Weighted-</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vMerge w:val="restart"/>
          </w:tcPr>
          <w:p>
            <w:pPr>
              <w:jc w:val="right"/>
              <w:ind w:right="214"/>
              <w:spacing w:after="0"/>
              <w:rPr>
                <w:sz w:val="20"/>
                <w:szCs w:val="20"/>
                <w:color w:val="auto"/>
              </w:rPr>
            </w:pPr>
            <w:r>
              <w:rPr>
                <w:rFonts w:ascii="Arial" w:cs="Arial" w:eastAsia="Arial" w:hAnsi="Arial"/>
                <w:sz w:val="14"/>
                <w:szCs w:val="14"/>
                <w:color w:val="auto"/>
              </w:rPr>
              <w:t>Net Settled</w:t>
            </w:r>
          </w:p>
        </w:tc>
        <w:tc>
          <w:tcPr>
            <w:tcW w:w="11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Weighted-</w:t>
            </w:r>
          </w:p>
        </w:tc>
        <w:tc>
          <w:tcPr>
            <w:tcW w:w="1580" w:type="dxa"/>
            <w:vAlign w:val="bottom"/>
          </w:tcPr>
          <w:p>
            <w:pPr>
              <w:jc w:val="right"/>
              <w:ind w:right="203"/>
              <w:spacing w:after="0" w:line="149" w:lineRule="exact"/>
              <w:rPr>
                <w:sz w:val="20"/>
                <w:szCs w:val="20"/>
                <w:color w:val="auto"/>
              </w:rPr>
            </w:pPr>
            <w:r>
              <w:rPr>
                <w:rFonts w:ascii="Arial" w:cs="Arial" w:eastAsia="Arial" w:hAnsi="Arial"/>
                <w:sz w:val="14"/>
                <w:szCs w:val="14"/>
                <w:color w:val="auto"/>
              </w:rPr>
              <w:t>Average</w:t>
            </w:r>
          </w:p>
        </w:tc>
        <w:tc>
          <w:tcPr>
            <w:tcW w:w="4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120" w:type="dxa"/>
            <w:vAlign w:val="bottom"/>
            <w:gridSpan w:val="2"/>
          </w:tcPr>
          <w:p>
            <w:pPr>
              <w:jc w:val="right"/>
              <w:ind w:right="213"/>
              <w:spacing w:after="0" w:line="135" w:lineRule="exact"/>
              <w:rPr>
                <w:sz w:val="20"/>
                <w:szCs w:val="20"/>
                <w:color w:val="auto"/>
              </w:rPr>
            </w:pPr>
            <w:r>
              <w:rPr>
                <w:rFonts w:ascii="Arial" w:cs="Arial" w:eastAsia="Arial" w:hAnsi="Arial"/>
                <w:sz w:val="14"/>
                <w:szCs w:val="14"/>
                <w:color w:val="auto"/>
              </w:rPr>
              <w:t>Cash Settled</w:t>
            </w:r>
          </w:p>
        </w:tc>
        <w:tc>
          <w:tcPr>
            <w:tcW w:w="4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jc w:val="right"/>
              <w:ind w:right="216"/>
              <w:spacing w:after="0" w:line="135" w:lineRule="exact"/>
              <w:rPr>
                <w:sz w:val="20"/>
                <w:szCs w:val="20"/>
                <w:color w:val="auto"/>
              </w:rPr>
            </w:pPr>
            <w:r>
              <w:rPr>
                <w:rFonts w:ascii="Arial" w:cs="Arial" w:eastAsia="Arial" w:hAnsi="Arial"/>
                <w:sz w:val="14"/>
                <w:szCs w:val="14"/>
                <w:color w:val="auto"/>
                <w:w w:val="95"/>
              </w:rPr>
              <w:t>Average</w:t>
            </w:r>
          </w:p>
        </w:tc>
        <w:tc>
          <w:tcPr>
            <w:tcW w:w="1580" w:type="dxa"/>
            <w:vAlign w:val="bottom"/>
          </w:tcPr>
          <w:p>
            <w:pPr>
              <w:jc w:val="right"/>
              <w:ind w:right="203"/>
              <w:spacing w:after="0" w:line="135" w:lineRule="exact"/>
              <w:rPr>
                <w:sz w:val="20"/>
                <w:szCs w:val="20"/>
                <w:color w:val="auto"/>
              </w:rPr>
            </w:pPr>
            <w:r>
              <w:rPr>
                <w:rFonts w:ascii="Arial" w:cs="Arial" w:eastAsia="Arial" w:hAnsi="Arial"/>
                <w:sz w:val="14"/>
                <w:szCs w:val="14"/>
                <w:color w:val="auto"/>
              </w:rPr>
              <w:t>Remaining</w:t>
            </w: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Options</w:t>
            </w:r>
          </w:p>
        </w:tc>
        <w:tc>
          <w:tcPr>
            <w:tcW w:w="400" w:type="dxa"/>
            <w:vAlign w:val="bottom"/>
          </w:tcPr>
          <w:p>
            <w:pPr>
              <w:spacing w:after="0"/>
              <w:rPr>
                <w:sz w:val="12"/>
                <w:szCs w:val="12"/>
                <w:color w:val="auto"/>
              </w:rPr>
            </w:pPr>
          </w:p>
        </w:tc>
        <w:tc>
          <w:tcPr>
            <w:tcW w:w="102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Options</w:t>
            </w:r>
          </w:p>
        </w:tc>
        <w:tc>
          <w:tcPr>
            <w:tcW w:w="340" w:type="dxa"/>
            <w:vAlign w:val="bottom"/>
          </w:tcPr>
          <w:p>
            <w:pPr>
              <w:spacing w:after="0"/>
              <w:rPr>
                <w:sz w:val="12"/>
                <w:szCs w:val="12"/>
                <w:color w:val="auto"/>
              </w:rPr>
            </w:pPr>
          </w:p>
        </w:tc>
        <w:tc>
          <w:tcPr>
            <w:tcW w:w="820" w:type="dxa"/>
            <w:vAlign w:val="bottom"/>
          </w:tcPr>
          <w:p>
            <w:pPr>
              <w:jc w:val="right"/>
              <w:ind w:right="216"/>
              <w:spacing w:after="0" w:line="149" w:lineRule="exact"/>
              <w:rPr>
                <w:sz w:val="20"/>
                <w:szCs w:val="20"/>
                <w:color w:val="auto"/>
              </w:rPr>
            </w:pPr>
            <w:r>
              <w:rPr>
                <w:rFonts w:ascii="Arial" w:cs="Arial" w:eastAsia="Arial" w:hAnsi="Arial"/>
                <w:sz w:val="14"/>
                <w:szCs w:val="14"/>
                <w:color w:val="auto"/>
                <w:w w:val="93"/>
              </w:rPr>
              <w:t>Exercise</w:t>
            </w:r>
          </w:p>
        </w:tc>
        <w:tc>
          <w:tcPr>
            <w:tcW w:w="1580" w:type="dxa"/>
            <w:vAlign w:val="bottom"/>
          </w:tcPr>
          <w:p>
            <w:pPr>
              <w:jc w:val="right"/>
              <w:ind w:right="203"/>
              <w:spacing w:after="0" w:line="149" w:lineRule="exact"/>
              <w:rPr>
                <w:sz w:val="20"/>
                <w:szCs w:val="20"/>
                <w:color w:val="auto"/>
              </w:rPr>
            </w:pPr>
            <w:r>
              <w:rPr>
                <w:rFonts w:ascii="Arial" w:cs="Arial" w:eastAsia="Arial" w:hAnsi="Arial"/>
                <w:sz w:val="14"/>
                <w:szCs w:val="14"/>
                <w:color w:val="auto"/>
              </w:rPr>
              <w:t>Contractual Term</w:t>
            </w:r>
          </w:p>
        </w:tc>
        <w:tc>
          <w:tcPr>
            <w:tcW w:w="114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3"/>
              </w:rPr>
              <w:t>Intrinsic Value</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Price</w:t>
            </w:r>
          </w:p>
        </w:tc>
        <w:tc>
          <w:tcPr>
            <w:tcW w:w="15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(in years)</w:t>
            </w: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(in millions)</w:t>
            </w:r>
          </w:p>
        </w:tc>
        <w:tc>
          <w:tcPr>
            <w:tcW w:w="0" w:type="dxa"/>
            <w:vAlign w:val="bottom"/>
          </w:tcPr>
          <w:p>
            <w:pPr>
              <w:spacing w:after="0"/>
              <w:rPr>
                <w:sz w:val="1"/>
                <w:szCs w:val="1"/>
                <w:color w:val="auto"/>
              </w:rPr>
            </w:pPr>
          </w:p>
        </w:tc>
      </w:tr>
      <w:tr>
        <w:trPr>
          <w:trHeight w:val="199"/>
        </w:trPr>
        <w:tc>
          <w:tcPr>
            <w:tcW w:w="4000" w:type="dxa"/>
            <w:vAlign w:val="bottom"/>
          </w:tcPr>
          <w:p>
            <w:pPr>
              <w:spacing w:after="0" w:line="200" w:lineRule="exact"/>
              <w:rPr>
                <w:sz w:val="20"/>
                <w:szCs w:val="20"/>
                <w:color w:val="auto"/>
              </w:rPr>
            </w:pPr>
            <w:r>
              <w:rPr>
                <w:rFonts w:ascii="Arial" w:cs="Arial" w:eastAsia="Arial" w:hAnsi="Arial"/>
                <w:sz w:val="18"/>
                <w:szCs w:val="18"/>
                <w:color w:val="auto"/>
              </w:rPr>
              <w:t>Class A Common Stock</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Outstanding as of January 1, 2008</w:t>
            </w:r>
          </w:p>
        </w:tc>
        <w:tc>
          <w:tcPr>
            <w:tcW w:w="1160" w:type="dxa"/>
            <w:vAlign w:val="bottom"/>
          </w:tcPr>
          <w:p>
            <w:pPr>
              <w:spacing w:after="0"/>
              <w:rPr>
                <w:sz w:val="17"/>
                <w:szCs w:val="17"/>
                <w:color w:val="auto"/>
              </w:rPr>
            </w:pPr>
          </w:p>
        </w:tc>
        <w:tc>
          <w:tcPr>
            <w:tcW w:w="9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56,272</w:t>
            </w:r>
          </w:p>
        </w:tc>
        <w:tc>
          <w:tcPr>
            <w:tcW w:w="400" w:type="dxa"/>
            <w:vAlign w:val="bottom"/>
          </w:tcPr>
          <w:p>
            <w:pPr>
              <w:spacing w:after="0"/>
              <w:rPr>
                <w:sz w:val="17"/>
                <w:szCs w:val="17"/>
                <w:color w:val="auto"/>
              </w:rPr>
            </w:pPr>
          </w:p>
        </w:tc>
        <w:tc>
          <w:tcPr>
            <w:tcW w:w="10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62,246</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25.07</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Modified (cash-settled to net-settled)</w:t>
            </w:r>
          </w:p>
        </w:tc>
        <w:tc>
          <w:tcPr>
            <w:tcW w:w="1160" w:type="dxa"/>
            <w:vAlign w:val="bottom"/>
          </w:tcPr>
          <w:p>
            <w:pPr>
              <w:spacing w:after="0"/>
              <w:rPr>
                <w:sz w:val="17"/>
                <w:szCs w:val="17"/>
                <w:color w:val="auto"/>
              </w:rPr>
            </w:pPr>
          </w:p>
        </w:tc>
        <w:tc>
          <w:tcPr>
            <w:tcW w:w="9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(505)</w:t>
            </w:r>
          </w:p>
        </w:tc>
        <w:tc>
          <w:tcPr>
            <w:tcW w:w="400" w:type="dxa"/>
            <w:vAlign w:val="bottom"/>
          </w:tcPr>
          <w:p>
            <w:pPr>
              <w:spacing w:after="0"/>
              <w:rPr>
                <w:sz w:val="17"/>
                <w:szCs w:val="17"/>
                <w:color w:val="auto"/>
              </w:rPr>
            </w:pPr>
          </w:p>
        </w:tc>
        <w:tc>
          <w:tcPr>
            <w:tcW w:w="10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505</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19.14</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60" w:type="dxa"/>
            <w:vAlign w:val="bottom"/>
          </w:tcPr>
          <w:p>
            <w:pPr>
              <w:spacing w:after="0"/>
              <w:rPr>
                <w:sz w:val="17"/>
                <w:szCs w:val="17"/>
                <w:color w:val="auto"/>
              </w:rPr>
            </w:pPr>
          </w:p>
        </w:tc>
        <w:tc>
          <w:tcPr>
            <w:tcW w:w="9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24,728</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18.98</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tcPr>
          <w:p>
            <w:pPr>
              <w:spacing w:after="0"/>
              <w:rPr>
                <w:sz w:val="17"/>
                <w:szCs w:val="17"/>
                <w:color w:val="auto"/>
              </w:rPr>
            </w:pPr>
          </w:p>
        </w:tc>
        <w:tc>
          <w:tcPr>
            <w:tcW w:w="9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(2,254)</w:t>
            </w:r>
          </w:p>
        </w:tc>
        <w:tc>
          <w:tcPr>
            <w:tcW w:w="400" w:type="dxa"/>
            <w:vAlign w:val="bottom"/>
          </w:tcPr>
          <w:p>
            <w:pPr>
              <w:spacing w:after="0"/>
              <w:rPr>
                <w:sz w:val="17"/>
                <w:szCs w:val="17"/>
                <w:color w:val="auto"/>
              </w:rPr>
            </w:pP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(1,245)</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18.10</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tcPr>
          <w:p>
            <w:pPr>
              <w:spacing w:after="0"/>
              <w:rPr>
                <w:sz w:val="17"/>
                <w:szCs w:val="17"/>
                <w:color w:val="auto"/>
              </w:rPr>
            </w:pPr>
          </w:p>
        </w:tc>
        <w:tc>
          <w:tcPr>
            <w:tcW w:w="9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(986)</w:t>
            </w:r>
          </w:p>
        </w:tc>
        <w:tc>
          <w:tcPr>
            <w:tcW w:w="400" w:type="dxa"/>
            <w:vAlign w:val="bottom"/>
          </w:tcPr>
          <w:p>
            <w:pPr>
              <w:spacing w:after="0"/>
              <w:rPr>
                <w:sz w:val="17"/>
                <w:szCs w:val="17"/>
                <w:color w:val="auto"/>
              </w:rPr>
            </w:pP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(2,911)</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21.16</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3"/>
              <w:spacing w:after="0" w:line="200" w:lineRule="exact"/>
              <w:rPr>
                <w:sz w:val="20"/>
                <w:szCs w:val="20"/>
                <w:color w:val="auto"/>
              </w:rPr>
            </w:pPr>
            <w:r>
              <w:rPr>
                <w:rFonts w:ascii="Arial" w:cs="Arial" w:eastAsia="Arial" w:hAnsi="Arial"/>
                <w:sz w:val="18"/>
                <w:szCs w:val="18"/>
                <w:color w:val="auto"/>
              </w:rPr>
              <w:t>(6,216)</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(2,408)</w:t>
            </w:r>
          </w:p>
        </w:tc>
        <w:tc>
          <w:tcPr>
            <w:tcW w:w="34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16"/>
              <w:spacing w:after="0" w:line="200" w:lineRule="exact"/>
              <w:rPr>
                <w:sz w:val="20"/>
                <w:szCs w:val="20"/>
                <w:color w:val="auto"/>
              </w:rPr>
            </w:pPr>
            <w:r>
              <w:rPr>
                <w:rFonts w:ascii="Arial" w:cs="Arial" w:eastAsia="Arial" w:hAnsi="Arial"/>
                <w:sz w:val="18"/>
                <w:szCs w:val="18"/>
                <w:color w:val="auto"/>
              </w:rPr>
              <w:t>36.84</w:t>
            </w: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line="200" w:lineRule="exact"/>
              <w:rPr>
                <w:sz w:val="20"/>
                <w:szCs w:val="20"/>
                <w:color w:val="auto"/>
              </w:rPr>
            </w:pPr>
            <w:r>
              <w:rPr>
                <w:rFonts w:ascii="Arial" w:cs="Arial" w:eastAsia="Arial" w:hAnsi="Arial"/>
                <w:sz w:val="18"/>
                <w:szCs w:val="18"/>
                <w:color w:val="auto"/>
              </w:rPr>
              <w:t>Outstanding as of December 31, 2008</w:t>
            </w:r>
          </w:p>
        </w:tc>
        <w:tc>
          <w:tcPr>
            <w:tcW w:w="1160" w:type="dxa"/>
            <w:vAlign w:val="bottom"/>
          </w:tcPr>
          <w:p>
            <w:pPr>
              <w:spacing w:after="0"/>
              <w:rPr>
                <w:sz w:val="17"/>
                <w:szCs w:val="17"/>
                <w:color w:val="auto"/>
              </w:rPr>
            </w:pPr>
          </w:p>
        </w:tc>
        <w:tc>
          <w:tcPr>
            <w:tcW w:w="96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46,311</w:t>
            </w:r>
          </w:p>
        </w:tc>
        <w:tc>
          <w:tcPr>
            <w:tcW w:w="400" w:type="dxa"/>
            <w:vAlign w:val="bottom"/>
          </w:tcPr>
          <w:p>
            <w:pPr>
              <w:spacing w:after="0"/>
              <w:rPr>
                <w:sz w:val="17"/>
                <w:szCs w:val="17"/>
                <w:color w:val="auto"/>
              </w:rPr>
            </w:pPr>
          </w:p>
        </w:tc>
        <w:tc>
          <w:tcPr>
            <w:tcW w:w="1020" w:type="dxa"/>
            <w:vAlign w:val="bottom"/>
          </w:tcPr>
          <w:p>
            <w:pPr>
              <w:jc w:val="right"/>
              <w:ind w:right="214"/>
              <w:spacing w:after="0" w:line="200" w:lineRule="exact"/>
              <w:rPr>
                <w:sz w:val="20"/>
                <w:szCs w:val="20"/>
                <w:color w:val="auto"/>
              </w:rPr>
            </w:pPr>
            <w:r>
              <w:rPr>
                <w:rFonts w:ascii="Arial" w:cs="Arial" w:eastAsia="Arial" w:hAnsi="Arial"/>
                <w:sz w:val="18"/>
                <w:szCs w:val="18"/>
                <w:color w:val="auto"/>
              </w:rPr>
              <w:t>80,915</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23.41</w:t>
            </w:r>
          </w:p>
        </w:tc>
        <w:tc>
          <w:tcPr>
            <w:tcW w:w="1580" w:type="dxa"/>
            <w:vAlign w:val="bottom"/>
          </w:tcPr>
          <w:p>
            <w:pPr>
              <w:jc w:val="right"/>
              <w:ind w:right="203"/>
              <w:spacing w:after="0" w:line="200" w:lineRule="exact"/>
              <w:rPr>
                <w:sz w:val="20"/>
                <w:szCs w:val="20"/>
                <w:color w:val="auto"/>
              </w:rPr>
            </w:pPr>
            <w:r>
              <w:rPr>
                <w:rFonts w:ascii="Arial" w:cs="Arial" w:eastAsia="Arial" w:hAnsi="Arial"/>
                <w:sz w:val="18"/>
                <w:szCs w:val="18"/>
                <w:color w:val="auto"/>
              </w:rPr>
              <w:t>5.6</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as of</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December 31, 2008</w:t>
            </w:r>
          </w:p>
        </w:tc>
        <w:tc>
          <w:tcPr>
            <w:tcW w:w="1160" w:type="dxa"/>
            <w:vAlign w:val="bottom"/>
            <w:tcBorders>
              <w:bottom w:val="single" w:sz="8" w:color="auto"/>
            </w:tcBorders>
          </w:tcPr>
          <w:p>
            <w:pPr>
              <w:ind w:left="960"/>
              <w:spacing w:after="0" w:line="20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3"/>
              <w:spacing w:after="0" w:line="200" w:lineRule="exact"/>
              <w:rPr>
                <w:sz w:val="20"/>
                <w:szCs w:val="20"/>
                <w:color w:val="auto"/>
              </w:rPr>
            </w:pPr>
            <w:r>
              <w:rPr>
                <w:rFonts w:ascii="Arial" w:cs="Arial" w:eastAsia="Arial" w:hAnsi="Arial"/>
                <w:sz w:val="18"/>
                <w:szCs w:val="18"/>
                <w:color w:val="auto"/>
              </w:rPr>
              <w:t>25.91</w:t>
            </w:r>
          </w:p>
        </w:tc>
        <w:tc>
          <w:tcPr>
            <w:tcW w:w="40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14"/>
              <w:spacing w:after="0" w:line="200" w:lineRule="exact"/>
              <w:rPr>
                <w:sz w:val="20"/>
                <w:szCs w:val="20"/>
                <w:color w:val="auto"/>
              </w:rPr>
            </w:pPr>
            <w:r>
              <w:rPr>
                <w:rFonts w:ascii="Arial" w:cs="Arial" w:eastAsia="Arial" w:hAnsi="Arial"/>
                <w:sz w:val="18"/>
                <w:szCs w:val="18"/>
                <w:color w:val="auto"/>
              </w:rPr>
              <w:t>21.96</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line="200" w:lineRule="exact"/>
              <w:rPr>
                <w:sz w:val="20"/>
                <w:szCs w:val="20"/>
                <w:color w:val="auto"/>
              </w:rPr>
            </w:pPr>
            <w:r>
              <w:rPr>
                <w:rFonts w:ascii="Arial" w:cs="Arial" w:eastAsia="Arial" w:hAnsi="Arial"/>
                <w:sz w:val="18"/>
                <w:szCs w:val="18"/>
                <w:color w:val="auto"/>
              </w:rPr>
              <w:t>Exercisable as of December 31, 2008</w:t>
            </w:r>
          </w:p>
        </w:tc>
        <w:tc>
          <w:tcPr>
            <w:tcW w:w="1160" w:type="dxa"/>
            <w:vAlign w:val="bottom"/>
          </w:tcPr>
          <w:p>
            <w:pPr>
              <w:spacing w:after="0"/>
              <w:rPr>
                <w:sz w:val="17"/>
                <w:szCs w:val="17"/>
                <w:color w:val="auto"/>
              </w:rPr>
            </w:pPr>
          </w:p>
        </w:tc>
        <w:tc>
          <w:tcPr>
            <w:tcW w:w="96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38,598</w:t>
            </w:r>
          </w:p>
        </w:tc>
        <w:tc>
          <w:tcPr>
            <w:tcW w:w="400" w:type="dxa"/>
            <w:vAlign w:val="bottom"/>
          </w:tcPr>
          <w:p>
            <w:pPr>
              <w:spacing w:after="0"/>
              <w:rPr>
                <w:sz w:val="17"/>
                <w:szCs w:val="17"/>
                <w:color w:val="auto"/>
              </w:rPr>
            </w:pPr>
          </w:p>
        </w:tc>
        <w:tc>
          <w:tcPr>
            <w:tcW w:w="1020" w:type="dxa"/>
            <w:vAlign w:val="bottom"/>
          </w:tcPr>
          <w:p>
            <w:pPr>
              <w:jc w:val="right"/>
              <w:ind w:right="214"/>
              <w:spacing w:after="0" w:line="200" w:lineRule="exact"/>
              <w:rPr>
                <w:sz w:val="20"/>
                <w:szCs w:val="20"/>
                <w:color w:val="auto"/>
              </w:rPr>
            </w:pPr>
            <w:r>
              <w:rPr>
                <w:rFonts w:ascii="Arial" w:cs="Arial" w:eastAsia="Arial" w:hAnsi="Arial"/>
                <w:sz w:val="18"/>
                <w:szCs w:val="18"/>
                <w:color w:val="auto"/>
              </w:rPr>
              <w:t>27,937</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25.89</w:t>
            </w:r>
          </w:p>
        </w:tc>
        <w:tc>
          <w:tcPr>
            <w:tcW w:w="1580" w:type="dxa"/>
            <w:vAlign w:val="bottom"/>
          </w:tcPr>
          <w:p>
            <w:pPr>
              <w:jc w:val="right"/>
              <w:ind w:right="203"/>
              <w:spacing w:after="0" w:line="200" w:lineRule="exact"/>
              <w:rPr>
                <w:sz w:val="20"/>
                <w:szCs w:val="20"/>
                <w:color w:val="auto"/>
              </w:rPr>
            </w:pPr>
            <w:r>
              <w:rPr>
                <w:rFonts w:ascii="Arial" w:cs="Arial" w:eastAsia="Arial" w:hAnsi="Arial"/>
                <w:sz w:val="18"/>
                <w:szCs w:val="18"/>
                <w:color w:val="auto"/>
              </w:rPr>
              <w:t>3.5</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as of</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December 31, 2008</w:t>
            </w:r>
          </w:p>
        </w:tc>
        <w:tc>
          <w:tcPr>
            <w:tcW w:w="1160" w:type="dxa"/>
            <w:vAlign w:val="bottom"/>
            <w:tcBorders>
              <w:bottom w:val="single" w:sz="8" w:color="auto"/>
            </w:tcBorders>
          </w:tcPr>
          <w:p>
            <w:pPr>
              <w:ind w:left="960"/>
              <w:spacing w:after="0" w:line="20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3"/>
              <w:spacing w:after="0" w:line="200" w:lineRule="exact"/>
              <w:rPr>
                <w:sz w:val="20"/>
                <w:szCs w:val="20"/>
                <w:color w:val="auto"/>
              </w:rPr>
            </w:pPr>
            <w:r>
              <w:rPr>
                <w:rFonts w:ascii="Arial" w:cs="Arial" w:eastAsia="Arial" w:hAnsi="Arial"/>
                <w:sz w:val="18"/>
                <w:szCs w:val="18"/>
                <w:color w:val="auto"/>
              </w:rPr>
              <w:t>27.38</w:t>
            </w:r>
          </w:p>
        </w:tc>
        <w:tc>
          <w:tcPr>
            <w:tcW w:w="40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14"/>
              <w:spacing w:after="0" w:line="200" w:lineRule="exact"/>
              <w:rPr>
                <w:sz w:val="20"/>
                <w:szCs w:val="20"/>
                <w:color w:val="auto"/>
              </w:rPr>
            </w:pPr>
            <w:r>
              <w:rPr>
                <w:rFonts w:ascii="Arial" w:cs="Arial" w:eastAsia="Arial" w:hAnsi="Arial"/>
                <w:sz w:val="18"/>
                <w:szCs w:val="18"/>
                <w:color w:val="auto"/>
              </w:rPr>
              <w:t>23.83</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line="200" w:lineRule="exact"/>
              <w:rPr>
                <w:sz w:val="20"/>
                <w:szCs w:val="20"/>
                <w:color w:val="auto"/>
              </w:rPr>
            </w:pPr>
            <w:r>
              <w:rPr>
                <w:rFonts w:ascii="Arial" w:cs="Arial" w:eastAsia="Arial" w:hAnsi="Arial"/>
                <w:sz w:val="18"/>
                <w:szCs w:val="18"/>
                <w:color w:val="auto"/>
              </w:rPr>
              <w:t>Class A Special Common Stock</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Outstanding as of January 1, 2008</w:t>
            </w:r>
          </w:p>
        </w:tc>
        <w:tc>
          <w:tcPr>
            <w:tcW w:w="1160" w:type="dxa"/>
            <w:vAlign w:val="bottom"/>
          </w:tcPr>
          <w:p>
            <w:pPr>
              <w:spacing w:after="0"/>
              <w:rPr>
                <w:sz w:val="17"/>
                <w:szCs w:val="17"/>
                <w:color w:val="auto"/>
              </w:rPr>
            </w:pPr>
          </w:p>
        </w:tc>
        <w:tc>
          <w:tcPr>
            <w:tcW w:w="9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15,206</w:t>
            </w:r>
          </w:p>
        </w:tc>
        <w:tc>
          <w:tcPr>
            <w:tcW w:w="400" w:type="dxa"/>
            <w:vAlign w:val="bottom"/>
          </w:tcPr>
          <w:p>
            <w:pPr>
              <w:spacing w:after="0"/>
              <w:rPr>
                <w:sz w:val="17"/>
                <w:szCs w:val="17"/>
                <w:color w:val="auto"/>
              </w:rPr>
            </w:pPr>
          </w:p>
        </w:tc>
        <w:tc>
          <w:tcPr>
            <w:tcW w:w="10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41,396</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22.41</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Modified (cash-settled to net-settled)</w:t>
            </w:r>
          </w:p>
        </w:tc>
        <w:tc>
          <w:tcPr>
            <w:tcW w:w="1160" w:type="dxa"/>
            <w:vAlign w:val="bottom"/>
          </w:tcPr>
          <w:p>
            <w:pPr>
              <w:spacing w:after="0"/>
              <w:rPr>
                <w:sz w:val="17"/>
                <w:szCs w:val="17"/>
                <w:color w:val="auto"/>
              </w:rPr>
            </w:pPr>
          </w:p>
        </w:tc>
        <w:tc>
          <w:tcPr>
            <w:tcW w:w="9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(962)</w:t>
            </w:r>
          </w:p>
        </w:tc>
        <w:tc>
          <w:tcPr>
            <w:tcW w:w="400" w:type="dxa"/>
            <w:vAlign w:val="bottom"/>
          </w:tcPr>
          <w:p>
            <w:pPr>
              <w:spacing w:after="0"/>
              <w:rPr>
                <w:sz w:val="17"/>
                <w:szCs w:val="17"/>
                <w:color w:val="auto"/>
              </w:rPr>
            </w:pPr>
          </w:p>
        </w:tc>
        <w:tc>
          <w:tcPr>
            <w:tcW w:w="10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962</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27.89</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tcPr>
          <w:p>
            <w:pPr>
              <w:spacing w:after="0"/>
              <w:rPr>
                <w:sz w:val="17"/>
                <w:szCs w:val="17"/>
                <w:color w:val="auto"/>
              </w:rPr>
            </w:pPr>
          </w:p>
        </w:tc>
        <w:tc>
          <w:tcPr>
            <w:tcW w:w="9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(1,747)</w:t>
            </w:r>
          </w:p>
        </w:tc>
        <w:tc>
          <w:tcPr>
            <w:tcW w:w="400" w:type="dxa"/>
            <w:vAlign w:val="bottom"/>
          </w:tcPr>
          <w:p>
            <w:pPr>
              <w:spacing w:after="0"/>
              <w:rPr>
                <w:sz w:val="17"/>
                <w:szCs w:val="17"/>
                <w:color w:val="auto"/>
              </w:rPr>
            </w:pP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(5,679)</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11.29</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tcPr>
          <w:p>
            <w:pPr>
              <w:spacing w:after="0"/>
              <w:rPr>
                <w:sz w:val="17"/>
                <w:szCs w:val="17"/>
                <w:color w:val="auto"/>
              </w:rPr>
            </w:pPr>
          </w:p>
        </w:tc>
        <w:tc>
          <w:tcPr>
            <w:tcW w:w="9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spacing w:after="0"/>
              <w:rPr>
                <w:sz w:val="17"/>
                <w:szCs w:val="17"/>
                <w:color w:val="auto"/>
              </w:rPr>
            </w:pP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23.44</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3"/>
              <w:spacing w:after="0" w:line="200" w:lineRule="exact"/>
              <w:rPr>
                <w:sz w:val="20"/>
                <w:szCs w:val="20"/>
                <w:color w:val="auto"/>
              </w:rPr>
            </w:pPr>
            <w:r>
              <w:rPr>
                <w:rFonts w:ascii="Arial" w:cs="Arial" w:eastAsia="Arial" w:hAnsi="Arial"/>
                <w:sz w:val="18"/>
                <w:szCs w:val="18"/>
                <w:color w:val="auto"/>
              </w:rPr>
              <w:t>(815)</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(79)</w:t>
            </w:r>
          </w:p>
        </w:tc>
        <w:tc>
          <w:tcPr>
            <w:tcW w:w="34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16"/>
              <w:spacing w:after="0" w:line="200" w:lineRule="exact"/>
              <w:rPr>
                <w:sz w:val="20"/>
                <w:szCs w:val="20"/>
                <w:color w:val="auto"/>
              </w:rPr>
            </w:pPr>
            <w:r>
              <w:rPr>
                <w:rFonts w:ascii="Arial" w:cs="Arial" w:eastAsia="Arial" w:hAnsi="Arial"/>
                <w:sz w:val="18"/>
                <w:szCs w:val="18"/>
                <w:color w:val="auto"/>
              </w:rPr>
              <w:t>24.41</w:t>
            </w: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line="200" w:lineRule="exact"/>
              <w:rPr>
                <w:sz w:val="20"/>
                <w:szCs w:val="20"/>
                <w:color w:val="auto"/>
              </w:rPr>
            </w:pPr>
            <w:r>
              <w:rPr>
                <w:rFonts w:ascii="Arial" w:cs="Arial" w:eastAsia="Arial" w:hAnsi="Arial"/>
                <w:sz w:val="18"/>
                <w:szCs w:val="18"/>
                <w:color w:val="auto"/>
              </w:rPr>
              <w:t>Outstanding as of December 31, 2008</w:t>
            </w:r>
          </w:p>
        </w:tc>
        <w:tc>
          <w:tcPr>
            <w:tcW w:w="1160" w:type="dxa"/>
            <w:vAlign w:val="bottom"/>
          </w:tcPr>
          <w:p>
            <w:pPr>
              <w:spacing w:after="0"/>
              <w:rPr>
                <w:sz w:val="17"/>
                <w:szCs w:val="17"/>
                <w:color w:val="auto"/>
              </w:rPr>
            </w:pPr>
          </w:p>
        </w:tc>
        <w:tc>
          <w:tcPr>
            <w:tcW w:w="96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11,671</w:t>
            </w:r>
          </w:p>
        </w:tc>
        <w:tc>
          <w:tcPr>
            <w:tcW w:w="400" w:type="dxa"/>
            <w:vAlign w:val="bottom"/>
          </w:tcPr>
          <w:p>
            <w:pPr>
              <w:spacing w:after="0"/>
              <w:rPr>
                <w:sz w:val="17"/>
                <w:szCs w:val="17"/>
                <w:color w:val="auto"/>
              </w:rPr>
            </w:pPr>
          </w:p>
        </w:tc>
        <w:tc>
          <w:tcPr>
            <w:tcW w:w="1020" w:type="dxa"/>
            <w:vAlign w:val="bottom"/>
          </w:tcPr>
          <w:p>
            <w:pPr>
              <w:jc w:val="right"/>
              <w:ind w:right="214"/>
              <w:spacing w:after="0" w:line="200" w:lineRule="exact"/>
              <w:rPr>
                <w:sz w:val="20"/>
                <w:szCs w:val="20"/>
                <w:color w:val="auto"/>
              </w:rPr>
            </w:pPr>
            <w:r>
              <w:rPr>
                <w:rFonts w:ascii="Arial" w:cs="Arial" w:eastAsia="Arial" w:hAnsi="Arial"/>
                <w:sz w:val="18"/>
                <w:szCs w:val="18"/>
                <w:color w:val="auto"/>
              </w:rPr>
              <w:t>36,598</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24.08</w:t>
            </w:r>
          </w:p>
        </w:tc>
        <w:tc>
          <w:tcPr>
            <w:tcW w:w="1580" w:type="dxa"/>
            <w:vAlign w:val="bottom"/>
          </w:tcPr>
          <w:p>
            <w:pPr>
              <w:jc w:val="right"/>
              <w:ind w:right="203"/>
              <w:spacing w:after="0" w:line="200" w:lineRule="exact"/>
              <w:rPr>
                <w:sz w:val="20"/>
                <w:szCs w:val="20"/>
                <w:color w:val="auto"/>
              </w:rPr>
            </w:pPr>
            <w:r>
              <w:rPr>
                <w:rFonts w:ascii="Arial" w:cs="Arial" w:eastAsia="Arial" w:hAnsi="Arial"/>
                <w:sz w:val="18"/>
                <w:szCs w:val="18"/>
                <w:color w:val="auto"/>
              </w:rPr>
              <w:t>2.0</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as of</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December 31, 2008</w:t>
            </w:r>
          </w:p>
        </w:tc>
        <w:tc>
          <w:tcPr>
            <w:tcW w:w="1160" w:type="dxa"/>
            <w:vAlign w:val="bottom"/>
            <w:tcBorders>
              <w:bottom w:val="single" w:sz="8" w:color="auto"/>
            </w:tcBorders>
          </w:tcPr>
          <w:p>
            <w:pPr>
              <w:ind w:left="960"/>
              <w:spacing w:after="0" w:line="20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3"/>
              <w:spacing w:after="0" w:line="200" w:lineRule="exact"/>
              <w:rPr>
                <w:sz w:val="20"/>
                <w:szCs w:val="20"/>
                <w:color w:val="auto"/>
              </w:rPr>
            </w:pPr>
            <w:r>
              <w:rPr>
                <w:rFonts w:ascii="Arial" w:cs="Arial" w:eastAsia="Arial" w:hAnsi="Arial"/>
                <w:sz w:val="18"/>
                <w:szCs w:val="18"/>
                <w:color w:val="auto"/>
              </w:rPr>
              <w:t>23.34</w:t>
            </w:r>
          </w:p>
        </w:tc>
        <w:tc>
          <w:tcPr>
            <w:tcW w:w="40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14"/>
              <w:spacing w:after="0" w:line="200" w:lineRule="exact"/>
              <w:rPr>
                <w:sz w:val="20"/>
                <w:szCs w:val="20"/>
                <w:color w:val="auto"/>
              </w:rPr>
            </w:pPr>
            <w:r>
              <w:rPr>
                <w:rFonts w:ascii="Arial" w:cs="Arial" w:eastAsia="Arial" w:hAnsi="Arial"/>
                <w:sz w:val="18"/>
                <w:szCs w:val="18"/>
                <w:color w:val="auto"/>
              </w:rPr>
              <w:t>24.32</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line="200" w:lineRule="exact"/>
              <w:rPr>
                <w:sz w:val="20"/>
                <w:szCs w:val="20"/>
                <w:color w:val="auto"/>
              </w:rPr>
            </w:pPr>
            <w:r>
              <w:rPr>
                <w:rFonts w:ascii="Arial" w:cs="Arial" w:eastAsia="Arial" w:hAnsi="Arial"/>
                <w:sz w:val="18"/>
                <w:szCs w:val="18"/>
                <w:color w:val="auto"/>
              </w:rPr>
              <w:t>Exercisable as of December 31, 2008</w:t>
            </w:r>
          </w:p>
        </w:tc>
        <w:tc>
          <w:tcPr>
            <w:tcW w:w="1160" w:type="dxa"/>
            <w:vAlign w:val="bottom"/>
          </w:tcPr>
          <w:p>
            <w:pPr>
              <w:spacing w:after="0"/>
              <w:rPr>
                <w:sz w:val="17"/>
                <w:szCs w:val="17"/>
                <w:color w:val="auto"/>
              </w:rPr>
            </w:pPr>
          </w:p>
        </w:tc>
        <w:tc>
          <w:tcPr>
            <w:tcW w:w="96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11,232</w:t>
            </w:r>
          </w:p>
        </w:tc>
        <w:tc>
          <w:tcPr>
            <w:tcW w:w="400" w:type="dxa"/>
            <w:vAlign w:val="bottom"/>
          </w:tcPr>
          <w:p>
            <w:pPr>
              <w:spacing w:after="0"/>
              <w:rPr>
                <w:sz w:val="17"/>
                <w:szCs w:val="17"/>
                <w:color w:val="auto"/>
              </w:rPr>
            </w:pPr>
          </w:p>
        </w:tc>
        <w:tc>
          <w:tcPr>
            <w:tcW w:w="1020" w:type="dxa"/>
            <w:vAlign w:val="bottom"/>
          </w:tcPr>
          <w:p>
            <w:pPr>
              <w:jc w:val="right"/>
              <w:ind w:right="214"/>
              <w:spacing w:after="0" w:line="200" w:lineRule="exact"/>
              <w:rPr>
                <w:sz w:val="20"/>
                <w:szCs w:val="20"/>
                <w:color w:val="auto"/>
              </w:rPr>
            </w:pPr>
            <w:r>
              <w:rPr>
                <w:rFonts w:ascii="Arial" w:cs="Arial" w:eastAsia="Arial" w:hAnsi="Arial"/>
                <w:sz w:val="18"/>
                <w:szCs w:val="18"/>
                <w:color w:val="auto"/>
              </w:rPr>
              <w:t>32,489</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216"/>
              <w:spacing w:after="0" w:line="200" w:lineRule="exact"/>
              <w:rPr>
                <w:sz w:val="20"/>
                <w:szCs w:val="20"/>
                <w:color w:val="auto"/>
              </w:rPr>
            </w:pPr>
            <w:r>
              <w:rPr>
                <w:rFonts w:ascii="Arial" w:cs="Arial" w:eastAsia="Arial" w:hAnsi="Arial"/>
                <w:sz w:val="18"/>
                <w:szCs w:val="18"/>
                <w:color w:val="auto"/>
              </w:rPr>
              <w:t>24.15</w:t>
            </w:r>
          </w:p>
        </w:tc>
        <w:tc>
          <w:tcPr>
            <w:tcW w:w="1580" w:type="dxa"/>
            <w:vAlign w:val="bottom"/>
          </w:tcPr>
          <w:p>
            <w:pPr>
              <w:jc w:val="right"/>
              <w:ind w:right="203"/>
              <w:spacing w:after="0" w:line="200" w:lineRule="exact"/>
              <w:rPr>
                <w:sz w:val="20"/>
                <w:szCs w:val="20"/>
                <w:color w:val="auto"/>
              </w:rPr>
            </w:pPr>
            <w:r>
              <w:rPr>
                <w:rFonts w:ascii="Arial" w:cs="Arial" w:eastAsia="Arial" w:hAnsi="Arial"/>
                <w:sz w:val="18"/>
                <w:szCs w:val="18"/>
                <w:color w:val="auto"/>
              </w:rPr>
              <w:t>1.9</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as of</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December 31, 2008</w:t>
            </w:r>
          </w:p>
        </w:tc>
        <w:tc>
          <w:tcPr>
            <w:tcW w:w="1160" w:type="dxa"/>
            <w:vAlign w:val="bottom"/>
            <w:tcBorders>
              <w:bottom w:val="single" w:sz="8" w:color="auto"/>
            </w:tcBorders>
          </w:tcPr>
          <w:p>
            <w:pPr>
              <w:ind w:left="960"/>
              <w:spacing w:after="0" w:line="20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3"/>
              <w:spacing w:after="0" w:line="200" w:lineRule="exact"/>
              <w:rPr>
                <w:sz w:val="20"/>
                <w:szCs w:val="20"/>
                <w:color w:val="auto"/>
              </w:rPr>
            </w:pPr>
            <w:r>
              <w:rPr>
                <w:rFonts w:ascii="Arial" w:cs="Arial" w:eastAsia="Arial" w:hAnsi="Arial"/>
                <w:sz w:val="18"/>
                <w:szCs w:val="18"/>
                <w:color w:val="auto"/>
              </w:rPr>
              <w:t>23.47</w:t>
            </w:r>
          </w:p>
        </w:tc>
        <w:tc>
          <w:tcPr>
            <w:tcW w:w="40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14"/>
              <w:spacing w:after="0" w:line="200" w:lineRule="exact"/>
              <w:rPr>
                <w:sz w:val="20"/>
                <w:szCs w:val="20"/>
                <w:color w:val="auto"/>
              </w:rPr>
            </w:pPr>
            <w:r>
              <w:rPr>
                <w:rFonts w:ascii="Arial" w:cs="Arial" w:eastAsia="Arial" w:hAnsi="Arial"/>
                <w:sz w:val="18"/>
                <w:szCs w:val="18"/>
                <w:color w:val="auto"/>
              </w:rPr>
              <w:t>24.39</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39" w:lineRule="auto"/>
        <w:rPr>
          <w:sz w:val="20"/>
          <w:szCs w:val="20"/>
          <w:color w:val="auto"/>
        </w:rPr>
      </w:pPr>
      <w:r>
        <w:rPr>
          <w:rFonts w:ascii="Arial" w:cs="Arial" w:eastAsia="Arial" w:hAnsi="Arial"/>
          <w:sz w:val="18"/>
          <w:szCs w:val="18"/>
          <w:color w:val="auto"/>
        </w:rPr>
        <w:t>Cash received from cash settled options exercised during the year ended December 31, 2008 was $49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information on exercised stock options.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2006</w:t>
            </w:r>
          </w:p>
        </w:tc>
      </w:tr>
      <w:tr>
        <w:trPr>
          <w:trHeight w:val="199"/>
        </w:trPr>
        <w:tc>
          <w:tcPr>
            <w:tcW w:w="3020" w:type="dxa"/>
            <w:vAlign w:val="bottom"/>
          </w:tcPr>
          <w:p>
            <w:pPr>
              <w:ind w:left="20"/>
              <w:spacing w:after="0" w:line="200" w:lineRule="exact"/>
              <w:rPr>
                <w:sz w:val="20"/>
                <w:szCs w:val="20"/>
                <w:color w:val="auto"/>
              </w:rPr>
            </w:pPr>
            <w:r>
              <w:rPr>
                <w:rFonts w:ascii="Arial" w:cs="Arial" w:eastAsia="Arial" w:hAnsi="Arial"/>
                <w:sz w:val="18"/>
                <w:szCs w:val="18"/>
                <w:color w:val="auto"/>
              </w:rPr>
              <w:t>Intrinsic value of options exercised</w:t>
            </w:r>
          </w:p>
        </w:tc>
        <w:tc>
          <w:tcPr>
            <w:tcW w:w="90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$ 85</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19"/>
              <w:spacing w:after="0" w:line="200" w:lineRule="exact"/>
              <w:rPr>
                <w:sz w:val="20"/>
                <w:szCs w:val="20"/>
                <w:color w:val="auto"/>
              </w:rPr>
            </w:pPr>
            <w:r>
              <w:rPr>
                <w:rFonts w:ascii="Arial" w:cs="Arial" w:eastAsia="Arial" w:hAnsi="Arial"/>
                <w:sz w:val="18"/>
                <w:szCs w:val="18"/>
                <w:color w:val="auto"/>
              </w:rPr>
              <w:t>171</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w w:val="99"/>
              </w:rPr>
              <w:t>180</w:t>
            </w:r>
          </w:p>
        </w:tc>
      </w:tr>
      <w:tr>
        <w:trPr>
          <w:trHeight w:val="199"/>
        </w:trPr>
        <w:tc>
          <w:tcPr>
            <w:tcW w:w="3020" w:type="dxa"/>
            <w:vAlign w:val="bottom"/>
            <w:tcBorders>
              <w:bottom w:val="single" w:sz="8" w:color="52A2DD"/>
            </w:tcBorders>
          </w:tcPr>
          <w:p>
            <w:pPr>
              <w:ind w:left="20"/>
              <w:spacing w:after="0" w:line="200" w:lineRule="exact"/>
              <w:rPr>
                <w:sz w:val="20"/>
                <w:szCs w:val="20"/>
                <w:color w:val="auto"/>
              </w:rPr>
            </w:pPr>
            <w:r>
              <w:rPr>
                <w:rFonts w:ascii="Arial" w:cs="Arial" w:eastAsia="Arial" w:hAnsi="Arial"/>
                <w:sz w:val="18"/>
                <w:szCs w:val="18"/>
                <w:color w:val="auto"/>
              </w:rPr>
              <w:t>Tax benefit of options exercised</w:t>
            </w:r>
          </w:p>
        </w:tc>
        <w:tc>
          <w:tcPr>
            <w:tcW w:w="900" w:type="dxa"/>
            <w:vAlign w:val="bottom"/>
            <w:tcBorders>
              <w:bottom w:val="single" w:sz="8" w:color="52A2DD"/>
            </w:tcBorders>
          </w:tcPr>
          <w:p>
            <w:pPr>
              <w:jc w:val="right"/>
              <w:ind w:right="139"/>
              <w:spacing w:after="0" w:line="200" w:lineRule="exact"/>
              <w:rPr>
                <w:sz w:val="20"/>
                <w:szCs w:val="20"/>
                <w:color w:val="auto"/>
              </w:rPr>
            </w:pPr>
            <w:r>
              <w:rPr>
                <w:rFonts w:ascii="Arial" w:cs="Arial" w:eastAsia="Arial" w:hAnsi="Arial"/>
                <w:sz w:val="18"/>
                <w:szCs w:val="18"/>
                <w:color w:val="auto"/>
              </w:rPr>
              <w:t>$ 30</w:t>
            </w:r>
          </w:p>
        </w:tc>
        <w:tc>
          <w:tcPr>
            <w:tcW w:w="34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52A2DD"/>
            </w:tcBorders>
          </w:tcPr>
          <w:p>
            <w:pPr>
              <w:jc w:val="right"/>
              <w:ind w:right="119"/>
              <w:spacing w:after="0" w:line="200" w:lineRule="exact"/>
              <w:rPr>
                <w:sz w:val="20"/>
                <w:szCs w:val="20"/>
                <w:color w:val="auto"/>
              </w:rPr>
            </w:pPr>
            <w:r>
              <w:rPr>
                <w:rFonts w:ascii="Arial" w:cs="Arial" w:eastAsia="Arial" w:hAnsi="Arial"/>
                <w:sz w:val="18"/>
                <w:szCs w:val="18"/>
                <w:color w:val="auto"/>
              </w:rPr>
              <w:t>58</w:t>
            </w:r>
          </w:p>
        </w:tc>
        <w:tc>
          <w:tcPr>
            <w:tcW w:w="36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62</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stock option information above does not include 9.0 million stock options outstanding, with a weighted average exercise price</w:t>
      </w:r>
    </w:p>
    <w:p>
      <w:pPr>
        <w:spacing w:after="0" w:line="20" w:lineRule="exact"/>
        <w:rPr>
          <w:sz w:val="20"/>
          <w:szCs w:val="20"/>
          <w:color w:val="auto"/>
        </w:rPr>
      </w:pPr>
      <w:r>
        <w:rPr>
          <w:sz w:val="20"/>
          <w:szCs w:val="20"/>
          <w:color w:val="auto"/>
        </w:rPr>
        <w:br w:type="column"/>
      </w:r>
    </w:p>
    <w:p>
      <w:pPr>
        <w:jc w:val="both"/>
        <w:ind w:right="120"/>
        <w:spacing w:after="0" w:line="238" w:lineRule="auto"/>
        <w:rPr>
          <w:sz w:val="20"/>
          <w:szCs w:val="20"/>
          <w:color w:val="auto"/>
        </w:rPr>
      </w:pPr>
      <w:r>
        <w:rPr>
          <w:rFonts w:ascii="Arial" w:cs="Arial" w:eastAsia="Arial" w:hAnsi="Arial"/>
          <w:sz w:val="18"/>
          <w:szCs w:val="18"/>
          <w:color w:val="auto"/>
        </w:rPr>
        <w:t>of $31.41 per share, for the year ended December 31, 2008. These stock options were issued under a stock option liquidity program in 2005 and will expire by the end of 2012.</w:t>
      </w:r>
    </w:p>
    <w:p>
      <w:pPr>
        <w:spacing w:after="0" w:line="276"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also maintain a deferred stock option plan for certain employees and directors that provided the optionees with the opportunity to defer the receipt of shares of Class A or Class A Special common stock that would otherwise be deliverable when the stock options are exercised. As of December 31, 2008, approximately 2.0 million shares of Class A Special common stock were issuable under exercised options, the receipt of which was irrevocably deferred by the optionees under the deferred stock option plan.</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9"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maintain a restricted stock plan under which certain employees and directors (“participants”) may be granted RSU awards in units of Class A or Class A Special common stock. Under the restricted stock plan, a combined total of approximately 50 million shares of our Class A and Class A Special common stock are reserved for issuance, including those outstanding as of December 31, 2008. RSUs, which are valued based on the closing price on the date of grant and discounted for the lack of dividends, if any, during the vesting period, entitle participants to receive, at the time of vesting, one share of common stock for each RSU. The awards vest annually, generally over a period not to exceed 5 years, and do not have voting or dividend rights.</w:t>
      </w:r>
    </w:p>
    <w:p>
      <w:pPr>
        <w:spacing w:after="0" w:line="16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table below summarizes the weighted-average fair value at the date of grant of the RSUs.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2008</w:t>
            </w:r>
          </w:p>
        </w:tc>
        <w:tc>
          <w:tcPr>
            <w:tcW w:w="1060" w:type="dxa"/>
            <w:vAlign w:val="bottom"/>
          </w:tcPr>
          <w:p>
            <w:pPr>
              <w:jc w:val="right"/>
              <w:spacing w:after="0"/>
              <w:rPr>
                <w:sz w:val="20"/>
                <w:szCs w:val="20"/>
                <w:color w:val="auto"/>
              </w:rPr>
            </w:pPr>
            <w:r>
              <w:rPr>
                <w:rFonts w:ascii="Arial" w:cs="Arial" w:eastAsia="Arial" w:hAnsi="Arial"/>
                <w:sz w:val="14"/>
                <w:szCs w:val="14"/>
                <w:color w:val="auto"/>
              </w:rPr>
              <w:t>2007</w:t>
            </w:r>
          </w:p>
        </w:tc>
        <w:tc>
          <w:tcPr>
            <w:tcW w:w="2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2006</w:t>
            </w:r>
          </w:p>
        </w:tc>
      </w:tr>
      <w:tr>
        <w:trPr>
          <w:trHeight w:val="196"/>
        </w:trPr>
        <w:tc>
          <w:tcPr>
            <w:tcW w:w="2780" w:type="dxa"/>
            <w:vAlign w:val="bottom"/>
            <w:tcBorders>
              <w:top w:val="single" w:sz="8" w:color="auto"/>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Weighted-average fair value</w:t>
            </w:r>
          </w:p>
        </w:tc>
        <w:tc>
          <w:tcPr>
            <w:tcW w:w="66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$ 18.06</w:t>
            </w:r>
          </w:p>
        </w:tc>
        <w:tc>
          <w:tcPr>
            <w:tcW w:w="106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$ 25.65</w:t>
            </w:r>
          </w:p>
        </w:tc>
        <w:tc>
          <w:tcPr>
            <w:tcW w:w="260" w:type="dxa"/>
            <w:vAlign w:val="bottom"/>
            <w:tcBorders>
              <w:top w:val="single" w:sz="8" w:color="auto"/>
              <w:bottom w:val="single" w:sz="8" w:color="52A2DD"/>
            </w:tcBorders>
          </w:tcPr>
          <w:p>
            <w:pPr>
              <w:spacing w:after="0"/>
              <w:rPr>
                <w:sz w:val="17"/>
                <w:szCs w:val="17"/>
                <w:color w:val="auto"/>
              </w:rPr>
            </w:pPr>
          </w:p>
        </w:tc>
        <w:tc>
          <w:tcPr>
            <w:tcW w:w="72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$ 19.98</w:t>
            </w:r>
          </w:p>
        </w:tc>
        <w:tc>
          <w:tcPr>
            <w:tcW w:w="20" w:type="dxa"/>
            <w:vAlign w:val="bottom"/>
          </w:tcPr>
          <w:p>
            <w:pPr>
              <w:spacing w:after="0"/>
              <w:rPr>
                <w:sz w:val="17"/>
                <w:szCs w:val="17"/>
                <w:color w:val="auto"/>
              </w:rPr>
            </w:pPr>
          </w:p>
        </w:tc>
      </w:tr>
      <w:tr>
        <w:trPr>
          <w:trHeight w:val="370"/>
        </w:trPr>
        <w:tc>
          <w:tcPr>
            <w:tcW w:w="2780" w:type="dxa"/>
            <w:vAlign w:val="bottom"/>
          </w:tcPr>
          <w:p>
            <w:pPr>
              <w:spacing w:after="0"/>
              <w:rPr>
                <w:sz w:val="20"/>
                <w:szCs w:val="20"/>
                <w:color w:val="auto"/>
              </w:rPr>
            </w:pPr>
            <w:r>
              <w:rPr>
                <w:rFonts w:ascii="Arial" w:cs="Arial" w:eastAsia="Arial" w:hAnsi="Arial"/>
                <w:sz w:val="18"/>
                <w:szCs w:val="18"/>
                <w:color w:val="auto"/>
                <w:w w:val="98"/>
              </w:rPr>
              <w:t>2008 Restricted Stock Plan Activity</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
        </w:trPr>
        <w:tc>
          <w:tcPr>
            <w:tcW w:w="27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68"/>
        </w:trPr>
        <w:tc>
          <w:tcPr>
            <w:tcW w:w="2780" w:type="dxa"/>
            <w:vAlign w:val="bottom"/>
          </w:tcPr>
          <w:p>
            <w:pPr>
              <w:spacing w:after="0"/>
              <w:rPr>
                <w:sz w:val="14"/>
                <w:szCs w:val="14"/>
                <w:color w:val="auto"/>
              </w:rPr>
            </w:pPr>
          </w:p>
        </w:tc>
        <w:tc>
          <w:tcPr>
            <w:tcW w:w="1720" w:type="dxa"/>
            <w:vAlign w:val="bottom"/>
            <w:gridSpan w:val="2"/>
          </w:tcPr>
          <w:p>
            <w:pPr>
              <w:jc w:val="right"/>
              <w:ind w:right="457"/>
              <w:spacing w:after="0"/>
              <w:rPr>
                <w:sz w:val="20"/>
                <w:szCs w:val="20"/>
                <w:color w:val="auto"/>
              </w:rPr>
            </w:pPr>
            <w:r>
              <w:rPr>
                <w:rFonts w:ascii="Arial" w:cs="Arial" w:eastAsia="Arial" w:hAnsi="Arial"/>
                <w:sz w:val="14"/>
                <w:szCs w:val="14"/>
                <w:color w:val="auto"/>
              </w:rPr>
              <w:t>Nonvested</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780" w:type="dxa"/>
            <w:vAlign w:val="bottom"/>
          </w:tcPr>
          <w:p>
            <w:pPr>
              <w:spacing w:after="0"/>
              <w:rPr>
                <w:sz w:val="12"/>
                <w:szCs w:val="12"/>
                <w:color w:val="auto"/>
              </w:rPr>
            </w:pPr>
          </w:p>
        </w:tc>
        <w:tc>
          <w:tcPr>
            <w:tcW w:w="1720" w:type="dxa"/>
            <w:vAlign w:val="bottom"/>
            <w:gridSpan w:val="2"/>
          </w:tcPr>
          <w:p>
            <w:pPr>
              <w:jc w:val="right"/>
              <w:ind w:right="457"/>
              <w:spacing w:after="0" w:line="149" w:lineRule="exact"/>
              <w:rPr>
                <w:sz w:val="20"/>
                <w:szCs w:val="20"/>
                <w:color w:val="auto"/>
              </w:rPr>
            </w:pPr>
            <w:r>
              <w:rPr>
                <w:rFonts w:ascii="Arial" w:cs="Arial" w:eastAsia="Arial" w:hAnsi="Arial"/>
                <w:sz w:val="14"/>
                <w:szCs w:val="14"/>
                <w:color w:val="auto"/>
              </w:rPr>
              <w:t>Restricted</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780" w:type="dxa"/>
            <w:vAlign w:val="bottom"/>
          </w:tcPr>
          <w:p>
            <w:pPr>
              <w:spacing w:after="0"/>
              <w:rPr>
                <w:sz w:val="12"/>
                <w:szCs w:val="12"/>
                <w:color w:val="auto"/>
              </w:rPr>
            </w:pPr>
          </w:p>
        </w:tc>
        <w:tc>
          <w:tcPr>
            <w:tcW w:w="1720" w:type="dxa"/>
            <w:vAlign w:val="bottom"/>
            <w:gridSpan w:val="2"/>
          </w:tcPr>
          <w:p>
            <w:pPr>
              <w:jc w:val="right"/>
              <w:ind w:right="457"/>
              <w:spacing w:after="0" w:line="149" w:lineRule="exact"/>
              <w:rPr>
                <w:sz w:val="20"/>
                <w:szCs w:val="20"/>
                <w:color w:val="auto"/>
              </w:rPr>
            </w:pPr>
            <w:r>
              <w:rPr>
                <w:rFonts w:ascii="Arial" w:cs="Arial" w:eastAsia="Arial" w:hAnsi="Arial"/>
                <w:sz w:val="14"/>
                <w:szCs w:val="14"/>
                <w:color w:val="auto"/>
              </w:rPr>
              <w:t>Share Unit</w:t>
            </w:r>
          </w:p>
        </w:tc>
        <w:tc>
          <w:tcPr>
            <w:tcW w:w="2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Weighted-</w:t>
            </w:r>
          </w:p>
        </w:tc>
      </w:tr>
      <w:tr>
        <w:trPr>
          <w:trHeight w:val="149"/>
        </w:trPr>
        <w:tc>
          <w:tcPr>
            <w:tcW w:w="2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jc w:val="right"/>
              <w:ind w:right="457"/>
              <w:spacing w:after="0" w:line="149" w:lineRule="exact"/>
              <w:rPr>
                <w:sz w:val="20"/>
                <w:szCs w:val="20"/>
                <w:color w:val="auto"/>
              </w:rPr>
            </w:pPr>
            <w:r>
              <w:rPr>
                <w:rFonts w:ascii="Arial" w:cs="Arial" w:eastAsia="Arial" w:hAnsi="Arial"/>
                <w:sz w:val="14"/>
                <w:szCs w:val="14"/>
                <w:color w:val="auto"/>
              </w:rPr>
              <w:t>Awards</w:t>
            </w: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Average Grant</w:t>
            </w:r>
          </w:p>
        </w:tc>
      </w:tr>
      <w:tr>
        <w:trPr>
          <w:trHeight w:val="163"/>
        </w:trPr>
        <w:tc>
          <w:tcPr>
            <w:tcW w:w="2780" w:type="dxa"/>
            <w:vAlign w:val="bottom"/>
          </w:tcPr>
          <w:p>
            <w:pPr>
              <w:spacing w:after="0"/>
              <w:rPr>
                <w:sz w:val="14"/>
                <w:szCs w:val="14"/>
                <w:color w:val="auto"/>
              </w:rPr>
            </w:pPr>
          </w:p>
        </w:tc>
        <w:tc>
          <w:tcPr>
            <w:tcW w:w="1720" w:type="dxa"/>
            <w:vAlign w:val="bottom"/>
            <w:gridSpan w:val="2"/>
          </w:tcPr>
          <w:p>
            <w:pPr>
              <w:jc w:val="right"/>
              <w:ind w:right="457"/>
              <w:spacing w:after="0"/>
              <w:rPr>
                <w:sz w:val="20"/>
                <w:szCs w:val="20"/>
                <w:color w:val="auto"/>
              </w:rPr>
            </w:pPr>
            <w:r>
              <w:rPr>
                <w:rFonts w:ascii="Arial" w:cs="Arial" w:eastAsia="Arial" w:hAnsi="Arial"/>
                <w:sz w:val="14"/>
                <w:szCs w:val="14"/>
                <w:color w:val="auto"/>
              </w:rPr>
              <w:t>(in thousands)</w:t>
            </w:r>
          </w:p>
        </w:tc>
        <w:tc>
          <w:tcPr>
            <w:tcW w:w="1000" w:type="dxa"/>
            <w:vAlign w:val="bottom"/>
            <w:gridSpan w:val="3"/>
          </w:tcPr>
          <w:p>
            <w:pPr>
              <w:ind w:left="60"/>
              <w:spacing w:after="0"/>
              <w:rPr>
                <w:sz w:val="20"/>
                <w:szCs w:val="20"/>
                <w:color w:val="auto"/>
              </w:rPr>
            </w:pPr>
            <w:r>
              <w:rPr>
                <w:rFonts w:ascii="Arial" w:cs="Arial" w:eastAsia="Arial" w:hAnsi="Arial"/>
                <w:sz w:val="14"/>
                <w:szCs w:val="14"/>
                <w:color w:val="auto"/>
                <w:w w:val="94"/>
              </w:rPr>
              <w:t>Date Fair Value</w:t>
            </w:r>
          </w:p>
        </w:tc>
      </w:tr>
      <w:tr>
        <w:trPr>
          <w:trHeight w:val="199"/>
        </w:trPr>
        <w:tc>
          <w:tcPr>
            <w:tcW w:w="278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Class A Common Stock</w:t>
            </w:r>
          </w:p>
        </w:tc>
        <w:tc>
          <w:tcPr>
            <w:tcW w:w="6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Nonvested awards as of</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780" w:type="dxa"/>
            <w:vAlign w:val="bottom"/>
          </w:tcPr>
          <w:p>
            <w:pPr>
              <w:ind w:left="220"/>
              <w:spacing w:after="0" w:line="202" w:lineRule="exact"/>
              <w:rPr>
                <w:sz w:val="20"/>
                <w:szCs w:val="20"/>
                <w:color w:val="auto"/>
              </w:rPr>
            </w:pPr>
            <w:r>
              <w:rPr>
                <w:rFonts w:ascii="Arial" w:cs="Arial" w:eastAsia="Arial" w:hAnsi="Arial"/>
                <w:sz w:val="18"/>
                <w:szCs w:val="18"/>
                <w:color w:val="auto"/>
              </w:rPr>
              <w:t>January 1, 2008</w:t>
            </w:r>
          </w:p>
        </w:tc>
        <w:tc>
          <w:tcPr>
            <w:tcW w:w="660" w:type="dxa"/>
            <w:vAlign w:val="bottom"/>
          </w:tcPr>
          <w:p>
            <w:pPr>
              <w:spacing w:after="0"/>
              <w:rPr>
                <w:sz w:val="17"/>
                <w:szCs w:val="17"/>
                <w:color w:val="auto"/>
              </w:rPr>
            </w:pPr>
          </w:p>
        </w:tc>
        <w:tc>
          <w:tcPr>
            <w:tcW w:w="1060" w:type="dxa"/>
            <w:vAlign w:val="bottom"/>
          </w:tcPr>
          <w:p>
            <w:pPr>
              <w:jc w:val="right"/>
              <w:ind w:right="457"/>
              <w:spacing w:after="0" w:line="202" w:lineRule="exact"/>
              <w:rPr>
                <w:sz w:val="20"/>
                <w:szCs w:val="20"/>
                <w:color w:val="auto"/>
              </w:rPr>
            </w:pPr>
            <w:r>
              <w:rPr>
                <w:rFonts w:ascii="Arial" w:cs="Arial" w:eastAsia="Arial" w:hAnsi="Arial"/>
                <w:sz w:val="18"/>
                <w:szCs w:val="18"/>
                <w:color w:val="auto"/>
                <w:w w:val="90"/>
              </w:rPr>
              <w:t>16,456</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21.97</w:t>
            </w:r>
          </w:p>
        </w:tc>
        <w:tc>
          <w:tcPr>
            <w:tcW w:w="20" w:type="dxa"/>
            <w:vAlign w:val="bottom"/>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660" w:type="dxa"/>
            <w:vAlign w:val="bottom"/>
          </w:tcPr>
          <w:p>
            <w:pPr>
              <w:spacing w:after="0"/>
              <w:rPr>
                <w:sz w:val="17"/>
                <w:szCs w:val="17"/>
                <w:color w:val="auto"/>
              </w:rPr>
            </w:pPr>
          </w:p>
        </w:tc>
        <w:tc>
          <w:tcPr>
            <w:tcW w:w="1060" w:type="dxa"/>
            <w:vAlign w:val="bottom"/>
          </w:tcPr>
          <w:p>
            <w:pPr>
              <w:jc w:val="right"/>
              <w:ind w:right="457"/>
              <w:spacing w:after="0" w:line="202" w:lineRule="exact"/>
              <w:rPr>
                <w:sz w:val="20"/>
                <w:szCs w:val="20"/>
                <w:color w:val="auto"/>
              </w:rPr>
            </w:pPr>
            <w:r>
              <w:rPr>
                <w:rFonts w:ascii="Arial" w:cs="Arial" w:eastAsia="Arial" w:hAnsi="Arial"/>
                <w:sz w:val="18"/>
                <w:szCs w:val="18"/>
                <w:color w:val="auto"/>
              </w:rPr>
              <w:t>8,652</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18.06</w:t>
            </w:r>
          </w:p>
        </w:tc>
        <w:tc>
          <w:tcPr>
            <w:tcW w:w="20" w:type="dxa"/>
            <w:vAlign w:val="bottom"/>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660" w:type="dxa"/>
            <w:vAlign w:val="bottom"/>
          </w:tcPr>
          <w:p>
            <w:pPr>
              <w:spacing w:after="0"/>
              <w:rPr>
                <w:sz w:val="17"/>
                <w:szCs w:val="17"/>
                <w:color w:val="auto"/>
              </w:rPr>
            </w:pPr>
          </w:p>
        </w:tc>
        <w:tc>
          <w:tcPr>
            <w:tcW w:w="1060" w:type="dxa"/>
            <w:vAlign w:val="bottom"/>
          </w:tcPr>
          <w:p>
            <w:pPr>
              <w:jc w:val="right"/>
              <w:ind w:right="397"/>
              <w:spacing w:after="0" w:line="202" w:lineRule="exact"/>
              <w:rPr>
                <w:sz w:val="20"/>
                <w:szCs w:val="20"/>
                <w:color w:val="auto"/>
              </w:rPr>
            </w:pPr>
            <w:r>
              <w:rPr>
                <w:rFonts w:ascii="Arial" w:cs="Arial" w:eastAsia="Arial" w:hAnsi="Arial"/>
                <w:sz w:val="18"/>
                <w:szCs w:val="18"/>
                <w:color w:val="auto"/>
                <w:w w:val="98"/>
              </w:rPr>
              <w:t>(3,342)</w:t>
            </w:r>
          </w:p>
        </w:tc>
        <w:tc>
          <w:tcPr>
            <w:tcW w:w="2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21.64</w:t>
            </w:r>
          </w:p>
        </w:tc>
        <w:tc>
          <w:tcPr>
            <w:tcW w:w="20" w:type="dxa"/>
            <w:vAlign w:val="bottom"/>
          </w:tcPr>
          <w:p>
            <w:pPr>
              <w:spacing w:after="0"/>
              <w:rPr>
                <w:sz w:val="17"/>
                <w:szCs w:val="17"/>
                <w:color w:val="auto"/>
              </w:rPr>
            </w:pPr>
          </w:p>
        </w:tc>
      </w:tr>
      <w:tr>
        <w:trPr>
          <w:trHeight w:val="199"/>
        </w:trPr>
        <w:tc>
          <w:tcPr>
            <w:tcW w:w="27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7"/>
              <w:spacing w:after="0" w:line="200" w:lineRule="exact"/>
              <w:rPr>
                <w:sz w:val="20"/>
                <w:szCs w:val="20"/>
                <w:color w:val="auto"/>
              </w:rPr>
            </w:pPr>
            <w:r>
              <w:rPr>
                <w:rFonts w:ascii="Arial" w:cs="Arial" w:eastAsia="Arial" w:hAnsi="Arial"/>
                <w:sz w:val="18"/>
                <w:szCs w:val="18"/>
                <w:color w:val="auto"/>
                <w:w w:val="98"/>
              </w:rPr>
              <w:t>(1,430)</w:t>
            </w:r>
          </w:p>
        </w:tc>
        <w:tc>
          <w:tcPr>
            <w:tcW w:w="26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20.87</w:t>
            </w:r>
          </w:p>
        </w:tc>
        <w:tc>
          <w:tcPr>
            <w:tcW w:w="20" w:type="dxa"/>
            <w:vAlign w:val="bottom"/>
          </w:tcPr>
          <w:p>
            <w:pPr>
              <w:spacing w:after="0"/>
              <w:rPr>
                <w:sz w:val="17"/>
                <w:szCs w:val="17"/>
                <w:color w:val="auto"/>
              </w:rPr>
            </w:pPr>
          </w:p>
        </w:tc>
      </w:tr>
      <w:tr>
        <w:trPr>
          <w:trHeight w:val="199"/>
        </w:trPr>
        <w:tc>
          <w:tcPr>
            <w:tcW w:w="2780" w:type="dxa"/>
            <w:vAlign w:val="bottom"/>
          </w:tcPr>
          <w:p>
            <w:pPr>
              <w:ind w:left="20"/>
              <w:spacing w:after="0" w:line="200" w:lineRule="exact"/>
              <w:rPr>
                <w:sz w:val="20"/>
                <w:szCs w:val="20"/>
                <w:color w:val="auto"/>
              </w:rPr>
            </w:pPr>
            <w:r>
              <w:rPr>
                <w:rFonts w:ascii="Arial" w:cs="Arial" w:eastAsia="Arial" w:hAnsi="Arial"/>
                <w:sz w:val="18"/>
                <w:szCs w:val="18"/>
                <w:color w:val="auto"/>
              </w:rPr>
              <w:t>Nonvested awards as of</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78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December 31, 2008</w:t>
            </w:r>
          </w:p>
        </w:tc>
        <w:tc>
          <w:tcPr>
            <w:tcW w:w="660" w:type="dxa"/>
            <w:vAlign w:val="bottom"/>
            <w:tcBorders>
              <w:bottom w:val="single" w:sz="8" w:color="52A2DD"/>
            </w:tcBorders>
          </w:tcPr>
          <w:p>
            <w:pPr>
              <w:spacing w:after="0"/>
              <w:rPr>
                <w:sz w:val="17"/>
                <w:szCs w:val="17"/>
                <w:color w:val="auto"/>
              </w:rPr>
            </w:pPr>
          </w:p>
        </w:tc>
        <w:tc>
          <w:tcPr>
            <w:tcW w:w="1060" w:type="dxa"/>
            <w:vAlign w:val="bottom"/>
            <w:tcBorders>
              <w:bottom w:val="single" w:sz="8" w:color="52A2DD"/>
            </w:tcBorders>
          </w:tcPr>
          <w:p>
            <w:pPr>
              <w:jc w:val="right"/>
              <w:ind w:right="457"/>
              <w:spacing w:after="0" w:line="200" w:lineRule="exact"/>
              <w:rPr>
                <w:sz w:val="20"/>
                <w:szCs w:val="20"/>
                <w:color w:val="auto"/>
              </w:rPr>
            </w:pPr>
            <w:r>
              <w:rPr>
                <w:rFonts w:ascii="Arial" w:cs="Arial" w:eastAsia="Arial" w:hAnsi="Arial"/>
                <w:sz w:val="18"/>
                <w:szCs w:val="18"/>
                <w:color w:val="auto"/>
                <w:w w:val="90"/>
              </w:rPr>
              <w:t>20,336</w:t>
            </w:r>
          </w:p>
        </w:tc>
        <w:tc>
          <w:tcPr>
            <w:tcW w:w="260" w:type="dxa"/>
            <w:vAlign w:val="bottom"/>
            <w:tcBorders>
              <w:bottom w:val="single" w:sz="8" w:color="52A2DD"/>
            </w:tcBorders>
          </w:tcPr>
          <w:p>
            <w:pPr>
              <w:ind w:left="40"/>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19.64</w:t>
            </w:r>
          </w:p>
        </w:tc>
        <w:tc>
          <w:tcPr>
            <w:tcW w:w="20" w:type="dxa"/>
            <w:vAlign w:val="bottom"/>
          </w:tcPr>
          <w:p>
            <w:pPr>
              <w:spacing w:after="0"/>
              <w:rPr>
                <w:sz w:val="17"/>
                <w:szCs w:val="17"/>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information on vested RSUs.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2900" w:type="dxa"/>
            <w:vAlign w:val="bottom"/>
          </w:tcPr>
          <w:p>
            <w:pPr>
              <w:ind w:left="20"/>
              <w:spacing w:after="0" w:line="200" w:lineRule="exact"/>
              <w:rPr>
                <w:sz w:val="20"/>
                <w:szCs w:val="20"/>
                <w:color w:val="auto"/>
              </w:rPr>
            </w:pPr>
            <w:r>
              <w:rPr>
                <w:rFonts w:ascii="Arial" w:cs="Arial" w:eastAsia="Arial" w:hAnsi="Arial"/>
                <w:sz w:val="18"/>
                <w:szCs w:val="18"/>
                <w:color w:val="auto"/>
              </w:rPr>
              <w:t>Fair value of RSUs vested</w:t>
            </w:r>
          </w:p>
        </w:tc>
        <w:tc>
          <w:tcPr>
            <w:tcW w:w="120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$ 65</w:t>
            </w:r>
          </w:p>
        </w:tc>
        <w:tc>
          <w:tcPr>
            <w:tcW w:w="80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$ 75</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w w:val="99"/>
              </w:rPr>
              <w:t>32</w:t>
            </w:r>
          </w:p>
        </w:tc>
      </w:tr>
      <w:tr>
        <w:trPr>
          <w:trHeight w:val="199"/>
        </w:trPr>
        <w:tc>
          <w:tcPr>
            <w:tcW w:w="2900" w:type="dxa"/>
            <w:vAlign w:val="bottom"/>
            <w:tcBorders>
              <w:bottom w:val="single" w:sz="8" w:color="52A2DD"/>
            </w:tcBorders>
          </w:tcPr>
          <w:p>
            <w:pPr>
              <w:ind w:left="20"/>
              <w:spacing w:after="0" w:line="200" w:lineRule="exact"/>
              <w:rPr>
                <w:sz w:val="20"/>
                <w:szCs w:val="20"/>
                <w:color w:val="auto"/>
              </w:rPr>
            </w:pPr>
            <w:r>
              <w:rPr>
                <w:rFonts w:ascii="Arial" w:cs="Arial" w:eastAsia="Arial" w:hAnsi="Arial"/>
                <w:sz w:val="18"/>
                <w:szCs w:val="18"/>
                <w:color w:val="auto"/>
              </w:rPr>
              <w:t>Tax benefit of RSUs vested</w:t>
            </w:r>
          </w:p>
        </w:tc>
        <w:tc>
          <w:tcPr>
            <w:tcW w:w="1200" w:type="dxa"/>
            <w:vAlign w:val="bottom"/>
            <w:tcBorders>
              <w:bottom w:val="single" w:sz="8" w:color="52A2DD"/>
            </w:tcBorders>
          </w:tcPr>
          <w:p>
            <w:pPr>
              <w:jc w:val="right"/>
              <w:ind w:right="139"/>
              <w:spacing w:after="0" w:line="200" w:lineRule="exact"/>
              <w:rPr>
                <w:sz w:val="20"/>
                <w:szCs w:val="20"/>
                <w:color w:val="auto"/>
              </w:rPr>
            </w:pPr>
            <w:r>
              <w:rPr>
                <w:rFonts w:ascii="Arial" w:cs="Arial" w:eastAsia="Arial" w:hAnsi="Arial"/>
                <w:sz w:val="18"/>
                <w:szCs w:val="18"/>
                <w:color w:val="auto"/>
              </w:rPr>
              <w:t>$ 23</w:t>
            </w:r>
          </w:p>
        </w:tc>
        <w:tc>
          <w:tcPr>
            <w:tcW w:w="800" w:type="dxa"/>
            <w:vAlign w:val="bottom"/>
            <w:tcBorders>
              <w:bottom w:val="single" w:sz="8" w:color="52A2DD"/>
            </w:tcBorders>
          </w:tcPr>
          <w:p>
            <w:pPr>
              <w:jc w:val="right"/>
              <w:ind w:right="139"/>
              <w:spacing w:after="0" w:line="200" w:lineRule="exact"/>
              <w:rPr>
                <w:sz w:val="20"/>
                <w:szCs w:val="20"/>
                <w:color w:val="auto"/>
              </w:rPr>
            </w:pPr>
            <w:r>
              <w:rPr>
                <w:rFonts w:ascii="Arial" w:cs="Arial" w:eastAsia="Arial" w:hAnsi="Arial"/>
                <w:sz w:val="18"/>
                <w:szCs w:val="18"/>
                <w:color w:val="auto"/>
              </w:rPr>
              <w:t>$ 24</w:t>
            </w:r>
          </w:p>
        </w:tc>
        <w:tc>
          <w:tcPr>
            <w:tcW w:w="36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9</w:t>
            </w:r>
          </w:p>
        </w:tc>
      </w:tr>
    </w:tbl>
    <w:p>
      <w:pPr>
        <w:spacing w:after="0" w:line="28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restricted stock plan also provides certain employees and directors the opportunity to defer the receipt of shares of Class A or Class A Special common stock that would otherwise be deliverable when their RSUs vest. As of December 31, 2008, approximately 941,000 and 89,000 shares of Class A common stock and Class A Special common stock, respectively, were issuable under vested RSU awards, the receipt of which was irrevocably deferred by participants.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We maintain an employee stock purchase plan that offers employees the opportunity to purchase shares of Class A common stock at a 15% discount. We recognize the fair value of the discount associated with shares purchased under the plan as share-based compensation expense in accordance with SFAS No. 123R. The employee cost associated with participation in the plan was satisfied with payroll withholdings of approximately $50 million, $48 million and $35 million in 2008, 2007 and 2006,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13: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Income Tax (Expense) Benefit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Arial" w:cs="Arial" w:eastAsia="Arial" w:hAnsi="Arial"/>
                <w:sz w:val="14"/>
                <w:szCs w:val="14"/>
                <w:color w:val="auto"/>
              </w:rPr>
              <w:t>Year ended December 31 (in</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millions)</w:t>
            </w: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rPr>
              <w:t>2008</w:t>
            </w:r>
          </w:p>
        </w:tc>
        <w:tc>
          <w:tcPr>
            <w:tcW w:w="110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rPr>
              <w:t>2007</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2006</w:t>
            </w:r>
          </w:p>
        </w:tc>
      </w:tr>
      <w:tr>
        <w:trPr>
          <w:trHeight w:val="199"/>
        </w:trPr>
        <w:tc>
          <w:tcPr>
            <w:tcW w:w="232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(751)</w:t>
            </w:r>
          </w:p>
        </w:tc>
        <w:tc>
          <w:tcPr>
            <w:tcW w:w="11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 (1,280)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(887)</w:t>
            </w:r>
          </w:p>
        </w:tc>
      </w:tr>
      <w:tr>
        <w:trPr>
          <w:trHeight w:val="199"/>
        </w:trPr>
        <w:tc>
          <w:tcPr>
            <w:tcW w:w="2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(287)</w:t>
            </w:r>
          </w:p>
        </w:tc>
        <w:tc>
          <w:tcPr>
            <w:tcW w:w="110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(273)</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(77)</w:t>
            </w:r>
          </w:p>
        </w:tc>
      </w:tr>
      <w:tr>
        <w:trPr>
          <w:trHeight w:val="196"/>
        </w:trPr>
        <w:tc>
          <w:tcPr>
            <w:tcW w:w="2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(1,038)</w:t>
            </w:r>
          </w:p>
        </w:tc>
        <w:tc>
          <w:tcPr>
            <w:tcW w:w="110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(1,553)</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(964)</w:t>
            </w:r>
          </w:p>
        </w:tc>
      </w:tr>
      <w:tr>
        <w:trPr>
          <w:trHeight w:val="199"/>
        </w:trPr>
        <w:tc>
          <w:tcPr>
            <w:tcW w:w="232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17"/>
                <w:szCs w:val="17"/>
                <w:color w:val="auto"/>
              </w:rPr>
            </w:pPr>
          </w:p>
        </w:tc>
        <w:tc>
          <w:tcPr>
            <w:tcW w:w="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(547)</w:t>
            </w:r>
          </w:p>
        </w:tc>
        <w:tc>
          <w:tcPr>
            <w:tcW w:w="11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(128)</w:t>
            </w:r>
          </w:p>
        </w:tc>
        <w:tc>
          <w:tcPr>
            <w:tcW w:w="3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r>
      <w:tr>
        <w:trPr>
          <w:trHeight w:val="199"/>
        </w:trPr>
        <w:tc>
          <w:tcPr>
            <w:tcW w:w="2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rPr>
              <w:t>52</w:t>
            </w:r>
          </w:p>
        </w:tc>
        <w:tc>
          <w:tcPr>
            <w:tcW w:w="110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(119)</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(82)</w:t>
            </w:r>
          </w:p>
        </w:tc>
      </w:tr>
      <w:tr>
        <w:trPr>
          <w:trHeight w:val="196"/>
        </w:trPr>
        <w:tc>
          <w:tcPr>
            <w:tcW w:w="2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(495)</w:t>
            </w:r>
          </w:p>
        </w:tc>
        <w:tc>
          <w:tcPr>
            <w:tcW w:w="110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(247)</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(383)</w:t>
            </w:r>
          </w:p>
        </w:tc>
      </w:tr>
      <w:tr>
        <w:trPr>
          <w:trHeight w:val="199"/>
        </w:trPr>
        <w:tc>
          <w:tcPr>
            <w:tcW w:w="2320" w:type="dxa"/>
            <w:vAlign w:val="bottom"/>
          </w:tcPr>
          <w:p>
            <w:pPr>
              <w:spacing w:after="0" w:line="200" w:lineRule="exact"/>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9"/>
        </w:trPr>
        <w:tc>
          <w:tcPr>
            <w:tcW w:w="232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benefit</w:t>
            </w:r>
          </w:p>
        </w:tc>
        <w:tc>
          <w:tcPr>
            <w:tcW w:w="36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52A2DD"/>
            </w:tcBorders>
          </w:tcPr>
          <w:p>
            <w:pPr>
              <w:jc w:val="right"/>
              <w:ind w:right="95"/>
              <w:spacing w:after="0" w:line="200" w:lineRule="exact"/>
              <w:rPr>
                <w:sz w:val="20"/>
                <w:szCs w:val="20"/>
                <w:color w:val="auto"/>
              </w:rPr>
            </w:pPr>
            <w:r>
              <w:rPr>
                <w:rFonts w:ascii="Arial" w:cs="Arial" w:eastAsia="Arial" w:hAnsi="Arial"/>
                <w:sz w:val="18"/>
                <w:szCs w:val="18"/>
                <w:color w:val="auto"/>
              </w:rPr>
              <w:t>(1,533)</w:t>
            </w:r>
          </w:p>
        </w:tc>
        <w:tc>
          <w:tcPr>
            <w:tcW w:w="1100" w:type="dxa"/>
            <w:vAlign w:val="bottom"/>
            <w:tcBorders>
              <w:bottom w:val="single" w:sz="8" w:color="52A2DD"/>
            </w:tcBorders>
          </w:tcPr>
          <w:p>
            <w:pPr>
              <w:jc w:val="right"/>
              <w:ind w:right="95"/>
              <w:spacing w:after="0" w:line="200" w:lineRule="exact"/>
              <w:rPr>
                <w:sz w:val="20"/>
                <w:szCs w:val="20"/>
                <w:color w:val="auto"/>
              </w:rPr>
            </w:pPr>
            <w:r>
              <w:rPr>
                <w:rFonts w:ascii="Arial" w:cs="Arial" w:eastAsia="Arial" w:hAnsi="Arial"/>
                <w:sz w:val="18"/>
                <w:szCs w:val="18"/>
                <w:color w:val="auto"/>
              </w:rPr>
              <w:t>$ (1,800)</w:t>
            </w:r>
          </w:p>
        </w:tc>
        <w:tc>
          <w:tcPr>
            <w:tcW w:w="32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w w:val="98"/>
              </w:rPr>
              <w:t>(1,347)</w:t>
            </w:r>
          </w:p>
        </w:tc>
      </w:tr>
    </w:tbl>
    <w:p>
      <w:pPr>
        <w:spacing w:after="0" w:line="24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4"/>
                <w:szCs w:val="14"/>
                <w:color w:val="auto"/>
              </w:rPr>
              <w:t>Year ended December 31 (in</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millions)</w:t>
            </w:r>
          </w:p>
        </w:tc>
        <w:tc>
          <w:tcPr>
            <w:tcW w:w="112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rPr>
              <w:t>2008</w:t>
            </w:r>
          </w:p>
        </w:tc>
        <w:tc>
          <w:tcPr>
            <w:tcW w:w="108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rPr>
              <w:t>2007</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2006</w:t>
            </w:r>
          </w:p>
        </w:tc>
      </w:tr>
      <w:tr>
        <w:trPr>
          <w:trHeight w:val="199"/>
        </w:trPr>
        <w:tc>
          <w:tcPr>
            <w:tcW w:w="2360" w:type="dxa"/>
            <w:vAlign w:val="bottom"/>
          </w:tcPr>
          <w:p>
            <w:pPr>
              <w:spacing w:after="0" w:line="200" w:lineRule="exact"/>
              <w:rPr>
                <w:sz w:val="20"/>
                <w:szCs w:val="20"/>
                <w:color w:val="auto"/>
              </w:rPr>
            </w:pPr>
            <w:r>
              <w:rPr>
                <w:rFonts w:ascii="Arial" w:cs="Arial" w:eastAsia="Arial" w:hAnsi="Arial"/>
                <w:sz w:val="18"/>
                <w:szCs w:val="18"/>
                <w:color w:val="auto"/>
              </w:rPr>
              <w:t>Federal tax at statutory rate</w:t>
            </w:r>
          </w:p>
        </w:tc>
        <w:tc>
          <w:tcPr>
            <w:tcW w:w="1120" w:type="dxa"/>
            <w:vAlign w:val="bottom"/>
          </w:tcPr>
          <w:p>
            <w:pPr>
              <w:jc w:val="right"/>
              <w:ind w:right="95"/>
              <w:spacing w:after="0" w:line="200" w:lineRule="exact"/>
              <w:rPr>
                <w:sz w:val="20"/>
                <w:szCs w:val="20"/>
                <w:color w:val="auto"/>
              </w:rPr>
            </w:pPr>
            <w:r>
              <w:rPr>
                <w:rFonts w:ascii="Arial" w:cs="Arial" w:eastAsia="Arial" w:hAnsi="Arial"/>
                <w:sz w:val="18"/>
                <w:szCs w:val="18"/>
                <w:color w:val="auto"/>
              </w:rPr>
              <w:t>$ (1,420)</w:t>
            </w:r>
          </w:p>
        </w:tc>
        <w:tc>
          <w:tcPr>
            <w:tcW w:w="1080" w:type="dxa"/>
            <w:vAlign w:val="bottom"/>
          </w:tcPr>
          <w:p>
            <w:pPr>
              <w:jc w:val="right"/>
              <w:ind w:right="95"/>
              <w:spacing w:after="0" w:line="200" w:lineRule="exact"/>
              <w:rPr>
                <w:sz w:val="20"/>
                <w:szCs w:val="20"/>
                <w:color w:val="auto"/>
              </w:rPr>
            </w:pPr>
            <w:r>
              <w:rPr>
                <w:rFonts w:ascii="Arial" w:cs="Arial" w:eastAsia="Arial" w:hAnsi="Arial"/>
                <w:sz w:val="18"/>
                <w:szCs w:val="18"/>
                <w:color w:val="auto"/>
              </w:rPr>
              <w:t>$ (1,522)</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 (1,258)</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State income taxes, net of</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federal benefit</w:t>
            </w:r>
          </w:p>
        </w:tc>
        <w:tc>
          <w:tcPr>
            <w:tcW w:w="11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(45)</w:t>
            </w:r>
          </w:p>
        </w:tc>
        <w:tc>
          <w:tcPr>
            <w:tcW w:w="10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(153)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Nondeductible losses from</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joint ventures and equity</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in net (losses) income of</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affiliates, net</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w:t>
            </w:r>
          </w:p>
        </w:tc>
        <w:tc>
          <w:tcPr>
            <w:tcW w:w="10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Adjustments to uncertain</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and effectively settled</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tax positions</w:t>
            </w:r>
          </w:p>
        </w:tc>
        <w:tc>
          <w:tcPr>
            <w:tcW w:w="11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(34)</w:t>
            </w:r>
          </w:p>
        </w:tc>
        <w:tc>
          <w:tcPr>
            <w:tcW w:w="10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Accrued interest on</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uncertain and effectively</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tcPr>
          <w:p>
            <w:pPr>
              <w:ind w:left="220"/>
              <w:spacing w:after="0" w:line="202" w:lineRule="exact"/>
              <w:rPr>
                <w:sz w:val="20"/>
                <w:szCs w:val="20"/>
                <w:color w:val="auto"/>
              </w:rPr>
            </w:pPr>
            <w:r>
              <w:rPr>
                <w:rFonts w:ascii="Arial" w:cs="Arial" w:eastAsia="Arial" w:hAnsi="Arial"/>
                <w:sz w:val="18"/>
                <w:szCs w:val="18"/>
                <w:color w:val="auto"/>
              </w:rPr>
              <w:t>settled tax positions</w:t>
            </w:r>
          </w:p>
        </w:tc>
        <w:tc>
          <w:tcPr>
            <w:tcW w:w="11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(65)</w:t>
            </w:r>
          </w:p>
        </w:tc>
        <w:tc>
          <w:tcPr>
            <w:tcW w:w="10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(110)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199"/>
        </w:trPr>
        <w:tc>
          <w:tcPr>
            <w:tcW w:w="2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rPr>
              <w:t>17</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(132)</w:t>
            </w:r>
          </w:p>
        </w:tc>
      </w:tr>
      <w:tr>
        <w:trPr>
          <w:trHeight w:val="196"/>
        </w:trPr>
        <w:tc>
          <w:tcPr>
            <w:tcW w:w="23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52A2DD"/>
            </w:tcBorders>
          </w:tcPr>
          <w:p>
            <w:pPr>
              <w:jc w:val="right"/>
              <w:ind w:right="95"/>
              <w:spacing w:after="0" w:line="196" w:lineRule="exact"/>
              <w:rPr>
                <w:sz w:val="20"/>
                <w:szCs w:val="20"/>
                <w:color w:val="auto"/>
              </w:rPr>
            </w:pPr>
            <w:r>
              <w:rPr>
                <w:rFonts w:ascii="Arial" w:cs="Arial" w:eastAsia="Arial" w:hAnsi="Arial"/>
                <w:sz w:val="18"/>
                <w:szCs w:val="18"/>
                <w:color w:val="auto"/>
              </w:rPr>
              <w:t>$ (1,533)</w:t>
            </w:r>
          </w:p>
        </w:tc>
        <w:tc>
          <w:tcPr>
            <w:tcW w:w="1080" w:type="dxa"/>
            <w:vAlign w:val="bottom"/>
            <w:tcBorders>
              <w:bottom w:val="single" w:sz="8" w:color="52A2DD"/>
            </w:tcBorders>
          </w:tcPr>
          <w:p>
            <w:pPr>
              <w:jc w:val="right"/>
              <w:ind w:right="95"/>
              <w:spacing w:after="0" w:line="196" w:lineRule="exact"/>
              <w:rPr>
                <w:sz w:val="20"/>
                <w:szCs w:val="20"/>
                <w:color w:val="auto"/>
              </w:rPr>
            </w:pPr>
            <w:r>
              <w:rPr>
                <w:rFonts w:ascii="Arial" w:cs="Arial" w:eastAsia="Arial" w:hAnsi="Arial"/>
                <w:sz w:val="18"/>
                <w:szCs w:val="18"/>
                <w:color w:val="auto"/>
              </w:rPr>
              <w:t>$ (1,800)</w:t>
            </w:r>
          </w:p>
        </w:tc>
        <w:tc>
          <w:tcPr>
            <w:tcW w:w="9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(1,347)</w:t>
            </w:r>
          </w:p>
        </w:tc>
      </w:tr>
    </w:tbl>
    <w:p>
      <w:pPr>
        <w:spacing w:after="0" w:line="490" w:lineRule="exact"/>
        <w:rPr>
          <w:sz w:val="20"/>
          <w:szCs w:val="20"/>
          <w:color w:val="auto"/>
        </w:rPr>
      </w:pPr>
    </w:p>
    <w:p>
      <w:pPr>
        <w:sectPr>
          <w:pgSz w:w="11900" w:h="16838" w:orient="portrait"/>
          <w:cols w:equalWidth="0" w:num="2">
            <w:col w:w="5500" w:space="320"/>
            <w:col w:w="5480"/>
          </w:cols>
          <w:pgMar w:left="240" w:top="459" w:right="35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300"/>
          </w:cols>
          <w:pgMar w:left="240" w:top="459" w:right="35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17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2008</w:t>
            </w: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99"/>
        </w:trPr>
        <w:tc>
          <w:tcPr>
            <w:tcW w:w="3340" w:type="dxa"/>
            <w:vAlign w:val="bottom"/>
          </w:tcPr>
          <w:p>
            <w:pPr>
              <w:ind w:left="20"/>
              <w:spacing w:after="0" w:line="200" w:lineRule="exact"/>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220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basis of long-term debt</w:t>
            </w:r>
          </w:p>
        </w:tc>
        <w:tc>
          <w:tcPr>
            <w:tcW w:w="38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153</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r>
      <w:tr>
        <w:trPr>
          <w:trHeight w:val="199"/>
        </w:trPr>
        <w:tc>
          <w:tcPr>
            <w:tcW w:w="334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Nondeductible accruals and other</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1,351</w:t>
            </w: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1,225</w:t>
            </w:r>
          </w:p>
        </w:tc>
      </w:tr>
      <w:tr>
        <w:trPr>
          <w:trHeight w:val="196"/>
        </w:trPr>
        <w:tc>
          <w:tcPr>
            <w:tcW w:w="3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1,724</w:t>
            </w: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1,640</w:t>
            </w:r>
          </w:p>
        </w:tc>
      </w:tr>
      <w:tr>
        <w:trPr>
          <w:trHeight w:val="199"/>
        </w:trPr>
        <w:tc>
          <w:tcPr>
            <w:tcW w:w="3340" w:type="dxa"/>
            <w:vAlign w:val="bottom"/>
          </w:tcPr>
          <w:p>
            <w:pPr>
              <w:ind w:left="20"/>
              <w:spacing w:after="0" w:line="200" w:lineRule="exact"/>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basis of property and equipment and</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27,354</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25,935</w:t>
            </w: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3340" w:type="dxa"/>
            <w:vAlign w:val="bottom"/>
          </w:tcPr>
          <w:p>
            <w:pPr>
              <w:ind w:left="220"/>
              <w:spacing w:after="0" w:line="202" w:lineRule="exact"/>
              <w:rPr>
                <w:sz w:val="20"/>
                <w:szCs w:val="20"/>
                <w:color w:val="auto"/>
              </w:rPr>
            </w:pPr>
            <w:r>
              <w:rPr>
                <w:rFonts w:ascii="Arial" w:cs="Arial" w:eastAsia="Arial" w:hAnsi="Arial"/>
                <w:sz w:val="18"/>
                <w:szCs w:val="18"/>
                <w:color w:val="auto"/>
              </w:rPr>
              <w:t>basis of investments</w:t>
            </w:r>
          </w:p>
        </w:tc>
        <w:tc>
          <w:tcPr>
            <w:tcW w:w="380" w:type="dxa"/>
            <w:vAlign w:val="bottom"/>
          </w:tcPr>
          <w:p>
            <w:pPr>
              <w:spacing w:after="0"/>
              <w:rPr>
                <w:sz w:val="17"/>
                <w:szCs w:val="17"/>
                <w:color w:val="auto"/>
              </w:rPr>
            </w:pPr>
          </w:p>
        </w:tc>
        <w:tc>
          <w:tcPr>
            <w:tcW w:w="8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588</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1,542</w:t>
            </w: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33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basis of indexed debt securities</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line="200" w:lineRule="exact"/>
              <w:rPr>
                <w:sz w:val="20"/>
                <w:szCs w:val="20"/>
                <w:color w:val="auto"/>
              </w:rPr>
            </w:pPr>
            <w:r>
              <w:rPr>
                <w:rFonts w:ascii="Arial" w:cs="Arial" w:eastAsia="Arial" w:hAnsi="Arial"/>
                <w:sz w:val="18"/>
                <w:szCs w:val="18"/>
                <w:color w:val="auto"/>
              </w:rPr>
              <w:t>472</w:t>
            </w: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829</w:t>
            </w:r>
          </w:p>
        </w:tc>
      </w:tr>
      <w:tr>
        <w:trPr>
          <w:trHeight w:val="196"/>
        </w:trPr>
        <w:tc>
          <w:tcPr>
            <w:tcW w:w="3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28,414</w:t>
            </w: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28,306</w:t>
            </w:r>
          </w:p>
        </w:tc>
      </w:tr>
      <w:tr>
        <w:trPr>
          <w:trHeight w:val="196"/>
        </w:trPr>
        <w:tc>
          <w:tcPr>
            <w:tcW w:w="334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52A2DD"/>
            </w:tcBorders>
          </w:tcPr>
          <w:p>
            <w:pPr>
              <w:jc w:val="right"/>
              <w:ind w:right="154"/>
              <w:spacing w:after="0" w:line="196" w:lineRule="exact"/>
              <w:rPr>
                <w:sz w:val="20"/>
                <w:szCs w:val="20"/>
                <w:color w:val="auto"/>
              </w:rPr>
            </w:pPr>
            <w:r>
              <w:rPr>
                <w:rFonts w:ascii="Arial" w:cs="Arial" w:eastAsia="Arial" w:hAnsi="Arial"/>
                <w:sz w:val="18"/>
                <w:szCs w:val="18"/>
                <w:color w:val="auto"/>
              </w:rPr>
              <w:t>26,690</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8"/>
              </w:rPr>
              <w:t>26,666</w:t>
            </w:r>
          </w:p>
        </w:tc>
      </w:tr>
    </w:tbl>
    <w:p>
      <w:pPr>
        <w:spacing w:after="0" w:line="24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Changes in net deferred income tax liabilities in 2008 that were not recorded as deferred income tax expense relate to reductions in deferred income tax liabilities of $79 million associated with acquisition-related purchase price allocations, of $365 million related to the settlement of an uncertain tax position of an acquired entity and of $27 million associated with items included in other comprehensive income (loss).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Net deferred tax assets included in current assets are primarily related to our current investments and current liabilities. As of December 31, 2008, we had federal net operating loss carryforwards of $229 million and various state net operating loss carryforwards that expire in periods through 2028. The determination of the state net operating loss carryforwards is dependent on our subsidiaries’ taxable income or loss, apportionment percentages, and state laws that can change from year to year and impact the amount of such carryforwards.</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2008, 2007 and 2006, income tax benefits attributable to share-based compensation of approximately $28 million, $49 million and $60 million, respectively, were allocated to stockholders’ equity.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adopted FIN 48 on January 1, 2007, at which time we recorded a cumulative effect adjustment increasing retained earnings by $60 million. Our uncertain tax positions as of December 31, 2008 totaled $1.45 billion, excluding the federal benefits on state tax positions that have been recorded as deferred income taxes. If we were to recognize the tax benefit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such positions in the future, approximately $1.2 billion would impact our effective tax rate with the remaining amount impacting deferred income taxes.</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Reconciliation of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29210</wp:posOffset>
            </wp:positionV>
            <wp:extent cx="34817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r>
      <w:tr>
        <w:trPr>
          <w:trHeight w:val="199"/>
        </w:trPr>
        <w:tc>
          <w:tcPr>
            <w:tcW w:w="3400" w:type="dxa"/>
            <w:vAlign w:val="bottom"/>
          </w:tcPr>
          <w:p>
            <w:pPr>
              <w:spacing w:after="0" w:line="200" w:lineRule="exact"/>
              <w:rPr>
                <w:sz w:val="20"/>
                <w:szCs w:val="20"/>
                <w:color w:val="auto"/>
              </w:rPr>
            </w:pPr>
            <w:r>
              <w:rPr>
                <w:rFonts w:ascii="Arial" w:cs="Arial" w:eastAsia="Arial" w:hAnsi="Arial"/>
                <w:sz w:val="18"/>
                <w:szCs w:val="18"/>
                <w:color w:val="auto"/>
              </w:rPr>
              <w:t>Balance as of January 1</w:t>
            </w:r>
          </w:p>
        </w:tc>
        <w:tc>
          <w:tcPr>
            <w:tcW w:w="118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$ 1,921</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$ 2,099</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w:t>
            </w: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to the current year</w:t>
            </w:r>
          </w:p>
        </w:tc>
        <w:tc>
          <w:tcPr>
            <w:tcW w:w="11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w:t>
            </w: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to prior years</w:t>
            </w:r>
          </w:p>
        </w:tc>
        <w:tc>
          <w:tcPr>
            <w:tcW w:w="11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w:t>
            </w: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years</w:t>
            </w:r>
          </w:p>
        </w:tc>
        <w:tc>
          <w:tcPr>
            <w:tcW w:w="11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(411)</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Reductions due to expiration of statute</w:t>
            </w: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of limitations</w:t>
            </w:r>
          </w:p>
        </w:tc>
        <w:tc>
          <w:tcPr>
            <w:tcW w:w="11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199"/>
        </w:trPr>
        <w:tc>
          <w:tcPr>
            <w:tcW w:w="3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with taxing authorities</w:t>
            </w:r>
          </w:p>
        </w:tc>
        <w:tc>
          <w:tcPr>
            <w:tcW w:w="118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(142)</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(101)</w:t>
            </w:r>
          </w:p>
        </w:tc>
      </w:tr>
      <w:tr>
        <w:trPr>
          <w:trHeight w:val="196"/>
        </w:trPr>
        <w:tc>
          <w:tcPr>
            <w:tcW w:w="34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Balance as of December 31</w:t>
            </w:r>
          </w:p>
        </w:tc>
        <w:tc>
          <w:tcPr>
            <w:tcW w:w="118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color w:val="auto"/>
              </w:rPr>
              <w:t>$ 1,450</w:t>
            </w:r>
          </w:p>
        </w:tc>
        <w:tc>
          <w:tcPr>
            <w:tcW w:w="9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$ 1,921</w:t>
            </w:r>
          </w:p>
        </w:tc>
      </w:tr>
    </w:tbl>
    <w:p>
      <w:pPr>
        <w:spacing w:after="0" w:line="138"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As of December 31, 2008 and 2007, we had accrued approximately $787 million and $766 million, respectively, of interest associated with our uncertain tax positions.</w:t>
      </w:r>
    </w:p>
    <w:p>
      <w:pPr>
        <w:spacing w:after="0" w:line="154"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During 2008, we recognized approximately $411 million of income tax benefits as a result of the settlement of an uncertain tax position of an acquired entity. The tax position related to the deductibility of certain costs incurred in connection with a business acquisition. The primary impacts of the settlement were reductions to our deferred income tax and other long-term liabilities of approximately $542 million, a reduction to goodwill of approximately $477 million and a reduction to income tax expense of approximately $65 million.</w:t>
      </w:r>
    </w:p>
    <w:p>
      <w:pPr>
        <w:spacing w:after="0" w:line="154"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We are litigating an uncertain tax position which is scheduled for trial in October 2009. As a result, it is reasonably possible that our uncertain tax positions could significantly change within the next 12 months. We are unable to estimate the range of possible change.</w:t>
      </w:r>
    </w:p>
    <w:p>
      <w:pPr>
        <w:spacing w:after="0" w:line="155" w:lineRule="exact"/>
        <w:rPr>
          <w:sz w:val="20"/>
          <w:szCs w:val="20"/>
          <w:color w:val="auto"/>
        </w:rPr>
      </w:pPr>
    </w:p>
    <w:p>
      <w:pPr>
        <w:jc w:val="both"/>
        <w:ind w:left="140" w:right="120"/>
        <w:spacing w:after="0" w:line="267" w:lineRule="auto"/>
        <w:rPr>
          <w:sz w:val="20"/>
          <w:szCs w:val="20"/>
          <w:color w:val="auto"/>
        </w:rPr>
      </w:pPr>
      <w:r>
        <w:rPr>
          <w:rFonts w:ascii="Arial" w:cs="Arial" w:eastAsia="Arial" w:hAnsi="Arial"/>
          <w:sz w:val="16"/>
          <w:szCs w:val="16"/>
          <w:color w:val="auto"/>
        </w:rPr>
        <w:t>During 2007, the Internal Revenue Service (“IRS”) completed its examination of our income tax returns for the years 2000 through 2004. The IRS proposed certain adjustments that relate primarily to certain financing transactions. We are currently disputing those proposed adjustments, but if the adjustments are sustained, they would not have a material impact on our effective tax rate. The IRS is currently examining our 2005 and 2006 tax returns and various states are currently conducting examinations of our income tax returns for years through 2007. In addition, the statutes of limitations could expire for certain of our tax returns over the next 12 months, which could result in decreases to our uncertain tax positions. These adjustments are not expected to have a material impact on our effective tax rate.</w:t>
      </w:r>
    </w:p>
    <w:p>
      <w:pPr>
        <w:spacing w:after="0" w:line="200" w:lineRule="exact"/>
        <w:rPr>
          <w:sz w:val="20"/>
          <w:szCs w:val="20"/>
          <w:color w:val="auto"/>
        </w:rPr>
      </w:pPr>
    </w:p>
    <w:p>
      <w:pPr>
        <w:spacing w:after="0" w:line="257"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65</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14: Statement of Cash Flows —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Cash Payments for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817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2540" w:type="dxa"/>
            <w:vAlign w:val="bottom"/>
          </w:tcPr>
          <w:p>
            <w:pPr>
              <w:ind w:left="20"/>
              <w:spacing w:after="0" w:line="200" w:lineRule="exact"/>
              <w:rPr>
                <w:sz w:val="20"/>
                <w:szCs w:val="20"/>
                <w:color w:val="auto"/>
              </w:rPr>
            </w:pPr>
            <w:r>
              <w:rPr>
                <w:rFonts w:ascii="Arial" w:cs="Arial" w:eastAsia="Arial" w:hAnsi="Arial"/>
                <w:sz w:val="18"/>
                <w:szCs w:val="18"/>
                <w:color w:val="auto"/>
              </w:rPr>
              <w:t>Interest</w:t>
            </w: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2,256</w:t>
            </w:r>
          </w:p>
        </w:tc>
        <w:tc>
          <w:tcPr>
            <w:tcW w:w="104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$ 2,134</w:t>
            </w: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$ 1,880</w:t>
            </w:r>
          </w:p>
        </w:tc>
      </w:tr>
      <w:tr>
        <w:trPr>
          <w:trHeight w:val="199"/>
        </w:trPr>
        <w:tc>
          <w:tcPr>
            <w:tcW w:w="254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762</w:t>
            </w:r>
          </w:p>
        </w:tc>
        <w:tc>
          <w:tcPr>
            <w:tcW w:w="104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$ 1,638</w:t>
            </w: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$ 1,284</w:t>
            </w:r>
          </w:p>
        </w:tc>
      </w:tr>
    </w:tbl>
    <w:p>
      <w:pPr>
        <w:spacing w:after="0" w:line="143" w:lineRule="exact"/>
        <w:rPr>
          <w:sz w:val="20"/>
          <w:szCs w:val="20"/>
          <w:color w:val="auto"/>
        </w:rPr>
      </w:pPr>
    </w:p>
    <w:p>
      <w:pPr>
        <w:ind w:right="1840"/>
        <w:spacing w:after="0" w:line="264" w:lineRule="auto"/>
        <w:rPr>
          <w:sz w:val="20"/>
          <w:szCs w:val="20"/>
          <w:color w:val="auto"/>
        </w:rPr>
      </w:pPr>
      <w:r>
        <w:rPr>
          <w:rFonts w:ascii="Arial" w:cs="Arial" w:eastAsia="Arial" w:hAnsi="Arial"/>
          <w:sz w:val="18"/>
          <w:szCs w:val="18"/>
          <w:b w:val="1"/>
          <w:bCs w:val="1"/>
          <w:color w:val="auto"/>
        </w:rPr>
        <w:t xml:space="preserve">Noncash Financing and Investing Activities </w:t>
      </w:r>
      <w:r>
        <w:rPr>
          <w:rFonts w:ascii="Arial" w:cs="Arial" w:eastAsia="Arial" w:hAnsi="Arial"/>
          <w:sz w:val="18"/>
          <w:szCs w:val="18"/>
          <w:color w:val="auto"/>
        </w:rPr>
        <w:t>During 2008, we:</w:t>
      </w:r>
    </w:p>
    <w:p>
      <w:pPr>
        <w:spacing w:after="0" w:line="174" w:lineRule="exact"/>
        <w:rPr>
          <w:sz w:val="20"/>
          <w:szCs w:val="20"/>
          <w:color w:val="auto"/>
        </w:rPr>
      </w:pPr>
    </w:p>
    <w:p>
      <w:pPr>
        <w:jc w:val="both"/>
        <w:ind w:left="120" w:hanging="112"/>
        <w:spacing w:after="0" w:line="238" w:lineRule="auto"/>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exchanged our 50% interest in the Insight asset pool for Insight’s 50% interest in the Comcast asset pool, which is a noncash investing activity</w:t>
      </w:r>
    </w:p>
    <w:p>
      <w:pPr>
        <w:spacing w:after="0" w:line="194"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recorded a liability of approximately $180 million for a quarterly cash dividend of $0.0625 per common share paid in January 2009, which is a noncash financing activity</w:t>
      </w:r>
    </w:p>
    <w:p>
      <w:pPr>
        <w:spacing w:after="0" w:line="194"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acquired approximately $559 million of property and equipment and software that are accrued but unpaid, which is a noncash investing activity</w:t>
      </w:r>
    </w:p>
    <w:p>
      <w:pPr>
        <w:spacing w:after="0" w:line="194"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an interest in a consolidated entity with a value of approximately $145 million in exchange for certain programming rights, which is a noncash investing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2007, we:</w:t>
      </w:r>
    </w:p>
    <w:p>
      <w:pPr>
        <w:spacing w:after="0" w:line="198" w:lineRule="exact"/>
        <w:rPr>
          <w:sz w:val="20"/>
          <w:szCs w:val="20"/>
          <w:color w:val="auto"/>
        </w:rPr>
      </w:pPr>
    </w:p>
    <w:p>
      <w:pPr>
        <w:jc w:val="both"/>
        <w:ind w:left="120" w:hanging="112"/>
        <w:spacing w:after="0" w:line="238" w:lineRule="auto"/>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exchanged our 50% interest in the Kansas City asset pool for TWC’s 50% interest in the Houston asset pool, which is a noncash investing activity</w:t>
      </w:r>
    </w:p>
    <w:p>
      <w:pPr>
        <w:spacing w:after="0" w:line="194" w:lineRule="exact"/>
        <w:rPr>
          <w:rFonts w:ascii="Arial" w:cs="Arial" w:eastAsia="Arial" w:hAnsi="Arial"/>
          <w:sz w:val="18"/>
          <w:szCs w:val="18"/>
          <w:color w:val="auto"/>
        </w:rPr>
      </w:pPr>
    </w:p>
    <w:p>
      <w:pPr>
        <w:jc w:val="both"/>
        <w:ind w:left="120" w:hanging="112"/>
        <w:spacing w:after="0" w:line="237" w:lineRule="auto"/>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settled the remaining outstanding $49 million face amount of exchangeable notes by delivering approximately 1.8 million of the 2.2 million underlying Vodafone ADRs to the counterparty, which is a noncash financing and investing activity</w:t>
      </w:r>
    </w:p>
    <w:p>
      <w:pPr>
        <w:spacing w:after="0" w:line="195" w:lineRule="exact"/>
        <w:rPr>
          <w:rFonts w:ascii="Arial" w:cs="Arial" w:eastAsia="Arial" w:hAnsi="Arial"/>
          <w:sz w:val="18"/>
          <w:szCs w:val="18"/>
          <w:color w:val="auto"/>
        </w:rPr>
      </w:pPr>
    </w:p>
    <w:p>
      <w:pPr>
        <w:ind w:left="120" w:right="20" w:hanging="112"/>
        <w:spacing w:after="0" w:line="239" w:lineRule="auto"/>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entered into capital leases totaling $46 million, which is a noncash investing and financing activity</w:t>
      </w:r>
    </w:p>
    <w:p>
      <w:pPr>
        <w:spacing w:after="0" w:line="195" w:lineRule="exact"/>
        <w:rPr>
          <w:rFonts w:ascii="Arial" w:cs="Arial" w:eastAsia="Arial" w:hAnsi="Arial"/>
          <w:sz w:val="18"/>
          <w:szCs w:val="18"/>
          <w:color w:val="auto"/>
        </w:rPr>
      </w:pPr>
    </w:p>
    <w:p>
      <w:pPr>
        <w:jc w:val="both"/>
        <w:ind w:left="120" w:hanging="112"/>
        <w:spacing w:after="0" w:line="238" w:lineRule="auto"/>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acquired approximately $593 million of property and equipment and software that are accrued but unpaid, which is a noncash investing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2006, we:</w:t>
      </w:r>
    </w:p>
    <w:p>
      <w:pPr>
        <w:spacing w:after="0" w:line="198" w:lineRule="exact"/>
        <w:rPr>
          <w:sz w:val="20"/>
          <w:szCs w:val="20"/>
          <w:color w:val="auto"/>
        </w:rPr>
      </w:pPr>
    </w:p>
    <w:p>
      <w:pPr>
        <w:jc w:val="both"/>
        <w:ind w:left="120" w:hanging="112"/>
        <w:spacing w:after="0" w:line="237" w:lineRule="auto"/>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exchanged investments for cable systems in the redemptions with a fair value of approximately $3.2 billion and cable systems for cable systems in the exchanges with a fair value of approximately $8.5 billion, which are noncash investing activities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Comcast 2008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240" w:right="20" w:hanging="119"/>
        <w:spacing w:after="0" w:line="23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acquired an additional equity interest with a fair value of $21 million and recorded a liability for a corresponding amount in connection with our achievement of certain customer launch milestones, which is a noncash investing and operating activity</w:t>
      </w:r>
    </w:p>
    <w:p>
      <w:pPr>
        <w:spacing w:after="0" w:line="195" w:lineRule="exact"/>
        <w:rPr>
          <w:rFonts w:ascii="Arial" w:cs="Arial" w:eastAsia="Arial" w:hAnsi="Arial"/>
          <w:sz w:val="18"/>
          <w:szCs w:val="18"/>
          <w:color w:val="auto"/>
        </w:rPr>
      </w:pPr>
    </w:p>
    <w:p>
      <w:pPr>
        <w:jc w:val="both"/>
        <w:ind w:left="240" w:hanging="119"/>
        <w:spacing w:after="0" w:line="238"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assumed a $185 million principal amount variable-rate term loan in connection with the Susquehanna transaction, which is a noncash financing and investing activity</w:t>
      </w:r>
    </w:p>
    <w:p>
      <w:pPr>
        <w:spacing w:after="0" w:line="194" w:lineRule="exact"/>
        <w:rPr>
          <w:rFonts w:ascii="Arial" w:cs="Arial" w:eastAsia="Arial" w:hAnsi="Arial"/>
          <w:sz w:val="18"/>
          <w:szCs w:val="18"/>
          <w:color w:val="auto"/>
        </w:rPr>
      </w:pPr>
    </w:p>
    <w:p>
      <w:pPr>
        <w:jc w:val="both"/>
        <w:ind w:left="240" w:hanging="119"/>
        <w:spacing w:after="0" w:line="238"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acquired approximately $314 million of property and equipment and software that are accrued but unpaid, which is a noncash investing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-2184400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Note 15: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programming networks have entered into license agreements for programs and sporting events that are available for telecast. In addition, we, through Comcast 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ind w:left="120"/>
        <w:spacing w:after="0" w:line="235" w:lineRule="auto"/>
        <w:rPr>
          <w:rFonts w:ascii="Arial" w:cs="Arial" w:eastAsia="Arial" w:hAnsi="Arial"/>
          <w:sz w:val="18"/>
          <w:szCs w:val="18"/>
          <w:color w:val="0000EE"/>
        </w:rPr>
      </w:pPr>
      <w:r>
        <w:rPr>
          <w:rFonts w:ascii="Arial" w:cs="Arial" w:eastAsia="Arial" w:hAnsi="Arial"/>
          <w:sz w:val="18"/>
          <w:szCs w:val="18"/>
          <w:color w:val="auto"/>
        </w:rPr>
        <w:t xml:space="preserve">One of our subsidiaries supports debt compliance with respect to obligations of a cable television investment in which we hold an ownership interest. The obligation expires March 2011. Although there can be no assurance, we believe that we will not be required to meet our obligation under such commitment. The total notional amount of our commitment was $410 million as of December 31, 2008, at which time there were no quoted market prices for similar agreements. This amount reflects a decrease of approximately $555 million from December 31, 2007, primarily as a result of the Insight transaction </w:t>
      </w:r>
      <w:hyperlink w:anchor="page53">
        <w:r>
          <w:rPr>
            <w:rFonts w:ascii="Arial" w:cs="Arial" w:eastAsia="Arial" w:hAnsi="Arial"/>
            <w:sz w:val="18"/>
            <w:szCs w:val="18"/>
            <w:u w:val="single" w:color="auto"/>
            <w:color w:val="0000EE"/>
          </w:rPr>
          <w:t>(see Note 5</w:t>
        </w:r>
      </w:hyperlink>
      <w:r>
        <w:rPr>
          <w:rFonts w:ascii="Arial" w:cs="Arial" w:eastAsia="Arial" w:hAnsi="Arial"/>
          <w:sz w:val="18"/>
          <w:szCs w:val="18"/>
          <w:color w:val="000000"/>
        </w:rPr>
        <w:t>).</w:t>
      </w:r>
    </w:p>
    <w:p>
      <w:pPr>
        <w:spacing w:after="0" w:line="16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table below summarizes our minimum annual commitments under the programming license agreements of our programming networks and regional sports networks and our minimum annual rental commitments for office space, equipment and transponder service agreements under noncancelable operating leases.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color w:val="auto"/>
              </w:rPr>
              <w:t>Program</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2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right"/>
              <w:ind w:right="197"/>
              <w:spacing w:after="0" w:line="149" w:lineRule="exact"/>
              <w:rPr>
                <w:sz w:val="20"/>
                <w:szCs w:val="20"/>
                <w:color w:val="auto"/>
              </w:rPr>
            </w:pPr>
            <w:r>
              <w:rPr>
                <w:rFonts w:ascii="Arial" w:cs="Arial" w:eastAsia="Arial" w:hAnsi="Arial"/>
                <w:sz w:val="14"/>
                <w:szCs w:val="14"/>
                <w:color w:val="auto"/>
              </w:rPr>
              <w:t>License</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4"/>
              </w:rPr>
              <w:t>Operating</w:t>
            </w:r>
          </w:p>
        </w:tc>
      </w:tr>
      <w:tr>
        <w:trPr>
          <w:trHeight w:val="163"/>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December 31, 2008 (in millions)</w:t>
            </w:r>
          </w:p>
        </w:tc>
        <w:tc>
          <w:tcPr>
            <w:tcW w:w="16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Agreements</w:t>
            </w: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Leases</w:t>
            </w:r>
          </w:p>
        </w:tc>
      </w:tr>
      <w:tr>
        <w:trPr>
          <w:trHeight w:val="199"/>
        </w:trPr>
        <w:tc>
          <w:tcPr>
            <w:tcW w:w="2920" w:type="dxa"/>
            <w:vAlign w:val="bottom"/>
          </w:tcPr>
          <w:p>
            <w:pPr>
              <w:spacing w:after="0" w:line="200" w:lineRule="exact"/>
              <w:rPr>
                <w:sz w:val="20"/>
                <w:szCs w:val="20"/>
                <w:color w:val="auto"/>
              </w:rPr>
            </w:pPr>
            <w:r>
              <w:rPr>
                <w:rFonts w:ascii="Arial" w:cs="Arial" w:eastAsia="Arial" w:hAnsi="Arial"/>
                <w:sz w:val="18"/>
                <w:szCs w:val="18"/>
                <w:color w:val="auto"/>
              </w:rPr>
              <w:t>2009</w:t>
            </w:r>
          </w:p>
        </w:tc>
        <w:tc>
          <w:tcPr>
            <w:tcW w:w="820" w:type="dxa"/>
            <w:vAlign w:val="bottom"/>
          </w:tcPr>
          <w:p>
            <w:pPr>
              <w:ind w:left="66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0" w:lineRule="exact"/>
              <w:rPr>
                <w:sz w:val="20"/>
                <w:szCs w:val="20"/>
                <w:color w:val="auto"/>
              </w:rPr>
            </w:pPr>
            <w:r>
              <w:rPr>
                <w:rFonts w:ascii="Arial" w:cs="Arial" w:eastAsia="Arial" w:hAnsi="Arial"/>
                <w:sz w:val="18"/>
                <w:szCs w:val="18"/>
                <w:color w:val="auto"/>
              </w:rPr>
              <w:t>559</w:t>
            </w:r>
          </w:p>
        </w:tc>
        <w:tc>
          <w:tcPr>
            <w:tcW w:w="400" w:type="dxa"/>
            <w:vAlign w:val="bottom"/>
          </w:tcPr>
          <w:p>
            <w:pPr>
              <w:ind w:left="280"/>
              <w:spacing w:after="0" w:line="200"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385</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82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593</w:t>
            </w: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82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578</w:t>
            </w: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82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510</w:t>
            </w: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82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516</w:t>
            </w:r>
          </w:p>
        </w:tc>
        <w:tc>
          <w:tcPr>
            <w:tcW w:w="400" w:type="dxa"/>
            <w:vAlign w:val="bottom"/>
          </w:tcPr>
          <w:p>
            <w:pPr>
              <w:ind w:left="2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r>
      <w:tr>
        <w:trPr>
          <w:trHeight w:val="199"/>
        </w:trPr>
        <w:tc>
          <w:tcPr>
            <w:tcW w:w="2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auto"/>
            </w:tcBorders>
          </w:tcPr>
          <w:p>
            <w:pPr>
              <w:ind w:left="660"/>
              <w:spacing w:after="0" w:line="200"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97"/>
              <w:spacing w:after="0" w:line="200" w:lineRule="exact"/>
              <w:rPr>
                <w:sz w:val="20"/>
                <w:szCs w:val="20"/>
                <w:color w:val="auto"/>
              </w:rPr>
            </w:pPr>
            <w:r>
              <w:rPr>
                <w:rFonts w:ascii="Arial" w:cs="Arial" w:eastAsia="Arial" w:hAnsi="Arial"/>
                <w:sz w:val="18"/>
                <w:szCs w:val="18"/>
                <w:color w:val="auto"/>
              </w:rPr>
              <w:t>5,145</w:t>
            </w:r>
          </w:p>
        </w:tc>
        <w:tc>
          <w:tcPr>
            <w:tcW w:w="40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833</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2">
            <w:col w:w="5480" w:space="220"/>
            <w:col w:w="5600"/>
          </w:cols>
          <w:pgMar w:left="240" w:top="459" w:right="3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summarizes our rental expense and programming license expense charged to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2820" w:type="dxa"/>
            <w:vAlign w:val="bottom"/>
          </w:tcPr>
          <w:p>
            <w:pPr>
              <w:ind w:left="20"/>
              <w:spacing w:after="0" w:line="200" w:lineRule="exact"/>
              <w:rPr>
                <w:sz w:val="20"/>
                <w:szCs w:val="20"/>
                <w:color w:val="auto"/>
              </w:rPr>
            </w:pPr>
            <w:r>
              <w:rPr>
                <w:rFonts w:ascii="Arial" w:cs="Arial" w:eastAsia="Arial" w:hAnsi="Arial"/>
                <w:sz w:val="18"/>
                <w:szCs w:val="18"/>
                <w:color w:val="auto"/>
              </w:rPr>
              <w:t>Rental expense</w:t>
            </w:r>
          </w:p>
        </w:tc>
        <w:tc>
          <w:tcPr>
            <w:tcW w:w="112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$ 436</w:t>
            </w:r>
          </w:p>
        </w:tc>
        <w:tc>
          <w:tcPr>
            <w:tcW w:w="88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$ 358</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$ 273</w:t>
            </w:r>
          </w:p>
        </w:tc>
      </w:tr>
      <w:tr>
        <w:trPr>
          <w:trHeight w:val="199"/>
        </w:trPr>
        <w:tc>
          <w:tcPr>
            <w:tcW w:w="282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Programming license expense</w:t>
            </w:r>
          </w:p>
        </w:tc>
        <w:tc>
          <w:tcPr>
            <w:tcW w:w="112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$ 548</w:t>
            </w:r>
          </w:p>
        </w:tc>
        <w:tc>
          <w:tcPr>
            <w:tcW w:w="88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$ 484</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$ 350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24.3% interest in Comcast Spectacor owned by the minority owner group based on the appraised fair market value. In the event we do not exercise this option, we and the minority owner group would then be required to use our best efforts to sell Comcast Spectacor. This exit process includes the minority owner group’s interest in Comcast SportsNet (Philadelphia).</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minority owners in certain of our technology development ventures also have rights to trigger an exit process after a certain period of time based on the fair value of the entities at the time the exit process is triggered.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Antitrust Cases</w:t>
      </w:r>
    </w:p>
    <w:p>
      <w:pPr>
        <w:jc w:val="both"/>
        <w:spacing w:after="0" w:line="235"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motion to dismiss the Pennsylvania case on the pleadings was denied in December 2006 and classes of Philadelphia Cluster and Chicago Cluster subscribers were certified in May 2007 and October 2007, respectively. Our motion to dismiss the Massachusetts case, which was transferred to the Eastern District of Pennsylvania in December 2006, was denied in July 2007. We are proceeding with discovery on plaintiffs’ claims concerning the Philadelphia Cluster. Plaintiffs’ claims concerning the other two clusters are stayed pending determination of the Philadelphia Cluster claims.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we are among the defendants in a purported class action filed in the United States District Court for the Central District of California (“Central District”) in September 2007. The plaintiffs allege that the defendants who produce video programming have entered into agreements with the defendants who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distribute video programming via cable and satellite (including us, among others), which preclude the distributors from reselling channels to subscribers on an “unbundled” basis in violation of federal antitrust laws. The plaintiffs seek treble damages for the loss of their ability to pick and choose the specific “bundled” channels to which they wish to subscribe, and injunctive relief requiring each distributor defendant to resell certain channels to its subscribers on an “unbundled” basis. The potential class is comprised of all persons residing in the United States who have subscribed to an expanded basic level of video service provided by one of the distributor defendants. We and the other defendants filed motions to dismiss an amended complaint in April 2008. In June 2008, the Central District denied the motions to dismiss. In July 2008, we and the other defendants filed motions to certify certain issues decided in the Central District’s June 2008 order for interlocutory appeal to the Ninth Circuit Court of Appeals. On August 8, 2008, the Central District denied the certification motions. In January 2009, the Central District approved a stipulation between the parties dismissing the action as to one of the two plaintiffs identified in the amended complaint as a Comcast subscriber. Discovery relevant to plaintiffs’ anticipated motion for class certification is currently proceeding, with plaintiffs scheduled to file their class certification motion in April 2009.</w:t>
      </w: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Securities and Related Litigation</w:t>
      </w:r>
    </w:p>
    <w:p>
      <w:pPr>
        <w:jc w:val="both"/>
        <w:ind w:left="140" w:right="120"/>
        <w:spacing w:after="0" w:line="235" w:lineRule="auto"/>
        <w:rPr>
          <w:sz w:val="20"/>
          <w:szCs w:val="20"/>
          <w:color w:val="auto"/>
        </w:rPr>
      </w:pPr>
      <w:r>
        <w:rPr>
          <w:rFonts w:ascii="Arial" w:cs="Arial" w:eastAsia="Arial" w:hAnsi="Arial"/>
          <w:sz w:val="18"/>
          <w:szCs w:val="18"/>
          <w:color w:val="auto"/>
        </w:rPr>
        <w:t>We and several of our current and former officers were named as defendants in a purported class action lawsuit filed in the United States District Court for the Eastern District of Pennsylvania (“Eastern District”) in January 2008. We filed a motion to dismiss the case in February 2008. The plaintiff did not respond, but instead sought leave to amend the complaint, which the court granted. The plaintiff filed an amended complaint in May 2008 naming only us and two current officers as defendants. The alleged class was comprised of purchasers of our publicly issued securities between February 1, 2007 and December 4, 2007. The plaintiff asserted that during the alleged class period, the defendants violated federal securities laws through alleged material misstatements and omissions relating to forecast results for 2007. The plaintiff sought unspecified damages. In June 2008, we filed a motion to dismiss the amended complaint. In an order dated August 25, 2008, the Court granted our motion to dismiss and denied the plaintiff permission to amend the complaint again. The plaintiff has not timely appealed the Court’s decision, so the dismissal of this case is final.</w:t>
      </w:r>
    </w:p>
    <w:p>
      <w:pPr>
        <w:spacing w:after="0" w:line="160"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and several of our current officers have been named as defendants in a separate purported class action lawsuit filed in the Eastern District in February 2008. The alleged class comprises participants in our retirement-investment (401(k)) plan that invested in the plan’s company stock account. The plaintiff asserts that the defendants breached their fiduciary duties in managing the plan. The plaintiff seeks unspecified damages. The plaintiff filed an amended complaint in June 2008, and in July 2008 we filed a motion to dismiss the amended complaint. On October 29, 2008,</w:t>
      </w:r>
    </w:p>
    <w:p>
      <w:pPr>
        <w:spacing w:after="0" w:line="23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Court granted in part and denied in part that motion. The Court dismissed a claim alleging that defendants failed to provide complete and accurate disclosures concerning the plan, but did not dismiss claims alleging that plan assets were imprudently invested in company stock. We filed an answer to the amended complaint on December 11, 2008, and discovery is proceeding in the 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2A2DD"/>
        </w:rPr>
        <w:t>Patent Litigation</w:t>
      </w:r>
    </w:p>
    <w:p>
      <w:pPr>
        <w:jc w:val="both"/>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67" w:lineRule="exact"/>
        <w:rPr>
          <w:sz w:val="20"/>
          <w:szCs w:val="20"/>
          <w:color w:val="auto"/>
        </w:rPr>
      </w:pPr>
    </w:p>
    <w:p>
      <w:pPr>
        <w:ind w:left="2340"/>
        <w:spacing w:after="0"/>
        <w:tabs>
          <w:tab w:leader="none" w:pos="2680" w:val="left"/>
          <w:tab w:leader="none" w:pos="3040" w:val="left"/>
        </w:tabs>
        <w:rPr>
          <w:sz w:val="20"/>
          <w:szCs w:val="20"/>
          <w:color w:val="auto"/>
        </w:rPr>
      </w:pPr>
      <w:r>
        <w:rPr>
          <w:rFonts w:ascii="Arial" w:cs="Arial" w:eastAsia="Arial" w:hAnsi="Arial"/>
          <w:sz w:val="24"/>
          <w:szCs w:val="24"/>
          <w:color w:val="auto"/>
        </w:rPr>
        <w:t>*</w:t>
        <w:tab/>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believe the claims in each of the actions described above in this item are without merit and intend to defend the actions vigorously.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52A2DD"/>
        </w:rPr>
        <w:t>Other</w:t>
      </w:r>
    </w:p>
    <w:p>
      <w:pPr>
        <w:jc w:val="both"/>
        <w:spacing w:after="0" w:line="236"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bl>
    <w:p>
      <w:pPr>
        <w:sectPr>
          <w:pgSz w:w="11900" w:h="16838" w:orient="portrait"/>
          <w:cols w:equalWidth="0" w:num="1">
            <w:col w:w="11300"/>
          </w:cols>
          <w:pgMar w:left="240" w:top="459" w:right="3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16: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approximately 95% of our assets relate to the Cable segment. Our financial data by business segment is presented in the table below.</w:t>
      </w:r>
    </w:p>
    <w:tbl>
      <w:tblPr>
        <w:tblLayout w:type="fixed"/>
        <w:tblInd w:w="0" w:type="dxa"/>
        <w:tblCellMar>
          <w:top w:w="0" w:type="dxa"/>
          <w:left w:w="0" w:type="dxa"/>
          <w:bottom w:w="0" w:type="dxa"/>
          <w:right w:w="0" w:type="dxa"/>
        </w:tblCellMar>
      </w:tblPr>
      <w:tr>
        <w:trPr>
          <w:trHeight w:val="165"/>
        </w:trPr>
        <w:tc>
          <w:tcPr>
            <w:tcW w:w="4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ind w:left="280"/>
              <w:spacing w:after="0"/>
              <w:rPr>
                <w:sz w:val="20"/>
                <w:szCs w:val="20"/>
                <w:color w:val="auto"/>
              </w:rPr>
            </w:pPr>
            <w:r>
              <w:rPr>
                <w:rFonts w:ascii="Arial" w:cs="Arial" w:eastAsia="Arial" w:hAnsi="Arial"/>
                <w:sz w:val="14"/>
                <w:szCs w:val="14"/>
                <w:color w:val="auto"/>
              </w:rPr>
              <w:t>Corporate and</w:t>
            </w:r>
          </w:p>
        </w:tc>
        <w:tc>
          <w:tcPr>
            <w:tcW w:w="1400" w:type="dxa"/>
            <w:vAlign w:val="bottom"/>
            <w:gridSpan w:val="2"/>
          </w:tcPr>
          <w:p>
            <w:pPr>
              <w:ind w:left="240"/>
              <w:spacing w:after="0" w:line="164" w:lineRule="exact"/>
              <w:rPr>
                <w:sz w:val="20"/>
                <w:szCs w:val="20"/>
                <w:color w:val="auto"/>
              </w:rPr>
            </w:pPr>
            <w:r>
              <w:rPr>
                <w:rFonts w:ascii="Arial" w:cs="Arial" w:eastAsia="Arial" w:hAnsi="Arial"/>
                <w:sz w:val="12"/>
                <w:szCs w:val="12"/>
                <w:color w:val="auto"/>
              </w:rPr>
              <w:t>Eliminations</w:t>
            </w:r>
            <w:r>
              <w:rPr>
                <w:rFonts w:ascii="Arial" w:cs="Arial" w:eastAsia="Arial" w:hAnsi="Arial"/>
                <w:sz w:val="19"/>
                <w:szCs w:val="19"/>
                <w:color w:val="auto"/>
                <w:vertAlign w:val="superscript"/>
              </w:rPr>
              <w:t>(e)</w:t>
            </w:r>
          </w:p>
        </w:tc>
        <w:tc>
          <w:tcPr>
            <w:tcW w:w="920" w:type="dxa"/>
            <w:vAlign w:val="bottom"/>
          </w:tcPr>
          <w:p>
            <w:pPr>
              <w:spacing w:after="0"/>
              <w:rPr>
                <w:sz w:val="14"/>
                <w:szCs w:val="14"/>
                <w:color w:val="auto"/>
              </w:rPr>
            </w:pPr>
          </w:p>
        </w:tc>
      </w:tr>
      <w:tr>
        <w:trPr>
          <w:trHeight w:val="183"/>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21"/>
                <w:szCs w:val="21"/>
                <w:color w:val="auto"/>
                <w:vertAlign w:val="subscript"/>
              </w:rPr>
              <w:t>Cable</w:t>
            </w:r>
            <w:r>
              <w:rPr>
                <w:rFonts w:ascii="Arial" w:cs="Arial" w:eastAsia="Arial" w:hAnsi="Arial"/>
                <w:sz w:val="10"/>
                <w:szCs w:val="10"/>
                <w:color w:val="auto"/>
              </w:rPr>
              <w:t>(a)(b)</w:t>
            </w:r>
          </w:p>
        </w:tc>
        <w:tc>
          <w:tcPr>
            <w:tcW w:w="1460" w:type="dxa"/>
            <w:vAlign w:val="bottom"/>
            <w:tcBorders>
              <w:bottom w:val="single" w:sz="8" w:color="auto"/>
            </w:tcBorders>
            <w:gridSpan w:val="2"/>
          </w:tcPr>
          <w:p>
            <w:pPr>
              <w:ind w:left="260"/>
              <w:spacing w:after="0" w:line="183" w:lineRule="exact"/>
              <w:rPr>
                <w:sz w:val="20"/>
                <w:szCs w:val="20"/>
                <w:color w:val="auto"/>
              </w:rPr>
            </w:pPr>
            <w:r>
              <w:rPr>
                <w:rFonts w:ascii="Arial" w:cs="Arial" w:eastAsia="Arial" w:hAnsi="Arial"/>
                <w:sz w:val="13"/>
                <w:szCs w:val="13"/>
                <w:color w:val="auto"/>
              </w:rPr>
              <w:t>Programming</w:t>
            </w:r>
            <w:r>
              <w:rPr>
                <w:rFonts w:ascii="Arial" w:cs="Arial" w:eastAsia="Arial" w:hAnsi="Arial"/>
                <w:sz w:val="21"/>
                <w:szCs w:val="21"/>
                <w:color w:val="auto"/>
                <w:vertAlign w:val="superscript"/>
              </w:rPr>
              <w:t>(c)</w:t>
            </w: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21"/>
                <w:szCs w:val="21"/>
                <w:color w:val="auto"/>
                <w:vertAlign w:val="subscript"/>
              </w:rPr>
              <w:t>Other</w:t>
            </w:r>
            <w:r>
              <w:rPr>
                <w:rFonts w:ascii="Arial" w:cs="Arial" w:eastAsia="Arial" w:hAnsi="Arial"/>
                <w:sz w:val="10"/>
                <w:szCs w:val="10"/>
                <w:color w:val="auto"/>
              </w:rPr>
              <w:t>(d)(e)</w:t>
            </w: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color w:val="auto"/>
              </w:rPr>
              <w:t>(f)</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9"/>
        </w:trPr>
        <w:tc>
          <w:tcPr>
            <w:tcW w:w="4500" w:type="dxa"/>
            <w:vAlign w:val="bottom"/>
          </w:tcPr>
          <w:p>
            <w:pPr>
              <w:spacing w:after="0" w:line="200" w:lineRule="exact"/>
              <w:rPr>
                <w:sz w:val="20"/>
                <w:szCs w:val="20"/>
                <w:color w:val="auto"/>
              </w:rPr>
            </w:pPr>
            <w:r>
              <w:rPr>
                <w:rFonts w:ascii="Arial" w:cs="Arial" w:eastAsia="Arial" w:hAnsi="Arial"/>
                <w:sz w:val="18"/>
                <w:szCs w:val="18"/>
                <w:color w:val="auto"/>
              </w:rPr>
              <w:t>2008</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500" w:type="dxa"/>
            <w:vAlign w:val="bottom"/>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(g)</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$ 32,443</w:t>
            </w:r>
          </w:p>
        </w:tc>
        <w:tc>
          <w:tcPr>
            <w:tcW w:w="5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1,426</w:t>
            </w:r>
          </w:p>
        </w:tc>
        <w:tc>
          <w:tcPr>
            <w:tcW w:w="4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644</w:t>
            </w:r>
          </w:p>
        </w:tc>
        <w:tc>
          <w:tcPr>
            <w:tcW w:w="54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(257)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$ 34,256</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500" w:type="dxa"/>
            <w:vAlign w:val="bottom"/>
          </w:tcPr>
          <w:p>
            <w:pPr>
              <w:ind w:left="220"/>
              <w:spacing w:after="0" w:line="203" w:lineRule="exact"/>
              <w:rPr>
                <w:sz w:val="20"/>
                <w:szCs w:val="20"/>
                <w:color w:val="auto"/>
              </w:rPr>
            </w:pPr>
            <w:r>
              <w:rPr>
                <w:rFonts w:ascii="Arial" w:cs="Arial" w:eastAsia="Arial" w:hAnsi="Arial"/>
                <w:sz w:val="18"/>
                <w:szCs w:val="18"/>
                <w:color w:val="auto"/>
              </w:rPr>
              <w:t>amortization</w:t>
            </w:r>
            <w:r>
              <w:rPr>
                <w:rFonts w:ascii="Arial" w:cs="Arial" w:eastAsia="Arial" w:hAnsi="Arial"/>
                <w:sz w:val="22"/>
                <w:szCs w:val="22"/>
                <w:color w:val="auto"/>
                <w:vertAlign w:val="superscript"/>
              </w:rPr>
              <w:t>(h)</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13,170</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362</w:t>
            </w:r>
          </w:p>
        </w:tc>
        <w:tc>
          <w:tcPr>
            <w:tcW w:w="440" w:type="dxa"/>
            <w:vAlign w:val="bottom"/>
          </w:tcPr>
          <w:p>
            <w:pPr>
              <w:spacing w:after="0"/>
              <w:rPr>
                <w:sz w:val="17"/>
                <w:szCs w:val="17"/>
                <w:color w:val="auto"/>
              </w:rPr>
            </w:pP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(399)</w:t>
            </w:r>
          </w:p>
        </w:tc>
        <w:tc>
          <w:tcPr>
            <w:tcW w:w="540" w:type="dxa"/>
            <w:vAlign w:val="bottom"/>
          </w:tcPr>
          <w:p>
            <w:pPr>
              <w:spacing w:after="0"/>
              <w:rPr>
                <w:sz w:val="17"/>
                <w:szCs w:val="17"/>
                <w:color w:val="auto"/>
              </w:rPr>
            </w:pP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13,132</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6,125</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199</w:t>
            </w:r>
          </w:p>
        </w:tc>
        <w:tc>
          <w:tcPr>
            <w:tcW w:w="440" w:type="dxa"/>
            <w:vAlign w:val="bottom"/>
          </w:tcPr>
          <w:p>
            <w:pPr>
              <w:spacing w:after="0"/>
              <w:rPr>
                <w:sz w:val="17"/>
                <w:szCs w:val="17"/>
                <w:color w:val="auto"/>
              </w:rPr>
            </w:pPr>
          </w:p>
        </w:tc>
        <w:tc>
          <w:tcPr>
            <w:tcW w:w="9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107</w:t>
            </w:r>
          </w:p>
        </w:tc>
        <w:tc>
          <w:tcPr>
            <w:tcW w:w="540" w:type="dxa"/>
            <w:vAlign w:val="bottom"/>
          </w:tcPr>
          <w:p>
            <w:pPr>
              <w:spacing w:after="0"/>
              <w:rPr>
                <w:sz w:val="17"/>
                <w:szCs w:val="17"/>
                <w:color w:val="auto"/>
              </w:rPr>
            </w:pP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6,400</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7,045</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163</w:t>
            </w:r>
          </w:p>
        </w:tc>
        <w:tc>
          <w:tcPr>
            <w:tcW w:w="440" w:type="dxa"/>
            <w:vAlign w:val="bottom"/>
          </w:tcPr>
          <w:p>
            <w:pPr>
              <w:spacing w:after="0"/>
              <w:rPr>
                <w:sz w:val="17"/>
                <w:szCs w:val="17"/>
                <w:color w:val="auto"/>
              </w:rPr>
            </w:pP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(506)</w:t>
            </w:r>
          </w:p>
        </w:tc>
        <w:tc>
          <w:tcPr>
            <w:tcW w:w="54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6,732</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5,545</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44</w:t>
            </w:r>
          </w:p>
        </w:tc>
        <w:tc>
          <w:tcPr>
            <w:tcW w:w="440" w:type="dxa"/>
            <w:vAlign w:val="bottom"/>
          </w:tcPr>
          <w:p>
            <w:pPr>
              <w:spacing w:after="0"/>
              <w:rPr>
                <w:sz w:val="17"/>
                <w:szCs w:val="17"/>
                <w:color w:val="auto"/>
              </w:rPr>
            </w:pPr>
          </w:p>
        </w:tc>
        <w:tc>
          <w:tcPr>
            <w:tcW w:w="9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161</w:t>
            </w:r>
          </w:p>
        </w:tc>
        <w:tc>
          <w:tcPr>
            <w:tcW w:w="54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5,750</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500" w:type="dxa"/>
            <w:vAlign w:val="bottom"/>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(g)</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$ 29,305</w:t>
            </w:r>
          </w:p>
        </w:tc>
        <w:tc>
          <w:tcPr>
            <w:tcW w:w="5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1,314</w:t>
            </w:r>
          </w:p>
        </w:tc>
        <w:tc>
          <w:tcPr>
            <w:tcW w:w="4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515</w:t>
            </w:r>
          </w:p>
        </w:tc>
        <w:tc>
          <w:tcPr>
            <w:tcW w:w="54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(239)</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$ 30,895</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500" w:type="dxa"/>
            <w:vAlign w:val="bottom"/>
          </w:tcPr>
          <w:p>
            <w:pPr>
              <w:ind w:left="220"/>
              <w:spacing w:after="0" w:line="203" w:lineRule="exact"/>
              <w:rPr>
                <w:sz w:val="20"/>
                <w:szCs w:val="20"/>
                <w:color w:val="auto"/>
              </w:rPr>
            </w:pPr>
            <w:r>
              <w:rPr>
                <w:rFonts w:ascii="Arial" w:cs="Arial" w:eastAsia="Arial" w:hAnsi="Arial"/>
                <w:sz w:val="18"/>
                <w:szCs w:val="18"/>
                <w:color w:val="auto"/>
              </w:rPr>
              <w:t>amortization</w:t>
            </w:r>
            <w:r>
              <w:rPr>
                <w:rFonts w:ascii="Arial" w:cs="Arial" w:eastAsia="Arial" w:hAnsi="Arial"/>
                <w:sz w:val="22"/>
                <w:szCs w:val="22"/>
                <w:color w:val="auto"/>
                <w:vertAlign w:val="superscript"/>
              </w:rPr>
              <w:t>(h)</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11,922</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286</w:t>
            </w:r>
          </w:p>
        </w:tc>
        <w:tc>
          <w:tcPr>
            <w:tcW w:w="440" w:type="dxa"/>
            <w:vAlign w:val="bottom"/>
          </w:tcPr>
          <w:p>
            <w:pPr>
              <w:spacing w:after="0"/>
              <w:rPr>
                <w:sz w:val="17"/>
                <w:szCs w:val="17"/>
                <w:color w:val="auto"/>
              </w:rPr>
            </w:pP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(425)</w:t>
            </w:r>
          </w:p>
        </w:tc>
        <w:tc>
          <w:tcPr>
            <w:tcW w:w="54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11,786</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5,924</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223</w:t>
            </w:r>
          </w:p>
        </w:tc>
        <w:tc>
          <w:tcPr>
            <w:tcW w:w="440" w:type="dxa"/>
            <w:vAlign w:val="bottom"/>
          </w:tcPr>
          <w:p>
            <w:pPr>
              <w:spacing w:after="0"/>
              <w:rPr>
                <w:sz w:val="17"/>
                <w:szCs w:val="17"/>
                <w:color w:val="auto"/>
              </w:rPr>
            </w:pPr>
          </w:p>
        </w:tc>
        <w:tc>
          <w:tcPr>
            <w:tcW w:w="9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100</w:t>
            </w:r>
          </w:p>
        </w:tc>
        <w:tc>
          <w:tcPr>
            <w:tcW w:w="540" w:type="dxa"/>
            <w:vAlign w:val="bottom"/>
          </w:tcPr>
          <w:p>
            <w:pPr>
              <w:spacing w:after="0"/>
              <w:rPr>
                <w:sz w:val="17"/>
                <w:szCs w:val="17"/>
                <w:color w:val="auto"/>
              </w:rPr>
            </w:pP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(39)</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6,208</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5,998</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63</w:t>
            </w:r>
          </w:p>
        </w:tc>
        <w:tc>
          <w:tcPr>
            <w:tcW w:w="440" w:type="dxa"/>
            <w:vAlign w:val="bottom"/>
          </w:tcPr>
          <w:p>
            <w:pPr>
              <w:spacing w:after="0"/>
              <w:rPr>
                <w:sz w:val="17"/>
                <w:szCs w:val="17"/>
                <w:color w:val="auto"/>
              </w:rPr>
            </w:pP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(525)</w:t>
            </w:r>
          </w:p>
        </w:tc>
        <w:tc>
          <w:tcPr>
            <w:tcW w:w="54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42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5,578</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5,993</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35</w:t>
            </w:r>
          </w:p>
        </w:tc>
        <w:tc>
          <w:tcPr>
            <w:tcW w:w="440" w:type="dxa"/>
            <w:vAlign w:val="bottom"/>
          </w:tcPr>
          <w:p>
            <w:pPr>
              <w:spacing w:after="0"/>
              <w:rPr>
                <w:sz w:val="17"/>
                <w:szCs w:val="17"/>
                <w:color w:val="auto"/>
              </w:rPr>
            </w:pPr>
          </w:p>
        </w:tc>
        <w:tc>
          <w:tcPr>
            <w:tcW w:w="9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130</w:t>
            </w:r>
          </w:p>
        </w:tc>
        <w:tc>
          <w:tcPr>
            <w:tcW w:w="54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6,158</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2006</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500" w:type="dxa"/>
            <w:vAlign w:val="bottom"/>
          </w:tcPr>
          <w:p>
            <w:pPr>
              <w:spacing w:after="0" w:line="203"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(g)</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$ 24,042</w:t>
            </w:r>
          </w:p>
        </w:tc>
        <w:tc>
          <w:tcPr>
            <w:tcW w:w="56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1,054</w:t>
            </w:r>
          </w:p>
        </w:tc>
        <w:tc>
          <w:tcPr>
            <w:tcW w:w="44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412</w:t>
            </w:r>
          </w:p>
        </w:tc>
        <w:tc>
          <w:tcPr>
            <w:tcW w:w="54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(542)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$ 24,966</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income (loss) before depreciation and</w:t>
            </w: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500" w:type="dxa"/>
            <w:vAlign w:val="bottom"/>
          </w:tcPr>
          <w:p>
            <w:pPr>
              <w:ind w:left="220"/>
              <w:spacing w:after="0" w:line="203" w:lineRule="exact"/>
              <w:rPr>
                <w:sz w:val="20"/>
                <w:szCs w:val="20"/>
                <w:color w:val="auto"/>
              </w:rPr>
            </w:pPr>
            <w:r>
              <w:rPr>
                <w:rFonts w:ascii="Arial" w:cs="Arial" w:eastAsia="Arial" w:hAnsi="Arial"/>
                <w:sz w:val="18"/>
                <w:szCs w:val="18"/>
                <w:color w:val="auto"/>
              </w:rPr>
              <w:t>amortization</w:t>
            </w:r>
            <w:r>
              <w:rPr>
                <w:rFonts w:ascii="Arial" w:cs="Arial" w:eastAsia="Arial" w:hAnsi="Arial"/>
                <w:sz w:val="22"/>
                <w:szCs w:val="22"/>
                <w:color w:val="auto"/>
                <w:vertAlign w:val="superscript"/>
              </w:rPr>
              <w:t>(h)</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9,667</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239</w:t>
            </w:r>
          </w:p>
        </w:tc>
        <w:tc>
          <w:tcPr>
            <w:tcW w:w="440" w:type="dxa"/>
            <w:vAlign w:val="bottom"/>
          </w:tcPr>
          <w:p>
            <w:pPr>
              <w:spacing w:after="0"/>
              <w:rPr>
                <w:sz w:val="17"/>
                <w:szCs w:val="17"/>
                <w:color w:val="auto"/>
              </w:rPr>
            </w:pP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(318)</w:t>
            </w:r>
          </w:p>
        </w:tc>
        <w:tc>
          <w:tcPr>
            <w:tcW w:w="540" w:type="dxa"/>
            <w:vAlign w:val="bottom"/>
          </w:tcPr>
          <w:p>
            <w:pPr>
              <w:spacing w:after="0"/>
              <w:rPr>
                <w:sz w:val="17"/>
                <w:szCs w:val="17"/>
                <w:color w:val="auto"/>
              </w:rPr>
            </w:pP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(146)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9,442</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4,657</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167</w:t>
            </w:r>
          </w:p>
        </w:tc>
        <w:tc>
          <w:tcPr>
            <w:tcW w:w="440" w:type="dxa"/>
            <w:vAlign w:val="bottom"/>
          </w:tcPr>
          <w:p>
            <w:pPr>
              <w:spacing w:after="0"/>
              <w:rPr>
                <w:sz w:val="17"/>
                <w:szCs w:val="17"/>
                <w:color w:val="auto"/>
              </w:rPr>
            </w:pPr>
          </w:p>
        </w:tc>
        <w:tc>
          <w:tcPr>
            <w:tcW w:w="98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79</w:t>
            </w:r>
          </w:p>
        </w:tc>
        <w:tc>
          <w:tcPr>
            <w:tcW w:w="540" w:type="dxa"/>
            <w:vAlign w:val="bottom"/>
          </w:tcPr>
          <w:p>
            <w:pPr>
              <w:spacing w:after="0"/>
              <w:rPr>
                <w:sz w:val="17"/>
                <w:szCs w:val="17"/>
                <w:color w:val="auto"/>
              </w:rPr>
            </w:pP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(80)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4,823</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7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5,010</w:t>
            </w:r>
          </w:p>
        </w:tc>
        <w:tc>
          <w:tcPr>
            <w:tcW w:w="56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72</w:t>
            </w:r>
          </w:p>
        </w:tc>
        <w:tc>
          <w:tcPr>
            <w:tcW w:w="440" w:type="dxa"/>
            <w:vAlign w:val="bottom"/>
          </w:tcPr>
          <w:p>
            <w:pPr>
              <w:spacing w:after="0"/>
              <w:rPr>
                <w:sz w:val="17"/>
                <w:szCs w:val="17"/>
                <w:color w:val="auto"/>
              </w:rPr>
            </w:pPr>
          </w:p>
        </w:tc>
        <w:tc>
          <w:tcPr>
            <w:tcW w:w="9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(397)</w:t>
            </w:r>
          </w:p>
        </w:tc>
        <w:tc>
          <w:tcPr>
            <w:tcW w:w="540" w:type="dxa"/>
            <w:vAlign w:val="bottom"/>
          </w:tcPr>
          <w:p>
            <w:pPr>
              <w:spacing w:after="0"/>
              <w:rPr>
                <w:sz w:val="17"/>
                <w:szCs w:val="17"/>
                <w:color w:val="auto"/>
              </w:rPr>
            </w:pPr>
          </w:p>
        </w:tc>
        <w:tc>
          <w:tcPr>
            <w:tcW w:w="8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(66)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4,619</w:t>
            </w:r>
          </w:p>
        </w:tc>
      </w:tr>
      <w:tr>
        <w:trPr>
          <w:trHeight w:val="211"/>
        </w:trPr>
        <w:tc>
          <w:tcPr>
            <w:tcW w:w="4500" w:type="dxa"/>
            <w:vAlign w:val="bottom"/>
          </w:tcPr>
          <w:p>
            <w:pPr>
              <w:spacing w:after="0"/>
              <w:rPr>
                <w:sz w:val="20"/>
                <w:szCs w:val="20"/>
                <w:color w:val="auto"/>
              </w:rPr>
            </w:pPr>
            <w:r>
              <w:rPr>
                <w:rFonts w:ascii="Arial" w:cs="Arial" w:eastAsia="Arial" w:hAnsi="Arial"/>
                <w:sz w:val="18"/>
                <w:szCs w:val="18"/>
                <w:color w:val="auto"/>
              </w:rPr>
              <w:t>Capital expenditures</w:t>
            </w:r>
          </w:p>
        </w:tc>
        <w:tc>
          <w:tcPr>
            <w:tcW w:w="1720" w:type="dxa"/>
            <w:vAlign w:val="bottom"/>
          </w:tcPr>
          <w:p>
            <w:pPr>
              <w:jc w:val="right"/>
              <w:ind w:right="175"/>
              <w:spacing w:after="0"/>
              <w:rPr>
                <w:sz w:val="20"/>
                <w:szCs w:val="20"/>
                <w:color w:val="auto"/>
              </w:rPr>
            </w:pPr>
            <w:r>
              <w:rPr>
                <w:rFonts w:ascii="Arial" w:cs="Arial" w:eastAsia="Arial" w:hAnsi="Arial"/>
                <w:sz w:val="18"/>
                <w:szCs w:val="18"/>
                <w:color w:val="auto"/>
              </w:rPr>
              <w:t>4,244</w:t>
            </w:r>
          </w:p>
        </w:tc>
        <w:tc>
          <w:tcPr>
            <w:tcW w:w="56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980" w:type="dxa"/>
            <w:vAlign w:val="bottom"/>
          </w:tcPr>
          <w:p>
            <w:pPr>
              <w:jc w:val="right"/>
              <w:ind w:right="195"/>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104</w:t>
            </w:r>
          </w:p>
        </w:tc>
        <w:tc>
          <w:tcPr>
            <w:tcW w:w="920" w:type="dxa"/>
            <w:vAlign w:val="bottom"/>
          </w:tcPr>
          <w:p>
            <w:pPr>
              <w:jc w:val="right"/>
              <w:spacing w:after="0"/>
              <w:rPr>
                <w:sz w:val="20"/>
                <w:szCs w:val="20"/>
                <w:color w:val="auto"/>
              </w:rPr>
            </w:pPr>
            <w:r>
              <w:rPr>
                <w:rFonts w:ascii="Arial" w:cs="Arial" w:eastAsia="Arial" w:hAnsi="Arial"/>
                <w:sz w:val="18"/>
                <w:szCs w:val="18"/>
                <w:color w:val="auto"/>
              </w:rPr>
              <w:t>4,395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For the years ended December 31, 2008, 2007 and 2006, Cable segment revenue was derived from the following services: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2008</w:t>
            </w: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2007</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2006</w:t>
            </w:r>
          </w:p>
        </w:tc>
      </w:tr>
      <w:tr>
        <w:trPr>
          <w:trHeight w:val="141"/>
        </w:trPr>
        <w:tc>
          <w:tcPr>
            <w:tcW w:w="20" w:type="dxa"/>
            <w:vAlign w:val="bottom"/>
          </w:tcPr>
          <w:p>
            <w:pPr>
              <w:spacing w:after="0"/>
              <w:rPr>
                <w:sz w:val="12"/>
                <w:szCs w:val="12"/>
                <w:color w:val="auto"/>
              </w:rPr>
            </w:pPr>
          </w:p>
        </w:tc>
        <w:tc>
          <w:tcPr>
            <w:tcW w:w="2480" w:type="dxa"/>
            <w:vAlign w:val="bottom"/>
          </w:tcPr>
          <w:p>
            <w:pPr>
              <w:spacing w:after="0" w:line="141" w:lineRule="exact"/>
              <w:rPr>
                <w:sz w:val="20"/>
                <w:szCs w:val="20"/>
                <w:color w:val="auto"/>
              </w:rPr>
            </w:pPr>
            <w:r>
              <w:rPr>
                <w:rFonts w:ascii="Arial" w:cs="Arial" w:eastAsia="Arial" w:hAnsi="Arial"/>
                <w:sz w:val="14"/>
                <w:szCs w:val="14"/>
                <w:color w:val="auto"/>
              </w:rPr>
              <w:t>Video</w:t>
            </w:r>
          </w:p>
        </w:tc>
        <w:tc>
          <w:tcPr>
            <w:tcW w:w="18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58.0%</w:t>
            </w:r>
          </w:p>
        </w:tc>
        <w:tc>
          <w:tcPr>
            <w:tcW w:w="7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60.4%</w:t>
            </w: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62.6%</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High-speed Internet</w:t>
            </w:r>
          </w:p>
        </w:tc>
        <w:tc>
          <w:tcPr>
            <w:tcW w:w="1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22.3%</w:t>
            </w: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Phone</w:t>
            </w:r>
          </w:p>
        </w:tc>
        <w:tc>
          <w:tcPr>
            <w:tcW w:w="1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w:t>
            </w: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1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4.7%</w:t>
            </w: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Franchise fees</w:t>
            </w:r>
          </w:p>
        </w:tc>
        <w:tc>
          <w:tcPr>
            <w:tcW w:w="1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1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w:t>
            </w: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r>
      <w:tr>
        <w:trPr>
          <w:trHeight w:val="142"/>
        </w:trPr>
        <w:tc>
          <w:tcPr>
            <w:tcW w:w="20" w:type="dxa"/>
            <w:vAlign w:val="bottom"/>
          </w:tcPr>
          <w:p>
            <w:pPr>
              <w:spacing w:after="0"/>
              <w:rPr>
                <w:sz w:val="12"/>
                <w:szCs w:val="12"/>
                <w:color w:val="auto"/>
              </w:rPr>
            </w:pPr>
          </w:p>
        </w:tc>
        <w:tc>
          <w:tcPr>
            <w:tcW w:w="2480" w:type="dxa"/>
            <w:vAlign w:val="bottom"/>
            <w:tcBorders>
              <w:top w:val="single" w:sz="8" w:color="auto"/>
              <w:bottom w:val="single" w:sz="8" w:color="52A2DD"/>
            </w:tcBorders>
          </w:tcPr>
          <w:p>
            <w:pPr>
              <w:ind w:left="200"/>
              <w:spacing w:after="0" w:line="142" w:lineRule="exact"/>
              <w:rPr>
                <w:sz w:val="20"/>
                <w:szCs w:val="20"/>
                <w:color w:val="auto"/>
              </w:rPr>
            </w:pPr>
            <w:r>
              <w:rPr>
                <w:rFonts w:ascii="Arial" w:cs="Arial" w:eastAsia="Arial" w:hAnsi="Arial"/>
                <w:sz w:val="14"/>
                <w:szCs w:val="14"/>
                <w:color w:val="auto"/>
              </w:rPr>
              <w:t>Total</w:t>
            </w:r>
          </w:p>
        </w:tc>
        <w:tc>
          <w:tcPr>
            <w:tcW w:w="188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color w:val="auto"/>
              </w:rPr>
              <w:t>100.0%</w:t>
            </w:r>
          </w:p>
        </w:tc>
        <w:tc>
          <w:tcPr>
            <w:tcW w:w="74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color w:val="auto"/>
              </w:rPr>
              <w:t>100.0%</w:t>
            </w:r>
          </w:p>
        </w:tc>
        <w:tc>
          <w:tcPr>
            <w:tcW w:w="58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100.0%</w:t>
            </w:r>
          </w:p>
        </w:tc>
      </w:tr>
    </w:tbl>
    <w:p>
      <w:pPr>
        <w:spacing w:after="0" w:line="26" w:lineRule="exact"/>
        <w:rPr>
          <w:sz w:val="20"/>
          <w:szCs w:val="20"/>
          <w:color w:val="auto"/>
        </w:rPr>
      </w:pPr>
    </w:p>
    <w:p>
      <w:pPr>
        <w:ind w:left="280"/>
        <w:spacing w:after="0" w:line="231"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w:t>
      </w:r>
    </w:p>
    <w:p>
      <w:pPr>
        <w:spacing w:after="0" w:line="14"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Cable segment includes our regional sports networks.</w:t>
      </w:r>
    </w:p>
    <w:p>
      <w:pPr>
        <w:spacing w:after="0" w:line="14" w:lineRule="exact"/>
        <w:rPr>
          <w:rFonts w:ascii="Arial" w:cs="Arial" w:eastAsia="Arial" w:hAnsi="Arial"/>
          <w:sz w:val="14"/>
          <w:szCs w:val="14"/>
          <w:color w:val="auto"/>
        </w:rPr>
      </w:pPr>
    </w:p>
    <w:p>
      <w:pPr>
        <w:ind w:left="280" w:hanging="272"/>
        <w:spacing w:after="0"/>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programming networks, including E!, Golf Channel, VERSUS, G4 and Style.</w:t>
      </w:r>
    </w:p>
    <w:p>
      <w:pPr>
        <w:spacing w:after="0" w:line="14"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operating results of our less than wholly owned technology development ventures (see “(e)” below), corporate activities and all other businesses not presented in our Cable or Programming segments.</w:t>
      </w:r>
    </w:p>
    <w:p>
      <w:pPr>
        <w:spacing w:after="0" w:line="14" w:lineRule="exact"/>
        <w:rPr>
          <w:rFonts w:ascii="Arial" w:cs="Arial" w:eastAsia="Arial" w:hAnsi="Arial"/>
          <w:sz w:val="14"/>
          <w:szCs w:val="14"/>
          <w:color w:val="auto"/>
        </w:rPr>
      </w:pPr>
    </w:p>
    <w:p>
      <w:pPr>
        <w:jc w:val="both"/>
        <w:ind w:left="300" w:hanging="292"/>
        <w:spacing w:after="0" w:line="274" w:lineRule="auto"/>
        <w:tabs>
          <w:tab w:leader="none" w:pos="3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consolidate our less than wholly owned technology development ventures that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ind w:left="260" w:hanging="252"/>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ind w:left="340" w:hanging="213"/>
        <w:spacing w:after="0"/>
        <w:tabs>
          <w:tab w:leader="none" w:pos="340" w:val="left"/>
        </w:tabs>
        <w:numPr>
          <w:ilvl w:val="1"/>
          <w:numId w:val="24"/>
        </w:numPr>
        <w:rPr>
          <w:rFonts w:ascii="Arial" w:cs="Arial" w:eastAsia="Arial" w:hAnsi="Arial"/>
          <w:sz w:val="12"/>
          <w:szCs w:val="12"/>
          <w:color w:val="auto"/>
        </w:rPr>
      </w:pPr>
      <w:r>
        <w:rPr>
          <w:rFonts w:ascii="Arial" w:cs="Arial" w:eastAsia="Arial" w:hAnsi="Arial"/>
          <w:sz w:val="12"/>
          <w:szCs w:val="12"/>
          <w:color w:val="auto"/>
        </w:rPr>
        <w:t>our Programming segment generates revenue by selling cable network programming to our Cable segment, which represents a substantial majority of the revenue elimination amount</w:t>
      </w:r>
    </w:p>
    <w:p>
      <w:pPr>
        <w:spacing w:after="0" w:line="10" w:lineRule="exact"/>
        <w:rPr>
          <w:rFonts w:ascii="Arial" w:cs="Arial" w:eastAsia="Arial" w:hAnsi="Arial"/>
          <w:sz w:val="12"/>
          <w:szCs w:val="12"/>
          <w:color w:val="auto"/>
        </w:rPr>
      </w:pPr>
    </w:p>
    <w:p>
      <w:pPr>
        <w:ind w:left="340" w:hanging="213"/>
        <w:spacing w:after="0" w:line="221" w:lineRule="auto"/>
        <w:tabs>
          <w:tab w:leader="none" w:pos="3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of programming expenses</w:t>
      </w:r>
    </w:p>
    <w:p>
      <w:pPr>
        <w:ind w:left="340" w:hanging="213"/>
        <w:spacing w:after="0" w:line="221" w:lineRule="auto"/>
        <w:tabs>
          <w:tab w:leader="none" w:pos="3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ind w:left="340" w:hanging="213"/>
        <w:spacing w:after="0"/>
        <w:tabs>
          <w:tab w:leader="none" w:pos="3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2" w:lineRule="exact"/>
        <w:rPr>
          <w:rFonts w:ascii="Arial" w:cs="Arial" w:eastAsia="Arial" w:hAnsi="Arial"/>
          <w:sz w:val="14"/>
          <w:szCs w:val="14"/>
          <w:color w:val="auto"/>
        </w:rPr>
      </w:pPr>
    </w:p>
    <w:p>
      <w:pPr>
        <w:ind w:left="300" w:hanging="292"/>
        <w:spacing w:after="0"/>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jc w:val="both"/>
        <w:ind w:left="300" w:hanging="292"/>
        <w:spacing w:after="0" w:line="224"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 measure the performance of our operating segments, we use operating income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reported in accordance with GAAP.</w:t>
      </w:r>
    </w:p>
    <w:p>
      <w:pPr>
        <w:spacing w:after="0" w:line="119"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69</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17: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jc w:val="right"/>
              <w:ind w:right="75"/>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14"/>
                <w:szCs w:val="14"/>
                <w:color w:val="auto"/>
              </w:rPr>
            </w:pPr>
          </w:p>
        </w:tc>
        <w:tc>
          <w:tcPr>
            <w:tcW w:w="720" w:type="dxa"/>
            <w:vAlign w:val="bottom"/>
          </w:tcPr>
          <w:p>
            <w:pPr>
              <w:jc w:val="right"/>
              <w:ind w:right="75"/>
              <w:spacing w:after="0"/>
              <w:rPr>
                <w:sz w:val="20"/>
                <w:szCs w:val="20"/>
                <w:color w:val="auto"/>
              </w:rPr>
            </w:pPr>
            <w:r>
              <w:rPr>
                <w:rFonts w:ascii="Arial" w:cs="Arial" w:eastAsia="Arial" w:hAnsi="Arial"/>
                <w:sz w:val="14"/>
                <w:szCs w:val="14"/>
                <w:color w:val="auto"/>
              </w:rPr>
              <w:t>Second</w:t>
            </w:r>
          </w:p>
        </w:tc>
        <w:tc>
          <w:tcPr>
            <w:tcW w:w="300" w:type="dxa"/>
            <w:vAlign w:val="bottom"/>
          </w:tcPr>
          <w:p>
            <w:pPr>
              <w:spacing w:after="0"/>
              <w:rPr>
                <w:sz w:val="14"/>
                <w:szCs w:val="14"/>
                <w:color w:val="auto"/>
              </w:rPr>
            </w:pPr>
          </w:p>
        </w:tc>
        <w:tc>
          <w:tcPr>
            <w:tcW w:w="720" w:type="dxa"/>
            <w:vAlign w:val="bottom"/>
          </w:tcPr>
          <w:p>
            <w:pPr>
              <w:jc w:val="right"/>
              <w:ind w:right="75"/>
              <w:spacing w:after="0"/>
              <w:rPr>
                <w:sz w:val="20"/>
                <w:szCs w:val="20"/>
                <w:color w:val="auto"/>
              </w:rPr>
            </w:pPr>
            <w:r>
              <w:rPr>
                <w:rFonts w:ascii="Arial" w:cs="Arial" w:eastAsia="Arial" w:hAnsi="Arial"/>
                <w:sz w:val="14"/>
                <w:szCs w:val="14"/>
                <w:color w:val="auto"/>
              </w:rPr>
              <w:t>Third</w:t>
            </w:r>
          </w:p>
        </w:tc>
        <w:tc>
          <w:tcPr>
            <w:tcW w:w="300" w:type="dxa"/>
            <w:vAlign w:val="bottom"/>
          </w:tcPr>
          <w:p>
            <w:pPr>
              <w:spacing w:after="0"/>
              <w:rPr>
                <w:sz w:val="14"/>
                <w:szCs w:val="14"/>
                <w:color w:val="auto"/>
              </w:rPr>
            </w:pPr>
          </w:p>
        </w:tc>
        <w:tc>
          <w:tcPr>
            <w:tcW w:w="740" w:type="dxa"/>
            <w:vAlign w:val="bottom"/>
          </w:tcPr>
          <w:p>
            <w:pPr>
              <w:jc w:val="right"/>
              <w:ind w:right="75"/>
              <w:spacing w:after="0"/>
              <w:rPr>
                <w:sz w:val="20"/>
                <w:szCs w:val="20"/>
                <w:color w:val="auto"/>
              </w:rPr>
            </w:pPr>
            <w:r>
              <w:rPr>
                <w:rFonts w:ascii="Arial" w:cs="Arial" w:eastAsia="Arial" w:hAnsi="Arial"/>
                <w:sz w:val="14"/>
                <w:szCs w:val="14"/>
                <w:color w:val="auto"/>
              </w:rPr>
              <w:t>Fourth</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63"/>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2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Quarter</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Quarter</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Quarter</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Quarter</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w:t>
            </w:r>
          </w:p>
        </w:tc>
      </w:tr>
      <w:tr>
        <w:trPr>
          <w:trHeight w:val="199"/>
        </w:trPr>
        <w:tc>
          <w:tcPr>
            <w:tcW w:w="4360" w:type="dxa"/>
            <w:vAlign w:val="bottom"/>
          </w:tcPr>
          <w:p>
            <w:pPr>
              <w:spacing w:after="0" w:line="200" w:lineRule="exact"/>
              <w:rPr>
                <w:sz w:val="20"/>
                <w:szCs w:val="20"/>
                <w:color w:val="auto"/>
              </w:rPr>
            </w:pPr>
            <w:r>
              <w:rPr>
                <w:rFonts w:ascii="Arial" w:cs="Arial" w:eastAsia="Arial" w:hAnsi="Arial"/>
                <w:sz w:val="18"/>
                <w:szCs w:val="18"/>
                <w:color w:val="auto"/>
              </w:rPr>
              <w:t>2008</w:t>
            </w: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8,389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8,553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8,549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8,765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34,256</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1,555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1,750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1,670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1,757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6,732</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732</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632</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771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412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2,547</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0.14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0.87</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0.14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0.86</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0.0625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w w:val="98"/>
              </w:rPr>
              <w:t>0.0625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w w:val="98"/>
              </w:rPr>
              <w:t>0.0625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0.0625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7,388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7,712</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7,781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8,014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30,895</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1,261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1,468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1,391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1,458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5,578</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837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588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560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602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2,587</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0.19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0.18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0.84</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0.19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0.18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0.83</w:t>
            </w:r>
          </w:p>
        </w:tc>
      </w:tr>
      <w:tr>
        <w:trPr>
          <w:trHeight w:val="199"/>
        </w:trPr>
        <w:tc>
          <w:tcPr>
            <w:tcW w:w="4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Dividends declared per common share</w:t>
            </w:r>
          </w:p>
        </w:tc>
        <w:tc>
          <w:tcPr>
            <w:tcW w:w="23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r>
      <w:tr>
        <w:trPr>
          <w:trHeight w:val="304"/>
        </w:trPr>
        <w:tc>
          <w:tcPr>
            <w:tcW w:w="436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2380" w:type="dxa"/>
            <w:vAlign w:val="bottom"/>
          </w:tcPr>
          <w:p>
            <w:pPr>
              <w:jc w:val="right"/>
              <w:ind w:right="814"/>
              <w:spacing w:after="0"/>
              <w:rPr>
                <w:sz w:val="20"/>
                <w:szCs w:val="20"/>
                <w:color w:val="auto"/>
              </w:rPr>
            </w:pPr>
            <w:r>
              <w:rPr>
                <w:rFonts w:ascii="Arial" w:cs="Arial" w:eastAsia="Arial" w:hAnsi="Arial"/>
                <w:sz w:val="14"/>
                <w:szCs w:val="14"/>
                <w:b w:val="1"/>
                <w:bCs w:val="1"/>
                <w:color w:val="auto"/>
              </w:rPr>
              <w:t>70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18: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127" w:lineRule="exact"/>
        <w:rPr>
          <w:sz w:val="20"/>
          <w:szCs w:val="20"/>
          <w:color w:val="auto"/>
        </w:rPr>
      </w:pPr>
    </w:p>
    <w:p>
      <w:pPr>
        <w:jc w:val="both"/>
        <w:spacing w:after="0" w:line="328" w:lineRule="auto"/>
        <w:rPr>
          <w:sz w:val="20"/>
          <w:szCs w:val="20"/>
          <w:color w:val="auto"/>
        </w:rPr>
      </w:pPr>
      <w:r>
        <w:rPr>
          <w:rFonts w:ascii="Arial" w:cs="Arial" w:eastAsia="Arial" w:hAnsi="Arial"/>
          <w:sz w:val="18"/>
          <w:szCs w:val="18"/>
          <w:color w:val="auto"/>
        </w:rPr>
        <w:t>Comcast Corporation has unconditionally guaranteed Comcast Holdings’ ZONES due October 2029 and its 10</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22"/>
          <w:szCs w:val="22"/>
          <w:color w:val="auto"/>
          <w:vertAlign w:val="subscript"/>
        </w:rPr>
        <w:t>8</w:t>
      </w:r>
      <w:r>
        <w:rPr>
          <w:rFonts w:ascii="Arial" w:cs="Arial" w:eastAsia="Arial" w:hAnsi="Arial"/>
          <w:sz w:val="18"/>
          <w:szCs w:val="18"/>
          <w:color w:val="auto"/>
        </w:rPr>
        <w:t>% Senior Subordinated Debentures due 2012. Our condensed consolidating financial information is presented in the tables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and</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CCHMO</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Parents</w:t>
            </w:r>
          </w:p>
        </w:tc>
        <w:tc>
          <w:tcPr>
            <w:tcW w:w="7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Holdings</w:t>
            </w:r>
          </w:p>
        </w:tc>
        <w:tc>
          <w:tcPr>
            <w:tcW w:w="9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Adjustments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Corporation</w:t>
            </w:r>
          </w:p>
        </w:tc>
      </w:tr>
      <w:tr>
        <w:trPr>
          <w:trHeight w:val="141"/>
        </w:trPr>
        <w:tc>
          <w:tcPr>
            <w:tcW w:w="4440" w:type="dxa"/>
            <w:vAlign w:val="bottom"/>
            <w:gridSpan w:val="2"/>
          </w:tcPr>
          <w:p>
            <w:pPr>
              <w:spacing w:after="0" w:line="141" w:lineRule="exact"/>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1,195</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1,195</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1,626</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1,626</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171</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657</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836</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171</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3,537</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3,716</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36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4,783</w:t>
            </w:r>
          </w:p>
        </w:tc>
        <w:tc>
          <w:tcPr>
            <w:tcW w:w="180" w:type="dxa"/>
            <w:vAlign w:val="bottom"/>
          </w:tcPr>
          <w:p>
            <w:pPr>
              <w:spacing w:after="0"/>
              <w:rPr>
                <w:sz w:val="12"/>
                <w:szCs w:val="12"/>
                <w:color w:val="auto"/>
              </w:rPr>
            </w:pPr>
          </w:p>
        </w:tc>
        <w:tc>
          <w:tcPr>
            <w:tcW w:w="9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4,783</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 eliminated upon</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70,076</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34,499</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43,536</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46,314</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26,519</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4,471</w:t>
            </w:r>
          </w:p>
        </w:tc>
        <w:tc>
          <w:tcPr>
            <w:tcW w:w="18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(225,415)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306</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24,138</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24,444</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59,449</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59,449</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14,889</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14,889</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4,557</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4,558</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603</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537</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1,178</w:t>
            </w: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color w:val="auto"/>
              </w:rPr>
              <w:t>Total assets</w:t>
            </w:r>
          </w:p>
        </w:tc>
        <w:tc>
          <w:tcPr>
            <w:tcW w:w="360" w:type="dxa"/>
            <w:vAlign w:val="bottom"/>
            <w:tcBorders>
              <w:top w:val="single" w:sz="8" w:color="auto"/>
              <w:bottom w:val="single" w:sz="8" w:color="52A2DD"/>
            </w:tcBorders>
          </w:tcPr>
          <w:p>
            <w:pPr>
              <w:ind w:left="2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w w:val="97"/>
              </w:rPr>
              <w:t>71,157</w:t>
            </w:r>
          </w:p>
        </w:tc>
        <w:tc>
          <w:tcPr>
            <w:tcW w:w="2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w w:val="97"/>
              </w:rPr>
              <w:t>34,514</w:t>
            </w:r>
          </w:p>
        </w:tc>
        <w:tc>
          <w:tcPr>
            <w:tcW w:w="2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w w:val="97"/>
              </w:rPr>
              <w:t>43,550</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46,314</w:t>
            </w:r>
          </w:p>
        </w:tc>
        <w:tc>
          <w:tcPr>
            <w:tcW w:w="22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w w:val="97"/>
              </w:rPr>
              <w:t>26,536</w:t>
            </w:r>
          </w:p>
        </w:tc>
        <w:tc>
          <w:tcPr>
            <w:tcW w:w="22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116,361</w:t>
            </w:r>
          </w:p>
        </w:tc>
        <w:tc>
          <w:tcPr>
            <w:tcW w:w="18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rPr>
              <w:t>(225,415)</w:t>
            </w:r>
          </w:p>
        </w:tc>
        <w:tc>
          <w:tcPr>
            <w:tcW w:w="18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113,017</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Liabilities and Stockholders’ Equity</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3,197</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3,393</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810</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224</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129</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1,945</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3,268</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1,242</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1,006</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2,278</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2,248</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1,230</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73</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87</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129</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5,172</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8,939</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Long-term debt, less current portion</w:t>
            </w:r>
          </w:p>
        </w:tc>
        <w:tc>
          <w:tcPr>
            <w:tcW w:w="36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w w:val="97"/>
              </w:rPr>
              <w:t>19,839</w:t>
            </w:r>
          </w:p>
        </w:tc>
        <w:tc>
          <w:tcPr>
            <w:tcW w:w="2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2,294</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4,462</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2,691</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610</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2"/>
                <w:szCs w:val="12"/>
                <w:color w:val="auto"/>
              </w:rPr>
            </w:pPr>
          </w:p>
        </w:tc>
        <w:tc>
          <w:tcPr>
            <w:tcW w:w="9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30,178</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7,160</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656</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19,166</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26,982</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1,460</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4,592</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6,171</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297</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stockholders’ equity</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40,417</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30,990</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39,015</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43,536</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25,022</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86,852</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(225,415)</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40,417</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7"/>
              </w:rPr>
              <w:t>40,450</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7"/>
              </w:rPr>
              <w:t>30,990</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7"/>
              </w:rPr>
              <w:t>39,015</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43,536</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7"/>
              </w:rPr>
              <w:t>25,022</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86,852</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(225,415)</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40,450</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52A2DD"/>
            </w:tcBorders>
          </w:tcPr>
          <w:p>
            <w:pPr>
              <w:ind w:left="2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w w:val="97"/>
              </w:rPr>
              <w:t>71,157</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w w:val="97"/>
              </w:rPr>
              <w:t>34,514</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w w:val="97"/>
              </w:rPr>
              <w:t>43,550</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46,314</w:t>
            </w:r>
          </w:p>
        </w:tc>
        <w:tc>
          <w:tcPr>
            <w:tcW w:w="22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w w:val="97"/>
              </w:rPr>
              <w:t>26,536</w:t>
            </w:r>
          </w:p>
        </w:tc>
        <w:tc>
          <w:tcPr>
            <w:tcW w:w="22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116,361</w:t>
            </w:r>
          </w:p>
        </w:tc>
        <w:tc>
          <w:tcPr>
            <w:tcW w:w="18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rPr>
              <w:t>(225,415)</w:t>
            </w:r>
          </w:p>
        </w:tc>
        <w:tc>
          <w:tcPr>
            <w:tcW w:w="18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113,017</w:t>
            </w:r>
          </w:p>
        </w:tc>
      </w:tr>
      <w:tr>
        <w:trPr>
          <w:trHeight w:val="30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212"/>
              <w:spacing w:after="0"/>
              <w:rPr>
                <w:sz w:val="20"/>
                <w:szCs w:val="20"/>
                <w:color w:val="auto"/>
              </w:rPr>
            </w:pPr>
            <w:r>
              <w:rPr>
                <w:rFonts w:ascii="Arial" w:cs="Arial" w:eastAsia="Arial" w:hAnsi="Arial"/>
                <w:sz w:val="14"/>
                <w:szCs w:val="14"/>
                <w:b w:val="1"/>
                <w:bCs w:val="1"/>
                <w:color w:val="auto"/>
              </w:rPr>
              <w:t>71</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5"/>
          </w:tcPr>
          <w:p>
            <w:pPr>
              <w:jc w:val="right"/>
              <w:spacing w:after="0"/>
              <w:rPr>
                <w:sz w:val="20"/>
                <w:szCs w:val="20"/>
                <w:color w:val="auto"/>
              </w:rPr>
            </w:pPr>
            <w:r>
              <w:rPr>
                <w:rFonts w:ascii="Arial" w:cs="Arial" w:eastAsia="Arial" w:hAnsi="Arial"/>
                <w:sz w:val="14"/>
                <w:szCs w:val="14"/>
                <w:color w:val="auto"/>
                <w:w w:val="99"/>
              </w:rPr>
              <w:t>Comcast 2008 Annual Report on Form 10-K</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and</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CCHMO</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Parents</w:t>
            </w:r>
          </w:p>
        </w:tc>
        <w:tc>
          <w:tcPr>
            <w:tcW w:w="7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Holdings</w:t>
            </w:r>
          </w:p>
        </w:tc>
        <w:tc>
          <w:tcPr>
            <w:tcW w:w="9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Adjustments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Corporation</w:t>
            </w:r>
          </w:p>
        </w:tc>
      </w:tr>
      <w:tr>
        <w:trPr>
          <w:trHeight w:val="141"/>
        </w:trPr>
        <w:tc>
          <w:tcPr>
            <w:tcW w:w="4440" w:type="dxa"/>
            <w:vAlign w:val="bottom"/>
            <w:gridSpan w:val="2"/>
          </w:tcPr>
          <w:p>
            <w:pPr>
              <w:spacing w:after="0" w:line="141" w:lineRule="exact"/>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963</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963</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98</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1,645</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1,645</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100</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861</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961</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100</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3,567</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3,667</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36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7,963</w:t>
            </w:r>
          </w:p>
        </w:tc>
        <w:tc>
          <w:tcPr>
            <w:tcW w:w="180" w:type="dxa"/>
            <w:vAlign w:val="bottom"/>
          </w:tcPr>
          <w:p>
            <w:pPr>
              <w:spacing w:after="0"/>
              <w:rPr>
                <w:sz w:val="12"/>
                <w:szCs w:val="12"/>
                <w:color w:val="auto"/>
              </w:rPr>
            </w:pPr>
          </w:p>
        </w:tc>
        <w:tc>
          <w:tcPr>
            <w:tcW w:w="9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7,963</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from subsidiaries eliminated</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upon consolidation</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67,903</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32,760</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40,240</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43,356</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25,815</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2,244</w:t>
            </w:r>
          </w:p>
        </w:tc>
        <w:tc>
          <w:tcPr>
            <w:tcW w:w="18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(212,318)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208</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23,416</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23,624</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58,077</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58,077</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14,705</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14,705</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4,739</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4,739</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281</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303</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642</w:t>
            </w: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color w:val="auto"/>
              </w:rPr>
              <w:t>Total assets</w:t>
            </w:r>
          </w:p>
        </w:tc>
        <w:tc>
          <w:tcPr>
            <w:tcW w:w="360" w:type="dxa"/>
            <w:vAlign w:val="bottom"/>
            <w:tcBorders>
              <w:top w:val="single" w:sz="8" w:color="auto"/>
              <w:bottom w:val="single" w:sz="8" w:color="52A2DD"/>
            </w:tcBorders>
          </w:tcPr>
          <w:p>
            <w:pPr>
              <w:ind w:left="2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w w:val="97"/>
              </w:rPr>
              <w:t>68,492</w:t>
            </w:r>
          </w:p>
        </w:tc>
        <w:tc>
          <w:tcPr>
            <w:tcW w:w="2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w w:val="97"/>
              </w:rPr>
              <w:t>32,771</w:t>
            </w:r>
          </w:p>
        </w:tc>
        <w:tc>
          <w:tcPr>
            <w:tcW w:w="2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w w:val="97"/>
              </w:rPr>
              <w:t>40,257</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43,356</w:t>
            </w:r>
          </w:p>
        </w:tc>
        <w:tc>
          <w:tcPr>
            <w:tcW w:w="22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w w:val="97"/>
              </w:rPr>
              <w:t>25,845</w:t>
            </w:r>
          </w:p>
        </w:tc>
        <w:tc>
          <w:tcPr>
            <w:tcW w:w="22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115,014</w:t>
            </w:r>
          </w:p>
        </w:tc>
        <w:tc>
          <w:tcPr>
            <w:tcW w:w="18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rPr>
              <w:t>(212,318)</w:t>
            </w:r>
          </w:p>
        </w:tc>
        <w:tc>
          <w:tcPr>
            <w:tcW w:w="18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113,417</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Liabilities and Stockholders’ Equity</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3,323</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3,336</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694</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267</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74</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1,913</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3,121</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1,142</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305</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48</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1,495</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704</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1,412</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75</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403</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74</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5,284</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7,952</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Long-term debt, less current portion</w:t>
            </w:r>
          </w:p>
        </w:tc>
        <w:tc>
          <w:tcPr>
            <w:tcW w:w="36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w w:val="97"/>
              </w:rPr>
              <w:t>19,133</w:t>
            </w:r>
          </w:p>
        </w:tc>
        <w:tc>
          <w:tcPr>
            <w:tcW w:w="2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3,294</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3,498</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2,713</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908</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2"/>
                <w:szCs w:val="12"/>
                <w:color w:val="auto"/>
              </w:rPr>
            </w:pPr>
          </w:p>
        </w:tc>
        <w:tc>
          <w:tcPr>
            <w:tcW w:w="9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29,828</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6,256</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1,015</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19,609</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26,880</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1,059</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116</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5,986</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7,167</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stockholders’ equity</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41,306</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28,059</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36,684</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40,240</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23,732</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83,603</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(212,318)</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41,306</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7"/>
              </w:rPr>
              <w:t>41,340</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7"/>
              </w:rPr>
              <w:t>28,059</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7"/>
              </w:rPr>
              <w:t>36,684</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40,240</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7"/>
              </w:rPr>
              <w:t>23,732</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83,603</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(212,318)</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41,340</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52A2DD"/>
            </w:tcBorders>
          </w:tcPr>
          <w:p>
            <w:pPr>
              <w:ind w:left="2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w w:val="97"/>
              </w:rPr>
              <w:t>68,492</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w w:val="97"/>
              </w:rPr>
              <w:t>32,771</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w w:val="97"/>
              </w:rPr>
              <w:t>40,257</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43,356</w:t>
            </w:r>
          </w:p>
        </w:tc>
        <w:tc>
          <w:tcPr>
            <w:tcW w:w="22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w w:val="97"/>
              </w:rPr>
              <w:t>25,845</w:t>
            </w:r>
          </w:p>
        </w:tc>
        <w:tc>
          <w:tcPr>
            <w:tcW w:w="22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115,014</w:t>
            </w:r>
          </w:p>
        </w:tc>
        <w:tc>
          <w:tcPr>
            <w:tcW w:w="18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rPr>
              <w:t>(212,318)</w:t>
            </w:r>
          </w:p>
        </w:tc>
        <w:tc>
          <w:tcPr>
            <w:tcW w:w="18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113,417</w:t>
            </w:r>
          </w:p>
        </w:tc>
      </w:tr>
      <w:tr>
        <w:trPr>
          <w:trHeight w:val="304"/>
        </w:trPr>
        <w:tc>
          <w:tcPr>
            <w:tcW w:w="4440" w:type="dxa"/>
            <w:vAlign w:val="bottom"/>
            <w:gridSpan w:val="2"/>
          </w:tcPr>
          <w:p>
            <w:pPr>
              <w:spacing w:after="0"/>
              <w:rPr>
                <w:sz w:val="20"/>
                <w:szCs w:val="20"/>
                <w:color w:val="auto"/>
              </w:rPr>
            </w:pPr>
            <w:r>
              <w:rPr>
                <w:rFonts w:ascii="Arial" w:cs="Arial" w:eastAsia="Arial" w:hAnsi="Arial"/>
                <w:sz w:val="14"/>
                <w:szCs w:val="14"/>
                <w:color w:val="auto"/>
              </w:rPr>
              <w:t>Comcast 2008 Annual Report on Form 10-K</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212"/>
              <w:spacing w:after="0"/>
              <w:rPr>
                <w:sz w:val="20"/>
                <w:szCs w:val="20"/>
                <w:color w:val="auto"/>
              </w:rPr>
            </w:pPr>
            <w:r>
              <w:rPr>
                <w:rFonts w:ascii="Arial" w:cs="Arial" w:eastAsia="Arial" w:hAnsi="Arial"/>
                <w:sz w:val="14"/>
                <w:szCs w:val="14"/>
                <w:b w:val="1"/>
                <w:bCs w:val="1"/>
                <w:color w:val="auto"/>
              </w:rPr>
              <w:t>72</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and</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CCCL</w:t>
            </w:r>
          </w:p>
        </w:tc>
        <w:tc>
          <w:tcPr>
            <w:tcW w:w="7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CCHMO</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Guarantor</w:t>
            </w:r>
          </w:p>
        </w:tc>
        <w:tc>
          <w:tcPr>
            <w:tcW w:w="10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Parent</w:t>
            </w:r>
          </w:p>
        </w:tc>
        <w:tc>
          <w:tcPr>
            <w:tcW w:w="72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Parents</w:t>
            </w:r>
          </w:p>
        </w:tc>
        <w:tc>
          <w:tcPr>
            <w:tcW w:w="80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Holdings</w:t>
            </w:r>
          </w:p>
        </w:tc>
        <w:tc>
          <w:tcPr>
            <w:tcW w:w="100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6"/>
              </w:rPr>
              <w:t>Adjustments</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Revenue</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34,256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34,256</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735</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226</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413</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(1,787)</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735</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226</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413</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34,256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(1,787)</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34,256</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13,472</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13,472</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358</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226</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413</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413</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7,976</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(1,787)</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7,652</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5,434</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5,457</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943</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943</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381</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226</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413</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413</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53</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27,825</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(1,787)</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27,524</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354</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6,431</w:t>
            </w:r>
          </w:p>
        </w:tc>
        <w:tc>
          <w:tcPr>
            <w:tcW w:w="180" w:type="dxa"/>
            <w:vAlign w:val="bottom"/>
          </w:tcPr>
          <w:p>
            <w:pPr>
              <w:spacing w:after="0"/>
              <w:rPr>
                <w:sz w:val="12"/>
                <w:szCs w:val="12"/>
                <w:color w:val="auto"/>
              </w:rPr>
            </w:pPr>
          </w:p>
        </w:tc>
        <w:tc>
          <w:tcPr>
            <w:tcW w:w="9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6,732</w:t>
            </w: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(1,307)</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(298)</w:t>
            </w:r>
          </w:p>
        </w:tc>
        <w:tc>
          <w:tcPr>
            <w:tcW w:w="20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(334)</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(212)</w:t>
            </w:r>
          </w:p>
        </w:tc>
        <w:tc>
          <w:tcPr>
            <w:tcW w:w="2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(146)</w:t>
            </w:r>
          </w:p>
        </w:tc>
        <w:tc>
          <w:tcPr>
            <w:tcW w:w="22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(142)</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(2,439)</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2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72</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3,196</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1,712</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2,704</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2,842</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1,455</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(11,972)</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(280)</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1,844</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1,414</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6"/>
              </w:rPr>
              <w:t>2,370</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2,630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1,366</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(326)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(11,972)</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(2,674)</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Income (loss) from continuing operations before income taxes and</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2,198</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1,414</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2,370</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2,630</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1,313</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6,105</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(11,972)</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4,058</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349</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104</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117</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50</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(2,227)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(1,533)</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 before minority interest</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2,547</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1,518</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w w:val="96"/>
              </w:rPr>
              <w:t>2,487</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2,704</w:t>
            </w:r>
          </w:p>
        </w:tc>
        <w:tc>
          <w:tcPr>
            <w:tcW w:w="260" w:type="dxa"/>
            <w:vAlign w:val="bottom"/>
          </w:tcPr>
          <w:p>
            <w:pPr>
              <w:spacing w:after="0"/>
              <w:rPr>
                <w:sz w:val="12"/>
                <w:szCs w:val="12"/>
                <w:color w:val="auto"/>
              </w:rPr>
            </w:pPr>
          </w:p>
        </w:tc>
        <w:tc>
          <w:tcPr>
            <w:tcW w:w="5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1,363</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3,878</w:t>
            </w:r>
          </w:p>
        </w:tc>
        <w:tc>
          <w:tcPr>
            <w:tcW w:w="180" w:type="dxa"/>
            <w:vAlign w:val="bottom"/>
          </w:tcPr>
          <w:p>
            <w:pPr>
              <w:spacing w:after="0"/>
              <w:rPr>
                <w:sz w:val="12"/>
                <w:szCs w:val="12"/>
                <w:color w:val="auto"/>
              </w:rPr>
            </w:pPr>
          </w:p>
        </w:tc>
        <w:tc>
          <w:tcPr>
            <w:tcW w:w="9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(11,972)</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2,525</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42"/>
        </w:trPr>
        <w:tc>
          <w:tcPr>
            <w:tcW w:w="4280" w:type="dxa"/>
            <w:vAlign w:val="bottom"/>
            <w:gridSpan w:val="2"/>
          </w:tcPr>
          <w:p>
            <w:pPr>
              <w:spacing w:after="0" w:line="142" w:lineRule="exact"/>
              <w:rPr>
                <w:sz w:val="20"/>
                <w:szCs w:val="20"/>
                <w:color w:val="auto"/>
              </w:rPr>
            </w:pPr>
            <w:r>
              <w:rPr>
                <w:rFonts w:ascii="Arial" w:cs="Arial" w:eastAsia="Arial" w:hAnsi="Arial"/>
                <w:sz w:val="14"/>
                <w:szCs w:val="14"/>
                <w:color w:val="auto"/>
              </w:rPr>
              <w:t>Net income (loss)</w:t>
            </w:r>
          </w:p>
        </w:tc>
        <w:tc>
          <w:tcPr>
            <w:tcW w:w="420" w:type="dxa"/>
            <w:vAlign w:val="bottom"/>
          </w:tcPr>
          <w:p>
            <w:pPr>
              <w:ind w:left="30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2,547</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1,518</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6"/>
              </w:rPr>
              <w:t>2,487</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2,704</w:t>
            </w:r>
          </w:p>
        </w:tc>
        <w:tc>
          <w:tcPr>
            <w:tcW w:w="26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1,363</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3,900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(11,972)</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2,547</w:t>
            </w:r>
          </w:p>
        </w:tc>
      </w:tr>
      <w:tr>
        <w:trPr>
          <w:trHeight w:val="304"/>
        </w:trPr>
        <w:tc>
          <w:tcPr>
            <w:tcW w:w="20" w:type="dxa"/>
            <w:vAlign w:val="bottom"/>
          </w:tcPr>
          <w:p>
            <w:pPr>
              <w:spacing w:after="0"/>
              <w:rPr>
                <w:sz w:val="24"/>
                <w:szCs w:val="24"/>
                <w:color w:val="auto"/>
              </w:rPr>
            </w:pPr>
          </w:p>
        </w:tc>
        <w:tc>
          <w:tcPr>
            <w:tcW w:w="4260" w:type="dxa"/>
            <w:vAlign w:val="bottom"/>
            <w:tcBorders>
              <w:top w:val="single" w:sz="8" w:color="52A2DD"/>
            </w:tcBorders>
          </w:tcPr>
          <w:p>
            <w:pPr>
              <w:spacing w:after="0"/>
              <w:rPr>
                <w:sz w:val="24"/>
                <w:szCs w:val="24"/>
                <w:color w:val="auto"/>
              </w:rPr>
            </w:pPr>
          </w:p>
        </w:tc>
        <w:tc>
          <w:tcPr>
            <w:tcW w:w="420" w:type="dxa"/>
            <w:vAlign w:val="bottom"/>
            <w:tcBorders>
              <w:top w:val="single" w:sz="8" w:color="52A2DD"/>
            </w:tcBorders>
          </w:tcPr>
          <w:p>
            <w:pPr>
              <w:spacing w:after="0"/>
              <w:rPr>
                <w:sz w:val="24"/>
                <w:szCs w:val="24"/>
                <w:color w:val="auto"/>
              </w:rPr>
            </w:pPr>
          </w:p>
        </w:tc>
        <w:tc>
          <w:tcPr>
            <w:tcW w:w="580" w:type="dxa"/>
            <w:vAlign w:val="bottom"/>
            <w:tcBorders>
              <w:top w:val="single" w:sz="8" w:color="52A2DD"/>
            </w:tcBorders>
          </w:tcPr>
          <w:p>
            <w:pPr>
              <w:spacing w:after="0"/>
              <w:rPr>
                <w:sz w:val="24"/>
                <w:szCs w:val="24"/>
                <w:color w:val="auto"/>
              </w:rPr>
            </w:pPr>
          </w:p>
        </w:tc>
        <w:tc>
          <w:tcPr>
            <w:tcW w:w="180" w:type="dxa"/>
            <w:vAlign w:val="bottom"/>
            <w:tcBorders>
              <w:top w:val="single" w:sz="8" w:color="52A2DD"/>
            </w:tcBorders>
          </w:tcPr>
          <w:p>
            <w:pPr>
              <w:spacing w:after="0"/>
              <w:rPr>
                <w:sz w:val="24"/>
                <w:szCs w:val="24"/>
                <w:color w:val="auto"/>
              </w:rPr>
            </w:pPr>
          </w:p>
        </w:tc>
        <w:tc>
          <w:tcPr>
            <w:tcW w:w="540" w:type="dxa"/>
            <w:vAlign w:val="bottom"/>
            <w:tcBorders>
              <w:top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73</w:t>
            </w:r>
          </w:p>
        </w:tc>
        <w:tc>
          <w:tcPr>
            <w:tcW w:w="200" w:type="dxa"/>
            <w:vAlign w:val="bottom"/>
            <w:tcBorders>
              <w:top w:val="single" w:sz="8" w:color="52A2DD"/>
            </w:tcBorders>
          </w:tcPr>
          <w:p>
            <w:pPr>
              <w:spacing w:after="0"/>
              <w:rPr>
                <w:sz w:val="24"/>
                <w:szCs w:val="24"/>
                <w:color w:val="auto"/>
              </w:rPr>
            </w:pPr>
          </w:p>
        </w:tc>
        <w:tc>
          <w:tcPr>
            <w:tcW w:w="500" w:type="dxa"/>
            <w:vAlign w:val="bottom"/>
            <w:tcBorders>
              <w:top w:val="single" w:sz="8" w:color="52A2DD"/>
            </w:tcBorders>
          </w:tcPr>
          <w:p>
            <w:pPr>
              <w:spacing w:after="0"/>
              <w:rPr>
                <w:sz w:val="24"/>
                <w:szCs w:val="24"/>
                <w:color w:val="auto"/>
              </w:rPr>
            </w:pPr>
          </w:p>
        </w:tc>
        <w:tc>
          <w:tcPr>
            <w:tcW w:w="200" w:type="dxa"/>
            <w:vAlign w:val="bottom"/>
            <w:tcBorders>
              <w:top w:val="single" w:sz="8" w:color="52A2DD"/>
            </w:tcBorders>
          </w:tcPr>
          <w:p>
            <w:pPr>
              <w:spacing w:after="0"/>
              <w:rPr>
                <w:sz w:val="24"/>
                <w:szCs w:val="24"/>
                <w:color w:val="auto"/>
              </w:rPr>
            </w:pPr>
          </w:p>
        </w:tc>
        <w:tc>
          <w:tcPr>
            <w:tcW w:w="68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spacing w:after="0"/>
              <w:rPr>
                <w:sz w:val="24"/>
                <w:szCs w:val="24"/>
                <w:color w:val="auto"/>
              </w:rPr>
            </w:pPr>
          </w:p>
        </w:tc>
        <w:tc>
          <w:tcPr>
            <w:tcW w:w="540" w:type="dxa"/>
            <w:vAlign w:val="bottom"/>
            <w:tcBorders>
              <w:top w:val="single" w:sz="8" w:color="52A2DD"/>
            </w:tcBorders>
          </w:tcPr>
          <w:p>
            <w:pPr>
              <w:spacing w:after="0"/>
              <w:rPr>
                <w:sz w:val="24"/>
                <w:szCs w:val="24"/>
                <w:color w:val="auto"/>
              </w:rPr>
            </w:pPr>
          </w:p>
        </w:tc>
        <w:tc>
          <w:tcPr>
            <w:tcW w:w="220" w:type="dxa"/>
            <w:vAlign w:val="bottom"/>
            <w:tcBorders>
              <w:top w:val="single" w:sz="8" w:color="52A2DD"/>
            </w:tcBorders>
          </w:tcPr>
          <w:p>
            <w:pPr>
              <w:spacing w:after="0"/>
              <w:rPr>
                <w:sz w:val="24"/>
                <w:szCs w:val="24"/>
                <w:color w:val="auto"/>
              </w:rPr>
            </w:pPr>
          </w:p>
        </w:tc>
        <w:tc>
          <w:tcPr>
            <w:tcW w:w="282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2008 Annual Report on Form 10-K</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and</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CCCL</w:t>
            </w:r>
          </w:p>
        </w:tc>
        <w:tc>
          <w:tcPr>
            <w:tcW w:w="7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CCHMO</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Guarantor</w:t>
            </w:r>
          </w:p>
        </w:tc>
        <w:tc>
          <w:tcPr>
            <w:tcW w:w="10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Parent</w:t>
            </w:r>
          </w:p>
        </w:tc>
        <w:tc>
          <w:tcPr>
            <w:tcW w:w="72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Parents</w:t>
            </w:r>
          </w:p>
        </w:tc>
        <w:tc>
          <w:tcPr>
            <w:tcW w:w="80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Holdings</w:t>
            </w:r>
          </w:p>
        </w:tc>
        <w:tc>
          <w:tcPr>
            <w:tcW w:w="100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6"/>
              </w:rPr>
              <w:t>Adjustments</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Revenue</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30,895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30,895</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630</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213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338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(1,519)</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630</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213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30,895</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(1,519)</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30,895</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12,169</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12,169</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297</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213</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338</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338</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7,256</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(1,519)</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6,940</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5,101</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5,107</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1,101</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1,101</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303</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213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17</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25,627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(1,519)</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25,317</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327</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5,268</w:t>
            </w:r>
          </w:p>
        </w:tc>
        <w:tc>
          <w:tcPr>
            <w:tcW w:w="180" w:type="dxa"/>
            <w:vAlign w:val="bottom"/>
          </w:tcPr>
          <w:p>
            <w:pPr>
              <w:spacing w:after="0"/>
              <w:rPr>
                <w:sz w:val="12"/>
                <w:szCs w:val="12"/>
                <w:color w:val="auto"/>
              </w:rPr>
            </w:pPr>
          </w:p>
        </w:tc>
        <w:tc>
          <w:tcPr>
            <w:tcW w:w="9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5,578</w:t>
            </w: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(1,116)</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(363)</w:t>
            </w:r>
          </w:p>
        </w:tc>
        <w:tc>
          <w:tcPr>
            <w:tcW w:w="20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(321)</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(234)</w:t>
            </w:r>
          </w:p>
        </w:tc>
        <w:tc>
          <w:tcPr>
            <w:tcW w:w="2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(160)</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(2,289)</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519</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3,095</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1,551</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2,274</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2,427</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1,305</w:t>
            </w:r>
          </w:p>
        </w:tc>
        <w:tc>
          <w:tcPr>
            <w:tcW w:w="22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(10,663)</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521</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522</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1,987</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1,188</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6"/>
              </w:rPr>
              <w:t>1,958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2,193</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1,280</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828</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(10,663)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(1,229)</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Income (loss) from continuing operations before income taxes and</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2,314</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1,188</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1,958</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2,193</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1,263</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6,096</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(10,663)</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4,349</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273</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128</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112</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81</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(2,409)</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(1,800)</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 before minority interest</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2,587</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1,316</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w w:val="96"/>
              </w:rPr>
              <w:t>2,070</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2,274</w:t>
            </w:r>
          </w:p>
        </w:tc>
        <w:tc>
          <w:tcPr>
            <w:tcW w:w="260" w:type="dxa"/>
            <w:vAlign w:val="bottom"/>
          </w:tcPr>
          <w:p>
            <w:pPr>
              <w:spacing w:after="0"/>
              <w:rPr>
                <w:sz w:val="12"/>
                <w:szCs w:val="12"/>
                <w:color w:val="auto"/>
              </w:rPr>
            </w:pPr>
          </w:p>
        </w:tc>
        <w:tc>
          <w:tcPr>
            <w:tcW w:w="5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1,278</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3,687</w:t>
            </w:r>
          </w:p>
        </w:tc>
        <w:tc>
          <w:tcPr>
            <w:tcW w:w="180" w:type="dxa"/>
            <w:vAlign w:val="bottom"/>
          </w:tcPr>
          <w:p>
            <w:pPr>
              <w:spacing w:after="0"/>
              <w:rPr>
                <w:sz w:val="12"/>
                <w:szCs w:val="12"/>
                <w:color w:val="auto"/>
              </w:rPr>
            </w:pPr>
          </w:p>
        </w:tc>
        <w:tc>
          <w:tcPr>
            <w:tcW w:w="9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(10,663)</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2,549</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38</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r>
      <w:tr>
        <w:trPr>
          <w:trHeight w:val="142"/>
        </w:trPr>
        <w:tc>
          <w:tcPr>
            <w:tcW w:w="428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color w:val="auto"/>
              </w:rPr>
              <w:t>Net income (loss)</w:t>
            </w:r>
          </w:p>
        </w:tc>
        <w:tc>
          <w:tcPr>
            <w:tcW w:w="420" w:type="dxa"/>
            <w:vAlign w:val="bottom"/>
            <w:tcBorders>
              <w:bottom w:val="single" w:sz="8" w:color="52A2DD"/>
            </w:tcBorders>
          </w:tcPr>
          <w:p>
            <w:pPr>
              <w:ind w:left="30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2,587</w:t>
            </w:r>
          </w:p>
        </w:tc>
        <w:tc>
          <w:tcPr>
            <w:tcW w:w="18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1,316</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color w:val="auto"/>
                <w:w w:val="96"/>
              </w:rPr>
              <w:t>2,070</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color w:val="auto"/>
              </w:rPr>
              <w:t>2,274</w:t>
            </w:r>
          </w:p>
        </w:tc>
        <w:tc>
          <w:tcPr>
            <w:tcW w:w="26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color w:val="auto"/>
              </w:rPr>
              <w:t>1,278</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color w:val="auto"/>
              </w:rPr>
              <w:t>3,725</w:t>
            </w:r>
          </w:p>
        </w:tc>
        <w:tc>
          <w:tcPr>
            <w:tcW w:w="18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color w:val="auto"/>
              </w:rPr>
              <w:t>(10,663)</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2,587</w:t>
            </w:r>
          </w:p>
        </w:tc>
      </w:tr>
      <w:tr>
        <w:trPr>
          <w:trHeight w:val="304"/>
        </w:trPr>
        <w:tc>
          <w:tcPr>
            <w:tcW w:w="4280" w:type="dxa"/>
            <w:vAlign w:val="bottom"/>
            <w:gridSpan w:val="2"/>
          </w:tcPr>
          <w:p>
            <w:pPr>
              <w:spacing w:after="0"/>
              <w:rPr>
                <w:sz w:val="20"/>
                <w:szCs w:val="20"/>
                <w:color w:val="auto"/>
              </w:rPr>
            </w:pPr>
            <w:r>
              <w:rPr>
                <w:rFonts w:ascii="Arial" w:cs="Arial" w:eastAsia="Arial" w:hAnsi="Arial"/>
                <w:sz w:val="14"/>
                <w:szCs w:val="14"/>
                <w:color w:val="auto"/>
              </w:rPr>
              <w:t>Comcast 2008 Annual Report on Form 10-K</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74</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and</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CCCL</w:t>
            </w:r>
          </w:p>
        </w:tc>
        <w:tc>
          <w:tcPr>
            <w:tcW w:w="7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CCHMO</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Guarantor</w:t>
            </w:r>
          </w:p>
        </w:tc>
        <w:tc>
          <w:tcPr>
            <w:tcW w:w="10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Parent</w:t>
            </w:r>
          </w:p>
        </w:tc>
        <w:tc>
          <w:tcPr>
            <w:tcW w:w="72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Parents</w:t>
            </w:r>
          </w:p>
        </w:tc>
        <w:tc>
          <w:tcPr>
            <w:tcW w:w="80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Holdings</w:t>
            </w:r>
          </w:p>
        </w:tc>
        <w:tc>
          <w:tcPr>
            <w:tcW w:w="100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6"/>
              </w:rPr>
              <w:t>Adjustments</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Revenue</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24,966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24,966</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526</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193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(1,323)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526</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193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24,966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(1,323)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24,966</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9,819</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9,819</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256</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193</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5,967</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(1,323)</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5,705</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3,818</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3,828</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991</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995</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264</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193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20,595</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(1,323)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20,347</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262</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4,371</w:t>
            </w:r>
          </w:p>
        </w:tc>
        <w:tc>
          <w:tcPr>
            <w:tcW w:w="180" w:type="dxa"/>
            <w:vAlign w:val="bottom"/>
          </w:tcPr>
          <w:p>
            <w:pPr>
              <w:spacing w:after="0"/>
              <w:rPr>
                <w:sz w:val="12"/>
                <w:szCs w:val="12"/>
                <w:color w:val="auto"/>
              </w:rPr>
            </w:pPr>
          </w:p>
        </w:tc>
        <w:tc>
          <w:tcPr>
            <w:tcW w:w="9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4,619</w:t>
            </w: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(776)</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(400)</w:t>
            </w:r>
          </w:p>
        </w:tc>
        <w:tc>
          <w:tcPr>
            <w:tcW w:w="20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(259)</w:t>
            </w:r>
          </w:p>
        </w:tc>
        <w:tc>
          <w:tcPr>
            <w:tcW w:w="2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(236)</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(2,064)</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956</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2,867</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1,509</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1,900</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2,069</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1,266</w:t>
            </w:r>
          </w:p>
        </w:tc>
        <w:tc>
          <w:tcPr>
            <w:tcW w:w="22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(79)</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(9,597)</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114</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2,091</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1,109</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6"/>
              </w:rPr>
              <w:t>1,575</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1,810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1,232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755</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(9,597)</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(1,025)</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Income (loss) from continuing operations before income taxes and</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2,353</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1,109</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1,575</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1,810</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1,218</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5,126</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(9,597)</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3,594</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180</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143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114</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26</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(1,900)</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(1,347)</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 before minority interest</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2,533</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1,252</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w w:val="96"/>
              </w:rPr>
              <w:t>1,689</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1,900</w:t>
            </w:r>
          </w:p>
        </w:tc>
        <w:tc>
          <w:tcPr>
            <w:tcW w:w="260" w:type="dxa"/>
            <w:vAlign w:val="bottom"/>
          </w:tcPr>
          <w:p>
            <w:pPr>
              <w:spacing w:after="0"/>
              <w:rPr>
                <w:sz w:val="12"/>
                <w:szCs w:val="12"/>
                <w:color w:val="auto"/>
              </w:rPr>
            </w:pPr>
          </w:p>
        </w:tc>
        <w:tc>
          <w:tcPr>
            <w:tcW w:w="5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1,244</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3,226</w:t>
            </w:r>
          </w:p>
        </w:tc>
        <w:tc>
          <w:tcPr>
            <w:tcW w:w="180" w:type="dxa"/>
            <w:vAlign w:val="bottom"/>
          </w:tcPr>
          <w:p>
            <w:pPr>
              <w:spacing w:after="0"/>
              <w:rPr>
                <w:sz w:val="12"/>
                <w:szCs w:val="12"/>
                <w:color w:val="auto"/>
              </w:rPr>
            </w:pPr>
          </w:p>
        </w:tc>
        <w:tc>
          <w:tcPr>
            <w:tcW w:w="9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(9,597)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2,247</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2"/>
        </w:trPr>
        <w:tc>
          <w:tcPr>
            <w:tcW w:w="42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Income (loss) from continuing operations</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2,533</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1,252</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6"/>
              </w:rPr>
              <w:t>1,689</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1,900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1,244</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3,214</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(9,597)</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2,235</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Income from discontinued operations, net of tax</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103</w:t>
            </w:r>
          </w:p>
        </w:tc>
        <w:tc>
          <w:tcPr>
            <w:tcW w:w="180" w:type="dxa"/>
            <w:vAlign w:val="bottom"/>
          </w:tcPr>
          <w:p>
            <w:pPr>
              <w:spacing w:after="0"/>
              <w:rPr>
                <w:sz w:val="12"/>
                <w:szCs w:val="12"/>
                <w:color w:val="auto"/>
              </w:rPr>
            </w:pPr>
          </w:p>
        </w:tc>
        <w:tc>
          <w:tcPr>
            <w:tcW w:w="9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103</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Gain on discontinued operations, net of tax</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195</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w:t>
            </w:r>
          </w:p>
        </w:tc>
      </w:tr>
      <w:tr>
        <w:trPr>
          <w:trHeight w:val="142"/>
        </w:trPr>
        <w:tc>
          <w:tcPr>
            <w:tcW w:w="4280" w:type="dxa"/>
            <w:vAlign w:val="bottom"/>
            <w:gridSpan w:val="2"/>
          </w:tcPr>
          <w:p>
            <w:pPr>
              <w:spacing w:after="0" w:line="142" w:lineRule="exact"/>
              <w:rPr>
                <w:sz w:val="20"/>
                <w:szCs w:val="20"/>
                <w:color w:val="auto"/>
              </w:rPr>
            </w:pPr>
            <w:r>
              <w:rPr>
                <w:rFonts w:ascii="Arial" w:cs="Arial" w:eastAsia="Arial" w:hAnsi="Arial"/>
                <w:sz w:val="14"/>
                <w:szCs w:val="14"/>
                <w:color w:val="auto"/>
              </w:rPr>
              <w:t>Net income (loss)</w:t>
            </w:r>
          </w:p>
        </w:tc>
        <w:tc>
          <w:tcPr>
            <w:tcW w:w="420" w:type="dxa"/>
            <w:vAlign w:val="bottom"/>
          </w:tcPr>
          <w:p>
            <w:pPr>
              <w:ind w:left="30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2,533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1,252</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6"/>
              </w:rPr>
              <w:t>1,689</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1,900</w:t>
            </w:r>
          </w:p>
        </w:tc>
        <w:tc>
          <w:tcPr>
            <w:tcW w:w="26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1,244</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3,512</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(9,597)</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2,533</w:t>
            </w:r>
          </w:p>
        </w:tc>
      </w:tr>
      <w:tr>
        <w:trPr>
          <w:trHeight w:val="304"/>
        </w:trPr>
        <w:tc>
          <w:tcPr>
            <w:tcW w:w="20" w:type="dxa"/>
            <w:vAlign w:val="bottom"/>
          </w:tcPr>
          <w:p>
            <w:pPr>
              <w:spacing w:after="0"/>
              <w:rPr>
                <w:sz w:val="24"/>
                <w:szCs w:val="24"/>
                <w:color w:val="auto"/>
              </w:rPr>
            </w:pPr>
          </w:p>
        </w:tc>
        <w:tc>
          <w:tcPr>
            <w:tcW w:w="4260" w:type="dxa"/>
            <w:vAlign w:val="bottom"/>
            <w:tcBorders>
              <w:top w:val="single" w:sz="8" w:color="52A2DD"/>
            </w:tcBorders>
          </w:tcPr>
          <w:p>
            <w:pPr>
              <w:spacing w:after="0"/>
              <w:rPr>
                <w:sz w:val="24"/>
                <w:szCs w:val="24"/>
                <w:color w:val="auto"/>
              </w:rPr>
            </w:pPr>
          </w:p>
        </w:tc>
        <w:tc>
          <w:tcPr>
            <w:tcW w:w="420" w:type="dxa"/>
            <w:vAlign w:val="bottom"/>
            <w:tcBorders>
              <w:top w:val="single" w:sz="8" w:color="52A2DD"/>
            </w:tcBorders>
          </w:tcPr>
          <w:p>
            <w:pPr>
              <w:spacing w:after="0"/>
              <w:rPr>
                <w:sz w:val="24"/>
                <w:szCs w:val="24"/>
                <w:color w:val="auto"/>
              </w:rPr>
            </w:pPr>
          </w:p>
        </w:tc>
        <w:tc>
          <w:tcPr>
            <w:tcW w:w="580" w:type="dxa"/>
            <w:vAlign w:val="bottom"/>
            <w:tcBorders>
              <w:top w:val="single" w:sz="8" w:color="52A2DD"/>
            </w:tcBorders>
          </w:tcPr>
          <w:p>
            <w:pPr>
              <w:spacing w:after="0"/>
              <w:rPr>
                <w:sz w:val="24"/>
                <w:szCs w:val="24"/>
                <w:color w:val="auto"/>
              </w:rPr>
            </w:pPr>
          </w:p>
        </w:tc>
        <w:tc>
          <w:tcPr>
            <w:tcW w:w="180" w:type="dxa"/>
            <w:vAlign w:val="bottom"/>
            <w:tcBorders>
              <w:top w:val="single" w:sz="8" w:color="52A2DD"/>
            </w:tcBorders>
          </w:tcPr>
          <w:p>
            <w:pPr>
              <w:spacing w:after="0"/>
              <w:rPr>
                <w:sz w:val="24"/>
                <w:szCs w:val="24"/>
                <w:color w:val="auto"/>
              </w:rPr>
            </w:pPr>
          </w:p>
        </w:tc>
        <w:tc>
          <w:tcPr>
            <w:tcW w:w="540" w:type="dxa"/>
            <w:vAlign w:val="bottom"/>
            <w:tcBorders>
              <w:top w:val="single" w:sz="8" w:color="52A2DD"/>
            </w:tcBorders>
          </w:tcPr>
          <w:p>
            <w:pPr>
              <w:jc w:val="right"/>
              <w:ind w:right="92"/>
              <w:spacing w:after="0"/>
              <w:rPr>
                <w:sz w:val="20"/>
                <w:szCs w:val="20"/>
                <w:color w:val="auto"/>
              </w:rPr>
            </w:pPr>
            <w:r>
              <w:rPr>
                <w:rFonts w:ascii="Arial" w:cs="Arial" w:eastAsia="Arial" w:hAnsi="Arial"/>
                <w:sz w:val="14"/>
                <w:szCs w:val="14"/>
                <w:b w:val="1"/>
                <w:bCs w:val="1"/>
                <w:color w:val="auto"/>
              </w:rPr>
              <w:t>75</w:t>
            </w:r>
          </w:p>
        </w:tc>
        <w:tc>
          <w:tcPr>
            <w:tcW w:w="200" w:type="dxa"/>
            <w:vAlign w:val="bottom"/>
            <w:tcBorders>
              <w:top w:val="single" w:sz="8" w:color="52A2DD"/>
            </w:tcBorders>
          </w:tcPr>
          <w:p>
            <w:pPr>
              <w:spacing w:after="0"/>
              <w:rPr>
                <w:sz w:val="24"/>
                <w:szCs w:val="24"/>
                <w:color w:val="auto"/>
              </w:rPr>
            </w:pPr>
          </w:p>
        </w:tc>
        <w:tc>
          <w:tcPr>
            <w:tcW w:w="500" w:type="dxa"/>
            <w:vAlign w:val="bottom"/>
            <w:tcBorders>
              <w:top w:val="single" w:sz="8" w:color="52A2DD"/>
            </w:tcBorders>
          </w:tcPr>
          <w:p>
            <w:pPr>
              <w:spacing w:after="0"/>
              <w:rPr>
                <w:sz w:val="24"/>
                <w:szCs w:val="24"/>
                <w:color w:val="auto"/>
              </w:rPr>
            </w:pPr>
          </w:p>
        </w:tc>
        <w:tc>
          <w:tcPr>
            <w:tcW w:w="200" w:type="dxa"/>
            <w:vAlign w:val="bottom"/>
            <w:tcBorders>
              <w:top w:val="single" w:sz="8" w:color="52A2DD"/>
            </w:tcBorders>
          </w:tcPr>
          <w:p>
            <w:pPr>
              <w:spacing w:after="0"/>
              <w:rPr>
                <w:sz w:val="24"/>
                <w:szCs w:val="24"/>
                <w:color w:val="auto"/>
              </w:rPr>
            </w:pPr>
          </w:p>
        </w:tc>
        <w:tc>
          <w:tcPr>
            <w:tcW w:w="68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spacing w:after="0"/>
              <w:rPr>
                <w:sz w:val="24"/>
                <w:szCs w:val="24"/>
                <w:color w:val="auto"/>
              </w:rPr>
            </w:pPr>
          </w:p>
        </w:tc>
        <w:tc>
          <w:tcPr>
            <w:tcW w:w="540" w:type="dxa"/>
            <w:vAlign w:val="bottom"/>
            <w:tcBorders>
              <w:top w:val="single" w:sz="8" w:color="52A2DD"/>
            </w:tcBorders>
          </w:tcPr>
          <w:p>
            <w:pPr>
              <w:spacing w:after="0"/>
              <w:rPr>
                <w:sz w:val="24"/>
                <w:szCs w:val="24"/>
                <w:color w:val="auto"/>
              </w:rPr>
            </w:pPr>
          </w:p>
        </w:tc>
        <w:tc>
          <w:tcPr>
            <w:tcW w:w="220" w:type="dxa"/>
            <w:vAlign w:val="bottom"/>
            <w:tcBorders>
              <w:top w:val="single" w:sz="8" w:color="52A2DD"/>
            </w:tcBorders>
          </w:tcPr>
          <w:p>
            <w:pPr>
              <w:spacing w:after="0"/>
              <w:rPr>
                <w:sz w:val="24"/>
                <w:szCs w:val="24"/>
                <w:color w:val="auto"/>
              </w:rPr>
            </w:pPr>
          </w:p>
        </w:tc>
        <w:tc>
          <w:tcPr>
            <w:tcW w:w="282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2008 Annual Report on Form 10-K</w:t>
            </w: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9"/>
              </w:rPr>
              <w:t>CCCL</w:t>
            </w:r>
          </w:p>
        </w:tc>
        <w:tc>
          <w:tcPr>
            <w:tcW w:w="66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CCCH</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Guarantor</w:t>
            </w:r>
          </w:p>
        </w:tc>
        <w:tc>
          <w:tcPr>
            <w:tcW w:w="10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36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w w:val="92"/>
              </w:rPr>
              <w:t>Parent</w:t>
            </w:r>
          </w:p>
        </w:tc>
        <w:tc>
          <w:tcPr>
            <w:tcW w:w="66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Parents</w:t>
            </w:r>
          </w:p>
        </w:tc>
        <w:tc>
          <w:tcPr>
            <w:tcW w:w="84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Holdings</w:t>
            </w:r>
          </w:p>
        </w:tc>
        <w:tc>
          <w:tcPr>
            <w:tcW w:w="104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6"/>
              </w:rPr>
              <w:t>Adjustments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3600" w:type="dxa"/>
            <w:vAlign w:val="bottom"/>
            <w:gridSpan w:val="2"/>
          </w:tcPr>
          <w:p>
            <w:pPr>
              <w:spacing w:after="0" w:line="141" w:lineRule="exact"/>
              <w:rPr>
                <w:sz w:val="20"/>
                <w:szCs w:val="20"/>
                <w:color w:val="auto"/>
              </w:rPr>
            </w:pPr>
            <w:r>
              <w:rPr>
                <w:rFonts w:ascii="Arial" w:cs="Arial" w:eastAsia="Arial" w:hAnsi="Arial"/>
                <w:sz w:val="14"/>
                <w:szCs w:val="14"/>
                <w:color w:val="auto"/>
              </w:rPr>
              <w:t>Operating Activities</w:t>
            </w: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Net cash provided by (used in)</w:t>
            </w: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operating activities</w:t>
            </w:r>
          </w:p>
        </w:tc>
        <w:tc>
          <w:tcPr>
            <w:tcW w:w="860" w:type="dxa"/>
            <w:vAlign w:val="bottom"/>
            <w:tcBorders>
              <w:bottom w:val="single" w:sz="8" w:color="auto"/>
            </w:tcBorders>
          </w:tcPr>
          <w:p>
            <w:pPr>
              <w:ind w:left="76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(446)</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(241)</w:t>
            </w: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(200)</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(175)</w:t>
            </w:r>
          </w:p>
        </w:tc>
        <w:tc>
          <w:tcPr>
            <w:tcW w:w="30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11,284</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10,231</w:t>
            </w:r>
          </w:p>
        </w:tc>
      </w:tr>
      <w:tr>
        <w:trPr>
          <w:trHeight w:val="141"/>
        </w:trPr>
        <w:tc>
          <w:tcPr>
            <w:tcW w:w="20" w:type="dxa"/>
            <w:vAlign w:val="bottom"/>
          </w:tcPr>
          <w:p>
            <w:pPr>
              <w:spacing w:after="0"/>
              <w:rPr>
                <w:sz w:val="12"/>
                <w:szCs w:val="12"/>
                <w:color w:val="auto"/>
              </w:rPr>
            </w:pPr>
          </w:p>
        </w:tc>
        <w:tc>
          <w:tcPr>
            <w:tcW w:w="3580" w:type="dxa"/>
            <w:vAlign w:val="bottom"/>
          </w:tcPr>
          <w:p>
            <w:pPr>
              <w:spacing w:after="0" w:line="141" w:lineRule="exact"/>
              <w:rPr>
                <w:sz w:val="20"/>
                <w:szCs w:val="20"/>
                <w:color w:val="auto"/>
              </w:rPr>
            </w:pPr>
            <w:r>
              <w:rPr>
                <w:rFonts w:ascii="Arial" w:cs="Arial" w:eastAsia="Arial" w:hAnsi="Arial"/>
                <w:sz w:val="14"/>
                <w:szCs w:val="14"/>
                <w:color w:val="auto"/>
              </w:rPr>
              <w:t>Financing Activities</w:t>
            </w: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8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1,998</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6"/>
              </w:rPr>
              <w:t>1,510</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3,535</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8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(308)</w:t>
            </w:r>
          </w:p>
        </w:tc>
        <w:tc>
          <w:tcPr>
            <w:tcW w:w="20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9"/>
              </w:rPr>
              <w:t>(1,150)</w:t>
            </w:r>
          </w:p>
        </w:tc>
        <w:tc>
          <w:tcPr>
            <w:tcW w:w="14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(541)</w:t>
            </w:r>
          </w:p>
        </w:tc>
        <w:tc>
          <w:tcPr>
            <w:tcW w:w="22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(300)</w:t>
            </w:r>
          </w:p>
        </w:tc>
        <w:tc>
          <w:tcPr>
            <w:tcW w:w="30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(263)</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(2,610)</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8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(2,800)</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8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(547)</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8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53</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(56)</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(94)</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w:t>
            </w:r>
          </w:p>
        </w:tc>
      </w:tr>
      <w:tr>
        <w:trPr>
          <w:trHeight w:val="141"/>
        </w:trPr>
        <w:tc>
          <w:tcPr>
            <w:tcW w:w="20" w:type="dxa"/>
            <w:vAlign w:val="bottom"/>
          </w:tcPr>
          <w:p>
            <w:pPr>
              <w:spacing w:after="0"/>
              <w:rPr>
                <w:sz w:val="12"/>
                <w:szCs w:val="12"/>
                <w:color w:val="auto"/>
              </w:rPr>
            </w:pPr>
          </w:p>
        </w:tc>
        <w:tc>
          <w:tcPr>
            <w:tcW w:w="3580" w:type="dxa"/>
            <w:vAlign w:val="bottom"/>
          </w:tcPr>
          <w:p>
            <w:pPr>
              <w:ind w:left="200"/>
              <w:spacing w:after="0" w:line="141" w:lineRule="exact"/>
              <w:rPr>
                <w:sz w:val="20"/>
                <w:szCs w:val="20"/>
                <w:color w:val="auto"/>
              </w:rPr>
            </w:pPr>
            <w:r>
              <w:rPr>
                <w:rFonts w:ascii="Arial" w:cs="Arial" w:eastAsia="Arial" w:hAnsi="Arial"/>
                <w:sz w:val="14"/>
                <w:szCs w:val="14"/>
                <w:color w:val="auto"/>
              </w:rPr>
              <w:t>Net cash provided by (used in)</w:t>
            </w: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financing activities</w:t>
            </w:r>
          </w:p>
        </w:tc>
        <w:tc>
          <w:tcPr>
            <w:tcW w:w="8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(1,607)</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99"/>
              </w:rPr>
              <w:t>(1,150)</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969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(300)</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(319)</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(115)</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(2,522)</w:t>
            </w:r>
          </w:p>
        </w:tc>
      </w:tr>
      <w:tr>
        <w:trPr>
          <w:trHeight w:val="141"/>
        </w:trPr>
        <w:tc>
          <w:tcPr>
            <w:tcW w:w="20" w:type="dxa"/>
            <w:vAlign w:val="bottom"/>
          </w:tcPr>
          <w:p>
            <w:pPr>
              <w:spacing w:after="0"/>
              <w:rPr>
                <w:sz w:val="12"/>
                <w:szCs w:val="12"/>
                <w:color w:val="auto"/>
              </w:rPr>
            </w:pPr>
          </w:p>
        </w:tc>
        <w:tc>
          <w:tcPr>
            <w:tcW w:w="3580" w:type="dxa"/>
            <w:vAlign w:val="bottom"/>
          </w:tcPr>
          <w:p>
            <w:pPr>
              <w:spacing w:after="0" w:line="141" w:lineRule="exact"/>
              <w:rPr>
                <w:sz w:val="20"/>
                <w:szCs w:val="20"/>
                <w:color w:val="auto"/>
              </w:rPr>
            </w:pPr>
            <w:r>
              <w:rPr>
                <w:rFonts w:ascii="Arial" w:cs="Arial" w:eastAsia="Arial" w:hAnsi="Arial"/>
                <w:sz w:val="14"/>
                <w:szCs w:val="14"/>
                <w:color w:val="auto"/>
              </w:rPr>
              <w:t>Investing Activities</w:t>
            </w: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8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2,269</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1,391</w:t>
            </w:r>
          </w:p>
        </w:tc>
        <w:tc>
          <w:tcPr>
            <w:tcW w:w="14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(769)</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475</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310</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(3,676)</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8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(140)</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(5,610)</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(5,750)</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8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(527)</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8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(738)</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(738)</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8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737</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737</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8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(1,167)</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(1,167)</w:t>
            </w: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44</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1"/>
        </w:trPr>
        <w:tc>
          <w:tcPr>
            <w:tcW w:w="20" w:type="dxa"/>
            <w:vAlign w:val="bottom"/>
          </w:tcPr>
          <w:p>
            <w:pPr>
              <w:spacing w:after="0"/>
              <w:rPr>
                <w:sz w:val="12"/>
                <w:szCs w:val="12"/>
                <w:color w:val="auto"/>
              </w:rPr>
            </w:pPr>
          </w:p>
        </w:tc>
        <w:tc>
          <w:tcPr>
            <w:tcW w:w="3580" w:type="dxa"/>
            <w:vAlign w:val="bottom"/>
          </w:tcPr>
          <w:p>
            <w:pPr>
              <w:ind w:left="200"/>
              <w:spacing w:after="0" w:line="141" w:lineRule="exact"/>
              <w:rPr>
                <w:sz w:val="20"/>
                <w:szCs w:val="20"/>
                <w:color w:val="auto"/>
              </w:rPr>
            </w:pPr>
            <w:r>
              <w:rPr>
                <w:rFonts w:ascii="Arial" w:cs="Arial" w:eastAsia="Arial" w:hAnsi="Arial"/>
                <w:sz w:val="14"/>
                <w:szCs w:val="14"/>
                <w:color w:val="auto"/>
              </w:rPr>
              <w:t>Net cash provided by (used in)</w:t>
            </w: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investing activities</w:t>
            </w:r>
          </w:p>
        </w:tc>
        <w:tc>
          <w:tcPr>
            <w:tcW w:w="8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2,053</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1,391</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(769)</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475</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310</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(10,937)</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(7,477)</w:t>
            </w:r>
          </w:p>
        </w:tc>
      </w:tr>
      <w:tr>
        <w:trPr>
          <w:trHeight w:val="141"/>
        </w:trPr>
        <w:tc>
          <w:tcPr>
            <w:tcW w:w="20" w:type="dxa"/>
            <w:vAlign w:val="bottom"/>
          </w:tcPr>
          <w:p>
            <w:pPr>
              <w:spacing w:after="0"/>
              <w:rPr>
                <w:sz w:val="12"/>
                <w:szCs w:val="12"/>
                <w:color w:val="auto"/>
              </w:rPr>
            </w:pPr>
          </w:p>
        </w:tc>
        <w:tc>
          <w:tcPr>
            <w:tcW w:w="358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w:t>
            </w: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cash equivalents</w:t>
            </w:r>
          </w:p>
        </w:tc>
        <w:tc>
          <w:tcPr>
            <w:tcW w:w="86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232</w:t>
            </w:r>
          </w:p>
        </w:tc>
        <w:tc>
          <w:tcPr>
            <w:tcW w:w="20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r>
      <w:tr>
        <w:trPr>
          <w:trHeight w:val="149"/>
        </w:trPr>
        <w:tc>
          <w:tcPr>
            <w:tcW w:w="36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8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963</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963</w:t>
            </w:r>
          </w:p>
        </w:tc>
      </w:tr>
      <w:tr>
        <w:trPr>
          <w:trHeight w:val="142"/>
        </w:trPr>
        <w:tc>
          <w:tcPr>
            <w:tcW w:w="360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860" w:type="dxa"/>
            <w:vAlign w:val="bottom"/>
            <w:tcBorders>
              <w:bottom w:val="single" w:sz="8" w:color="52A2DD"/>
            </w:tcBorders>
          </w:tcPr>
          <w:p>
            <w:pPr>
              <w:ind w:left="76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52A2DD"/>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1,195</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1,195</w:t>
            </w:r>
          </w:p>
        </w:tc>
      </w:tr>
      <w:tr>
        <w:trPr>
          <w:trHeight w:val="304"/>
        </w:trPr>
        <w:tc>
          <w:tcPr>
            <w:tcW w:w="3600" w:type="dxa"/>
            <w:vAlign w:val="bottom"/>
            <w:gridSpan w:val="2"/>
          </w:tcPr>
          <w:p>
            <w:pPr>
              <w:spacing w:after="0"/>
              <w:rPr>
                <w:sz w:val="20"/>
                <w:szCs w:val="20"/>
                <w:color w:val="auto"/>
              </w:rPr>
            </w:pPr>
            <w:r>
              <w:rPr>
                <w:rFonts w:ascii="Arial" w:cs="Arial" w:eastAsia="Arial" w:hAnsi="Arial"/>
                <w:sz w:val="14"/>
                <w:szCs w:val="14"/>
                <w:color w:val="auto"/>
              </w:rPr>
              <w:t>Comcast 2008 Annual Report on Form 10-K</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Elimination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Non-</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and</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00" w:type="dxa"/>
            <w:vAlign w:val="bottom"/>
            <w:gridSpan w:val="2"/>
          </w:tcPr>
          <w:p>
            <w:pPr>
              <w:ind w:left="1080"/>
              <w:spacing w:after="0" w:line="149" w:lineRule="exact"/>
              <w:rPr>
                <w:sz w:val="20"/>
                <w:szCs w:val="20"/>
                <w:color w:val="auto"/>
              </w:rPr>
            </w:pPr>
            <w:r>
              <w:rPr>
                <w:rFonts w:ascii="Arial" w:cs="Arial" w:eastAsia="Arial" w:hAnsi="Arial"/>
                <w:sz w:val="14"/>
                <w:szCs w:val="14"/>
                <w:color w:val="auto"/>
              </w:rPr>
              <w:t>Comcast</w:t>
            </w:r>
          </w:p>
        </w:tc>
        <w:tc>
          <w:tcPr>
            <w:tcW w:w="6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CCCL</w:t>
            </w: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CCCH</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CCHMO</w:t>
            </w: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39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Parent</w:t>
            </w:r>
          </w:p>
        </w:tc>
        <w:tc>
          <w:tcPr>
            <w:tcW w:w="68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Parent</w:t>
            </w:r>
          </w:p>
        </w:tc>
        <w:tc>
          <w:tcPr>
            <w:tcW w:w="62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Parents</w:t>
            </w:r>
          </w:p>
        </w:tc>
        <w:tc>
          <w:tcPr>
            <w:tcW w:w="76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Holdings</w:t>
            </w:r>
          </w:p>
        </w:tc>
        <w:tc>
          <w:tcPr>
            <w:tcW w:w="960" w:type="dxa"/>
            <w:vAlign w:val="bottom"/>
            <w:tcBorders>
              <w:bottom w:val="single" w:sz="8" w:color="auto"/>
            </w:tcBorders>
            <w:gridSpan w:val="2"/>
          </w:tcPr>
          <w:p>
            <w:pPr>
              <w:jc w:val="right"/>
              <w:ind w:right="52"/>
              <w:spacing w:after="0" w:line="149" w:lineRule="exact"/>
              <w:rPr>
                <w:sz w:val="20"/>
                <w:szCs w:val="20"/>
                <w:color w:val="auto"/>
              </w:rPr>
            </w:pPr>
            <w:r>
              <w:rPr>
                <w:rFonts w:ascii="Arial" w:cs="Arial" w:eastAsia="Arial" w:hAnsi="Arial"/>
                <w:sz w:val="14"/>
                <w:szCs w:val="14"/>
                <w:color w:val="auto"/>
              </w:rPr>
              <w:t>Subsidiaries</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96"/>
              </w:rPr>
              <w:t>Adjustments</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3940" w:type="dxa"/>
            <w:vAlign w:val="bottom"/>
            <w:gridSpan w:val="2"/>
          </w:tcPr>
          <w:p>
            <w:pPr>
              <w:spacing w:after="0" w:line="141" w:lineRule="exact"/>
              <w:rPr>
                <w:sz w:val="20"/>
                <w:szCs w:val="20"/>
                <w:color w:val="auto"/>
              </w:rPr>
            </w:pPr>
            <w:r>
              <w:rPr>
                <w:rFonts w:ascii="Arial" w:cs="Arial" w:eastAsia="Arial" w:hAnsi="Arial"/>
                <w:sz w:val="14"/>
                <w:szCs w:val="14"/>
                <w:color w:val="auto"/>
              </w:rPr>
              <w:t>Operating Activities</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Net cash provided by (used in)</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operating activities</w:t>
            </w:r>
          </w:p>
        </w:tc>
        <w:tc>
          <w:tcPr>
            <w:tcW w:w="1180" w:type="dxa"/>
            <w:vAlign w:val="bottom"/>
            <w:tcBorders>
              <w:bottom w:val="single" w:sz="8" w:color="auto"/>
            </w:tcBorders>
          </w:tcPr>
          <w:p>
            <w:pPr>
              <w:ind w:left="108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(516)</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(246)</w:t>
            </w:r>
          </w:p>
        </w:tc>
        <w:tc>
          <w:tcPr>
            <w:tcW w:w="18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(199)</w:t>
            </w: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(186)</w:t>
            </w:r>
          </w:p>
        </w:tc>
        <w:tc>
          <w:tcPr>
            <w:tcW w:w="30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9,356</w:t>
            </w: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8,189</w:t>
            </w:r>
          </w:p>
        </w:tc>
      </w:tr>
      <w:tr>
        <w:trPr>
          <w:trHeight w:val="141"/>
        </w:trPr>
        <w:tc>
          <w:tcPr>
            <w:tcW w:w="20" w:type="dxa"/>
            <w:vAlign w:val="bottom"/>
          </w:tcPr>
          <w:p>
            <w:pPr>
              <w:spacing w:after="0"/>
              <w:rPr>
                <w:sz w:val="12"/>
                <w:szCs w:val="12"/>
                <w:color w:val="auto"/>
              </w:rPr>
            </w:pPr>
          </w:p>
        </w:tc>
        <w:tc>
          <w:tcPr>
            <w:tcW w:w="3920" w:type="dxa"/>
            <w:vAlign w:val="bottom"/>
          </w:tcPr>
          <w:p>
            <w:pPr>
              <w:spacing w:after="0" w:line="141" w:lineRule="exact"/>
              <w:rPr>
                <w:sz w:val="20"/>
                <w:szCs w:val="20"/>
                <w:color w:val="auto"/>
              </w:rPr>
            </w:pPr>
            <w:r>
              <w:rPr>
                <w:rFonts w:ascii="Arial" w:cs="Arial" w:eastAsia="Arial" w:hAnsi="Arial"/>
                <w:sz w:val="14"/>
                <w:szCs w:val="14"/>
                <w:color w:val="auto"/>
              </w:rPr>
              <w:t>Financing Activities</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11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3,695</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3,713</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11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(600)</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(245)</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(556)</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(1,401)</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1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(3,102)</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(3,102)</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11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412</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r>
      <w:tr>
        <w:trPr>
          <w:trHeight w:val="149"/>
        </w:trPr>
        <w:tc>
          <w:tcPr>
            <w:tcW w:w="20" w:type="dxa"/>
            <w:vAlign w:val="bottom"/>
          </w:tcPr>
          <w:p>
            <w:pPr>
              <w:spacing w:after="0"/>
              <w:rPr>
                <w:sz w:val="12"/>
                <w:szCs w:val="12"/>
                <w:color w:val="auto"/>
              </w:rPr>
            </w:pPr>
          </w:p>
        </w:tc>
        <w:tc>
          <w:tcPr>
            <w:tcW w:w="39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(8)</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82</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w:t>
            </w:r>
          </w:p>
        </w:tc>
      </w:tr>
      <w:tr>
        <w:trPr>
          <w:trHeight w:val="141"/>
        </w:trPr>
        <w:tc>
          <w:tcPr>
            <w:tcW w:w="20" w:type="dxa"/>
            <w:vAlign w:val="bottom"/>
          </w:tcPr>
          <w:p>
            <w:pPr>
              <w:spacing w:after="0"/>
              <w:rPr>
                <w:sz w:val="12"/>
                <w:szCs w:val="12"/>
                <w:color w:val="auto"/>
              </w:rPr>
            </w:pPr>
          </w:p>
        </w:tc>
        <w:tc>
          <w:tcPr>
            <w:tcW w:w="3920" w:type="dxa"/>
            <w:vAlign w:val="bottom"/>
          </w:tcPr>
          <w:p>
            <w:pPr>
              <w:ind w:left="200"/>
              <w:spacing w:after="0" w:line="141" w:lineRule="exact"/>
              <w:rPr>
                <w:sz w:val="20"/>
                <w:szCs w:val="20"/>
                <w:color w:val="auto"/>
              </w:rPr>
            </w:pPr>
            <w:r>
              <w:rPr>
                <w:rFonts w:ascii="Arial" w:cs="Arial" w:eastAsia="Arial" w:hAnsi="Arial"/>
                <w:sz w:val="14"/>
                <w:szCs w:val="14"/>
                <w:color w:val="auto"/>
              </w:rPr>
              <w:t>Net cash provided by (used in)</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financing activities</w:t>
            </w:r>
          </w:p>
        </w:tc>
        <w:tc>
          <w:tcPr>
            <w:tcW w:w="1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993</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(600)</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(253)</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(456)</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(316)</w:t>
            </w:r>
          </w:p>
        </w:tc>
      </w:tr>
      <w:tr>
        <w:trPr>
          <w:trHeight w:val="141"/>
        </w:trPr>
        <w:tc>
          <w:tcPr>
            <w:tcW w:w="20" w:type="dxa"/>
            <w:vAlign w:val="bottom"/>
          </w:tcPr>
          <w:p>
            <w:pPr>
              <w:spacing w:after="0"/>
              <w:rPr>
                <w:sz w:val="12"/>
                <w:szCs w:val="12"/>
                <w:color w:val="auto"/>
              </w:rPr>
            </w:pPr>
          </w:p>
        </w:tc>
        <w:tc>
          <w:tcPr>
            <w:tcW w:w="3920" w:type="dxa"/>
            <w:vAlign w:val="bottom"/>
          </w:tcPr>
          <w:p>
            <w:pPr>
              <w:spacing w:after="0" w:line="141" w:lineRule="exact"/>
              <w:rPr>
                <w:sz w:val="20"/>
                <w:szCs w:val="20"/>
                <w:color w:val="auto"/>
              </w:rPr>
            </w:pPr>
            <w:r>
              <w:rPr>
                <w:rFonts w:ascii="Arial" w:cs="Arial" w:eastAsia="Arial" w:hAnsi="Arial"/>
                <w:sz w:val="14"/>
                <w:szCs w:val="14"/>
                <w:color w:val="auto"/>
              </w:rPr>
              <w:t>Investing Activities</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1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846</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199</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439</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(1,132)</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(6,048)</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(6,158)</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11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(406)</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11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(1,319)</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(1,319)</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11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1,761</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1,761</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11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(2,089)</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(2,089)</w:t>
            </w:r>
          </w:p>
        </w:tc>
      </w:tr>
      <w:tr>
        <w:trPr>
          <w:trHeight w:val="149"/>
        </w:trPr>
        <w:tc>
          <w:tcPr>
            <w:tcW w:w="20" w:type="dxa"/>
            <w:vAlign w:val="bottom"/>
          </w:tcPr>
          <w:p>
            <w:pPr>
              <w:spacing w:after="0"/>
              <w:rPr>
                <w:sz w:val="12"/>
                <w:szCs w:val="12"/>
                <w:color w:val="auto"/>
              </w:rPr>
            </w:pPr>
          </w:p>
        </w:tc>
        <w:tc>
          <w:tcPr>
            <w:tcW w:w="39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134</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w:t>
            </w:r>
          </w:p>
        </w:tc>
      </w:tr>
      <w:tr>
        <w:trPr>
          <w:trHeight w:val="141"/>
        </w:trPr>
        <w:tc>
          <w:tcPr>
            <w:tcW w:w="20" w:type="dxa"/>
            <w:vAlign w:val="bottom"/>
          </w:tcPr>
          <w:p>
            <w:pPr>
              <w:spacing w:after="0"/>
              <w:rPr>
                <w:sz w:val="12"/>
                <w:szCs w:val="12"/>
                <w:color w:val="auto"/>
              </w:rPr>
            </w:pPr>
          </w:p>
        </w:tc>
        <w:tc>
          <w:tcPr>
            <w:tcW w:w="3920" w:type="dxa"/>
            <w:vAlign w:val="bottom"/>
          </w:tcPr>
          <w:p>
            <w:pPr>
              <w:ind w:left="200"/>
              <w:spacing w:after="0" w:line="141" w:lineRule="exact"/>
              <w:rPr>
                <w:sz w:val="20"/>
                <w:szCs w:val="20"/>
                <w:color w:val="auto"/>
              </w:rPr>
            </w:pPr>
            <w:r>
              <w:rPr>
                <w:rFonts w:ascii="Arial" w:cs="Arial" w:eastAsia="Arial" w:hAnsi="Arial"/>
                <w:sz w:val="14"/>
                <w:szCs w:val="14"/>
                <w:color w:val="auto"/>
              </w:rPr>
              <w:t>Net cash provided by (used in)</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investing activities</w:t>
            </w:r>
          </w:p>
        </w:tc>
        <w:tc>
          <w:tcPr>
            <w:tcW w:w="1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846</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199</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439</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(9,099)</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(8,149)</w:t>
            </w:r>
          </w:p>
        </w:tc>
      </w:tr>
      <w:tr>
        <w:trPr>
          <w:trHeight w:val="141"/>
        </w:trPr>
        <w:tc>
          <w:tcPr>
            <w:tcW w:w="20" w:type="dxa"/>
            <w:vAlign w:val="bottom"/>
          </w:tcPr>
          <w:p>
            <w:pPr>
              <w:spacing w:after="0"/>
              <w:rPr>
                <w:sz w:val="12"/>
                <w:szCs w:val="12"/>
                <w:color w:val="auto"/>
              </w:rPr>
            </w:pPr>
          </w:p>
        </w:tc>
        <w:tc>
          <w:tcPr>
            <w:tcW w:w="392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cash equivalents</w:t>
            </w:r>
          </w:p>
        </w:tc>
        <w:tc>
          <w:tcPr>
            <w:tcW w:w="1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(199)</w:t>
            </w:r>
          </w:p>
        </w:tc>
        <w:tc>
          <w:tcPr>
            <w:tcW w:w="16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r>
      <w:tr>
        <w:trPr>
          <w:trHeight w:val="149"/>
        </w:trPr>
        <w:tc>
          <w:tcPr>
            <w:tcW w:w="39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77</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1,162</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1,239</w:t>
            </w:r>
          </w:p>
        </w:tc>
      </w:tr>
      <w:tr>
        <w:trPr>
          <w:trHeight w:val="142"/>
        </w:trPr>
        <w:tc>
          <w:tcPr>
            <w:tcW w:w="394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1180" w:type="dxa"/>
            <w:vAlign w:val="bottom"/>
          </w:tcPr>
          <w:p>
            <w:pPr>
              <w:ind w:left="1080"/>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963</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963</w:t>
            </w:r>
          </w:p>
        </w:tc>
      </w:tr>
      <w:tr>
        <w:trPr>
          <w:trHeight w:val="304"/>
        </w:trPr>
        <w:tc>
          <w:tcPr>
            <w:tcW w:w="20" w:type="dxa"/>
            <w:vAlign w:val="bottom"/>
          </w:tcPr>
          <w:p>
            <w:pPr>
              <w:spacing w:after="0"/>
              <w:rPr>
                <w:sz w:val="24"/>
                <w:szCs w:val="24"/>
                <w:color w:val="auto"/>
              </w:rPr>
            </w:pPr>
          </w:p>
        </w:tc>
        <w:tc>
          <w:tcPr>
            <w:tcW w:w="3920" w:type="dxa"/>
            <w:vAlign w:val="bottom"/>
            <w:tcBorders>
              <w:top w:val="single" w:sz="8" w:color="52A2DD"/>
            </w:tcBorders>
          </w:tcPr>
          <w:p>
            <w:pPr>
              <w:spacing w:after="0"/>
              <w:rPr>
                <w:sz w:val="24"/>
                <w:szCs w:val="24"/>
                <w:color w:val="auto"/>
              </w:rPr>
            </w:pPr>
          </w:p>
        </w:tc>
        <w:tc>
          <w:tcPr>
            <w:tcW w:w="1180" w:type="dxa"/>
            <w:vAlign w:val="bottom"/>
            <w:tcBorders>
              <w:top w:val="single" w:sz="8" w:color="52A2DD"/>
            </w:tcBorders>
          </w:tcPr>
          <w:p>
            <w:pPr>
              <w:spacing w:after="0"/>
              <w:rPr>
                <w:sz w:val="24"/>
                <w:szCs w:val="24"/>
                <w:color w:val="auto"/>
              </w:rPr>
            </w:pPr>
          </w:p>
        </w:tc>
        <w:tc>
          <w:tcPr>
            <w:tcW w:w="52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jc w:val="right"/>
              <w:spacing w:after="0"/>
              <w:rPr>
                <w:sz w:val="20"/>
                <w:szCs w:val="20"/>
                <w:color w:val="auto"/>
              </w:rPr>
            </w:pPr>
            <w:r>
              <w:rPr>
                <w:rFonts w:ascii="Arial" w:cs="Arial" w:eastAsia="Arial" w:hAnsi="Arial"/>
                <w:sz w:val="14"/>
                <w:szCs w:val="14"/>
                <w:b w:val="1"/>
                <w:bCs w:val="1"/>
                <w:color w:val="auto"/>
              </w:rPr>
              <w:t>77</w:t>
            </w:r>
          </w:p>
        </w:tc>
        <w:tc>
          <w:tcPr>
            <w:tcW w:w="440" w:type="dxa"/>
            <w:vAlign w:val="bottom"/>
            <w:tcBorders>
              <w:top w:val="single" w:sz="8" w:color="52A2DD"/>
            </w:tcBorders>
          </w:tcPr>
          <w:p>
            <w:pPr>
              <w:spacing w:after="0"/>
              <w:rPr>
                <w:sz w:val="24"/>
                <w:szCs w:val="24"/>
                <w:color w:val="auto"/>
              </w:rPr>
            </w:pPr>
          </w:p>
        </w:tc>
        <w:tc>
          <w:tcPr>
            <w:tcW w:w="180" w:type="dxa"/>
            <w:vAlign w:val="bottom"/>
            <w:tcBorders>
              <w:top w:val="single" w:sz="8" w:color="52A2DD"/>
            </w:tcBorders>
          </w:tcPr>
          <w:p>
            <w:pPr>
              <w:spacing w:after="0"/>
              <w:rPr>
                <w:sz w:val="24"/>
                <w:szCs w:val="24"/>
                <w:color w:val="auto"/>
              </w:rPr>
            </w:pPr>
          </w:p>
        </w:tc>
        <w:tc>
          <w:tcPr>
            <w:tcW w:w="440" w:type="dxa"/>
            <w:vAlign w:val="bottom"/>
            <w:tcBorders>
              <w:top w:val="single" w:sz="8" w:color="52A2DD"/>
            </w:tcBorders>
          </w:tcPr>
          <w:p>
            <w:pPr>
              <w:spacing w:after="0"/>
              <w:rPr>
                <w:sz w:val="24"/>
                <w:szCs w:val="24"/>
                <w:color w:val="auto"/>
              </w:rPr>
            </w:pPr>
          </w:p>
        </w:tc>
        <w:tc>
          <w:tcPr>
            <w:tcW w:w="180" w:type="dxa"/>
            <w:vAlign w:val="bottom"/>
            <w:tcBorders>
              <w:top w:val="single" w:sz="8" w:color="52A2DD"/>
            </w:tcBorders>
          </w:tcPr>
          <w:p>
            <w:pPr>
              <w:spacing w:after="0"/>
              <w:rPr>
                <w:sz w:val="24"/>
                <w:szCs w:val="24"/>
                <w:color w:val="auto"/>
              </w:rPr>
            </w:pPr>
          </w:p>
        </w:tc>
        <w:tc>
          <w:tcPr>
            <w:tcW w:w="640" w:type="dxa"/>
            <w:vAlign w:val="bottom"/>
            <w:tcBorders>
              <w:top w:val="single" w:sz="8" w:color="52A2DD"/>
            </w:tcBorders>
          </w:tcPr>
          <w:p>
            <w:pPr>
              <w:spacing w:after="0"/>
              <w:rPr>
                <w:sz w:val="24"/>
                <w:szCs w:val="24"/>
                <w:color w:val="auto"/>
              </w:rPr>
            </w:pPr>
          </w:p>
        </w:tc>
        <w:tc>
          <w:tcPr>
            <w:tcW w:w="300" w:type="dxa"/>
            <w:vAlign w:val="bottom"/>
            <w:tcBorders>
              <w:top w:val="single" w:sz="8" w:color="52A2DD"/>
            </w:tcBorders>
          </w:tcPr>
          <w:p>
            <w:pPr>
              <w:spacing w:after="0"/>
              <w:rPr>
                <w:sz w:val="24"/>
                <w:szCs w:val="24"/>
                <w:color w:val="auto"/>
              </w:rPr>
            </w:pPr>
          </w:p>
        </w:tc>
        <w:tc>
          <w:tcPr>
            <w:tcW w:w="460" w:type="dxa"/>
            <w:vAlign w:val="bottom"/>
            <w:tcBorders>
              <w:top w:val="single" w:sz="8" w:color="52A2DD"/>
            </w:tcBorders>
          </w:tcPr>
          <w:p>
            <w:pPr>
              <w:spacing w:after="0"/>
              <w:rPr>
                <w:sz w:val="24"/>
                <w:szCs w:val="24"/>
                <w:color w:val="auto"/>
              </w:rPr>
            </w:pPr>
          </w:p>
        </w:tc>
        <w:tc>
          <w:tcPr>
            <w:tcW w:w="200" w:type="dxa"/>
            <w:vAlign w:val="bottom"/>
            <w:tcBorders>
              <w:top w:val="single" w:sz="8" w:color="52A2DD"/>
            </w:tcBorders>
          </w:tcPr>
          <w:p>
            <w:pPr>
              <w:spacing w:after="0"/>
              <w:rPr>
                <w:sz w:val="24"/>
                <w:szCs w:val="24"/>
                <w:color w:val="auto"/>
              </w:rPr>
            </w:pPr>
          </w:p>
        </w:tc>
        <w:tc>
          <w:tcPr>
            <w:tcW w:w="270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w w:val="98"/>
              </w:rPr>
              <w:t>Comcast 2008 Annual Report on Form 10-K</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6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CCCL</w:t>
            </w: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CCCH</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CCHMO</w:t>
            </w:r>
          </w:p>
        </w:tc>
        <w:tc>
          <w:tcPr>
            <w:tcW w:w="8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8"/>
              </w:rPr>
              <w:t>Guarantor</w:t>
            </w:r>
          </w:p>
        </w:tc>
        <w:tc>
          <w:tcPr>
            <w:tcW w:w="10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37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96"/>
              </w:rPr>
              <w:t>Parent</w:t>
            </w:r>
          </w:p>
        </w:tc>
        <w:tc>
          <w:tcPr>
            <w:tcW w:w="70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Parent</w:t>
            </w:r>
          </w:p>
        </w:tc>
        <w:tc>
          <w:tcPr>
            <w:tcW w:w="66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Parents</w:t>
            </w:r>
          </w:p>
        </w:tc>
        <w:tc>
          <w:tcPr>
            <w:tcW w:w="82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Holdings</w:t>
            </w:r>
          </w:p>
        </w:tc>
        <w:tc>
          <w:tcPr>
            <w:tcW w:w="102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3700" w:type="dxa"/>
            <w:vAlign w:val="bottom"/>
            <w:gridSpan w:val="2"/>
          </w:tcPr>
          <w:p>
            <w:pPr>
              <w:spacing w:after="0" w:line="141" w:lineRule="exact"/>
              <w:rPr>
                <w:sz w:val="20"/>
                <w:szCs w:val="20"/>
                <w:color w:val="auto"/>
              </w:rPr>
            </w:pPr>
            <w:r>
              <w:rPr>
                <w:rFonts w:ascii="Arial" w:cs="Arial" w:eastAsia="Arial" w:hAnsi="Arial"/>
                <w:sz w:val="14"/>
                <w:szCs w:val="14"/>
                <w:color w:val="auto"/>
              </w:rPr>
              <w:t>Operating Activities</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Net cash provided by (used in)</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operating activities</w:t>
            </w:r>
          </w:p>
        </w:tc>
        <w:tc>
          <w:tcPr>
            <w:tcW w:w="960" w:type="dxa"/>
            <w:vAlign w:val="bottom"/>
            <w:tcBorders>
              <w:bottom w:val="single" w:sz="8" w:color="auto"/>
            </w:tcBorders>
          </w:tcPr>
          <w:p>
            <w:pPr>
              <w:ind w:left="84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90</w:t>
            </w:r>
          </w:p>
        </w:tc>
        <w:tc>
          <w:tcPr>
            <w:tcW w:w="22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7"/>
              </w:rPr>
              <w:t>(240)</w:t>
            </w:r>
          </w:p>
        </w:tc>
        <w:tc>
          <w:tcPr>
            <w:tcW w:w="20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(226)</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(224)</w:t>
            </w:r>
          </w:p>
        </w:tc>
        <w:tc>
          <w:tcPr>
            <w:tcW w:w="32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20</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7,198</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6,618</w:t>
            </w:r>
          </w:p>
        </w:tc>
      </w:tr>
      <w:tr>
        <w:trPr>
          <w:trHeight w:val="141"/>
        </w:trPr>
        <w:tc>
          <w:tcPr>
            <w:tcW w:w="20" w:type="dxa"/>
            <w:vAlign w:val="bottom"/>
          </w:tcPr>
          <w:p>
            <w:pPr>
              <w:spacing w:after="0"/>
              <w:rPr>
                <w:sz w:val="12"/>
                <w:szCs w:val="12"/>
                <w:color w:val="auto"/>
              </w:rPr>
            </w:pPr>
          </w:p>
        </w:tc>
        <w:tc>
          <w:tcPr>
            <w:tcW w:w="3680" w:type="dxa"/>
            <w:vAlign w:val="bottom"/>
          </w:tcPr>
          <w:p>
            <w:pPr>
              <w:spacing w:after="0" w:line="141" w:lineRule="exact"/>
              <w:rPr>
                <w:sz w:val="20"/>
                <w:szCs w:val="20"/>
                <w:color w:val="auto"/>
              </w:rPr>
            </w:pPr>
            <w:r>
              <w:rPr>
                <w:rFonts w:ascii="Arial" w:cs="Arial" w:eastAsia="Arial" w:hAnsi="Arial"/>
                <w:sz w:val="14"/>
                <w:szCs w:val="14"/>
                <w:color w:val="auto"/>
              </w:rPr>
              <w:t>Financing Activities</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9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7,474</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7,497</w:t>
            </w: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9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(350)</w:t>
            </w:r>
          </w:p>
        </w:tc>
        <w:tc>
          <w:tcPr>
            <w:tcW w:w="220" w:type="dxa"/>
            <w:vAlign w:val="bottom"/>
          </w:tcPr>
          <w:p>
            <w:pPr>
              <w:spacing w:after="0"/>
              <w:rPr>
                <w:sz w:val="12"/>
                <w:szCs w:val="12"/>
                <w:color w:val="auto"/>
              </w:rPr>
            </w:pPr>
          </w:p>
        </w:tc>
        <w:tc>
          <w:tcPr>
            <w:tcW w:w="4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7"/>
              </w:rPr>
              <w:t>(619)</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(988)</w:t>
            </w:r>
          </w:p>
        </w:tc>
        <w:tc>
          <w:tcPr>
            <w:tcW w:w="32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(2,039)</w:t>
            </w: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9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(2,347)</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(2,347)</w:t>
            </w: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9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410</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r>
      <w:tr>
        <w:trPr>
          <w:trHeight w:val="149"/>
        </w:trPr>
        <w:tc>
          <w:tcPr>
            <w:tcW w:w="20" w:type="dxa"/>
            <w:vAlign w:val="bottom"/>
          </w:tcPr>
          <w:p>
            <w:pPr>
              <w:spacing w:after="0"/>
              <w:rPr>
                <w:sz w:val="12"/>
                <w:szCs w:val="12"/>
                <w:color w:val="auto"/>
              </w:rPr>
            </w:pPr>
          </w:p>
        </w:tc>
        <w:tc>
          <w:tcPr>
            <w:tcW w:w="36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33</w:t>
            </w: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41"/>
        </w:trPr>
        <w:tc>
          <w:tcPr>
            <w:tcW w:w="20" w:type="dxa"/>
            <w:vAlign w:val="bottom"/>
          </w:tcPr>
          <w:p>
            <w:pPr>
              <w:spacing w:after="0"/>
              <w:rPr>
                <w:sz w:val="12"/>
                <w:szCs w:val="12"/>
                <w:color w:val="auto"/>
              </w:rPr>
            </w:pPr>
          </w:p>
        </w:tc>
        <w:tc>
          <w:tcPr>
            <w:tcW w:w="3680" w:type="dxa"/>
            <w:vAlign w:val="bottom"/>
          </w:tcPr>
          <w:p>
            <w:pPr>
              <w:ind w:left="200"/>
              <w:spacing w:after="0" w:line="141" w:lineRule="exact"/>
              <w:rPr>
                <w:sz w:val="20"/>
                <w:szCs w:val="20"/>
                <w:color w:val="auto"/>
              </w:rPr>
            </w:pPr>
            <w:r>
              <w:rPr>
                <w:rFonts w:ascii="Arial" w:cs="Arial" w:eastAsia="Arial" w:hAnsi="Arial"/>
                <w:sz w:val="14"/>
                <w:szCs w:val="14"/>
                <w:color w:val="auto"/>
              </w:rPr>
              <w:t>Net cash provided by (used in)</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financing activities</w:t>
            </w: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5,220</w:t>
            </w: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7"/>
              </w:rPr>
              <w:t>(619)</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(988)</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(40)</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3,546</w:t>
            </w:r>
          </w:p>
        </w:tc>
      </w:tr>
      <w:tr>
        <w:trPr>
          <w:trHeight w:val="141"/>
        </w:trPr>
        <w:tc>
          <w:tcPr>
            <w:tcW w:w="20" w:type="dxa"/>
            <w:vAlign w:val="bottom"/>
          </w:tcPr>
          <w:p>
            <w:pPr>
              <w:spacing w:after="0"/>
              <w:rPr>
                <w:sz w:val="12"/>
                <w:szCs w:val="12"/>
                <w:color w:val="auto"/>
              </w:rPr>
            </w:pPr>
          </w:p>
        </w:tc>
        <w:tc>
          <w:tcPr>
            <w:tcW w:w="3680" w:type="dxa"/>
            <w:vAlign w:val="bottom"/>
          </w:tcPr>
          <w:p>
            <w:pPr>
              <w:spacing w:after="0" w:line="141" w:lineRule="exact"/>
              <w:rPr>
                <w:sz w:val="20"/>
                <w:szCs w:val="20"/>
                <w:color w:val="auto"/>
              </w:rPr>
            </w:pPr>
            <w:r>
              <w:rPr>
                <w:rFonts w:ascii="Arial" w:cs="Arial" w:eastAsia="Arial" w:hAnsi="Arial"/>
                <w:sz w:val="14"/>
                <w:szCs w:val="14"/>
                <w:color w:val="auto"/>
              </w:rPr>
              <w:t>Investing Activities</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9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(5,272)</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859</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1,212</w:t>
            </w:r>
          </w:p>
        </w:tc>
        <w:tc>
          <w:tcPr>
            <w:tcW w:w="32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2,978</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9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(4,387)</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(4,395)</w:t>
            </w: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9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(306)</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9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(5,110)</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(5,110)</w:t>
            </w: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9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2,663</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2,720</w:t>
            </w: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9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(2,812)</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(2,812)</w:t>
            </w:r>
          </w:p>
        </w:tc>
      </w:tr>
      <w:tr>
        <w:trPr>
          <w:trHeight w:val="149"/>
        </w:trPr>
        <w:tc>
          <w:tcPr>
            <w:tcW w:w="20" w:type="dxa"/>
            <w:vAlign w:val="bottom"/>
          </w:tcPr>
          <w:p>
            <w:pPr>
              <w:spacing w:after="0"/>
              <w:rPr>
                <w:sz w:val="12"/>
                <w:szCs w:val="12"/>
                <w:color w:val="auto"/>
              </w:rPr>
            </w:pPr>
          </w:p>
        </w:tc>
        <w:tc>
          <w:tcPr>
            <w:tcW w:w="36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31</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r>
      <w:tr>
        <w:trPr>
          <w:trHeight w:val="141"/>
        </w:trPr>
        <w:tc>
          <w:tcPr>
            <w:tcW w:w="20" w:type="dxa"/>
            <w:vAlign w:val="bottom"/>
          </w:tcPr>
          <w:p>
            <w:pPr>
              <w:spacing w:after="0"/>
              <w:rPr>
                <w:sz w:val="12"/>
                <w:szCs w:val="12"/>
                <w:color w:val="auto"/>
              </w:rPr>
            </w:pPr>
          </w:p>
        </w:tc>
        <w:tc>
          <w:tcPr>
            <w:tcW w:w="3680" w:type="dxa"/>
            <w:vAlign w:val="bottom"/>
          </w:tcPr>
          <w:p>
            <w:pPr>
              <w:ind w:left="200"/>
              <w:spacing w:after="0" w:line="141" w:lineRule="exact"/>
              <w:rPr>
                <w:sz w:val="20"/>
                <w:szCs w:val="20"/>
                <w:color w:val="auto"/>
              </w:rPr>
            </w:pPr>
            <w:r>
              <w:rPr>
                <w:rFonts w:ascii="Arial" w:cs="Arial" w:eastAsia="Arial" w:hAnsi="Arial"/>
                <w:sz w:val="14"/>
                <w:szCs w:val="14"/>
                <w:color w:val="auto"/>
              </w:rPr>
              <w:t>Net cash provided by (used in)</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investing activities</w:t>
            </w: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(5,233)</w:t>
            </w: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859</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226</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1,212</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(6,943)</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(9,872)</w:t>
            </w:r>
          </w:p>
        </w:tc>
      </w:tr>
      <w:tr>
        <w:trPr>
          <w:trHeight w:val="141"/>
        </w:trPr>
        <w:tc>
          <w:tcPr>
            <w:tcW w:w="20" w:type="dxa"/>
            <w:vAlign w:val="bottom"/>
          </w:tcPr>
          <w:p>
            <w:pPr>
              <w:spacing w:after="0"/>
              <w:rPr>
                <w:sz w:val="12"/>
                <w:szCs w:val="12"/>
                <w:color w:val="auto"/>
              </w:rPr>
            </w:pPr>
          </w:p>
        </w:tc>
        <w:tc>
          <w:tcPr>
            <w:tcW w:w="368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00"/>
              <w:spacing w:after="0" w:line="149" w:lineRule="exact"/>
              <w:rPr>
                <w:sz w:val="20"/>
                <w:szCs w:val="20"/>
                <w:color w:val="auto"/>
              </w:rPr>
            </w:pPr>
            <w:r>
              <w:rPr>
                <w:rFonts w:ascii="Arial" w:cs="Arial" w:eastAsia="Arial" w:hAnsi="Arial"/>
                <w:sz w:val="14"/>
                <w:szCs w:val="14"/>
                <w:color w:val="auto"/>
              </w:rPr>
              <w:t>cash equivalents</w:t>
            </w:r>
          </w:p>
        </w:tc>
        <w:tc>
          <w:tcPr>
            <w:tcW w:w="96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215</w:t>
            </w:r>
          </w:p>
        </w:tc>
        <w:tc>
          <w:tcPr>
            <w:tcW w:w="20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r>
      <w:tr>
        <w:trPr>
          <w:trHeight w:val="149"/>
        </w:trPr>
        <w:tc>
          <w:tcPr>
            <w:tcW w:w="37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9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947</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947</w:t>
            </w:r>
          </w:p>
        </w:tc>
      </w:tr>
      <w:tr>
        <w:trPr>
          <w:trHeight w:val="142"/>
        </w:trPr>
        <w:tc>
          <w:tcPr>
            <w:tcW w:w="370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960" w:type="dxa"/>
            <w:vAlign w:val="bottom"/>
            <w:tcBorders>
              <w:bottom w:val="single" w:sz="8" w:color="52A2DD"/>
            </w:tcBorders>
          </w:tcPr>
          <w:p>
            <w:pPr>
              <w:ind w:left="84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color w:val="auto"/>
              </w:rPr>
              <w:t>77</w:t>
            </w:r>
          </w:p>
        </w:tc>
        <w:tc>
          <w:tcPr>
            <w:tcW w:w="22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color w:val="auto"/>
              </w:rPr>
              <w:t>1,162</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1,239</w:t>
            </w:r>
          </w:p>
        </w:tc>
      </w:tr>
      <w:tr>
        <w:trPr>
          <w:trHeight w:val="304"/>
        </w:trPr>
        <w:tc>
          <w:tcPr>
            <w:tcW w:w="3700" w:type="dxa"/>
            <w:vAlign w:val="bottom"/>
            <w:gridSpan w:val="2"/>
          </w:tcPr>
          <w:p>
            <w:pPr>
              <w:spacing w:after="0"/>
              <w:rPr>
                <w:sz w:val="20"/>
                <w:szCs w:val="20"/>
                <w:color w:val="auto"/>
              </w:rPr>
            </w:pPr>
            <w:r>
              <w:rPr>
                <w:rFonts w:ascii="Arial" w:cs="Arial" w:eastAsia="Arial" w:hAnsi="Arial"/>
                <w:sz w:val="14"/>
                <w:szCs w:val="14"/>
                <w:color w:val="auto"/>
              </w:rPr>
              <w:t>Comcast 2008 Annual Report on Form 10-K</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78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700"/>
        <w:spacing w:after="0" w:line="253" w:lineRule="auto"/>
        <w:rPr>
          <w:sz w:val="20"/>
          <w:szCs w:val="20"/>
          <w:color w:val="auto"/>
        </w:rPr>
      </w:pPr>
      <w:r>
        <w:rPr>
          <w:rFonts w:ascii="Arial" w:cs="Arial" w:eastAsia="Arial" w:hAnsi="Arial"/>
          <w:sz w:val="24"/>
          <w:szCs w:val="24"/>
          <w:color w:val="52A2DD"/>
        </w:rPr>
        <w:t>Item 9: Changes in and Disagreements With Accountants on Accounting and Financial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color w:val="52A2DD"/>
        </w:rPr>
        <w:t>Item 9A: Controls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the Securities Exchange Act of 1934 Rules 13a-15(e) and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right="440"/>
        <w:spacing w:after="0" w:line="247" w:lineRule="auto"/>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-892810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Refer to Management’s Report on Internal Control Over Financial Reporting on </w:t>
      </w:r>
      <w:hyperlink w:anchor="page41">
        <w:r>
          <w:rPr>
            <w:rFonts w:ascii="Arial" w:cs="Arial" w:eastAsia="Arial" w:hAnsi="Arial"/>
            <w:sz w:val="18"/>
            <w:szCs w:val="18"/>
            <w:u w:val="single" w:color="auto"/>
            <w:color w:val="0000EE"/>
          </w:rPr>
          <w:t>page 39</w:t>
        </w:r>
      </w:hyperlink>
      <w:r>
        <w:rPr>
          <w:rFonts w:ascii="Arial" w:cs="Arial" w:eastAsia="Arial" w:hAnsi="Arial"/>
          <w:sz w:val="18"/>
          <w:szCs w:val="18"/>
          <w:color w:val="auto"/>
        </w:rPr>
        <w:t>.</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8" w:lineRule="exact"/>
        <w:rPr>
          <w:sz w:val="20"/>
          <w:szCs w:val="20"/>
          <w:color w:val="auto"/>
        </w:rPr>
      </w:pPr>
    </w:p>
    <w:p>
      <w:pPr>
        <w:jc w:val="both"/>
        <w:ind w:left="140" w:right="120"/>
        <w:spacing w:after="0" w:line="239" w:lineRule="auto"/>
        <w:rPr>
          <w:rFonts w:ascii="Arial" w:cs="Arial" w:eastAsia="Arial" w:hAnsi="Arial"/>
          <w:sz w:val="18"/>
          <w:szCs w:val="18"/>
          <w:color w:val="0000EE"/>
        </w:rPr>
      </w:pPr>
      <w:r>
        <w:rPr>
          <w:rFonts w:ascii="Arial" w:cs="Arial" w:eastAsia="Arial" w:hAnsi="Arial"/>
          <w:sz w:val="18"/>
          <w:szCs w:val="18"/>
          <w:color w:val="auto"/>
        </w:rPr>
        <w:t xml:space="preserve">Refer to Report of Independent Registered Public Accounting Firm on </w:t>
      </w:r>
      <w:hyperlink w:anchor="page42">
        <w:r>
          <w:rPr>
            <w:rFonts w:ascii="Arial" w:cs="Arial" w:eastAsia="Arial" w:hAnsi="Arial"/>
            <w:sz w:val="18"/>
            <w:szCs w:val="18"/>
            <w:u w:val="single" w:color="auto"/>
            <w:color w:val="0000EE"/>
          </w:rPr>
          <w:t>page 40</w:t>
        </w:r>
      </w:hyperlink>
      <w:r>
        <w:rPr>
          <w:rFonts w:ascii="Arial" w:cs="Arial" w:eastAsia="Arial" w:hAnsi="Arial"/>
          <w:sz w:val="18"/>
          <w:szCs w:val="18"/>
          <w:color w:val="000000"/>
        </w:rPr>
        <w:t>.</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jc w:val="both"/>
        <w:ind w:left="140" w:right="120"/>
        <w:spacing w:after="0" w:line="273"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365" w:lineRule="exact"/>
        <w:rPr>
          <w:sz w:val="20"/>
          <w:szCs w:val="20"/>
          <w:color w:val="auto"/>
        </w:rPr>
      </w:pPr>
    </w:p>
    <w:p>
      <w:pPr>
        <w:ind w:left="140"/>
        <w:spacing w:after="0"/>
        <w:rPr>
          <w:sz w:val="20"/>
          <w:szCs w:val="20"/>
          <w:color w:val="auto"/>
        </w:rPr>
      </w:pPr>
      <w:r>
        <w:rPr>
          <w:rFonts w:ascii="Arial" w:cs="Arial" w:eastAsia="Arial" w:hAnsi="Arial"/>
          <w:sz w:val="24"/>
          <w:szCs w:val="24"/>
          <w:color w:val="52A2DD"/>
        </w:rPr>
        <w:t>Item 9B: Other Information</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None.</w:t>
      </w:r>
    </w:p>
    <w:p>
      <w:pPr>
        <w:spacing w:after="0" w:line="232"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79</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10: Directors and Executive Officers of the Registrant</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2009. We refer to this proxy statement as the 2009 Proxy Statement.</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Except for our Chairman and CEO (who continues in these offices through May 26, 2010 or earlier upon his death, resignation or removal), the term of office of each of our officers continues until his or her successor is selected and qualified, or until his or her earlier death, resignation or removal. The following table sets forth information concerning our executive officers, including their ages, positions and tenure as of December 31,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4"/>
                <w:szCs w:val="14"/>
                <w:color w:val="auto"/>
              </w:rPr>
              <w:t>Officer</w:t>
            </w:r>
          </w:p>
        </w:tc>
        <w:tc>
          <w:tcPr>
            <w:tcW w:w="7480" w:type="dxa"/>
            <w:vAlign w:val="bottom"/>
          </w:tcPr>
          <w:p>
            <w:pPr>
              <w:spacing w:after="0"/>
              <w:rPr>
                <w:sz w:val="14"/>
                <w:szCs w:val="14"/>
                <w:color w:val="auto"/>
              </w:rPr>
            </w:pPr>
          </w:p>
        </w:tc>
      </w:tr>
      <w:tr>
        <w:trPr>
          <w:trHeight w:val="149"/>
        </w:trPr>
        <w:tc>
          <w:tcPr>
            <w:tcW w:w="2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Name</w:t>
            </w:r>
          </w:p>
        </w:tc>
        <w:tc>
          <w:tcPr>
            <w:tcW w:w="1000" w:type="dxa"/>
            <w:vAlign w:val="bottom"/>
            <w:tcBorders>
              <w:bottom w:val="single" w:sz="8" w:color="auto"/>
            </w:tcBorders>
          </w:tcPr>
          <w:p>
            <w:pPr>
              <w:jc w:val="right"/>
              <w:ind w:right="75"/>
              <w:spacing w:after="0" w:line="149" w:lineRule="exact"/>
              <w:rPr>
                <w:sz w:val="20"/>
                <w:szCs w:val="20"/>
                <w:color w:val="auto"/>
              </w:rPr>
            </w:pPr>
            <w:r>
              <w:rPr>
                <w:rFonts w:ascii="Arial" w:cs="Arial" w:eastAsia="Arial" w:hAnsi="Arial"/>
                <w:sz w:val="14"/>
                <w:szCs w:val="14"/>
                <w:color w:val="auto"/>
              </w:rPr>
              <w:t>Age</w:t>
            </w:r>
          </w:p>
        </w:tc>
        <w:tc>
          <w:tcPr>
            <w:tcW w:w="740" w:type="dxa"/>
            <w:vAlign w:val="bottom"/>
            <w:tcBorders>
              <w:bottom w:val="single" w:sz="8" w:color="auto"/>
            </w:tcBorders>
          </w:tcPr>
          <w:p>
            <w:pPr>
              <w:jc w:val="right"/>
              <w:ind w:right="77"/>
              <w:spacing w:after="0" w:line="149" w:lineRule="exact"/>
              <w:rPr>
                <w:sz w:val="20"/>
                <w:szCs w:val="20"/>
                <w:color w:val="auto"/>
              </w:rPr>
            </w:pPr>
            <w:r>
              <w:rPr>
                <w:rFonts w:ascii="Arial" w:cs="Arial" w:eastAsia="Arial" w:hAnsi="Arial"/>
                <w:sz w:val="14"/>
                <w:szCs w:val="14"/>
                <w:color w:val="auto"/>
              </w:rPr>
              <w:t>Since</w:t>
            </w:r>
          </w:p>
        </w:tc>
        <w:tc>
          <w:tcPr>
            <w:tcW w:w="748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Position with Comcast</w:t>
            </w:r>
          </w:p>
        </w:tc>
      </w:tr>
      <w:tr>
        <w:trPr>
          <w:trHeight w:val="199"/>
        </w:trPr>
        <w:tc>
          <w:tcPr>
            <w:tcW w:w="220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1000" w:type="dxa"/>
            <w:vAlign w:val="bottom"/>
          </w:tcPr>
          <w:p>
            <w:pPr>
              <w:jc w:val="right"/>
              <w:ind w:right="75"/>
              <w:spacing w:after="0" w:line="200" w:lineRule="exact"/>
              <w:rPr>
                <w:sz w:val="20"/>
                <w:szCs w:val="20"/>
                <w:color w:val="auto"/>
              </w:rPr>
            </w:pPr>
            <w:r>
              <w:rPr>
                <w:rFonts w:ascii="Arial" w:cs="Arial" w:eastAsia="Arial" w:hAnsi="Arial"/>
                <w:sz w:val="18"/>
                <w:szCs w:val="18"/>
                <w:color w:val="auto"/>
              </w:rPr>
              <w:t>49</w:t>
            </w:r>
          </w:p>
        </w:tc>
        <w:tc>
          <w:tcPr>
            <w:tcW w:w="740" w:type="dxa"/>
            <w:vAlign w:val="bottom"/>
          </w:tcPr>
          <w:p>
            <w:pPr>
              <w:jc w:val="right"/>
              <w:ind w:right="77"/>
              <w:spacing w:after="0" w:line="200" w:lineRule="exact"/>
              <w:rPr>
                <w:sz w:val="20"/>
                <w:szCs w:val="20"/>
                <w:color w:val="auto"/>
              </w:rPr>
            </w:pPr>
            <w:r>
              <w:rPr>
                <w:rFonts w:ascii="Arial" w:cs="Arial" w:eastAsia="Arial" w:hAnsi="Arial"/>
                <w:sz w:val="18"/>
                <w:szCs w:val="18"/>
                <w:color w:val="auto"/>
              </w:rPr>
              <w:t>1986</w:t>
            </w:r>
          </w:p>
        </w:tc>
        <w:tc>
          <w:tcPr>
            <w:tcW w:w="7480" w:type="dxa"/>
            <w:vAlign w:val="bottom"/>
          </w:tcPr>
          <w:p>
            <w:pPr>
              <w:ind w:left="180"/>
              <w:spacing w:after="0" w:line="200" w:lineRule="exact"/>
              <w:rPr>
                <w:sz w:val="20"/>
                <w:szCs w:val="20"/>
                <w:color w:val="auto"/>
              </w:rPr>
            </w:pPr>
            <w:r>
              <w:rPr>
                <w:rFonts w:ascii="Arial" w:cs="Arial" w:eastAsia="Arial" w:hAnsi="Arial"/>
                <w:sz w:val="18"/>
                <w:szCs w:val="18"/>
                <w:color w:val="auto"/>
              </w:rPr>
              <w:t>Chairman and CEO; President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10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44</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2007</w:t>
            </w:r>
          </w:p>
        </w:tc>
        <w:tc>
          <w:tcPr>
            <w:tcW w:w="7480" w:type="dxa"/>
            <w:vAlign w:val="bottom"/>
          </w:tcPr>
          <w:p>
            <w:pPr>
              <w:ind w:left="180"/>
              <w:spacing w:after="0" w:line="202" w:lineRule="exact"/>
              <w:rPr>
                <w:sz w:val="20"/>
                <w:szCs w:val="20"/>
                <w:color w:val="auto"/>
              </w:rPr>
            </w:pPr>
            <w:r>
              <w:rPr>
                <w:rFonts w:ascii="Arial" w:cs="Arial" w:eastAsia="Arial" w:hAnsi="Arial"/>
                <w:sz w:val="18"/>
                <w:szCs w:val="18"/>
                <w:color w:val="auto"/>
              </w:rPr>
              <w:t>Executive Vice President; Chief Financial Officer</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10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50</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1998</w:t>
            </w:r>
          </w:p>
        </w:tc>
        <w:tc>
          <w:tcPr>
            <w:tcW w:w="7480" w:type="dxa"/>
            <w:vAlign w:val="bottom"/>
          </w:tcPr>
          <w:p>
            <w:pPr>
              <w:ind w:left="180"/>
              <w:spacing w:after="0" w:line="202" w:lineRule="exact"/>
              <w:rPr>
                <w:sz w:val="20"/>
                <w:szCs w:val="20"/>
                <w:color w:val="auto"/>
              </w:rPr>
            </w:pPr>
            <w:r>
              <w:rPr>
                <w:rFonts w:ascii="Arial" w:cs="Arial" w:eastAsia="Arial" w:hAnsi="Arial"/>
                <w:sz w:val="18"/>
                <w:szCs w:val="18"/>
                <w:color w:val="auto"/>
              </w:rPr>
              <w:t>Executive Vice President; Chief Operating Officer; President, Comcast Cable</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10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53</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2002</w:t>
            </w:r>
          </w:p>
        </w:tc>
        <w:tc>
          <w:tcPr>
            <w:tcW w:w="7480" w:type="dxa"/>
            <w:vAlign w:val="bottom"/>
          </w:tcPr>
          <w:p>
            <w:pPr>
              <w:ind w:left="18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10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53</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1993</w:t>
            </w:r>
          </w:p>
        </w:tc>
        <w:tc>
          <w:tcPr>
            <w:tcW w:w="748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 General Counsel; Secretary</w:t>
            </w:r>
          </w:p>
        </w:tc>
      </w:tr>
      <w:tr>
        <w:trPr>
          <w:trHeight w:val="199"/>
        </w:trPr>
        <w:tc>
          <w:tcPr>
            <w:tcW w:w="2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100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52</w:t>
            </w:r>
          </w:p>
        </w:tc>
        <w:tc>
          <w:tcPr>
            <w:tcW w:w="74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2000</w:t>
            </w:r>
          </w:p>
        </w:tc>
        <w:tc>
          <w:tcPr>
            <w:tcW w:w="7480" w:type="dxa"/>
            <w:vAlign w:val="bottom"/>
            <w:tcBorders>
              <w:bottom w:val="single" w:sz="8" w:color="auto"/>
            </w:tcBorders>
          </w:tcPr>
          <w:p>
            <w:pPr>
              <w:ind w:left="180"/>
              <w:spacing w:after="0" w:line="200" w:lineRule="exact"/>
              <w:rPr>
                <w:sz w:val="20"/>
                <w:szCs w:val="20"/>
                <w:color w:val="auto"/>
              </w:rPr>
            </w:pPr>
            <w:r>
              <w:rPr>
                <w:rFonts w:ascii="Arial" w:cs="Arial" w:eastAsia="Arial" w:hAnsi="Arial"/>
                <w:sz w:val="18"/>
                <w:szCs w:val="18"/>
                <w:color w:val="auto"/>
              </w:rPr>
              <w:t>Senior Vice President; Chief Accounting Officer; Controller</w:t>
            </w: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both"/>
        <w:spacing w:after="0" w:line="275" w:lineRule="auto"/>
        <w:rPr>
          <w:sz w:val="20"/>
          <w:szCs w:val="20"/>
          <w:color w:val="auto"/>
        </w:rPr>
      </w:pPr>
      <w:r>
        <w:rPr>
          <w:rFonts w:ascii="Arial" w:cs="Arial" w:eastAsia="Arial" w:hAnsi="Arial"/>
          <w:sz w:val="16"/>
          <w:szCs w:val="16"/>
          <w:i w:val="1"/>
          <w:iCs w:val="1"/>
          <w:color w:val="auto"/>
        </w:rPr>
        <w:t xml:space="preserve">Brian L. Roberts </w:t>
      </w:r>
      <w:r>
        <w:rPr>
          <w:rFonts w:ascii="Arial" w:cs="Arial" w:eastAsia="Arial" w:hAnsi="Arial"/>
          <w:sz w:val="16"/>
          <w:szCs w:val="16"/>
          <w:color w:val="auto"/>
        </w:rPr>
        <w:t>has served as a director and as our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for more than five years and our Chairman of the Board since May 2004. As of December 31, 2008, Mr. Roberts had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 over approximately 33</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combined voting</w:t>
      </w:r>
    </w:p>
    <w:p>
      <w:pPr>
        <w:spacing w:after="0" w:line="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power of our two classes of voting common stock. He is a son of Mr. Ralph J. Roberts. Mr. Roberts is also a director of Comcast Holdings, a director of the National Cable and Telecommunications Association and Chairman of CableLabs.</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Michael J. Angelakis </w:t>
      </w:r>
      <w:r>
        <w:rPr>
          <w:rFonts w:ascii="Arial" w:cs="Arial" w:eastAsia="Arial" w:hAnsi="Arial"/>
          <w:sz w:val="18"/>
          <w:szCs w:val="18"/>
          <w:color w:val="auto"/>
        </w:rPr>
        <w:t>has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Comcast Corporation since March 2007. Before March 2007, Mr. Angelakis served as Managing Director and as a member of the Management and Investment Committees of Providence Equity Partners for more than five years. Mr. Angelakis is also a director of Comcast Holdings.</w:t>
      </w:r>
    </w:p>
    <w:p>
      <w:pPr>
        <w:spacing w:after="0" w:line="20" w:lineRule="exact"/>
        <w:rPr>
          <w:sz w:val="20"/>
          <w:szCs w:val="20"/>
          <w:color w:val="auto"/>
        </w:rPr>
      </w:pPr>
      <w:r>
        <w:rPr>
          <w:sz w:val="20"/>
          <w:szCs w:val="20"/>
          <w:color w:val="auto"/>
        </w:rPr>
        <w:br w:type="column"/>
      </w:r>
    </w:p>
    <w:p>
      <w:pPr>
        <w:jc w:val="both"/>
        <w:ind w:right="120"/>
        <w:spacing w:after="0" w:line="241"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our Chief Operating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2004 and as our Executive Vice President and President of Comcast Cable and Comcast Cable Communications Holdings for more than five years. Mr. Burke is also a director of JPMorgan Chase &amp; Company.</w:t>
      </w:r>
    </w:p>
    <w:p>
      <w:pPr>
        <w:spacing w:after="0" w:line="136"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an Executive Vice President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five years. Mr. Cohen is also a director of Comcast Holdings.</w:t>
      </w:r>
    </w:p>
    <w:p>
      <w:pPr>
        <w:spacing w:after="0" w:line="119"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our Senior Vice President,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Secretary for more than five years. Mr. Block is also a director of Comcast Holdings.</w:t>
      </w:r>
    </w:p>
    <w:p>
      <w:pPr>
        <w:spacing w:after="0" w:line="131"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our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for more than five years and as Chief Accounting Officer since May 2004.</w:t>
      </w:r>
    </w:p>
    <w:p>
      <w:pPr>
        <w:spacing w:after="0" w:line="203"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bl>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11: Executive Compensation</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2009 Proxy Statement.</w:t>
      </w:r>
    </w:p>
    <w:p>
      <w:pPr>
        <w:spacing w:after="0" w:line="337" w:lineRule="exact"/>
        <w:rPr>
          <w:sz w:val="20"/>
          <w:szCs w:val="20"/>
          <w:color w:val="auto"/>
        </w:rPr>
      </w:pPr>
    </w:p>
    <w:p>
      <w:pPr>
        <w:ind w:right="180"/>
        <w:spacing w:after="0" w:line="260" w:lineRule="auto"/>
        <w:rPr>
          <w:sz w:val="20"/>
          <w:szCs w:val="20"/>
          <w:color w:val="auto"/>
        </w:rPr>
      </w:pPr>
      <w:r>
        <w:rPr>
          <w:rFonts w:ascii="Arial" w:cs="Arial" w:eastAsia="Arial" w:hAnsi="Arial"/>
          <w:sz w:val="24"/>
          <w:szCs w:val="24"/>
          <w:color w:val="52A2DD"/>
        </w:rPr>
        <w:t>Item 12: Security Ownership of Certain Beneficial Owners and Management</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2009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right="960"/>
        <w:spacing w:after="0" w:line="260" w:lineRule="auto"/>
        <w:rPr>
          <w:sz w:val="20"/>
          <w:szCs w:val="20"/>
          <w:color w:val="auto"/>
        </w:rPr>
      </w:pPr>
      <w:r>
        <w:rPr>
          <w:rFonts w:ascii="Arial" w:cs="Arial" w:eastAsia="Arial" w:hAnsi="Arial"/>
          <w:sz w:val="24"/>
          <w:szCs w:val="24"/>
          <w:color w:val="52A2DD"/>
        </w:rPr>
        <w:t>Item 13: 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-1010920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8" w:lineRule="exact"/>
        <w:rPr>
          <w:sz w:val="20"/>
          <w:szCs w:val="20"/>
          <w:color w:val="auto"/>
        </w:rPr>
      </w:pPr>
    </w:p>
    <w:p>
      <w:pPr>
        <w:ind w:left="140" w:right="120"/>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2009 Proxy Statement.</w:t>
      </w:r>
    </w:p>
    <w:p>
      <w:pPr>
        <w:spacing w:after="0" w:line="337" w:lineRule="exact"/>
        <w:rPr>
          <w:sz w:val="20"/>
          <w:szCs w:val="20"/>
          <w:color w:val="auto"/>
        </w:rPr>
      </w:pPr>
    </w:p>
    <w:p>
      <w:pPr>
        <w:ind w:left="140"/>
        <w:spacing w:after="0"/>
        <w:rPr>
          <w:sz w:val="20"/>
          <w:szCs w:val="20"/>
          <w:color w:val="auto"/>
        </w:rPr>
      </w:pPr>
      <w:r>
        <w:rPr>
          <w:rFonts w:ascii="Arial" w:cs="Arial" w:eastAsia="Arial" w:hAnsi="Arial"/>
          <w:sz w:val="24"/>
          <w:szCs w:val="24"/>
          <w:color w:val="52A2DD"/>
        </w:rPr>
        <w:t>Item 14: Principal Accountant Fees and Services</w:t>
      </w:r>
    </w:p>
    <w:p>
      <w:pPr>
        <w:spacing w:after="0" w:line="177" w:lineRule="exact"/>
        <w:rPr>
          <w:sz w:val="20"/>
          <w:szCs w:val="20"/>
          <w:color w:val="auto"/>
        </w:rPr>
      </w:pPr>
    </w:p>
    <w:p>
      <w:pPr>
        <w:ind w:left="140" w:right="120"/>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2009 Proxy Statement.</w:t>
      </w:r>
    </w:p>
    <w:p>
      <w:pPr>
        <w:spacing w:after="0" w:line="155" w:lineRule="exact"/>
        <w:rPr>
          <w:sz w:val="20"/>
          <w:szCs w:val="20"/>
          <w:color w:val="auto"/>
        </w:rPr>
      </w:pPr>
    </w:p>
    <w:p>
      <w:pPr>
        <w:ind w:left="140" w:right="140"/>
        <w:spacing w:after="0" w:line="239" w:lineRule="auto"/>
        <w:rPr>
          <w:sz w:val="20"/>
          <w:szCs w:val="20"/>
          <w:color w:val="auto"/>
        </w:rPr>
      </w:pPr>
      <w:r>
        <w:rPr>
          <w:rFonts w:ascii="Arial" w:cs="Arial" w:eastAsia="Arial" w:hAnsi="Arial"/>
          <w:sz w:val="18"/>
          <w:szCs w:val="18"/>
          <w:color w:val="auto"/>
        </w:rPr>
        <w:t>We will file our 2009 Proxy Statement for our annual meeting of shareholders with the SEC on or before April 30, 2009.</w:t>
      </w:r>
    </w:p>
    <w:p>
      <w:pPr>
        <w:spacing w:after="0" w:line="230"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2"/>
          <w:szCs w:val="12"/>
          <w:color w:val="auto"/>
        </w:rPr>
        <w:t>Comcast 2008 Annual Report on Form 10-K</w:t>
      </w:r>
    </w:p>
    <w:p>
      <w:pPr>
        <w:sectPr>
          <w:pgSz w:w="11900" w:h="16838" w:orient="portrait"/>
          <w:cols w:equalWidth="0" w:num="2">
            <w:col w:w="5480" w:space="200"/>
            <w:col w:w="574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IV</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15: Exhibits and Financial Statement Schedules</w:t>
      </w:r>
    </w:p>
    <w:p>
      <w:pPr>
        <w:spacing w:after="0" w:line="177" w:lineRule="exact"/>
        <w:rPr>
          <w:sz w:val="20"/>
          <w:szCs w:val="20"/>
          <w:color w:val="auto"/>
        </w:rPr>
      </w:pPr>
    </w:p>
    <w:p>
      <w:pPr>
        <w:jc w:val="both"/>
        <w:ind w:firstLine="8"/>
        <w:spacing w:after="0" w:line="237" w:lineRule="auto"/>
        <w:tabs>
          <w:tab w:leader="none" w:pos="270" w:val="left"/>
        </w:tabs>
        <w:numPr>
          <w:ilvl w:val="0"/>
          <w:numId w:val="25"/>
        </w:numPr>
        <w:rPr>
          <w:rFonts w:ascii="Arial" w:cs="Arial" w:eastAsia="Arial" w:hAnsi="Arial"/>
          <w:sz w:val="18"/>
          <w:szCs w:val="18"/>
          <w:color w:val="0000EE"/>
        </w:rPr>
      </w:pPr>
      <w:r>
        <w:rPr>
          <w:rFonts w:ascii="Arial" w:cs="Arial" w:eastAsia="Arial" w:hAnsi="Arial"/>
          <w:sz w:val="18"/>
          <w:szCs w:val="18"/>
          <w:color w:val="auto"/>
        </w:rPr>
        <w:t xml:space="preserve">Our consolidated financial statements are filed as a part of this report on Form 10-K in Item 8, Financial Statements and Supplementary Data, and a list of the consolidated financial statements are found on </w:t>
      </w:r>
      <w:hyperlink w:anchor="page40">
        <w:r>
          <w:rPr>
            <w:rFonts w:ascii="Arial" w:cs="Arial" w:eastAsia="Arial" w:hAnsi="Arial"/>
            <w:sz w:val="18"/>
            <w:szCs w:val="18"/>
            <w:u w:val="single" w:color="auto"/>
            <w:color w:val="0000EE"/>
          </w:rPr>
          <w:t>page 38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this report. Schedule II, Valuation and Qualifying Accounts, is found on </w:t>
      </w:r>
      <w:hyperlink w:anchor="page89">
        <w:r>
          <w:rPr>
            <w:rFonts w:ascii="Arial" w:cs="Arial" w:eastAsia="Arial" w:hAnsi="Arial"/>
            <w:sz w:val="18"/>
            <w:szCs w:val="18"/>
            <w:u w:val="single" w:color="auto"/>
            <w:color w:val="0000EE"/>
          </w:rPr>
          <w:t>page 87</w:t>
        </w:r>
        <w:r>
          <w:rPr>
            <w:rFonts w:ascii="Arial" w:cs="Arial" w:eastAsia="Arial" w:hAnsi="Arial"/>
            <w:sz w:val="18"/>
            <w:szCs w:val="18"/>
            <w:color w:val="0000EE"/>
          </w:rPr>
          <w:t xml:space="preserve">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this report; all other financial statement schedules are omitted because the required information is not applicable, or because the</w:t>
      </w:r>
      <w:r>
        <w:rPr>
          <w:rFonts w:ascii="Arial" w:cs="Arial" w:eastAsia="Arial" w:hAnsi="Arial"/>
          <w:sz w:val="18"/>
          <w:szCs w:val="18"/>
          <w:color w:val="0000EE"/>
        </w:rPr>
        <w:t xml:space="preserve"> </w:t>
      </w:r>
      <w:r>
        <w:rPr>
          <w:rFonts w:ascii="Arial" w:cs="Arial" w:eastAsia="Arial" w:hAnsi="Arial"/>
          <w:sz w:val="18"/>
          <w:szCs w:val="18"/>
          <w:color w:val="000000"/>
        </w:rPr>
        <w:t>information required is included in the consolidated financial statements and notes thereto.</w:t>
      </w:r>
    </w:p>
    <w:p>
      <w:pPr>
        <w:spacing w:after="0" w:line="154" w:lineRule="exact"/>
        <w:rPr>
          <w:rFonts w:ascii="Arial" w:cs="Arial" w:eastAsia="Arial" w:hAnsi="Arial"/>
          <w:sz w:val="18"/>
          <w:szCs w:val="18"/>
          <w:color w:val="0000EE"/>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198" w:lineRule="exact"/>
        <w:rPr>
          <w:rFonts w:ascii="Arial" w:cs="Arial" w:eastAsia="Arial" w:hAnsi="Arial"/>
          <w:sz w:val="18"/>
          <w:szCs w:val="18"/>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of Comcast Corporation (incorporated by reference to Exhibit 3.1 to our Annual Report on Form 10-K for the year ended December 31, 2005).</w:t>
      </w:r>
    </w:p>
    <w:p>
      <w:pPr>
        <w:spacing w:after="0" w:line="114" w:lineRule="exact"/>
        <w:rPr>
          <w:rFonts w:ascii="Arial" w:cs="Arial" w:eastAsia="Arial" w:hAnsi="Arial"/>
          <w:sz w:val="18"/>
          <w:szCs w:val="18"/>
          <w:color w:val="auto"/>
        </w:rPr>
      </w:pPr>
    </w:p>
    <w:p>
      <w:pPr>
        <w:spacing w:after="0"/>
        <w:tabs>
          <w:tab w:leader="none" w:pos="8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Restated and Amended By-Laws of Comcast Corporation as of October 8, 2008.</w:t>
      </w:r>
    </w:p>
    <w:p>
      <w:pPr>
        <w:spacing w:after="0" w:line="104" w:lineRule="exact"/>
        <w:rPr>
          <w:rFonts w:ascii="Arial" w:cs="Arial" w:eastAsia="Arial" w:hAnsi="Arial"/>
          <w:sz w:val="18"/>
          <w:szCs w:val="18"/>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by reference to Exhibit 4.1 to our Annual Report on Form 10-K for the year ended December 31, 2002).</w:t>
      </w:r>
    </w:p>
    <w:p>
      <w:pPr>
        <w:spacing w:after="0" w:line="101" w:lineRule="exact"/>
        <w:rPr>
          <w:rFonts w:ascii="Arial" w:cs="Arial" w:eastAsia="Arial" w:hAnsi="Arial"/>
          <w:sz w:val="18"/>
          <w:szCs w:val="18"/>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Class A Special Common Stock Certificate (incorporated by reference to Exhibit 4.2 to our Annual Report on Form 10-K for the year ended December 31, 2002).</w:t>
      </w:r>
    </w:p>
    <w:p>
      <w:pPr>
        <w:spacing w:after="0" w:line="101" w:lineRule="exact"/>
        <w:rPr>
          <w:rFonts w:ascii="Arial" w:cs="Arial" w:eastAsia="Arial" w:hAnsi="Arial"/>
          <w:sz w:val="18"/>
          <w:szCs w:val="18"/>
          <w:color w:val="auto"/>
        </w:rPr>
      </w:pPr>
    </w:p>
    <w:p>
      <w:pPr>
        <w:jc w:val="both"/>
        <w:ind w:left="860" w:right="20" w:hanging="850"/>
        <w:spacing w:after="0" w:line="237" w:lineRule="auto"/>
        <w:tabs>
          <w:tab w:leader="none" w:pos="8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Rights Agreement dated as of November 18, 2002, between Comcast Corporation and Computershare Trust Company, N.A. (f/k/a EquiServe Trust Company, N.A.), as Rights Agent, which includes the Form of Certificate of Designation of Series A Participant’s Cumulative Preferred Stock as Exhibit A and the Form of Right Certificate as Exhibit B (incorporated by reference to our registration statement on Form 8-A12g filed on November 18, 2002).</w:t>
      </w:r>
    </w:p>
    <w:p>
      <w:pPr>
        <w:spacing w:after="0" w:line="101" w:lineRule="exact"/>
        <w:rPr>
          <w:rFonts w:ascii="Arial" w:cs="Arial" w:eastAsia="Arial" w:hAnsi="Arial"/>
          <w:sz w:val="18"/>
          <w:szCs w:val="18"/>
          <w:color w:val="auto"/>
        </w:rPr>
      </w:pPr>
    </w:p>
    <w:p>
      <w:pPr>
        <w:jc w:val="both"/>
        <w:ind w:left="860" w:hanging="850"/>
        <w:spacing w:after="0" w:line="270" w:lineRule="auto"/>
        <w:tabs>
          <w:tab w:leader="none" w:pos="8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Indenture, dated January 7, 2003, between Comcast Corporation, Comcast Cable Communications, LLC (f/k/a Comcast Cable Communications, Inc.), Comcast Cable Communications Holdings, Inc., Comcast Cable Holdings, LLC, Comcast MO Group, Inc. and The Bank of New York Mellon (f/k/a The Bank of New York), as Trustee relating to our 5.85% Notes due 2010, 6.50% Notes due 2015, 5.50% Notes due 2011, 7.05% Notes due 2033, 5.30% Notes due 2014, 4.95% Notes due 2016, 5.65% Notes due 2035, 5.45% Notes due 2010, 5.85% Notes due 2015, 6.50% Notes due 2035, 5.90% Notes due 2016, 6.45% Notes due 2037, 7.00% Notes due 2055, Floating Rate Notes due 2009, 6.50% Notes due 2017, 7.00% Notes due 2055 Series B, 5.875% Notes due 2018, 6.45% Notes due 2037, 6.625% Notes due 2056, 6.30% Notes due 2017, 6.95% Notes due 2037, 5.70% Notes due 2018, and 6.40% Notes due 2038.</w:t>
      </w:r>
    </w:p>
    <w:p>
      <w:pPr>
        <w:spacing w:after="0" w:line="77" w:lineRule="exact"/>
        <w:rPr>
          <w:rFonts w:ascii="Arial" w:cs="Arial" w:eastAsia="Arial" w:hAnsi="Arial"/>
          <w:sz w:val="18"/>
          <w:szCs w:val="18"/>
          <w:color w:val="auto"/>
        </w:rPr>
      </w:pPr>
    </w:p>
    <w:p>
      <w:pPr>
        <w:jc w:val="both"/>
        <w:ind w:left="860" w:hanging="850"/>
        <w:spacing w:after="0" w:line="237" w:lineRule="auto"/>
        <w:tabs>
          <w:tab w:leader="none" w:pos="8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Supplemental Indenture, dated March 25, 2003, to the Indenture between Comcast Corporation, Comcast Cable Holdings, LLC, Comcast Cable Communications Holdings, Inc., Comcast Cable Communications, LLC (f/k/a Comcast Cable Communications, Inc.), Comcast MO Group, Inc., Comcast MO of Delaware, LLC (f/k/a Comcast MO of Delaware, Inc.) and The Bank of New York Mellon (f/k/a The Bank of New York), as Trustee, dated January 7, 2003.</w:t>
      </w:r>
    </w:p>
    <w:p>
      <w:pPr>
        <w:spacing w:after="0" w:line="101" w:lineRule="exact"/>
        <w:rPr>
          <w:rFonts w:ascii="Arial" w:cs="Arial" w:eastAsia="Arial" w:hAnsi="Arial"/>
          <w:sz w:val="18"/>
          <w:szCs w:val="18"/>
          <w:color w:val="auto"/>
        </w:rPr>
      </w:pPr>
    </w:p>
    <w:p>
      <w:pPr>
        <w:jc w:val="both"/>
        <w:ind w:left="860"/>
        <w:spacing w:after="0" w:line="237" w:lineRule="auto"/>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 basis), are omitted pursuant to Item 601(b)(4)(iii)(A) of Regulation S-K. We agree to furnish copies of any such instruments to the SEC upon request.</w:t>
      </w:r>
    </w:p>
    <w:p>
      <w:pPr>
        <w:spacing w:after="0" w:line="101" w:lineRule="exact"/>
        <w:rPr>
          <w:rFonts w:ascii="Arial" w:cs="Arial" w:eastAsia="Arial" w:hAnsi="Arial"/>
          <w:sz w:val="18"/>
          <w:szCs w:val="18"/>
          <w:color w:val="auto"/>
        </w:rPr>
      </w:pPr>
    </w:p>
    <w:p>
      <w:pPr>
        <w:jc w:val="both"/>
        <w:ind w:left="860" w:hanging="850"/>
        <w:spacing w:after="0" w:line="238" w:lineRule="auto"/>
        <w:tabs>
          <w:tab w:leader="none" w:pos="8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Five Year Revolving Credit Agreement dated as of January 30, 2008 among Comcast Corporation, Comcast Cable Communications Holdings, Inc., the Financial Institutions party thereto and JP Morgan Chase Bank, N.A., as Administrative Agent (incorporated by reference to Exhibit 10.53 to our Annual Report on Form 10-K for the year ended December 31, 2007).</w:t>
      </w:r>
    </w:p>
    <w:p>
      <w:pPr>
        <w:spacing w:after="0" w:line="100" w:lineRule="exact"/>
        <w:rPr>
          <w:rFonts w:ascii="Arial" w:cs="Arial" w:eastAsia="Arial" w:hAnsi="Arial"/>
          <w:sz w:val="18"/>
          <w:szCs w:val="18"/>
          <w:color w:val="auto"/>
        </w:rPr>
      </w:pPr>
    </w:p>
    <w:p>
      <w:pPr>
        <w:spacing w:after="0"/>
        <w:tabs>
          <w:tab w:leader="none" w:pos="8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Comcast Corporation 2002 Stock Option Plan, as amended and restated effective December 9, 2008.</w:t>
      </w:r>
    </w:p>
    <w:p>
      <w:pPr>
        <w:spacing w:after="0" w:line="104" w:lineRule="exact"/>
        <w:rPr>
          <w:rFonts w:ascii="Arial" w:cs="Arial" w:eastAsia="Arial" w:hAnsi="Arial"/>
          <w:sz w:val="18"/>
          <w:szCs w:val="18"/>
          <w:color w:val="auto"/>
        </w:rPr>
      </w:pPr>
    </w:p>
    <w:p>
      <w:pPr>
        <w:spacing w:after="0"/>
        <w:tabs>
          <w:tab w:leader="none" w:pos="8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Comcast Corporation 2003 Stock Option Plan, as amended and restated effective December 9, 2008.</w:t>
      </w:r>
    </w:p>
    <w:p>
      <w:pPr>
        <w:spacing w:after="0" w:line="104" w:lineRule="exact"/>
        <w:rPr>
          <w:rFonts w:ascii="Arial" w:cs="Arial" w:eastAsia="Arial" w:hAnsi="Arial"/>
          <w:sz w:val="18"/>
          <w:szCs w:val="18"/>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Comcast Corporation 2002 Deferred Stock Option Plan, as amended and restated effective October 7, 2008 (incorporated by reference to Exhibit 10.2 to our Quarterly Report on Form 10-Q for the quarter ended September 30, 2008).</w:t>
      </w:r>
    </w:p>
    <w:p>
      <w:pPr>
        <w:spacing w:after="0" w:line="101" w:lineRule="exact"/>
        <w:rPr>
          <w:rFonts w:ascii="Arial" w:cs="Arial" w:eastAsia="Arial" w:hAnsi="Arial"/>
          <w:sz w:val="18"/>
          <w:szCs w:val="18"/>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Comcast Corporation 2002 Deferred Compensation Plan, as amended and restated effective January 1, 2008 (incorporated by reference to Exhibit 10.5 to our Annual Report on Form 10-K for the year ended December 31, 2007).</w:t>
      </w:r>
    </w:p>
    <w:p>
      <w:pPr>
        <w:spacing w:after="0" w:line="101" w:lineRule="exact"/>
        <w:rPr>
          <w:rFonts w:ascii="Arial" w:cs="Arial" w:eastAsia="Arial" w:hAnsi="Arial"/>
          <w:sz w:val="18"/>
          <w:szCs w:val="18"/>
          <w:color w:val="auto"/>
        </w:rPr>
      </w:pPr>
    </w:p>
    <w:p>
      <w:pPr>
        <w:jc w:val="both"/>
        <w:ind w:left="860" w:hanging="850"/>
        <w:spacing w:after="0" w:line="239" w:lineRule="auto"/>
        <w:tabs>
          <w:tab w:leader="none" w:pos="8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Comcast Corporation 2005 Deferred Compensation Plan, as amended and restated effective May 13, 2008 (incorporated by reference to Exhibit 10.1 to our Quarterly Report on Form 10-Q for the quarter ended June 30, 2008).</w:t>
      </w:r>
    </w:p>
    <w:p>
      <w:pPr>
        <w:spacing w:after="0" w:line="122"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Comcast Corporation 2002 Restricted Stock Plan, as amended and restated effective December 9, 2008.</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1992 Executive Split Dollar Insurance Plan (incorporated by reference to Exhibit 10.12 to the Comcast Holdings Corporation Annual Report on Form 10-K for the year ended December 31, 1992).</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Comcast Corporation 2006 Cash Bonus Plan, as amended and restated effective February 28, 2007 (incorporated by reference to Exhibit 10.4 to our Quarterly Report on Form 10-Q for the quarter ended March 31, 2007).</w:t>
      </w:r>
    </w:p>
    <w:p>
      <w:pPr>
        <w:spacing w:after="0" w:line="101"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Comcast Corporation 2003 Cable Division Advertising/Sales Group Long Term Incentive Plan, as amended and restated effective January 1, 2007 (incorporated by reference to Exhibit 10.11 to our Annual Report on Form 10-K for the year ended December 31, 2007).</w:t>
      </w:r>
    </w:p>
    <w:p>
      <w:pPr>
        <w:spacing w:after="0" w:line="100"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Comcast Corporation Retirement Investment Plan, as amended and restated effective October 7, 2008 (incorporated by reference to Exhibit 10.3 to our Quarterly Report on Form 10-Q for the quarter ended September 30, 2008).</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Comcast Corporation 2002 Non-Employee Director Compensation Plan, as amended and restated effective October 3, 2007 (incorporated by reference to Exhibit 10.13 to our Annual Report on Form 10-K for the year ended December 31, 2007).</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Comcast Corporation 2002 Employee Stock Purchase Plan, as amended and restated effective January 1, 2008 (incorporated by reference to Exhibit 10.2 to our Quarterly Report on Form 10-Q for the quarter ended June 30, 2008).</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Comcast Corporation Supplemental Executive Retirement Plan, as amended and restated effective January 1, 2005 (incorporated by reference to Exhibit 10.15 to our Annual Report on Form 10-K for the year ended December 31, 2007).</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Certificate of Interest of Julian Brodsky under the Comcast Holdings Corporation Unfunded Plan of Deferred Compensation (incorporated by reference to Exhibit 10.21 to our Annual Report on Form 10-K for the year ended December 31, 2002).</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between Comcast Holdings Corporation and Julian A. Brodsky, dated as of May 1, 2002 (incorporated by reference to Exhibit 10.22 to our Annual Report on Form 10-K for the year ended December 31, 2002).</w:t>
      </w:r>
    </w:p>
    <w:p>
      <w:pPr>
        <w:spacing w:after="0" w:line="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Amendment to Employment Agreement between Comcast Holdings Corporation and Julian A. Brodsky, dated as of November 18,</w:t>
      </w:r>
    </w:p>
    <w:p>
      <w:pPr>
        <w:ind w:left="960"/>
        <w:spacing w:after="0"/>
        <w:rPr>
          <w:sz w:val="20"/>
          <w:szCs w:val="20"/>
          <w:color w:val="auto"/>
        </w:rPr>
      </w:pPr>
      <w:r>
        <w:rPr>
          <w:rFonts w:ascii="Arial" w:cs="Arial" w:eastAsia="Arial" w:hAnsi="Arial"/>
          <w:sz w:val="18"/>
          <w:szCs w:val="18"/>
          <w:color w:val="auto"/>
        </w:rPr>
        <w:t>2002 (incorporated by reference to Exhibit 10.23 to our Annual Report on Form 10-K for the year ended December 31, 2002).</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Employment Agreement between Comcast Corporation and Stephen B. Burke dated November 22, 2005 (incorporated by reference to Exhibit 99.1 to our Current Report on Form 8-K filed on November 23,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Amendment No. 1 to Employment Agreement between Comcast Corporation and Stephen B. Burke dated January 25, 2006 (incorporated by reference to Exhibit 10.23 to our Annual Report on Form 10-K for the year ended December 31,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Employment Agreement between Comcast Corporation and David L. Cohen dated November 7, 2005 (incorporated by reference to Exhibit 99.2 to our Current Report on Form 8-K filed on November 10,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No. 1 to Employment Agreement between Comcast Corporation and David L. Cohen dated November 11, 2005 (incorporated by reference to Exhibit 10.25 to our Annual Report on Form 10-K for the year ended December 31, 2005).</w:t>
      </w:r>
    </w:p>
    <w:p>
      <w:pPr>
        <w:spacing w:after="0" w:line="101" w:lineRule="exact"/>
        <w:rPr>
          <w:sz w:val="20"/>
          <w:szCs w:val="20"/>
          <w:color w:val="auto"/>
        </w:rPr>
      </w:pPr>
    </w:p>
    <w:p>
      <w:pPr>
        <w:jc w:val="both"/>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No. 2 to Employment Agreement between Comcast Corporation and David L. Cohen dated January 25, 2006 (incorporated by reference to Exhibit 10.26 to our Annual Report on Form 10-K for the year ended December 31,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our Current Report on Form 8-K filed on August 5, 2005).</w:t>
      </w:r>
    </w:p>
    <w:p>
      <w:pPr>
        <w:spacing w:after="0" w:line="101"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Term Life Insurance Premium and Tax Bonus Agreement between Comcast Holdings Corporation and Brian L. Roberts, dated as of September 23, 1998 (incorporated by reference to Exhibit 10.1 to our Quarterly Report on Form 10-Q for the quarter ended March 31, 2003).</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to Term Life Insurance Premium and Tax Bonus Agreement between Comcast Corporation and Brian L. Roberts, dated as of May 22, 2006 (incorporated by reference to Exhibit 10.1 to our Quarterly Report on Form 10-Q for the quarter ended June 30, 2006).</w:t>
      </w:r>
    </w:p>
    <w:p>
      <w:pPr>
        <w:spacing w:after="0" w:line="100" w:lineRule="exact"/>
        <w:rPr>
          <w:sz w:val="20"/>
          <w:szCs w:val="20"/>
          <w:color w:val="auto"/>
        </w:rPr>
      </w:pPr>
    </w:p>
    <w:p>
      <w:pPr>
        <w:jc w:val="both"/>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Life Insurance Premium and Tax Bonus Agreement between Comcast Corporation and Brian L. Roberts, dated as of May 22, 2006 (incorporated by reference to Exhibit 10.2 to our Quarterly Report on Form 10-Q for the quarter ended June 30, 2006).</w:t>
      </w:r>
    </w:p>
    <w:p>
      <w:pPr>
        <w:spacing w:after="0" w:line="122"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Comcast 2008 Annual Report on Form 10-K</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10.27*</w:t>
            </w:r>
          </w:p>
        </w:tc>
        <w:tc>
          <w:tcPr>
            <w:tcW w:w="10680" w:type="dxa"/>
            <w:vAlign w:val="bottom"/>
          </w:tcPr>
          <w:p>
            <w:pPr>
              <w:ind w:left="220"/>
              <w:spacing w:after="0"/>
              <w:rPr>
                <w:sz w:val="20"/>
                <w:szCs w:val="20"/>
                <w:color w:val="auto"/>
              </w:rPr>
            </w:pPr>
            <w:r>
              <w:rPr>
                <w:rFonts w:ascii="Arial" w:cs="Arial" w:eastAsia="Arial" w:hAnsi="Arial"/>
                <w:sz w:val="18"/>
                <w:szCs w:val="18"/>
                <w:color w:val="auto"/>
                <w:w w:val="99"/>
              </w:rPr>
              <w:t>Amendment to Life Insurance Premium and Tax Bonus Agreement between Comcast Corporation and Brian L. Roberts, dated as of</w:t>
            </w:r>
          </w:p>
        </w:tc>
      </w:tr>
      <w:tr>
        <w:trPr>
          <w:trHeight w:val="203"/>
        </w:trPr>
        <w:tc>
          <w:tcPr>
            <w:tcW w:w="74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w w:val="97"/>
              </w:rPr>
              <w:t>September 15, 2006 (incorporated by reference to Exhibit 10.1 to our Quarterly Report on Form 10-Q for the quarter ended September</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30, 2006).</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10.28*</w:t>
            </w:r>
          </w:p>
        </w:tc>
        <w:tc>
          <w:tcPr>
            <w:tcW w:w="10680" w:type="dxa"/>
            <w:vAlign w:val="bottom"/>
          </w:tcPr>
          <w:p>
            <w:pPr>
              <w:ind w:left="220"/>
              <w:spacing w:after="0"/>
              <w:rPr>
                <w:sz w:val="20"/>
                <w:szCs w:val="20"/>
                <w:color w:val="auto"/>
              </w:rPr>
            </w:pPr>
            <w:r>
              <w:rPr>
                <w:rFonts w:ascii="Arial" w:cs="Arial" w:eastAsia="Arial" w:hAnsi="Arial"/>
                <w:sz w:val="18"/>
                <w:szCs w:val="18"/>
                <w:color w:val="auto"/>
              </w:rPr>
              <w:t>Employment Agreement between Comcast Corporation and Ralph J. Roberts dated as of December 27, 2007 (incorporated by</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reference to Exhibit 99.1 to our Current Report on Form 8-K filed on December 28, 2007).</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10.29*</w:t>
            </w:r>
          </w:p>
        </w:tc>
        <w:tc>
          <w:tcPr>
            <w:tcW w:w="10680" w:type="dxa"/>
            <w:vAlign w:val="bottom"/>
          </w:tcPr>
          <w:p>
            <w:pPr>
              <w:ind w:left="220"/>
              <w:spacing w:after="0"/>
              <w:rPr>
                <w:sz w:val="20"/>
                <w:szCs w:val="20"/>
                <w:color w:val="auto"/>
              </w:rPr>
            </w:pPr>
            <w:r>
              <w:rPr>
                <w:rFonts w:ascii="Arial" w:cs="Arial" w:eastAsia="Arial" w:hAnsi="Arial"/>
                <w:sz w:val="18"/>
                <w:szCs w:val="18"/>
                <w:color w:val="auto"/>
              </w:rPr>
              <w:t>Amendment to Employment Agreement between Comcast Corporation and Ralph J. Roberts dated as of January 1, 2008</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(incorporated by reference to Exhibit 99.1 to our Current Report on Form 8-K filed on February 13, 2008).</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10.30*</w:t>
            </w:r>
          </w:p>
        </w:tc>
        <w:tc>
          <w:tcPr>
            <w:tcW w:w="10680" w:type="dxa"/>
            <w:vAlign w:val="bottom"/>
          </w:tcPr>
          <w:p>
            <w:pPr>
              <w:ind w:left="220"/>
              <w:spacing w:after="0"/>
              <w:rPr>
                <w:sz w:val="20"/>
                <w:szCs w:val="20"/>
                <w:color w:val="auto"/>
              </w:rPr>
            </w:pPr>
            <w:r>
              <w:rPr>
                <w:rFonts w:ascii="Arial" w:cs="Arial" w:eastAsia="Arial" w:hAnsi="Arial"/>
                <w:sz w:val="18"/>
                <w:szCs w:val="18"/>
                <w:color w:val="auto"/>
                <w:w w:val="99"/>
              </w:rPr>
              <w:t>Compensation and Deferred Compensation Agreement and Stock Appreciation Bonus Plan between Comcast Holdings Corporation</w:t>
            </w:r>
          </w:p>
        </w:tc>
      </w:tr>
      <w:tr>
        <w:trPr>
          <w:trHeight w:val="203"/>
        </w:trPr>
        <w:tc>
          <w:tcPr>
            <w:tcW w:w="74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w w:val="98"/>
              </w:rPr>
              <w:t>and Ralph J. Roberts, as amended and restated March 16, 1994 (incorporated by reference to Exhibit 10.13 to the Comcast Holdings</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Corporation Annual Report on Form 10-K for the year ended December 31, 1993).</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10.31*</w:t>
            </w:r>
          </w:p>
        </w:tc>
        <w:tc>
          <w:tcPr>
            <w:tcW w:w="10680" w:type="dxa"/>
            <w:vAlign w:val="bottom"/>
          </w:tcPr>
          <w:p>
            <w:pPr>
              <w:ind w:left="220"/>
              <w:spacing w:after="0"/>
              <w:rPr>
                <w:sz w:val="20"/>
                <w:szCs w:val="20"/>
                <w:color w:val="auto"/>
              </w:rPr>
            </w:pPr>
            <w:r>
              <w:rPr>
                <w:rFonts w:ascii="Arial" w:cs="Arial" w:eastAsia="Arial" w:hAnsi="Arial"/>
                <w:sz w:val="18"/>
                <w:szCs w:val="18"/>
                <w:color w:val="auto"/>
                <w:w w:val="99"/>
              </w:rPr>
              <w:t>Compensation and Deferred Compensation Agreement between Comcast Holdings Corporation and Ralph J. Roberts, as amended</w:t>
            </w:r>
          </w:p>
        </w:tc>
      </w:tr>
      <w:tr>
        <w:trPr>
          <w:trHeight w:val="203"/>
        </w:trPr>
        <w:tc>
          <w:tcPr>
            <w:tcW w:w="74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and restated August 31, 1998 (incorporated by reference to Exhibit 10.1 to the Comcast Holdings Corporation Quarterly Report on</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Form 10-Q for the quarter ended September 30, 1998).</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10.32*</w:t>
            </w:r>
          </w:p>
        </w:tc>
        <w:tc>
          <w:tcPr>
            <w:tcW w:w="10680" w:type="dxa"/>
            <w:vAlign w:val="bottom"/>
          </w:tcPr>
          <w:p>
            <w:pPr>
              <w:ind w:left="220"/>
              <w:spacing w:after="0"/>
              <w:rPr>
                <w:sz w:val="20"/>
                <w:szCs w:val="20"/>
                <w:color w:val="auto"/>
              </w:rPr>
            </w:pPr>
            <w:r>
              <w:rPr>
                <w:rFonts w:ascii="Arial" w:cs="Arial" w:eastAsia="Arial" w:hAnsi="Arial"/>
                <w:sz w:val="18"/>
                <w:szCs w:val="18"/>
                <w:color w:val="auto"/>
                <w:w w:val="97"/>
              </w:rPr>
              <w:t>Amendment Agreement to Compensation and Deferred Compensation Agreement between Comcast Holdings Corporation and Ralph</w:t>
            </w:r>
          </w:p>
        </w:tc>
      </w:tr>
      <w:tr>
        <w:trPr>
          <w:trHeight w:val="203"/>
        </w:trPr>
        <w:tc>
          <w:tcPr>
            <w:tcW w:w="74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J. Roberts, dated as of August 19, 1999 (incorporated by reference to Exhibit 10.2 to the Comcast Holdings Corporation Quarterly</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Report on Form 10-Q for the quarter ended March 31, 2000).</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10.33*</w:t>
            </w:r>
          </w:p>
        </w:tc>
        <w:tc>
          <w:tcPr>
            <w:tcW w:w="10680" w:type="dxa"/>
            <w:vAlign w:val="bottom"/>
          </w:tcPr>
          <w:p>
            <w:pPr>
              <w:ind w:left="220"/>
              <w:spacing w:after="0"/>
              <w:rPr>
                <w:sz w:val="20"/>
                <w:szCs w:val="20"/>
                <w:color w:val="auto"/>
              </w:rPr>
            </w:pPr>
            <w:r>
              <w:rPr>
                <w:rFonts w:ascii="Arial" w:cs="Arial" w:eastAsia="Arial" w:hAnsi="Arial"/>
                <w:sz w:val="18"/>
                <w:szCs w:val="18"/>
                <w:color w:val="auto"/>
                <w:w w:val="98"/>
              </w:rPr>
              <w:t>Amendment to Compensation and Deferred Compensation Agreement between Comcast Holdings Corporation and Ralph J. Roberts,</w:t>
            </w:r>
          </w:p>
        </w:tc>
      </w:tr>
      <w:tr>
        <w:trPr>
          <w:trHeight w:val="203"/>
        </w:trPr>
        <w:tc>
          <w:tcPr>
            <w:tcW w:w="74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w w:val="97"/>
              </w:rPr>
              <w:t>dated as of June 5, 2001 (incorporated by reference to Exhibit 10.8 to the Comcast Holdings Corporation Annual Report on Form 10-K</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for the year ended December 31, 2001).</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10.34*</w:t>
            </w:r>
          </w:p>
        </w:tc>
        <w:tc>
          <w:tcPr>
            <w:tcW w:w="10680" w:type="dxa"/>
            <w:vAlign w:val="bottom"/>
          </w:tcPr>
          <w:p>
            <w:pPr>
              <w:ind w:left="220"/>
              <w:spacing w:after="0"/>
              <w:rPr>
                <w:sz w:val="20"/>
                <w:szCs w:val="20"/>
                <w:color w:val="auto"/>
              </w:rPr>
            </w:pPr>
            <w:r>
              <w:rPr>
                <w:rFonts w:ascii="Arial" w:cs="Arial" w:eastAsia="Arial" w:hAnsi="Arial"/>
                <w:sz w:val="18"/>
                <w:szCs w:val="18"/>
                <w:color w:val="auto"/>
                <w:w w:val="98"/>
              </w:rPr>
              <w:t>Amendment to Compensation and Deferred Compensation Agreement between Comcast Holdings Corporation and Ralph J. Roberts,</w:t>
            </w:r>
          </w:p>
        </w:tc>
      </w:tr>
      <w:tr>
        <w:trPr>
          <w:trHeight w:val="203"/>
        </w:trPr>
        <w:tc>
          <w:tcPr>
            <w:tcW w:w="74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dated as of January 24, 2002 (incorporated by reference to Exhibit 10.16 to our Annual Report on Form 10-K for the year ended</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December 31, 2002).</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10.35*</w:t>
            </w:r>
          </w:p>
        </w:tc>
        <w:tc>
          <w:tcPr>
            <w:tcW w:w="10680" w:type="dxa"/>
            <w:vAlign w:val="bottom"/>
          </w:tcPr>
          <w:p>
            <w:pPr>
              <w:ind w:left="220"/>
              <w:spacing w:after="0"/>
              <w:rPr>
                <w:sz w:val="20"/>
                <w:szCs w:val="20"/>
                <w:color w:val="auto"/>
              </w:rPr>
            </w:pPr>
            <w:r>
              <w:rPr>
                <w:rFonts w:ascii="Arial" w:cs="Arial" w:eastAsia="Arial" w:hAnsi="Arial"/>
                <w:sz w:val="18"/>
                <w:szCs w:val="18"/>
                <w:color w:val="auto"/>
                <w:w w:val="98"/>
              </w:rPr>
              <w:t>Amendment to Compensation and Deferred Compensation Agreement between Comcast Holdings Corporation and Ralph J. Roberts,</w:t>
            </w:r>
          </w:p>
        </w:tc>
      </w:tr>
      <w:tr>
        <w:trPr>
          <w:trHeight w:val="203"/>
        </w:trPr>
        <w:tc>
          <w:tcPr>
            <w:tcW w:w="74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dated as of November 18, 2002 (incorporated by reference to Exhibit 10.17 to our Annual Report on Form 10-K for the year ended</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December 31, 2002).</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10.36*</w:t>
            </w:r>
          </w:p>
        </w:tc>
        <w:tc>
          <w:tcPr>
            <w:tcW w:w="10680" w:type="dxa"/>
            <w:vAlign w:val="bottom"/>
          </w:tcPr>
          <w:p>
            <w:pPr>
              <w:ind w:left="220"/>
              <w:spacing w:after="0"/>
              <w:rPr>
                <w:sz w:val="20"/>
                <w:szCs w:val="20"/>
                <w:color w:val="auto"/>
              </w:rPr>
            </w:pPr>
            <w:r>
              <w:rPr>
                <w:rFonts w:ascii="Arial" w:cs="Arial" w:eastAsia="Arial" w:hAnsi="Arial"/>
                <w:sz w:val="18"/>
                <w:szCs w:val="18"/>
                <w:color w:val="auto"/>
              </w:rPr>
              <w:t>Insurance Premium Termination Agreement between Comcast Corporation and Ralph J. Roberts, effective January 30, 2004</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10.1 to our Quarterly Report on Form 10-Q for the quarter ended March 31, 2004).</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10.37*</w:t>
            </w:r>
          </w:p>
        </w:tc>
        <w:tc>
          <w:tcPr>
            <w:tcW w:w="10680" w:type="dxa"/>
            <w:vAlign w:val="bottom"/>
          </w:tcPr>
          <w:p>
            <w:pPr>
              <w:ind w:left="220"/>
              <w:spacing w:after="0"/>
              <w:rPr>
                <w:sz w:val="20"/>
                <w:szCs w:val="20"/>
                <w:color w:val="auto"/>
              </w:rPr>
            </w:pPr>
            <w:r>
              <w:rPr>
                <w:rFonts w:ascii="Arial" w:cs="Arial" w:eastAsia="Arial" w:hAnsi="Arial"/>
                <w:sz w:val="18"/>
                <w:szCs w:val="18"/>
                <w:color w:val="auto"/>
              </w:rPr>
              <w:t>Employment Agreement between Comcast Corporation and Michael J. Angelakis dated as of November 20, 2006 (incorporated by</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reference to Exhibit 99.1 to our Current Report on Form 8-K filed on November 28, 2006).</w:t>
            </w:r>
          </w:p>
        </w:tc>
      </w:tr>
      <w:tr>
        <w:trPr>
          <w:trHeight w:val="302"/>
        </w:trPr>
        <w:tc>
          <w:tcPr>
            <w:tcW w:w="740" w:type="dxa"/>
            <w:vAlign w:val="bottom"/>
          </w:tcPr>
          <w:p>
            <w:pPr>
              <w:spacing w:after="0"/>
              <w:rPr>
                <w:sz w:val="20"/>
                <w:szCs w:val="20"/>
                <w:color w:val="auto"/>
              </w:rPr>
            </w:pPr>
            <w:r>
              <w:rPr>
                <w:rFonts w:ascii="Arial" w:cs="Arial" w:eastAsia="Arial" w:hAnsi="Arial"/>
                <w:sz w:val="18"/>
                <w:szCs w:val="18"/>
                <w:color w:val="auto"/>
              </w:rPr>
              <w:t>10.38*</w:t>
            </w:r>
          </w:p>
        </w:tc>
        <w:tc>
          <w:tcPr>
            <w:tcW w:w="10680" w:type="dxa"/>
            <w:vAlign w:val="bottom"/>
          </w:tcPr>
          <w:p>
            <w:pPr>
              <w:ind w:left="220"/>
              <w:spacing w:after="0"/>
              <w:rPr>
                <w:sz w:val="20"/>
                <w:szCs w:val="20"/>
                <w:color w:val="auto"/>
              </w:rPr>
            </w:pPr>
            <w:r>
              <w:rPr>
                <w:rFonts w:ascii="Arial" w:cs="Arial" w:eastAsia="Arial" w:hAnsi="Arial"/>
                <w:sz w:val="18"/>
                <w:szCs w:val="18"/>
                <w:color w:val="auto"/>
              </w:rPr>
              <w:t>Form of Amendment, dated as of December 16, 2008, to the Employment Agreements with Ralph J. Roberts, Brian L. Roberts,</w:t>
            </w:r>
          </w:p>
        </w:tc>
      </w:tr>
      <w:tr>
        <w:trPr>
          <w:trHeight w:val="211"/>
        </w:trPr>
        <w:tc>
          <w:tcPr>
            <w:tcW w:w="74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Michael J. Angelakis, Stephen B. Burke, and David L. Cohen.</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10.39*</w:t>
            </w:r>
          </w:p>
        </w:tc>
        <w:tc>
          <w:tcPr>
            <w:tcW w:w="10680" w:type="dxa"/>
            <w:vAlign w:val="bottom"/>
          </w:tcPr>
          <w:p>
            <w:pPr>
              <w:ind w:left="220"/>
              <w:spacing w:after="0"/>
              <w:rPr>
                <w:sz w:val="20"/>
                <w:szCs w:val="20"/>
                <w:color w:val="auto"/>
              </w:rPr>
            </w:pPr>
            <w:r>
              <w:rPr>
                <w:rFonts w:ascii="Arial" w:cs="Arial" w:eastAsia="Arial" w:hAnsi="Arial"/>
                <w:sz w:val="18"/>
                <w:szCs w:val="18"/>
                <w:color w:val="auto"/>
              </w:rPr>
              <w:t>Form of Restricted Stock Unit Award under the Comcast Corporation 2002 Restricted Stock Plan.</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10.40*</w:t>
            </w:r>
          </w:p>
        </w:tc>
        <w:tc>
          <w:tcPr>
            <w:tcW w:w="10680" w:type="dxa"/>
            <w:vAlign w:val="bottom"/>
          </w:tcPr>
          <w:p>
            <w:pPr>
              <w:ind w:left="220"/>
              <w:spacing w:after="0"/>
              <w:rPr>
                <w:sz w:val="20"/>
                <w:szCs w:val="20"/>
                <w:color w:val="auto"/>
              </w:rPr>
            </w:pPr>
            <w:r>
              <w:rPr>
                <w:rFonts w:ascii="Arial" w:cs="Arial" w:eastAsia="Arial" w:hAnsi="Arial"/>
                <w:sz w:val="18"/>
                <w:szCs w:val="18"/>
                <w:color w:val="auto"/>
              </w:rPr>
              <w:t>Form of Non-Qualified Stock Option under the Comcast Corporation 2003 Stock Option Plan.</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10.41*</w:t>
            </w:r>
          </w:p>
        </w:tc>
        <w:tc>
          <w:tcPr>
            <w:tcW w:w="10680" w:type="dxa"/>
            <w:vAlign w:val="bottom"/>
          </w:tcPr>
          <w:p>
            <w:pPr>
              <w:ind w:left="220"/>
              <w:spacing w:after="0"/>
              <w:rPr>
                <w:sz w:val="20"/>
                <w:szCs w:val="20"/>
                <w:color w:val="auto"/>
              </w:rPr>
            </w:pPr>
            <w:r>
              <w:rPr>
                <w:rFonts w:ascii="Arial" w:cs="Arial" w:eastAsia="Arial" w:hAnsi="Arial"/>
                <w:sz w:val="18"/>
                <w:szCs w:val="18"/>
                <w:color w:val="auto"/>
              </w:rPr>
              <w:t>Form of Restricted Stock Unit Award under the Comcast Corporation 2002 Restricted Stock Plan.</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12.1</w:t>
            </w:r>
          </w:p>
        </w:tc>
        <w:tc>
          <w:tcPr>
            <w:tcW w:w="10680" w:type="dxa"/>
            <w:vAlign w:val="bottom"/>
          </w:tcPr>
          <w:p>
            <w:pPr>
              <w:ind w:left="22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21</w:t>
            </w:r>
          </w:p>
        </w:tc>
        <w:tc>
          <w:tcPr>
            <w:tcW w:w="10680" w:type="dxa"/>
            <w:vAlign w:val="bottom"/>
          </w:tcPr>
          <w:p>
            <w:pPr>
              <w:ind w:left="220"/>
              <w:spacing w:after="0"/>
              <w:rPr>
                <w:sz w:val="20"/>
                <w:szCs w:val="20"/>
                <w:color w:val="auto"/>
              </w:rPr>
            </w:pPr>
            <w:r>
              <w:rPr>
                <w:rFonts w:ascii="Arial" w:cs="Arial" w:eastAsia="Arial" w:hAnsi="Arial"/>
                <w:sz w:val="18"/>
                <w:szCs w:val="18"/>
                <w:color w:val="auto"/>
              </w:rPr>
              <w:t>List of subsidiaries.</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680" w:type="dxa"/>
            <w:vAlign w:val="bottom"/>
          </w:tcPr>
          <w:p>
            <w:pPr>
              <w:ind w:left="220"/>
              <w:spacing w:after="0"/>
              <w:rPr>
                <w:sz w:val="20"/>
                <w:szCs w:val="20"/>
                <w:color w:val="auto"/>
              </w:rPr>
            </w:pPr>
            <w:r>
              <w:rPr>
                <w:rFonts w:ascii="Arial" w:cs="Arial" w:eastAsia="Arial" w:hAnsi="Arial"/>
                <w:sz w:val="18"/>
                <w:szCs w:val="18"/>
                <w:color w:val="auto"/>
              </w:rPr>
              <w:t>Consent of Deloitte &amp; Touche LLP.</w:t>
            </w:r>
          </w:p>
        </w:tc>
      </w:tr>
    </w:tbl>
    <w:p>
      <w:pPr>
        <w:spacing w:after="0" w:line="100" w:lineRule="exact"/>
        <w:rPr>
          <w:sz w:val="20"/>
          <w:szCs w:val="20"/>
          <w:color w:val="auto"/>
        </w:rPr>
      </w:pPr>
    </w:p>
    <w:p>
      <w:pPr>
        <w:ind w:left="960" w:hanging="95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 Oxley Act of 2002.</w:t>
      </w:r>
    </w:p>
    <w:p>
      <w:pPr>
        <w:spacing w:after="0" w:line="103" w:lineRule="exact"/>
        <w:rPr>
          <w:rFonts w:ascii="Arial" w:cs="Arial" w:eastAsia="Arial" w:hAnsi="Arial"/>
          <w:sz w:val="18"/>
          <w:szCs w:val="18"/>
          <w:color w:val="auto"/>
        </w:rPr>
      </w:pPr>
    </w:p>
    <w:p>
      <w:pPr>
        <w:ind w:left="960" w:hanging="95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 Oxley Act of 2002.</w:t>
      </w:r>
    </w:p>
    <w:p>
      <w:pPr>
        <w:spacing w:after="0" w:line="73"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32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20, 2009.</w:t>
      </w:r>
    </w:p>
    <w:p>
      <w:pPr>
        <w:spacing w:after="0" w:line="195" w:lineRule="exact"/>
        <w:rPr>
          <w:sz w:val="20"/>
          <w:szCs w:val="20"/>
          <w:color w:val="auto"/>
        </w:rPr>
      </w:pPr>
    </w:p>
    <w:p>
      <w:pPr>
        <w:ind w:left="6860"/>
        <w:spacing w:after="0"/>
        <w:tabs>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-4445</wp:posOffset>
            </wp:positionV>
            <wp:extent cx="2710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jc w:val="center"/>
        <w:ind w:left="7160"/>
        <w:spacing w:after="0"/>
        <w:rPr>
          <w:sz w:val="20"/>
          <w:szCs w:val="20"/>
          <w:color w:val="auto"/>
        </w:rPr>
      </w:pPr>
      <w:r>
        <w:rPr>
          <w:rFonts w:ascii="Arial" w:cs="Arial" w:eastAsia="Arial" w:hAnsi="Arial"/>
          <w:sz w:val="18"/>
          <w:szCs w:val="18"/>
          <w:color w:val="auto"/>
        </w:rPr>
        <w:t>Brian L. Roberts</w:t>
      </w:r>
    </w:p>
    <w:p>
      <w:pPr>
        <w:jc w:val="center"/>
        <w:ind w:left="7160"/>
        <w:spacing w:after="0"/>
        <w:rPr>
          <w:sz w:val="20"/>
          <w:szCs w:val="20"/>
          <w:color w:val="auto"/>
        </w:rPr>
      </w:pPr>
      <w:r>
        <w:rPr>
          <w:rFonts w:ascii="Arial" w:cs="Arial" w:eastAsia="Arial" w:hAnsi="Arial"/>
          <w:sz w:val="18"/>
          <w:szCs w:val="18"/>
          <w:i w:val="1"/>
          <w:iCs w:val="1"/>
          <w:color w:val="auto"/>
        </w:rPr>
        <w:t>Chairman and CEO</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w w:val="96"/>
              </w:rPr>
              <w:t>Signature</w:t>
            </w:r>
          </w:p>
        </w:tc>
        <w:tc>
          <w:tcPr>
            <w:tcW w:w="41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0"/>
              </w:rPr>
              <w:t>Title</w:t>
            </w:r>
          </w:p>
        </w:tc>
        <w:tc>
          <w:tcPr>
            <w:tcW w:w="32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color w:val="auto"/>
                <w:w w:val="94"/>
              </w:rPr>
              <w:t>Date</w:t>
            </w:r>
          </w:p>
        </w:tc>
      </w:tr>
      <w:tr>
        <w:trPr>
          <w:trHeight w:val="304"/>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4180" w:type="dxa"/>
            <w:vAlign w:val="bottom"/>
          </w:tcPr>
          <w:p>
            <w:pPr>
              <w:jc w:val="center"/>
              <w:ind w:right="174"/>
              <w:spacing w:after="0"/>
              <w:rPr>
                <w:sz w:val="20"/>
                <w:szCs w:val="20"/>
                <w:color w:val="auto"/>
              </w:rPr>
            </w:pPr>
            <w:r>
              <w:rPr>
                <w:rFonts w:ascii="Arial" w:cs="Arial" w:eastAsia="Arial" w:hAnsi="Arial"/>
                <w:sz w:val="18"/>
                <w:szCs w:val="18"/>
                <w:color w:val="auto"/>
                <w:w w:val="97"/>
              </w:rPr>
              <w:t>Chairman and CEO; 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6"/>
              </w:rPr>
              <w:t>Brian L. Roberts</w:t>
            </w:r>
          </w:p>
        </w:tc>
        <w:tc>
          <w:tcPr>
            <w:tcW w:w="4180" w:type="dxa"/>
            <w:vAlign w:val="bottom"/>
          </w:tcPr>
          <w:p>
            <w:pPr>
              <w:jc w:val="center"/>
              <w:ind w:right="174"/>
              <w:spacing w:after="0" w:line="195" w:lineRule="exact"/>
              <w:rPr>
                <w:sz w:val="20"/>
                <w:szCs w:val="20"/>
                <w:color w:val="auto"/>
              </w:rPr>
            </w:pPr>
            <w:r>
              <w:rPr>
                <w:rFonts w:ascii="Arial" w:cs="Arial" w:eastAsia="Arial" w:hAnsi="Arial"/>
                <w:sz w:val="18"/>
                <w:szCs w:val="18"/>
                <w:color w:val="auto"/>
                <w:w w:val="97"/>
              </w:rPr>
              <w:t>(Principal Executive Officer)</w:t>
            </w: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ALPH</w:t>
            </w:r>
            <w:r>
              <w:rPr>
                <w:rFonts w:ascii="Arial" w:cs="Arial" w:eastAsia="Arial" w:hAnsi="Arial"/>
                <w:sz w:val="18"/>
                <w:szCs w:val="18"/>
                <w:color w:val="auto"/>
              </w:rPr>
              <w:t xml:space="preserve"> J. R</w:t>
            </w:r>
            <w:r>
              <w:rPr>
                <w:rFonts w:ascii="Arial" w:cs="Arial" w:eastAsia="Arial" w:hAnsi="Arial"/>
                <w:sz w:val="14"/>
                <w:szCs w:val="14"/>
                <w:color w:val="auto"/>
              </w:rPr>
              <w:t>OBERTS</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7"/>
              </w:rPr>
              <w:t>Founder; Chairman Emeritus of the Board</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6"/>
              </w:rPr>
              <w:t>Ralph J. Roberts</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ULIAN</w:t>
            </w:r>
            <w:r>
              <w:rPr>
                <w:rFonts w:ascii="Arial" w:cs="Arial" w:eastAsia="Arial" w:hAnsi="Arial"/>
                <w:sz w:val="18"/>
                <w:szCs w:val="18"/>
                <w:color w:val="auto"/>
              </w:rPr>
              <w:t xml:space="preserve"> A. B</w:t>
            </w:r>
            <w:r>
              <w:rPr>
                <w:rFonts w:ascii="Arial" w:cs="Arial" w:eastAsia="Arial" w:hAnsi="Arial"/>
                <w:sz w:val="14"/>
                <w:szCs w:val="14"/>
                <w:color w:val="auto"/>
              </w:rPr>
              <w:t>RODSKY</w:t>
            </w:r>
          </w:p>
        </w:tc>
        <w:tc>
          <w:tcPr>
            <w:tcW w:w="4180" w:type="dxa"/>
            <w:vAlign w:val="bottom"/>
          </w:tcPr>
          <w:p>
            <w:pPr>
              <w:jc w:val="center"/>
              <w:ind w:right="174"/>
              <w:spacing w:after="0"/>
              <w:rPr>
                <w:sz w:val="20"/>
                <w:szCs w:val="20"/>
                <w:color w:val="auto"/>
              </w:rPr>
            </w:pPr>
            <w:r>
              <w:rPr>
                <w:rFonts w:ascii="Arial" w:cs="Arial" w:eastAsia="Arial" w:hAnsi="Arial"/>
                <w:sz w:val="18"/>
                <w:szCs w:val="18"/>
                <w:color w:val="auto"/>
                <w:w w:val="97"/>
              </w:rPr>
              <w:t>Non-Executive Vice Chairman; 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33"/>
              <w:spacing w:after="0"/>
              <w:rPr>
                <w:sz w:val="20"/>
                <w:szCs w:val="20"/>
                <w:color w:val="auto"/>
              </w:rPr>
            </w:pPr>
            <w:r>
              <w:rPr>
                <w:rFonts w:ascii="Arial" w:cs="Arial" w:eastAsia="Arial" w:hAnsi="Arial"/>
                <w:sz w:val="18"/>
                <w:szCs w:val="18"/>
                <w:color w:val="auto"/>
                <w:w w:val="97"/>
              </w:rPr>
              <w:t>Julian A. Brodsky</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7"/>
              </w:rPr>
              <w:t>Executive Vice President</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33"/>
              <w:spacing w:after="0"/>
              <w:rPr>
                <w:sz w:val="20"/>
                <w:szCs w:val="20"/>
                <w:color w:val="auto"/>
              </w:rPr>
            </w:pPr>
            <w:r>
              <w:rPr>
                <w:rFonts w:ascii="Arial" w:cs="Arial" w:eastAsia="Arial" w:hAnsi="Arial"/>
                <w:sz w:val="18"/>
                <w:szCs w:val="18"/>
                <w:color w:val="auto"/>
                <w:w w:val="97"/>
              </w:rPr>
              <w:t>Michael J. Angelakis</w:t>
            </w:r>
          </w:p>
        </w:tc>
        <w:tc>
          <w:tcPr>
            <w:tcW w:w="4180" w:type="dxa"/>
            <w:vAlign w:val="bottom"/>
          </w:tcPr>
          <w:p>
            <w:pPr>
              <w:jc w:val="center"/>
              <w:ind w:right="194"/>
              <w:spacing w:after="0" w:line="195" w:lineRule="exact"/>
              <w:rPr>
                <w:sz w:val="20"/>
                <w:szCs w:val="20"/>
                <w:color w:val="auto"/>
              </w:rPr>
            </w:pPr>
            <w:r>
              <w:rPr>
                <w:rFonts w:ascii="Arial" w:cs="Arial" w:eastAsia="Arial" w:hAnsi="Arial"/>
                <w:sz w:val="18"/>
                <w:szCs w:val="18"/>
                <w:color w:val="auto"/>
                <w:w w:val="97"/>
              </w:rPr>
              <w:t>(Principal Financial Officer)</w:t>
            </w: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180" w:type="dxa"/>
            <w:vAlign w:val="bottom"/>
          </w:tcPr>
          <w:p>
            <w:pPr>
              <w:jc w:val="center"/>
              <w:ind w:right="174"/>
              <w:spacing w:after="0"/>
              <w:rPr>
                <w:sz w:val="20"/>
                <w:szCs w:val="20"/>
                <w:color w:val="auto"/>
              </w:rPr>
            </w:pPr>
            <w:r>
              <w:rPr>
                <w:rFonts w:ascii="Arial" w:cs="Arial" w:eastAsia="Arial" w:hAnsi="Arial"/>
                <w:sz w:val="18"/>
                <w:szCs w:val="18"/>
                <w:color w:val="auto"/>
                <w:w w:val="97"/>
              </w:rPr>
              <w:t>Senior Vice President, Chief Accounting</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186"/>
        </w:trPr>
        <w:tc>
          <w:tcPr>
            <w:tcW w:w="220" w:type="dxa"/>
            <w:vAlign w:val="bottom"/>
          </w:tcPr>
          <w:p>
            <w:pPr>
              <w:spacing w:after="0"/>
              <w:rPr>
                <w:sz w:val="16"/>
                <w:szCs w:val="16"/>
                <w:color w:val="auto"/>
              </w:rPr>
            </w:pPr>
          </w:p>
        </w:tc>
        <w:tc>
          <w:tcPr>
            <w:tcW w:w="3780" w:type="dxa"/>
            <w:vAlign w:val="bottom"/>
          </w:tcPr>
          <w:p>
            <w:pPr>
              <w:jc w:val="center"/>
              <w:ind w:right="133"/>
              <w:spacing w:after="0" w:line="186" w:lineRule="exact"/>
              <w:rPr>
                <w:sz w:val="20"/>
                <w:szCs w:val="20"/>
                <w:color w:val="auto"/>
              </w:rPr>
            </w:pPr>
            <w:r>
              <w:rPr>
                <w:rFonts w:ascii="Arial" w:cs="Arial" w:eastAsia="Arial" w:hAnsi="Arial"/>
                <w:sz w:val="18"/>
                <w:szCs w:val="18"/>
                <w:color w:val="auto"/>
                <w:w w:val="97"/>
              </w:rPr>
              <w:t>Lawrence J. Salva</w:t>
            </w:r>
          </w:p>
        </w:tc>
        <w:tc>
          <w:tcPr>
            <w:tcW w:w="4180" w:type="dxa"/>
            <w:vAlign w:val="bottom"/>
          </w:tcPr>
          <w:p>
            <w:pPr>
              <w:jc w:val="center"/>
              <w:ind w:right="194"/>
              <w:spacing w:after="0" w:line="186" w:lineRule="exact"/>
              <w:rPr>
                <w:sz w:val="20"/>
                <w:szCs w:val="20"/>
                <w:color w:val="auto"/>
              </w:rPr>
            </w:pPr>
            <w:r>
              <w:rPr>
                <w:rFonts w:ascii="Arial" w:cs="Arial" w:eastAsia="Arial" w:hAnsi="Arial"/>
                <w:sz w:val="18"/>
                <w:szCs w:val="18"/>
                <w:color w:val="auto"/>
                <w:w w:val="97"/>
              </w:rPr>
              <w:t>Officer and Controller</w:t>
            </w:r>
          </w:p>
        </w:tc>
        <w:tc>
          <w:tcPr>
            <w:tcW w:w="3240" w:type="dxa"/>
            <w:vAlign w:val="bottom"/>
          </w:tcPr>
          <w:p>
            <w:pPr>
              <w:spacing w:after="0"/>
              <w:rPr>
                <w:sz w:val="16"/>
                <w:szCs w:val="16"/>
                <w:color w:val="auto"/>
              </w:rPr>
            </w:pPr>
          </w:p>
        </w:tc>
      </w:tr>
      <w:tr>
        <w:trPr>
          <w:trHeight w:val="211"/>
        </w:trPr>
        <w:tc>
          <w:tcPr>
            <w:tcW w:w="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180" w:type="dxa"/>
            <w:vAlign w:val="bottom"/>
          </w:tcPr>
          <w:p>
            <w:pPr>
              <w:jc w:val="center"/>
              <w:ind w:right="174"/>
              <w:spacing w:after="0"/>
              <w:rPr>
                <w:sz w:val="20"/>
                <w:szCs w:val="20"/>
                <w:color w:val="auto"/>
              </w:rPr>
            </w:pPr>
            <w:r>
              <w:rPr>
                <w:rFonts w:ascii="Arial" w:cs="Arial" w:eastAsia="Arial" w:hAnsi="Arial"/>
                <w:sz w:val="18"/>
                <w:szCs w:val="18"/>
                <w:color w:val="auto"/>
                <w:w w:val="97"/>
              </w:rPr>
              <w:t>(Principal Accounting Officer)</w:t>
            </w: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S. D</w:t>
            </w:r>
            <w:r>
              <w:rPr>
                <w:rFonts w:ascii="Arial" w:cs="Arial" w:eastAsia="Arial" w:hAnsi="Arial"/>
                <w:sz w:val="14"/>
                <w:szCs w:val="14"/>
                <w:color w:val="auto"/>
              </w:rPr>
              <w:t>ECKER</w:t>
            </w:r>
            <w:r>
              <w:rPr>
                <w:rFonts w:ascii="Arial" w:cs="Arial" w:eastAsia="Arial" w:hAnsi="Arial"/>
                <w:sz w:val="18"/>
                <w:szCs w:val="18"/>
                <w:color w:val="auto"/>
              </w:rPr>
              <w:t xml:space="preserve"> A</w:t>
            </w:r>
            <w:r>
              <w:rPr>
                <w:rFonts w:ascii="Arial" w:cs="Arial" w:eastAsia="Arial" w:hAnsi="Arial"/>
                <w:sz w:val="14"/>
                <w:szCs w:val="14"/>
                <w:color w:val="auto"/>
              </w:rPr>
              <w:t>NSTROM</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6"/>
              </w:rPr>
              <w:t>S. Decker Anstrom</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7"/>
              </w:rPr>
              <w:t>Kenneth J. Bacon</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8"/>
              </w:rPr>
              <w:t>Sheldon M. Bonovitz</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D. B</w:t>
            </w:r>
            <w:r>
              <w:rPr>
                <w:rFonts w:ascii="Arial" w:cs="Arial" w:eastAsia="Arial" w:hAnsi="Arial"/>
                <w:sz w:val="14"/>
                <w:szCs w:val="14"/>
                <w:color w:val="auto"/>
              </w:rPr>
              <w:t>REEN</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7"/>
              </w:rPr>
              <w:t>Edward D. Breen</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8"/>
              </w:rPr>
              <w:t>Joseph J. Collins</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8"/>
              </w:rPr>
              <w:t>J. Michael Cook</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7"/>
              </w:rPr>
              <w:t>Gerald L. Hassell</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7"/>
              </w:rPr>
              <w:t>Jeffrey A. Honickman</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13"/>
              <w:spacing w:after="0"/>
              <w:rPr>
                <w:sz w:val="20"/>
                <w:szCs w:val="20"/>
                <w:color w:val="auto"/>
              </w:rPr>
            </w:pPr>
            <w:r>
              <w:rPr>
                <w:rFonts w:ascii="Arial" w:cs="Arial" w:eastAsia="Arial" w:hAnsi="Arial"/>
                <w:sz w:val="18"/>
                <w:szCs w:val="18"/>
                <w:color w:val="auto"/>
                <w:w w:val="97"/>
              </w:rPr>
              <w:t>Dr. Judith Rodin</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3"/>
        </w:trPr>
        <w:tc>
          <w:tcPr>
            <w:tcW w:w="220" w:type="dxa"/>
            <w:vAlign w:val="bottom"/>
          </w:tcPr>
          <w:p>
            <w:pPr>
              <w:spacing w:after="0"/>
              <w:rPr>
                <w:sz w:val="24"/>
                <w:szCs w:val="24"/>
                <w:color w:val="auto"/>
              </w:rPr>
            </w:pPr>
          </w:p>
        </w:tc>
        <w:tc>
          <w:tcPr>
            <w:tcW w:w="378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I. S</w:t>
            </w:r>
            <w:r>
              <w:rPr>
                <w:rFonts w:ascii="Arial" w:cs="Arial" w:eastAsia="Arial" w:hAnsi="Arial"/>
                <w:sz w:val="14"/>
                <w:szCs w:val="14"/>
                <w:color w:val="auto"/>
              </w:rPr>
              <w:t>OVERN</w:t>
            </w:r>
          </w:p>
        </w:tc>
        <w:tc>
          <w:tcPr>
            <w:tcW w:w="4180" w:type="dxa"/>
            <w:vAlign w:val="bottom"/>
          </w:tcPr>
          <w:p>
            <w:pPr>
              <w:jc w:val="center"/>
              <w:ind w:right="194"/>
              <w:spacing w:after="0"/>
              <w:rPr>
                <w:sz w:val="20"/>
                <w:szCs w:val="20"/>
                <w:color w:val="auto"/>
              </w:rPr>
            </w:pPr>
            <w:r>
              <w:rPr>
                <w:rFonts w:ascii="Arial" w:cs="Arial" w:eastAsia="Arial" w:hAnsi="Arial"/>
                <w:sz w:val="18"/>
                <w:szCs w:val="18"/>
                <w:color w:val="auto"/>
                <w:w w:val="98"/>
              </w:rPr>
              <w:t>Director</w:t>
            </w:r>
          </w:p>
        </w:tc>
        <w:tc>
          <w:tcPr>
            <w:tcW w:w="3240" w:type="dxa"/>
            <w:vAlign w:val="bottom"/>
          </w:tcPr>
          <w:p>
            <w:pPr>
              <w:jc w:val="center"/>
              <w:ind w:right="195"/>
              <w:spacing w:after="0"/>
              <w:rPr>
                <w:sz w:val="20"/>
                <w:szCs w:val="20"/>
                <w:color w:val="auto"/>
              </w:rPr>
            </w:pPr>
            <w:r>
              <w:rPr>
                <w:rFonts w:ascii="Arial" w:cs="Arial" w:eastAsia="Arial" w:hAnsi="Arial"/>
                <w:sz w:val="18"/>
                <w:szCs w:val="18"/>
                <w:color w:val="auto"/>
                <w:w w:val="97"/>
              </w:rPr>
              <w:t>February 20, 2009</w:t>
            </w:r>
          </w:p>
        </w:tc>
      </w:tr>
      <w:tr>
        <w:trPr>
          <w:trHeight w:val="208"/>
        </w:trPr>
        <w:tc>
          <w:tcPr>
            <w:tcW w:w="220" w:type="dxa"/>
            <w:vAlign w:val="bottom"/>
          </w:tcPr>
          <w:p>
            <w:pPr>
              <w:spacing w:after="0"/>
              <w:rPr>
                <w:sz w:val="18"/>
                <w:szCs w:val="18"/>
                <w:color w:val="auto"/>
              </w:rPr>
            </w:pPr>
          </w:p>
        </w:tc>
        <w:tc>
          <w:tcPr>
            <w:tcW w:w="3780" w:type="dxa"/>
            <w:vAlign w:val="bottom"/>
          </w:tcPr>
          <w:p>
            <w:pPr>
              <w:jc w:val="center"/>
              <w:ind w:right="133"/>
              <w:spacing w:after="0"/>
              <w:rPr>
                <w:sz w:val="20"/>
                <w:szCs w:val="20"/>
                <w:color w:val="auto"/>
              </w:rPr>
            </w:pPr>
            <w:r>
              <w:rPr>
                <w:rFonts w:ascii="Arial" w:cs="Arial" w:eastAsia="Arial" w:hAnsi="Arial"/>
                <w:sz w:val="18"/>
                <w:szCs w:val="18"/>
                <w:color w:val="auto"/>
                <w:w w:val="97"/>
              </w:rPr>
              <w:t>Michael I. Sovern</w:t>
            </w:r>
          </w:p>
        </w:tc>
        <w:tc>
          <w:tcPr>
            <w:tcW w:w="41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312"/>
        </w:trPr>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80" w:type="dxa"/>
            <w:vAlign w:val="bottom"/>
          </w:tcPr>
          <w:p>
            <w:pPr>
              <w:jc w:val="right"/>
              <w:ind w:right="2254"/>
              <w:spacing w:after="0"/>
              <w:rPr>
                <w:sz w:val="20"/>
                <w:szCs w:val="20"/>
                <w:color w:val="auto"/>
              </w:rPr>
            </w:pPr>
            <w:r>
              <w:rPr>
                <w:rFonts w:ascii="Arial" w:cs="Arial" w:eastAsia="Arial" w:hAnsi="Arial"/>
                <w:sz w:val="14"/>
                <w:szCs w:val="14"/>
                <w:b w:val="1"/>
                <w:bCs w:val="1"/>
                <w:color w:val="auto"/>
              </w:rPr>
              <w:t>85</w:t>
            </w:r>
          </w:p>
        </w:tc>
        <w:tc>
          <w:tcPr>
            <w:tcW w:w="3240" w:type="dxa"/>
            <w:vAlign w:val="bottom"/>
          </w:tcPr>
          <w:p>
            <w:pPr>
              <w:ind w:left="600"/>
              <w:spacing w:after="0"/>
              <w:rPr>
                <w:sz w:val="20"/>
                <w:szCs w:val="20"/>
                <w:color w:val="auto"/>
              </w:rPr>
            </w:pPr>
            <w:r>
              <w:rPr>
                <w:rFonts w:ascii="Arial" w:cs="Arial" w:eastAsia="Arial" w:hAnsi="Arial"/>
                <w:sz w:val="14"/>
                <w:szCs w:val="14"/>
                <w:color w:val="auto"/>
                <w:w w:val="95"/>
              </w:rPr>
              <w:t>Comcast 2008 Annual Report on Form 10-K</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2008 and 2007 and for each of the three years in the period ended December 31, 2008, and the Company’s internal control over financial reporting as of December 31, 2008, and have issued our report thereon dated February 20, 2009 (which report expresses an unqualified opinion and includes an explanatory paragraph concerning the adoption of new accounting pronouncements in 2008 and 2007);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Years Ended December 31, 2008, 2007 and 2006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60" w:type="dxa"/>
            <w:vAlign w:val="bottom"/>
          </w:tcPr>
          <w:p>
            <w:pPr>
              <w:jc w:val="right"/>
              <w:ind w:right="225"/>
              <w:spacing w:after="0"/>
              <w:rPr>
                <w:sz w:val="20"/>
                <w:szCs w:val="20"/>
                <w:color w:val="auto"/>
              </w:rPr>
            </w:pPr>
            <w:r>
              <w:rPr>
                <w:rFonts w:ascii="Arial" w:cs="Arial" w:eastAsia="Arial" w:hAnsi="Arial"/>
                <w:sz w:val="14"/>
                <w:szCs w:val="14"/>
                <w:color w:val="auto"/>
              </w:rPr>
              <w:t>Additions</w:t>
            </w:r>
          </w:p>
        </w:tc>
        <w:tc>
          <w:tcPr>
            <w:tcW w:w="1280" w:type="dxa"/>
            <w:vAlign w:val="bottom"/>
            <w:gridSpan w:val="2"/>
            <w:vMerge w:val="restart"/>
          </w:tcPr>
          <w:p>
            <w:pPr>
              <w:jc w:val="right"/>
              <w:ind w:right="197"/>
              <w:spacing w:after="0"/>
              <w:rPr>
                <w:sz w:val="20"/>
                <w:szCs w:val="20"/>
                <w:color w:val="auto"/>
              </w:rPr>
            </w:pPr>
            <w:r>
              <w:rPr>
                <w:rFonts w:ascii="Arial" w:cs="Arial" w:eastAsia="Arial" w:hAnsi="Arial"/>
                <w:sz w:val="14"/>
                <w:szCs w:val="14"/>
                <w:color w:val="auto"/>
              </w:rPr>
              <w:t>Deductions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3960" w:type="dxa"/>
            <w:vAlign w:val="bottom"/>
          </w:tcPr>
          <w:p>
            <w:pPr>
              <w:jc w:val="right"/>
              <w:ind w:right="224"/>
              <w:spacing w:after="0" w:line="123" w:lineRule="exact"/>
              <w:rPr>
                <w:sz w:val="20"/>
                <w:szCs w:val="20"/>
                <w:color w:val="auto"/>
              </w:rPr>
            </w:pPr>
            <w:r>
              <w:rPr>
                <w:rFonts w:ascii="Arial" w:cs="Arial" w:eastAsia="Arial" w:hAnsi="Arial"/>
                <w:sz w:val="14"/>
                <w:szCs w:val="14"/>
                <w:color w:val="auto"/>
              </w:rPr>
              <w:t>Balance at</w:t>
            </w:r>
          </w:p>
        </w:tc>
        <w:tc>
          <w:tcPr>
            <w:tcW w:w="1260" w:type="dxa"/>
            <w:vAlign w:val="bottom"/>
          </w:tcPr>
          <w:p>
            <w:pPr>
              <w:jc w:val="right"/>
              <w:ind w:right="225"/>
              <w:spacing w:after="0" w:line="123" w:lineRule="exact"/>
              <w:rPr>
                <w:sz w:val="20"/>
                <w:szCs w:val="20"/>
                <w:color w:val="auto"/>
              </w:rPr>
            </w:pPr>
            <w:r>
              <w:rPr>
                <w:rFonts w:ascii="Arial" w:cs="Arial" w:eastAsia="Arial" w:hAnsi="Arial"/>
                <w:sz w:val="14"/>
                <w:szCs w:val="14"/>
                <w:color w:val="auto"/>
              </w:rPr>
              <w:t>Charged to</w:t>
            </w:r>
          </w:p>
        </w:tc>
        <w:tc>
          <w:tcPr>
            <w:tcW w:w="1280" w:type="dxa"/>
            <w:vAlign w:val="bottom"/>
            <w:gridSpan w:val="2"/>
            <w:vMerge w:val="continue"/>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960" w:type="dxa"/>
            <w:vAlign w:val="bottom"/>
          </w:tcPr>
          <w:p>
            <w:pPr>
              <w:jc w:val="right"/>
              <w:ind w:right="224"/>
              <w:spacing w:after="0" w:line="149" w:lineRule="exact"/>
              <w:rPr>
                <w:sz w:val="20"/>
                <w:szCs w:val="20"/>
                <w:color w:val="auto"/>
              </w:rPr>
            </w:pPr>
            <w:r>
              <w:rPr>
                <w:rFonts w:ascii="Arial" w:cs="Arial" w:eastAsia="Arial" w:hAnsi="Arial"/>
                <w:sz w:val="14"/>
                <w:szCs w:val="14"/>
                <w:color w:val="auto"/>
              </w:rPr>
              <w:t>Beginning</w:t>
            </w:r>
          </w:p>
        </w:tc>
        <w:tc>
          <w:tcPr>
            <w:tcW w:w="1260" w:type="dxa"/>
            <w:vAlign w:val="bottom"/>
          </w:tcPr>
          <w:p>
            <w:pPr>
              <w:jc w:val="right"/>
              <w:ind w:right="225"/>
              <w:spacing w:after="0" w:line="149" w:lineRule="exact"/>
              <w:rPr>
                <w:sz w:val="20"/>
                <w:szCs w:val="20"/>
                <w:color w:val="auto"/>
              </w:rPr>
            </w:pPr>
            <w:r>
              <w:rPr>
                <w:rFonts w:ascii="Arial" w:cs="Arial" w:eastAsia="Arial" w:hAnsi="Arial"/>
                <w:sz w:val="14"/>
                <w:szCs w:val="14"/>
                <w:color w:val="auto"/>
              </w:rPr>
              <w:t>Costs and</w:t>
            </w:r>
          </w:p>
        </w:tc>
        <w:tc>
          <w:tcPr>
            <w:tcW w:w="540" w:type="dxa"/>
            <w:vAlign w:val="bottom"/>
          </w:tcPr>
          <w:p>
            <w:pPr>
              <w:spacing w:after="0"/>
              <w:rPr>
                <w:sz w:val="12"/>
                <w:szCs w:val="12"/>
                <w:color w:val="auto"/>
              </w:rPr>
            </w:pPr>
          </w:p>
        </w:tc>
        <w:tc>
          <w:tcPr>
            <w:tcW w:w="740" w:type="dxa"/>
            <w:vAlign w:val="bottom"/>
          </w:tcPr>
          <w:p>
            <w:pPr>
              <w:jc w:val="right"/>
              <w:ind w:right="197"/>
              <w:spacing w:after="0" w:line="149" w:lineRule="exact"/>
              <w:rPr>
                <w:sz w:val="20"/>
                <w:szCs w:val="20"/>
                <w:color w:val="auto"/>
              </w:rPr>
            </w:pPr>
            <w:r>
              <w:rPr>
                <w:rFonts w:ascii="Arial" w:cs="Arial" w:eastAsia="Arial" w:hAnsi="Arial"/>
                <w:sz w:val="14"/>
                <w:szCs w:val="14"/>
                <w:color w:val="auto"/>
              </w:rPr>
              <w:t>from</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at End</w:t>
            </w:r>
          </w:p>
        </w:tc>
        <w:tc>
          <w:tcPr>
            <w:tcW w:w="0" w:type="dxa"/>
            <w:vAlign w:val="bottom"/>
          </w:tcPr>
          <w:p>
            <w:pPr>
              <w:spacing w:after="0"/>
              <w:rPr>
                <w:sz w:val="1"/>
                <w:szCs w:val="1"/>
                <w:color w:val="auto"/>
              </w:rPr>
            </w:pPr>
          </w:p>
        </w:tc>
      </w:tr>
      <w:tr>
        <w:trPr>
          <w:trHeight w:val="176"/>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of Year</w:t>
            </w:r>
          </w:p>
        </w:tc>
        <w:tc>
          <w:tcPr>
            <w:tcW w:w="12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color w:val="auto"/>
              </w:rPr>
              <w:t>Expenses</w:t>
            </w:r>
          </w:p>
        </w:tc>
        <w:tc>
          <w:tcPr>
            <w:tcW w:w="1280" w:type="dxa"/>
            <w:vAlign w:val="bottom"/>
            <w:tcBorders>
              <w:bottom w:val="single" w:sz="8" w:color="auto"/>
            </w:tcBorders>
            <w:gridSpan w:val="2"/>
          </w:tcPr>
          <w:p>
            <w:pPr>
              <w:jc w:val="right"/>
              <w:ind w:right="197"/>
              <w:spacing w:after="0" w:line="176" w:lineRule="exact"/>
              <w:rPr>
                <w:sz w:val="20"/>
                <w:szCs w:val="20"/>
                <w:color w:val="auto"/>
              </w:rPr>
            </w:pPr>
            <w:r>
              <w:rPr>
                <w:rFonts w:ascii="Arial" w:cs="Arial" w:eastAsia="Arial" w:hAnsi="Arial"/>
                <w:sz w:val="13"/>
                <w:szCs w:val="13"/>
                <w:color w:val="auto"/>
              </w:rPr>
              <w:t>Reserves</w:t>
            </w:r>
            <w:r>
              <w:rPr>
                <w:rFonts w:ascii="Arial" w:cs="Arial" w:eastAsia="Arial" w:hAnsi="Arial"/>
                <w:sz w:val="20"/>
                <w:szCs w:val="20"/>
                <w:color w:val="auto"/>
                <w:vertAlign w:val="superscript"/>
              </w:rPr>
              <w:t>(a)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Year</w:t>
            </w: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Allowance for Doubtful Accounts</w:t>
            </w:r>
          </w:p>
        </w:tc>
        <w:tc>
          <w:tcPr>
            <w:tcW w:w="3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3960" w:type="dxa"/>
            <w:vAlign w:val="bottom"/>
          </w:tcPr>
          <w:p>
            <w:pPr>
              <w:jc w:val="right"/>
              <w:ind w:right="224"/>
              <w:spacing w:after="0" w:line="202" w:lineRule="exact"/>
              <w:rPr>
                <w:sz w:val="20"/>
                <w:szCs w:val="20"/>
                <w:color w:val="auto"/>
              </w:rPr>
            </w:pPr>
            <w:r>
              <w:rPr>
                <w:rFonts w:ascii="Arial" w:cs="Arial" w:eastAsia="Arial" w:hAnsi="Arial"/>
                <w:sz w:val="18"/>
                <w:szCs w:val="18"/>
                <w:color w:val="auto"/>
              </w:rPr>
              <w:t>$   181</w:t>
            </w:r>
          </w:p>
        </w:tc>
        <w:tc>
          <w:tcPr>
            <w:tcW w:w="1260" w:type="dxa"/>
            <w:vAlign w:val="bottom"/>
          </w:tcPr>
          <w:p>
            <w:pPr>
              <w:jc w:val="right"/>
              <w:ind w:right="225"/>
              <w:spacing w:after="0" w:line="202" w:lineRule="exact"/>
              <w:rPr>
                <w:sz w:val="20"/>
                <w:szCs w:val="20"/>
                <w:color w:val="auto"/>
              </w:rPr>
            </w:pPr>
            <w:r>
              <w:rPr>
                <w:rFonts w:ascii="Arial" w:cs="Arial" w:eastAsia="Arial" w:hAnsi="Arial"/>
                <w:sz w:val="18"/>
                <w:szCs w:val="18"/>
                <w:color w:val="auto"/>
              </w:rPr>
              <w:t>$   446</w:t>
            </w:r>
          </w:p>
        </w:tc>
        <w:tc>
          <w:tcPr>
            <w:tcW w:w="540" w:type="dxa"/>
            <w:vAlign w:val="bottom"/>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437</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$ 190</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3960" w:type="dxa"/>
            <w:vAlign w:val="bottom"/>
          </w:tcPr>
          <w:p>
            <w:pPr>
              <w:jc w:val="right"/>
              <w:ind w:right="224"/>
              <w:spacing w:after="0" w:line="202" w:lineRule="exact"/>
              <w:rPr>
                <w:sz w:val="20"/>
                <w:szCs w:val="20"/>
                <w:color w:val="auto"/>
              </w:rPr>
            </w:pPr>
            <w:r>
              <w:rPr>
                <w:rFonts w:ascii="Arial" w:cs="Arial" w:eastAsia="Arial" w:hAnsi="Arial"/>
                <w:sz w:val="18"/>
                <w:szCs w:val="18"/>
                <w:color w:val="auto"/>
              </w:rPr>
              <w:t>157</w:t>
            </w:r>
          </w:p>
        </w:tc>
        <w:tc>
          <w:tcPr>
            <w:tcW w:w="1260" w:type="dxa"/>
            <w:vAlign w:val="bottom"/>
          </w:tcPr>
          <w:p>
            <w:pPr>
              <w:jc w:val="right"/>
              <w:ind w:right="225"/>
              <w:spacing w:after="0" w:line="202" w:lineRule="exact"/>
              <w:rPr>
                <w:sz w:val="20"/>
                <w:szCs w:val="20"/>
                <w:color w:val="auto"/>
              </w:rPr>
            </w:pPr>
            <w:r>
              <w:rPr>
                <w:rFonts w:ascii="Arial" w:cs="Arial" w:eastAsia="Arial" w:hAnsi="Arial"/>
                <w:sz w:val="18"/>
                <w:szCs w:val="18"/>
                <w:color w:val="auto"/>
              </w:rPr>
              <w:t>418</w:t>
            </w:r>
          </w:p>
        </w:tc>
        <w:tc>
          <w:tcPr>
            <w:tcW w:w="540" w:type="dxa"/>
            <w:vAlign w:val="bottom"/>
          </w:tcPr>
          <w:p>
            <w:pPr>
              <w:spacing w:after="0"/>
              <w:rPr>
                <w:sz w:val="17"/>
                <w:szCs w:val="17"/>
                <w:color w:val="auto"/>
              </w:rPr>
            </w:pPr>
          </w:p>
        </w:tc>
        <w:tc>
          <w:tcPr>
            <w:tcW w:w="74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394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2006</w:t>
            </w:r>
          </w:p>
        </w:tc>
        <w:tc>
          <w:tcPr>
            <w:tcW w:w="3960" w:type="dxa"/>
            <w:vAlign w:val="bottom"/>
            <w:tcBorders>
              <w:bottom w:val="single" w:sz="8" w:color="auto"/>
            </w:tcBorders>
          </w:tcPr>
          <w:p>
            <w:pPr>
              <w:jc w:val="right"/>
              <w:ind w:right="224"/>
              <w:spacing w:after="0" w:line="200" w:lineRule="exact"/>
              <w:rPr>
                <w:sz w:val="20"/>
                <w:szCs w:val="20"/>
                <w:color w:val="auto"/>
              </w:rPr>
            </w:pPr>
            <w:r>
              <w:rPr>
                <w:rFonts w:ascii="Arial" w:cs="Arial" w:eastAsia="Arial" w:hAnsi="Arial"/>
                <w:sz w:val="18"/>
                <w:szCs w:val="18"/>
                <w:color w:val="auto"/>
              </w:rPr>
              <w:t>132</w:t>
            </w:r>
          </w:p>
        </w:tc>
        <w:tc>
          <w:tcPr>
            <w:tcW w:w="1260" w:type="dxa"/>
            <w:vAlign w:val="bottom"/>
            <w:tcBorders>
              <w:bottom w:val="single" w:sz="8" w:color="auto"/>
            </w:tcBorders>
          </w:tcPr>
          <w:p>
            <w:pPr>
              <w:jc w:val="right"/>
              <w:ind w:right="225"/>
              <w:spacing w:after="0" w:line="200" w:lineRule="exact"/>
              <w:rPr>
                <w:sz w:val="20"/>
                <w:szCs w:val="20"/>
                <w:color w:val="auto"/>
              </w:rPr>
            </w:pPr>
            <w:r>
              <w:rPr>
                <w:rFonts w:ascii="Arial" w:cs="Arial" w:eastAsia="Arial" w:hAnsi="Arial"/>
                <w:sz w:val="18"/>
                <w:szCs w:val="18"/>
                <w:color w:val="auto"/>
              </w:rPr>
              <w:t>279</w:t>
            </w: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line="200" w:lineRule="exact"/>
              <w:rPr>
                <w:sz w:val="20"/>
                <w:szCs w:val="20"/>
                <w:color w:val="auto"/>
              </w:rPr>
            </w:pPr>
            <w:r>
              <w:rPr>
                <w:rFonts w:ascii="Arial" w:cs="Arial" w:eastAsia="Arial" w:hAnsi="Arial"/>
                <w:sz w:val="18"/>
                <w:szCs w:val="18"/>
                <w:color w:val="auto"/>
              </w:rPr>
              <w:t>254</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4"/>
                <w:szCs w:val="14"/>
                <w:color w:val="auto"/>
              </w:rPr>
              <w:t>(a)  Uncollectible accounts written off.</w:t>
            </w:r>
          </w:p>
        </w:tc>
        <w:tc>
          <w:tcPr>
            <w:tcW w:w="3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3960" w:type="dxa"/>
            <w:vAlign w:val="bottom"/>
          </w:tcPr>
          <w:p>
            <w:pPr>
              <w:jc w:val="right"/>
              <w:ind w:right="2164"/>
              <w:spacing w:after="0"/>
              <w:rPr>
                <w:sz w:val="20"/>
                <w:szCs w:val="20"/>
                <w:color w:val="auto"/>
              </w:rPr>
            </w:pPr>
            <w:r>
              <w:rPr>
                <w:rFonts w:ascii="Arial" w:cs="Arial" w:eastAsia="Arial" w:hAnsi="Arial"/>
                <w:sz w:val="14"/>
                <w:szCs w:val="14"/>
                <w:b w:val="1"/>
                <w:bCs w:val="1"/>
                <w:color w:val="auto"/>
              </w:rPr>
              <w:t>87</w:t>
            </w:r>
          </w:p>
        </w:tc>
        <w:tc>
          <w:tcPr>
            <w:tcW w:w="3340" w:type="dxa"/>
            <w:vAlign w:val="bottom"/>
            <w:gridSpan w:val="4"/>
          </w:tcPr>
          <w:p>
            <w:pPr>
              <w:jc w:val="right"/>
              <w:spacing w:after="0"/>
              <w:rPr>
                <w:sz w:val="20"/>
                <w:szCs w:val="20"/>
                <w:color w:val="auto"/>
              </w:rPr>
            </w:pPr>
            <w:r>
              <w:rPr>
                <w:rFonts w:ascii="Arial" w:cs="Arial" w:eastAsia="Arial" w:hAnsi="Arial"/>
                <w:sz w:val="14"/>
                <w:szCs w:val="14"/>
                <w:color w:val="auto"/>
              </w:rPr>
              <w:t>Comcast 2008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8,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Registered Office.</w:t>
      </w:r>
      <w:r>
        <w:rPr>
          <w:rFonts w:ascii="Arial" w:cs="Arial" w:eastAsia="Arial" w:hAnsi="Arial"/>
          <w:sz w:val="18"/>
          <w:szCs w:val="18"/>
          <w:color w:val="auto"/>
        </w:rPr>
        <w:t xml:space="preserve"> The registered office of the Corporation shall be located within the Commonwealth of Pennsylvania at such place as the Board of Directors (hereinafter referred to as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Offices.</w:t>
      </w:r>
      <w:r>
        <w:rPr>
          <w:rFonts w:ascii="Arial" w:cs="Arial" w:eastAsia="Arial" w:hAnsi="Arial"/>
          <w:sz w:val="18"/>
          <w:szCs w:val="18"/>
          <w:color w:val="auto"/>
        </w:rPr>
        <w:t xml:space="preserve"> The Corporation may also have offices at such other places, within or without the Commonwealth of Pennsylvania, as the Board of Directors may determine from time to time.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EETINGS OF</w:t>
      </w:r>
      <w:r>
        <w:rPr>
          <w:rFonts w:ascii="Arial" w:cs="Arial" w:eastAsia="Arial" w:hAnsi="Arial"/>
          <w:sz w:val="18"/>
          <w:szCs w:val="18"/>
          <w:color w:val="auto"/>
        </w:rPr>
        <w:t xml:space="preserve"> S</w:t>
      </w:r>
      <w:r>
        <w:rPr>
          <w:rFonts w:ascii="Arial" w:cs="Arial" w:eastAsia="Arial" w:hAnsi="Arial"/>
          <w:sz w:val="14"/>
          <w:szCs w:val="14"/>
          <w:color w:val="auto"/>
        </w:rPr>
        <w:t>HAREHOLDERS</w:t>
      </w:r>
    </w:p>
    <w:p>
      <w:pPr>
        <w:spacing w:after="0" w:line="16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Place of Meetings of Shareholders.</w:t>
      </w:r>
      <w:r>
        <w:rPr>
          <w:rFonts w:ascii="Arial" w:cs="Arial" w:eastAsia="Arial" w:hAnsi="Arial"/>
          <w:sz w:val="18"/>
          <w:szCs w:val="18"/>
          <w:color w:val="auto"/>
        </w:rPr>
        <w:t xml:space="preserve">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be held at a particular geographic location.</w:t>
      </w:r>
    </w:p>
    <w:p>
      <w:pPr>
        <w:sectPr>
          <w:pgSz w:w="11900" w:h="16838" w:orient="portrait"/>
          <w:cols w:equalWidth="0" w:num="1">
            <w:col w:w="11420"/>
          </w:cols>
          <w:pgMar w:left="240" w:top="125"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2.02. </w:t>
      </w:r>
      <w:r>
        <w:rPr>
          <w:rFonts w:ascii="Arial" w:cs="Arial" w:eastAsia="Arial" w:hAnsi="Arial"/>
          <w:sz w:val="18"/>
          <w:szCs w:val="18"/>
          <w:i w:val="1"/>
          <w:iCs w:val="1"/>
          <w:color w:val="auto"/>
        </w:rPr>
        <w:t>Annual Meetings of Shareholders.</w:t>
      </w:r>
    </w:p>
    <w:p>
      <w:pPr>
        <w:spacing w:after="0" w:line="90" w:lineRule="exact"/>
        <w:rPr>
          <w:sz w:val="20"/>
          <w:szCs w:val="20"/>
          <w:color w:val="auto"/>
        </w:rPr>
      </w:pPr>
    </w:p>
    <w:p>
      <w:pPr>
        <w:ind w:right="20" w:firstLine="464"/>
        <w:spacing w:after="0" w:line="256"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143"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Special Meetings of Shareholders.</w:t>
      </w:r>
      <w:r>
        <w:rPr>
          <w:rFonts w:ascii="Arial" w:cs="Arial" w:eastAsia="Arial" w:hAnsi="Arial"/>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Notices of Meetings of Shareholders.</w:t>
      </w:r>
      <w:r>
        <w:rPr>
          <w:rFonts w:ascii="Arial" w:cs="Arial" w:eastAsia="Arial" w:hAnsi="Arial"/>
          <w:sz w:val="18"/>
          <w:szCs w:val="18"/>
          <w:color w:val="auto"/>
        </w:rPr>
        <w:t xml:space="preserve">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18"/>
          <w:szCs w:val="18"/>
          <w:b w:val="1"/>
          <w:bCs w:val="1"/>
          <w:color w:val="auto"/>
        </w:rPr>
        <w:t>Pennsylvania BCL</w:t>
      </w:r>
      <w:r>
        <w:rPr>
          <w:rFonts w:ascii="Arial" w:cs="Arial" w:eastAsia="Arial" w:hAnsi="Arial"/>
          <w:sz w:val="18"/>
          <w:szCs w:val="18"/>
          <w:color w:val="auto"/>
        </w:rPr>
        <w:t>”), at least twenty days prior to the day named for the meeting, except as provided in Section 6.07. Such notices may be given by, or at the direction of, the Secretary or his or her designated agent.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Quorum of and Action by Shareholders.</w:t>
      </w:r>
    </w:p>
    <w:p>
      <w:pPr>
        <w:spacing w:after="0" w:line="90" w:lineRule="exact"/>
        <w:rPr>
          <w:sz w:val="20"/>
          <w:szCs w:val="20"/>
          <w:color w:val="auto"/>
        </w:rPr>
      </w:pPr>
    </w:p>
    <w:p>
      <w:pPr>
        <w:ind w:right="100" w:firstLine="464"/>
        <w:spacing w:after="0" w:line="253"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Rule.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1" w:name="page92"/>
    <w:bookmarkEnd w:id="91"/>
    <w:p>
      <w:pPr>
        <w:ind w:left="-20" w:right="40" w:firstLine="464"/>
        <w:spacing w:after="0" w:line="294"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required shareholder vote be reduced below that provided above.</w:t>
      </w:r>
    </w:p>
    <w:p>
      <w:pPr>
        <w:spacing w:after="0" w:line="115" w:lineRule="exact"/>
        <w:rPr>
          <w:rFonts w:ascii="Arial" w:cs="Arial" w:eastAsia="Arial" w:hAnsi="Arial"/>
          <w:sz w:val="16"/>
          <w:szCs w:val="16"/>
          <w:color w:val="auto"/>
        </w:rPr>
      </w:pPr>
    </w:p>
    <w:p>
      <w:pPr>
        <w:ind w:left="-20" w:right="720" w:firstLine="464"/>
        <w:spacing w:after="0" w:line="268" w:lineRule="auto"/>
        <w:tabs>
          <w:tab w:leader="none" w:pos="6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31" w:lineRule="exact"/>
        <w:rPr>
          <w:rFonts w:ascii="Arial" w:cs="Arial" w:eastAsia="Arial" w:hAnsi="Arial"/>
          <w:sz w:val="18"/>
          <w:szCs w:val="18"/>
          <w:color w:val="auto"/>
        </w:rPr>
      </w:pPr>
    </w:p>
    <w:p>
      <w:pPr>
        <w:ind w:left="-20" w:right="360" w:firstLine="464"/>
        <w:spacing w:after="0" w:line="259"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140" w:lineRule="exact"/>
        <w:rPr>
          <w:rFonts w:ascii="Arial" w:cs="Arial" w:eastAsia="Arial" w:hAnsi="Arial"/>
          <w:sz w:val="18"/>
          <w:szCs w:val="18"/>
          <w:color w:val="auto"/>
        </w:rPr>
      </w:pPr>
    </w:p>
    <w:p>
      <w:pPr>
        <w:ind w:left="-20" w:firstLine="464"/>
        <w:spacing w:after="0" w:line="298" w:lineRule="auto"/>
        <w:tabs>
          <w:tab w:leader="none" w:pos="6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Adjournments.</w:t>
      </w:r>
    </w:p>
    <w:p>
      <w:pPr>
        <w:spacing w:after="0" w:line="90" w:lineRule="exact"/>
        <w:rPr>
          <w:sz w:val="20"/>
          <w:szCs w:val="20"/>
          <w:color w:val="auto"/>
        </w:rPr>
      </w:pPr>
    </w:p>
    <w:p>
      <w:pPr>
        <w:ind w:left="-20" w:right="360" w:firstLine="464"/>
        <w:spacing w:after="0" w:line="268"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31" w:lineRule="exact"/>
        <w:rPr>
          <w:rFonts w:ascii="Arial" w:cs="Arial" w:eastAsia="Arial" w:hAnsi="Arial"/>
          <w:sz w:val="18"/>
          <w:szCs w:val="18"/>
          <w:color w:val="auto"/>
        </w:rPr>
      </w:pPr>
    </w:p>
    <w:p>
      <w:pPr>
        <w:ind w:left="-20" w:right="220" w:firstLine="464"/>
        <w:spacing w:after="0" w:line="294" w:lineRule="auto"/>
        <w:tabs>
          <w:tab w:leader="none" w:pos="6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92" w:name="page93"/>
    <w:bookmarkEnd w:id="92"/>
    <w:p>
      <w:pPr>
        <w:ind w:left="-20" w:right="100" w:firstLine="464"/>
        <w:spacing w:after="0" w:line="256" w:lineRule="auto"/>
        <w:tabs>
          <w:tab w:leader="none" w:pos="675"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Voting List, Voting and Proxies.</w:t>
      </w:r>
    </w:p>
    <w:p>
      <w:pPr>
        <w:spacing w:after="0" w:line="90" w:lineRule="exact"/>
        <w:rPr>
          <w:sz w:val="20"/>
          <w:szCs w:val="20"/>
          <w:color w:val="auto"/>
        </w:rPr>
      </w:pPr>
    </w:p>
    <w:p>
      <w:pPr>
        <w:ind w:left="-20" w:firstLine="464"/>
        <w:spacing w:after="0" w:line="255" w:lineRule="auto"/>
        <w:tabs>
          <w:tab w:leader="none" w:pos="6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42" w:lineRule="exact"/>
        <w:rPr>
          <w:rFonts w:ascii="Arial" w:cs="Arial" w:eastAsia="Arial" w:hAnsi="Arial"/>
          <w:sz w:val="18"/>
          <w:szCs w:val="18"/>
          <w:color w:val="auto"/>
        </w:rPr>
      </w:pPr>
    </w:p>
    <w:p>
      <w:pPr>
        <w:jc w:val="both"/>
        <w:ind w:left="-20" w:right="120" w:firstLine="464"/>
        <w:spacing w:after="0" w:line="255"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42" w:lineRule="exact"/>
        <w:rPr>
          <w:rFonts w:ascii="Arial" w:cs="Arial" w:eastAsia="Arial" w:hAnsi="Arial"/>
          <w:sz w:val="18"/>
          <w:szCs w:val="18"/>
          <w:color w:val="auto"/>
        </w:rPr>
      </w:pPr>
    </w:p>
    <w:p>
      <w:pPr>
        <w:ind w:left="-20" w:right="60" w:firstLine="464"/>
        <w:spacing w:after="0" w:line="288" w:lineRule="auto"/>
        <w:tabs>
          <w:tab w:leader="none" w:pos="6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93" w:name="page94"/>
    <w:bookmarkEnd w:id="93"/>
    <w:p>
      <w:pPr>
        <w:ind w:right="20" w:firstLine="464"/>
        <w:spacing w:after="0" w:line="290"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Participation in Meetings by Electronic Means.</w:t>
      </w:r>
      <w:r>
        <w:rPr>
          <w:rFonts w:ascii="Arial" w:cs="Arial" w:eastAsia="Arial" w:hAnsi="Arial"/>
          <w:sz w:val="18"/>
          <w:szCs w:val="18"/>
          <w:color w:val="auto"/>
        </w:rPr>
        <w:t xml:space="preserve">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Business at Meetings of Shareholders.</w:t>
      </w:r>
      <w:r>
        <w:rPr>
          <w:rFonts w:ascii="Arial" w:cs="Arial" w:eastAsia="Arial" w:hAnsi="Arial"/>
          <w:sz w:val="16"/>
          <w:szCs w:val="16"/>
          <w:color w:val="auto"/>
        </w:rPr>
        <w:t xml:space="preserve">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by or on behalf of any shareholder who shall have been a shareholder of record on the record date for such meeting and who shall continue to be entitled to vote thereat (the “</w:t>
      </w:r>
      <w:r>
        <w:rPr>
          <w:rFonts w:ascii="Arial" w:cs="Arial" w:eastAsia="Arial" w:hAnsi="Arial"/>
          <w:sz w:val="16"/>
          <w:szCs w:val="16"/>
          <w:b w:val="1"/>
          <w:bCs w:val="1"/>
          <w:color w:val="auto"/>
        </w:rPr>
        <w:t>Shareholder Notice</w:t>
      </w:r>
      <w:r>
        <w:rPr>
          <w:rFonts w:ascii="Arial" w:cs="Arial" w:eastAsia="Arial" w:hAnsi="Arial"/>
          <w:sz w:val="16"/>
          <w:szCs w:val="16"/>
          <w:color w:val="auto"/>
        </w:rPr>
        <w:t>”), in accordance with all of the following requirements:</w:t>
      </w:r>
    </w:p>
    <w:p>
      <w:pPr>
        <w:spacing w:after="0" w:line="37" w:lineRule="exact"/>
        <w:rPr>
          <w:sz w:val="20"/>
          <w:szCs w:val="20"/>
          <w:color w:val="auto"/>
        </w:rPr>
      </w:pPr>
    </w:p>
    <w:p>
      <w:pPr>
        <w:ind w:left="460" w:right="80" w:firstLine="443"/>
        <w:spacing w:after="0" w:line="254" w:lineRule="auto"/>
        <w:tabs>
          <w:tab w:leader="none" w:pos="11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4" w:name="page95"/>
    <w:bookmarkEnd w:id="94"/>
    <w:p>
      <w:pPr>
        <w:ind w:left="1120" w:hanging="257"/>
        <w:spacing w:after="0"/>
        <w:tabs>
          <w:tab w:leader="none" w:pos="1120" w:val="left"/>
        </w:tabs>
        <w:numPr>
          <w:ilvl w:val="1"/>
          <w:numId w:val="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such Shareholder Notice must set forth: (A) the name and address of the shareholder who intends to bring the business before the meeting;</w:t>
      </w:r>
    </w:p>
    <w:p>
      <w:pPr>
        <w:spacing w:after="0" w:line="49" w:lineRule="exact"/>
        <w:rPr>
          <w:rFonts w:ascii="Arial" w:cs="Arial" w:eastAsia="Arial" w:hAnsi="Arial"/>
          <w:sz w:val="15"/>
          <w:szCs w:val="15"/>
          <w:color w:val="auto"/>
        </w:rPr>
      </w:pPr>
    </w:p>
    <w:p>
      <w:pPr>
        <w:ind w:left="420" w:right="120" w:firstLine="4"/>
        <w:spacing w:after="0" w:line="253" w:lineRule="auto"/>
        <w:tabs>
          <w:tab w:leader="none" w:pos="6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Conduct Of Meetings Of Shareholders.</w:t>
      </w:r>
    </w:p>
    <w:p>
      <w:pPr>
        <w:spacing w:after="0" w:line="90" w:lineRule="exact"/>
        <w:rPr>
          <w:sz w:val="20"/>
          <w:szCs w:val="20"/>
          <w:color w:val="auto"/>
        </w:rPr>
      </w:pPr>
    </w:p>
    <w:p>
      <w:pPr>
        <w:ind w:left="-40" w:right="40" w:firstLine="464"/>
        <w:spacing w:after="0" w:line="306"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presiding officer is not designated by the Board of Directors or in the manner authorized by the Board of Directors, the Chairman of the Board shall be the presiding officer.</w:t>
      </w:r>
    </w:p>
    <w:p>
      <w:pPr>
        <w:spacing w:after="0" w:line="106" w:lineRule="exact"/>
        <w:rPr>
          <w:rFonts w:ascii="Arial" w:cs="Arial" w:eastAsia="Arial" w:hAnsi="Arial"/>
          <w:sz w:val="16"/>
          <w:szCs w:val="16"/>
          <w:color w:val="auto"/>
        </w:rPr>
      </w:pPr>
    </w:p>
    <w:p>
      <w:pPr>
        <w:ind w:left="-40" w:firstLine="464"/>
        <w:spacing w:after="0" w:line="268" w:lineRule="auto"/>
        <w:tabs>
          <w:tab w:leader="none" w:pos="6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31" w:lineRule="exact"/>
        <w:rPr>
          <w:rFonts w:ascii="Arial" w:cs="Arial" w:eastAsia="Arial" w:hAnsi="Arial"/>
          <w:sz w:val="18"/>
          <w:szCs w:val="18"/>
          <w:color w:val="auto"/>
        </w:rPr>
      </w:pPr>
    </w:p>
    <w:p>
      <w:pPr>
        <w:ind w:left="-40" w:right="420" w:firstLine="464"/>
        <w:spacing w:after="0" w:line="33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16"/>
          <w:szCs w:val="16"/>
          <w:i w:val="1"/>
          <w:iCs w:val="1"/>
          <w:color w:val="auto"/>
        </w:rPr>
        <w:t>Robert’s Rules of Order</w:t>
      </w:r>
      <w:r>
        <w:rPr>
          <w:rFonts w:ascii="Arial" w:cs="Arial" w:eastAsia="Arial" w:hAnsi="Arial"/>
          <w:sz w:val="16"/>
          <w:szCs w:val="16"/>
          <w:color w:val="auto"/>
        </w:rPr>
        <w:t xml:space="preserve"> or any other published rules for the conduct of a meeting.</w:t>
      </w:r>
    </w:p>
    <w:p>
      <w:pPr>
        <w:spacing w:after="0" w:line="85" w:lineRule="exact"/>
        <w:rPr>
          <w:rFonts w:ascii="Arial" w:cs="Arial" w:eastAsia="Arial" w:hAnsi="Arial"/>
          <w:sz w:val="16"/>
          <w:szCs w:val="16"/>
          <w:color w:val="auto"/>
        </w:rPr>
      </w:pPr>
    </w:p>
    <w:p>
      <w:pPr>
        <w:ind w:left="-40" w:right="20" w:firstLine="464"/>
        <w:spacing w:after="0" w:line="259" w:lineRule="auto"/>
        <w:tabs>
          <w:tab w:leader="none" w:pos="6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Board of Directors.</w:t>
      </w:r>
    </w:p>
    <w:p>
      <w:pPr>
        <w:spacing w:after="0" w:line="90" w:lineRule="exact"/>
        <w:rPr>
          <w:sz w:val="20"/>
          <w:szCs w:val="20"/>
          <w:color w:val="auto"/>
        </w:rPr>
      </w:pPr>
    </w:p>
    <w:p>
      <w:pPr>
        <w:ind w:right="100" w:firstLine="464"/>
        <w:spacing w:after="0" w:line="332"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Number. The number of Directors shall be as determined by the Board of Directors from time to time.</w:t>
      </w:r>
    </w:p>
    <w:p>
      <w:pPr>
        <w:spacing w:after="0" w:line="171" w:lineRule="exact"/>
        <w:rPr>
          <w:rFonts w:ascii="Arial" w:cs="Arial" w:eastAsia="Arial" w:hAnsi="Arial"/>
          <w:sz w:val="18"/>
          <w:szCs w:val="18"/>
          <w:color w:val="auto"/>
        </w:rPr>
      </w:pPr>
    </w:p>
    <w:p>
      <w:pPr>
        <w:ind w:firstLine="464"/>
        <w:spacing w:after="0" w:line="294"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1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Place of Meetings.</w:t>
      </w:r>
      <w:r>
        <w:rPr>
          <w:rFonts w:ascii="Arial" w:cs="Arial" w:eastAsia="Arial" w:hAnsi="Arial"/>
          <w:sz w:val="18"/>
          <w:szCs w:val="18"/>
          <w:color w:val="auto"/>
        </w:rPr>
        <w:t xml:space="preserve"> Meetings of the Board of Directors may be held at such place within or without the Commonwealth of Pennsylvania as the Board of Directors may appoint from time to time or as may be designated in the notice of the meeting.</w:t>
      </w:r>
    </w:p>
    <w:p>
      <w:pPr>
        <w:spacing w:after="0" w:line="13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Section 3.03</w:t>
      </w:r>
      <w:r>
        <w:rPr>
          <w:rFonts w:ascii="Arial" w:cs="Arial" w:eastAsia="Arial" w:hAnsi="Arial"/>
          <w:sz w:val="15"/>
          <w:szCs w:val="15"/>
          <w:i w:val="1"/>
          <w:iCs w:val="1"/>
          <w:color w:val="auto"/>
        </w:rPr>
        <w:t>. Regular Meetings.</w:t>
      </w:r>
      <w:r>
        <w:rPr>
          <w:rFonts w:ascii="Arial" w:cs="Arial" w:eastAsia="Arial" w:hAnsi="Arial"/>
          <w:sz w:val="15"/>
          <w:szCs w:val="15"/>
          <w:color w:val="auto"/>
        </w:rPr>
        <w:t xml:space="preserve">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6" w:name="page97"/>
    <w:bookmarkEnd w:id="96"/>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3.04</w:t>
      </w:r>
      <w:r>
        <w:rPr>
          <w:rFonts w:ascii="Arial" w:cs="Arial" w:eastAsia="Arial" w:hAnsi="Arial"/>
          <w:sz w:val="18"/>
          <w:szCs w:val="18"/>
          <w:i w:val="1"/>
          <w:iCs w:val="1"/>
          <w:color w:val="auto"/>
        </w:rPr>
        <w:t>. Special Meetings.</w:t>
      </w:r>
      <w:r>
        <w:rPr>
          <w:rFonts w:ascii="Arial" w:cs="Arial" w:eastAsia="Arial" w:hAnsi="Arial"/>
          <w:sz w:val="18"/>
          <w:szCs w:val="18"/>
          <w:color w:val="auto"/>
        </w:rPr>
        <w:t xml:space="preserve">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4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Participation in Meetings by Electronic Means.</w:t>
      </w:r>
      <w:r>
        <w:rPr>
          <w:rFonts w:ascii="Arial" w:cs="Arial" w:eastAsia="Arial" w:hAnsi="Arial"/>
          <w:sz w:val="15"/>
          <w:szCs w:val="15"/>
          <w:color w:val="auto"/>
        </w:rPr>
        <w:t xml:space="preserve"> Any Director may participate in any meeting of the Board of Directors or of any committee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Notices of Meetings of Board of Directors.</w:t>
      </w:r>
    </w:p>
    <w:p>
      <w:pPr>
        <w:spacing w:after="0" w:line="90" w:lineRule="exact"/>
        <w:rPr>
          <w:sz w:val="20"/>
          <w:szCs w:val="20"/>
          <w:color w:val="auto"/>
        </w:rPr>
      </w:pPr>
    </w:p>
    <w:p>
      <w:pPr>
        <w:ind w:right="260" w:firstLine="464"/>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40"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Section 3.07</w:t>
      </w:r>
      <w:r>
        <w:rPr>
          <w:rFonts w:ascii="Arial" w:cs="Arial" w:eastAsia="Arial" w:hAnsi="Arial"/>
          <w:sz w:val="16"/>
          <w:szCs w:val="16"/>
          <w:i w:val="1"/>
          <w:iCs w:val="1"/>
          <w:color w:val="auto"/>
        </w:rPr>
        <w:t>. Quorum; Action by the Board of Directors.</w:t>
      </w:r>
      <w:r>
        <w:rPr>
          <w:rFonts w:ascii="Arial" w:cs="Arial" w:eastAsia="Arial" w:hAnsi="Arial"/>
          <w:sz w:val="16"/>
          <w:szCs w:val="16"/>
          <w:color w:val="auto"/>
        </w:rPr>
        <w:t xml:space="preserve">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Section 3.08</w:t>
      </w:r>
      <w:r>
        <w:rPr>
          <w:rFonts w:ascii="Arial" w:cs="Arial" w:eastAsia="Arial" w:hAnsi="Arial"/>
          <w:sz w:val="16"/>
          <w:szCs w:val="16"/>
          <w:i w:val="1"/>
          <w:iCs w:val="1"/>
          <w:color w:val="auto"/>
        </w:rPr>
        <w:t>. Informal Action by the Board of Directors.</w:t>
      </w:r>
      <w:r>
        <w:rPr>
          <w:rFonts w:ascii="Arial" w:cs="Arial" w:eastAsia="Arial" w:hAnsi="Arial"/>
          <w:sz w:val="16"/>
          <w:szCs w:val="16"/>
          <w:color w:val="auto"/>
        </w:rPr>
        <w:t xml:space="preserve">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3.09. </w:t>
      </w:r>
      <w:r>
        <w:rPr>
          <w:rFonts w:ascii="Arial" w:cs="Arial" w:eastAsia="Arial" w:hAnsi="Arial"/>
          <w:sz w:val="18"/>
          <w:szCs w:val="18"/>
          <w:i w:val="1"/>
          <w:iCs w:val="1"/>
          <w:color w:val="auto"/>
        </w:rPr>
        <w:t>Committees.</w:t>
      </w:r>
    </w:p>
    <w:p>
      <w:pPr>
        <w:spacing w:after="0" w:line="90" w:lineRule="exact"/>
        <w:rPr>
          <w:sz w:val="20"/>
          <w:szCs w:val="20"/>
          <w:color w:val="auto"/>
        </w:rPr>
      </w:pPr>
    </w:p>
    <w:p>
      <w:pPr>
        <w:ind w:left="-20" w:right="100" w:firstLine="464"/>
        <w:spacing w:after="0" w:line="256" w:lineRule="auto"/>
        <w:tabs>
          <w:tab w:leader="none" w:pos="6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62" w:lineRule="exact"/>
        <w:rPr>
          <w:rFonts w:ascii="Arial" w:cs="Arial" w:eastAsia="Arial" w:hAnsi="Arial"/>
          <w:sz w:val="18"/>
          <w:szCs w:val="18"/>
          <w:color w:val="auto"/>
        </w:rPr>
      </w:pPr>
    </w:p>
    <w:p>
      <w:pPr>
        <w:ind w:left="1100" w:hanging="217"/>
        <w:spacing w:after="0"/>
        <w:tabs>
          <w:tab w:leader="none" w:pos="11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amendment or repeal of any resolution of the Board of Directors that by its terms is amendable or repealable only by the Board of Directors.</w:t>
      </w:r>
    </w:p>
    <w:p>
      <w:pPr>
        <w:spacing w:after="0" w:line="113" w:lineRule="exact"/>
        <w:rPr>
          <w:rFonts w:ascii="Arial" w:cs="Arial" w:eastAsia="Arial" w:hAnsi="Arial"/>
          <w:sz w:val="16"/>
          <w:szCs w:val="16"/>
          <w:color w:val="auto"/>
        </w:rPr>
      </w:pPr>
    </w:p>
    <w:p>
      <w:pPr>
        <w:ind w:left="440" w:right="220" w:firstLine="443"/>
        <w:spacing w:after="0" w:line="268" w:lineRule="auto"/>
        <w:tabs>
          <w:tab w:leader="none" w:pos="11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31" w:lineRule="exact"/>
        <w:rPr>
          <w:rFonts w:ascii="Arial" w:cs="Arial" w:eastAsia="Arial" w:hAnsi="Arial"/>
          <w:sz w:val="18"/>
          <w:szCs w:val="18"/>
          <w:color w:val="auto"/>
        </w:rPr>
      </w:pPr>
    </w:p>
    <w:p>
      <w:pPr>
        <w:ind w:left="-20" w:right="140" w:firstLine="464"/>
        <w:spacing w:after="0" w:line="294" w:lineRule="auto"/>
        <w:tabs>
          <w:tab w:leader="none" w:pos="6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15" w:lineRule="exact"/>
        <w:rPr>
          <w:rFonts w:ascii="Arial" w:cs="Arial" w:eastAsia="Arial" w:hAnsi="Arial"/>
          <w:sz w:val="16"/>
          <w:szCs w:val="16"/>
          <w:color w:val="auto"/>
        </w:rPr>
      </w:pPr>
    </w:p>
    <w:p>
      <w:pPr>
        <w:ind w:left="680" w:hanging="236"/>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 Each committee of the Board of Directors shall serve at the pleasure of the Board of Directors.</w:t>
      </w:r>
    </w:p>
    <w:p>
      <w:pPr>
        <w:spacing w:after="0" w:line="165" w:lineRule="exact"/>
        <w:rPr>
          <w:rFonts w:ascii="Arial" w:cs="Arial" w:eastAsia="Arial" w:hAnsi="Arial"/>
          <w:sz w:val="18"/>
          <w:szCs w:val="18"/>
          <w:color w:val="auto"/>
        </w:rPr>
      </w:pPr>
    </w:p>
    <w:p>
      <w:pPr>
        <w:ind w:left="-20" w:firstLine="464"/>
        <w:spacing w:after="0" w:line="256"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98" w:name="page99"/>
    <w:bookmarkEnd w:id="98"/>
    <w:p>
      <w:pPr>
        <w:ind w:firstLine="456"/>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3.10</w:t>
      </w:r>
      <w:r>
        <w:rPr>
          <w:rFonts w:ascii="Arial" w:cs="Arial" w:eastAsia="Arial" w:hAnsi="Arial"/>
          <w:sz w:val="15"/>
          <w:szCs w:val="15"/>
          <w:i w:val="1"/>
          <w:iCs w:val="1"/>
          <w:color w:val="auto"/>
        </w:rPr>
        <w:t>. Nomination.</w:t>
      </w:r>
      <w:r>
        <w:rPr>
          <w:rFonts w:ascii="Arial" w:cs="Arial" w:eastAsia="Arial" w:hAnsi="Arial"/>
          <w:sz w:val="15"/>
          <w:szCs w:val="15"/>
          <w:color w:val="auto"/>
        </w:rPr>
        <w:t xml:space="preserve"> Nominations for the election of Directors may be made only (A)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Secretary,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w:t>
      </w:r>
    </w:p>
    <w:p>
      <w:pPr>
        <w:spacing w:after="0" w:line="3" w:lineRule="exact"/>
        <w:rPr>
          <w:sz w:val="20"/>
          <w:szCs w:val="20"/>
          <w:color w:val="auto"/>
        </w:rPr>
      </w:pPr>
    </w:p>
    <w:p>
      <w:pPr>
        <w:ind w:right="100" w:firstLine="8"/>
        <w:spacing w:after="0" w:line="252" w:lineRule="auto"/>
        <w:tabs>
          <w:tab w:leader="none" w:pos="3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FFICERS</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Election and Office.</w:t>
      </w:r>
      <w:r>
        <w:rPr>
          <w:rFonts w:ascii="Arial" w:cs="Arial" w:eastAsia="Arial" w:hAnsi="Arial"/>
          <w:sz w:val="18"/>
          <w:szCs w:val="18"/>
          <w:color w:val="auto"/>
        </w:rPr>
        <w:t xml:space="preserve"> The Corporation shall have a Chairman of the Board, a Chief Executive Officer, a President, a Secretary and a Treasurer who, subject to Article SIXTH of the Articles of Incorporation, shall be elected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99" w:name="page100"/>
    <w:bookmarkEnd w:id="99"/>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Term.</w:t>
      </w:r>
      <w:r>
        <w:rPr>
          <w:rFonts w:ascii="Arial" w:cs="Arial" w:eastAsia="Arial" w:hAnsi="Arial"/>
          <w:sz w:val="16"/>
          <w:szCs w:val="16"/>
          <w:color w:val="auto"/>
        </w:rPr>
        <w:t xml:space="preserve">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Powers and Duties of the Chairman of the Board.</w:t>
      </w:r>
      <w:r>
        <w:rPr>
          <w:rFonts w:ascii="Arial" w:cs="Arial" w:eastAsia="Arial" w:hAnsi="Arial"/>
          <w:sz w:val="18"/>
          <w:szCs w:val="18"/>
          <w:color w:val="auto"/>
        </w:rPr>
        <w:t xml:space="preserve"> The Chairman of the Board shall have such powers and shall perform such duties as are provided in Article SIXTH of the Articles of Incorporation.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Powers and Duties of the Chief Executive Officer .</w:t>
      </w:r>
      <w:r>
        <w:rPr>
          <w:rFonts w:ascii="Arial" w:cs="Arial" w:eastAsia="Arial" w:hAnsi="Arial"/>
          <w:sz w:val="18"/>
          <w:szCs w:val="18"/>
          <w:color w:val="auto"/>
        </w:rPr>
        <w:t xml:space="preserve"> The Chief Executive Officer shall have such powers and shall perform such duties as are provided in Article SIXTH of the Articles of Incorporation.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Powers and Duties of the President.</w:t>
      </w:r>
      <w:r>
        <w:rPr>
          <w:rFonts w:ascii="Arial" w:cs="Arial" w:eastAsia="Arial" w:hAnsi="Arial"/>
          <w:sz w:val="18"/>
          <w:szCs w:val="18"/>
          <w:color w:val="auto"/>
        </w:rPr>
        <w:t xml:space="preserve"> The President shall have such powers and shall perform such duties as may, subject to Article SIXTH of the Articles of Incorporation, from time to time be assigned to the President by the Board of Directors.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Powers and Duties of the Secretary</w:t>
      </w:r>
      <w:r>
        <w:rPr>
          <w:rFonts w:ascii="Arial" w:cs="Arial" w:eastAsia="Arial" w:hAnsi="Arial"/>
          <w:sz w:val="18"/>
          <w:szCs w:val="18"/>
          <w:color w:val="auto"/>
        </w:rPr>
        <w:t>.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Powers and Duties of the Treasurer</w:t>
      </w:r>
      <w:r>
        <w:rPr>
          <w:rFonts w:ascii="Arial" w:cs="Arial" w:eastAsia="Arial" w:hAnsi="Arial"/>
          <w:sz w:val="16"/>
          <w:szCs w:val="16"/>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00" w:name="page101"/>
    <w:bookmarkEnd w:id="100"/>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4.08</w:t>
      </w:r>
      <w:r>
        <w:rPr>
          <w:rFonts w:ascii="Arial" w:cs="Arial" w:eastAsia="Arial" w:hAnsi="Arial"/>
          <w:sz w:val="16"/>
          <w:szCs w:val="16"/>
          <w:i w:val="1"/>
          <w:iCs w:val="1"/>
          <w:color w:val="auto"/>
        </w:rPr>
        <w:t>. Rank and Seniority of Vice Presidents and Assistant Officers.</w:t>
      </w:r>
      <w:r>
        <w:rPr>
          <w:rFonts w:ascii="Arial" w:cs="Arial" w:eastAsia="Arial" w:hAnsi="Arial"/>
          <w:sz w:val="16"/>
          <w:szCs w:val="16"/>
          <w:color w:val="auto"/>
        </w:rPr>
        <w:t xml:space="preserve">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Vacancies.</w:t>
      </w:r>
      <w:r>
        <w:rPr>
          <w:rFonts w:ascii="Arial" w:cs="Arial" w:eastAsia="Arial" w:hAnsi="Arial"/>
          <w:sz w:val="18"/>
          <w:szCs w:val="18"/>
          <w:color w:val="auto"/>
        </w:rPr>
        <w:t xml:space="preserve"> Subject to Article SIXTH of the Articles of Incorporation, the Board of Directors shall have the power to fill any vacancies in any office occurring for any reason.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Delegation of Office.</w:t>
      </w:r>
      <w:r>
        <w:rPr>
          <w:rFonts w:ascii="Arial" w:cs="Arial" w:eastAsia="Arial" w:hAnsi="Arial"/>
          <w:sz w:val="18"/>
          <w:szCs w:val="18"/>
          <w:color w:val="auto"/>
        </w:rPr>
        <w:t xml:space="preserve"> Subject to Article SIXTH of the Articles of Incorporation, the Board of Directors may delegate the powers or duties of any officer of the Corporation to any other person from time to time.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S</w:t>
      </w:r>
      <w:r>
        <w:rPr>
          <w:rFonts w:ascii="Arial" w:cs="Arial" w:eastAsia="Arial" w:hAnsi="Arial"/>
          <w:sz w:val="14"/>
          <w:szCs w:val="14"/>
          <w:color w:val="auto"/>
        </w:rPr>
        <w:t>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Share Certificates.</w:t>
      </w:r>
    </w:p>
    <w:p>
      <w:pPr>
        <w:spacing w:after="0" w:line="90" w:lineRule="exact"/>
        <w:rPr>
          <w:sz w:val="20"/>
          <w:szCs w:val="20"/>
          <w:color w:val="auto"/>
        </w:rPr>
      </w:pPr>
    </w:p>
    <w:p>
      <w:pPr>
        <w:ind w:right="80" w:firstLine="464"/>
        <w:spacing w:after="0" w:line="291"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01" w:name="page102"/>
    <w:bookmarkEnd w:id="101"/>
    <w:p>
      <w:pPr>
        <w:ind w:right="100" w:firstLine="464"/>
        <w:spacing w:after="0" w:line="318" w:lineRule="auto"/>
        <w:tabs>
          <w:tab w:leader="none" w:pos="705" w:val="left"/>
        </w:tabs>
        <w:numPr>
          <w:ilvl w:val="0"/>
          <w:numId w:val="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99" w:lineRule="exact"/>
        <w:rPr>
          <w:rFonts w:ascii="Arial" w:cs="Arial" w:eastAsia="Arial" w:hAnsi="Arial"/>
          <w:sz w:val="15"/>
          <w:szCs w:val="15"/>
          <w:color w:val="auto"/>
        </w:rPr>
      </w:pPr>
    </w:p>
    <w:p>
      <w:pPr>
        <w:ind w:right="20" w:firstLine="464"/>
        <w:spacing w:after="0" w:line="370" w:lineRule="auto"/>
        <w:tabs>
          <w:tab w:leader="none" w:pos="695" w:val="left"/>
        </w:tabs>
        <w:numPr>
          <w:ilvl w:val="0"/>
          <w:numId w:val="44"/>
        </w:numPr>
        <w:rPr>
          <w:rFonts w:ascii="Arial" w:cs="Arial" w:eastAsia="Arial" w:hAnsi="Arial"/>
          <w:sz w:val="15"/>
          <w:szCs w:val="15"/>
          <w:color w:val="auto"/>
        </w:rPr>
      </w:pPr>
      <w:r>
        <w:rPr>
          <w:rFonts w:ascii="Arial" w:cs="Arial" w:eastAsia="Arial" w:hAnsi="Arial"/>
          <w:sz w:val="15"/>
          <w:szCs w:val="15"/>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Transfer of Shares.</w:t>
      </w:r>
      <w:r>
        <w:rPr>
          <w:rFonts w:ascii="Arial" w:cs="Arial" w:eastAsia="Arial" w:hAnsi="Arial"/>
          <w:sz w:val="18"/>
          <w:szCs w:val="18"/>
          <w:color w:val="auto"/>
        </w:rPr>
        <w:t xml:space="preserve">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 Determination of Shareholders of Record.</w:t>
      </w:r>
    </w:p>
    <w:p>
      <w:pPr>
        <w:spacing w:after="0" w:line="90" w:lineRule="exact"/>
        <w:rPr>
          <w:sz w:val="20"/>
          <w:szCs w:val="20"/>
          <w:color w:val="auto"/>
        </w:rPr>
      </w:pPr>
    </w:p>
    <w:p>
      <w:pPr>
        <w:ind w:firstLine="464"/>
        <w:spacing w:after="0" w:line="291"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Fixing Record Date for Purposes of Meetings.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20" w:lineRule="exact"/>
        <w:rPr>
          <w:rFonts w:ascii="Arial" w:cs="Arial" w:eastAsia="Arial" w:hAnsi="Arial"/>
          <w:sz w:val="16"/>
          <w:szCs w:val="16"/>
          <w:color w:val="auto"/>
        </w:rPr>
      </w:pPr>
    </w:p>
    <w:p>
      <w:pPr>
        <w:ind w:firstLine="464"/>
        <w:spacing w:after="0" w:line="256"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02" w:name="page103"/>
    <w:bookmarkEnd w:id="102"/>
    <w:p>
      <w:pPr>
        <w:ind w:right="180" w:firstLine="464"/>
        <w:spacing w:after="0" w:line="259"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31" w:lineRule="exact"/>
        <w:rPr>
          <w:rFonts w:ascii="Arial" w:cs="Arial" w:eastAsia="Arial" w:hAnsi="Arial"/>
          <w:sz w:val="18"/>
          <w:szCs w:val="18"/>
          <w:color w:val="auto"/>
        </w:rPr>
      </w:pPr>
    </w:p>
    <w:p>
      <w:pPr>
        <w:ind w:right="40" w:firstLine="464"/>
        <w:spacing w:after="0" w:line="259"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classification of shareholder who may certify;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other provisions with respect to the procedure as are deemed necessary or desirable.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Section 5.04</w:t>
      </w:r>
      <w:r>
        <w:rPr>
          <w:rFonts w:ascii="Arial" w:cs="Arial" w:eastAsia="Arial" w:hAnsi="Arial"/>
          <w:sz w:val="18"/>
          <w:szCs w:val="18"/>
          <w:i w:val="1"/>
          <w:iCs w:val="1"/>
          <w:color w:val="auto"/>
        </w:rPr>
        <w:t>. Lost Share Certificates.</w:t>
      </w:r>
      <w:r>
        <w:rPr>
          <w:rFonts w:ascii="Arial" w:cs="Arial" w:eastAsia="Arial" w:hAnsi="Arial"/>
          <w:sz w:val="18"/>
          <w:szCs w:val="18"/>
          <w:color w:val="auto"/>
        </w:rPr>
        <w:t xml:space="preserve"> Unless waived in whole or in part by the Board of Directors or any of the Chairman, any Vice Chairman, the President, any Senior Vice President, Secretary or Treasurer, unless the Board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03" w:name="page104"/>
    <w:bookmarkEnd w:id="10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request therefor and issuance thereof have been made before the Corporation has notice that such shares have been acquired by a bona fide purchaser.</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OTICES</w:t>
      </w:r>
      <w:r>
        <w:rPr>
          <w:rFonts w:ascii="Arial" w:cs="Arial" w:eastAsia="Arial" w:hAnsi="Arial"/>
          <w:sz w:val="18"/>
          <w:szCs w:val="18"/>
          <w:color w:val="auto"/>
        </w:rPr>
        <w:t>; C</w:t>
      </w:r>
      <w:r>
        <w:rPr>
          <w:rFonts w:ascii="Arial" w:cs="Arial" w:eastAsia="Arial" w:hAnsi="Arial"/>
          <w:sz w:val="14"/>
          <w:szCs w:val="14"/>
          <w:color w:val="auto"/>
        </w:rPr>
        <w:t>OMPUTING</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 xml:space="preserve"> P</w:t>
      </w:r>
      <w:r>
        <w:rPr>
          <w:rFonts w:ascii="Arial" w:cs="Arial" w:eastAsia="Arial" w:hAnsi="Arial"/>
          <w:sz w:val="14"/>
          <w:szCs w:val="14"/>
          <w:color w:val="auto"/>
        </w:rPr>
        <w:t>ERIODS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Contents of Notice.</w:t>
      </w:r>
      <w:r>
        <w:rPr>
          <w:rFonts w:ascii="Arial" w:cs="Arial" w:eastAsia="Arial" w:hAnsi="Arial"/>
          <w:sz w:val="16"/>
          <w:szCs w:val="16"/>
          <w:color w:val="auto"/>
        </w:rPr>
        <w:t xml:space="preserv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6.02</w:t>
      </w:r>
      <w:r>
        <w:rPr>
          <w:rFonts w:ascii="Arial" w:cs="Arial" w:eastAsia="Arial" w:hAnsi="Arial"/>
          <w:sz w:val="16"/>
          <w:szCs w:val="16"/>
          <w:i w:val="1"/>
          <w:iCs w:val="1"/>
          <w:color w:val="auto"/>
        </w:rPr>
        <w:t>. Method of Notice.</w:t>
      </w:r>
      <w:r>
        <w:rPr>
          <w:rFonts w:ascii="Arial" w:cs="Arial" w:eastAsia="Arial" w:hAnsi="Arial"/>
          <w:sz w:val="16"/>
          <w:szCs w:val="16"/>
          <w:color w:val="auto"/>
        </w:rPr>
        <w:t xml:space="preserv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 Computing Time Periods.</w:t>
      </w:r>
    </w:p>
    <w:p>
      <w:pPr>
        <w:spacing w:after="0" w:line="90" w:lineRule="exact"/>
        <w:rPr>
          <w:sz w:val="20"/>
          <w:szCs w:val="20"/>
          <w:color w:val="auto"/>
        </w:rPr>
      </w:pPr>
    </w:p>
    <w:p>
      <w:pPr>
        <w:ind w:right="80" w:firstLine="464"/>
        <w:spacing w:after="0" w:line="332"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Days to be Counted. In computing the number of days for purposes of these By-Laws, all days shall be counted, including Saturdays, Sundays and any Holiday;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final day of any time period falls on a Saturday, Sunday or Holiday, then the final day shall be deemed to be the next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04" w:name="page105"/>
    <w:bookmarkEnd w:id="10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day which is not a Saturday, Sunday or Holiday. In computing the number of days for the purpose of giving notice of any meeting, the date upon which the notice is given shall be counted but the day set for the meeting shall not be counted.</w:t>
      </w:r>
    </w:p>
    <w:p>
      <w:pPr>
        <w:spacing w:after="0" w:line="132" w:lineRule="exact"/>
        <w:rPr>
          <w:sz w:val="20"/>
          <w:szCs w:val="20"/>
          <w:color w:val="auto"/>
        </w:rPr>
      </w:pPr>
    </w:p>
    <w:p>
      <w:pPr>
        <w:ind w:right="660" w:firstLine="464"/>
        <w:spacing w:after="0" w:line="332"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Waiver of Notice.</w:t>
      </w:r>
      <w:r>
        <w:rPr>
          <w:rFonts w:ascii="Arial" w:cs="Arial" w:eastAsia="Arial" w:hAnsi="Arial"/>
          <w:sz w:val="16"/>
          <w:szCs w:val="16"/>
          <w:color w:val="auto"/>
        </w:rPr>
        <w:t xml:space="preserv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Modification of Proposal Contained in Notice.</w:t>
      </w:r>
      <w:r>
        <w:rPr>
          <w:rFonts w:ascii="Arial" w:cs="Arial" w:eastAsia="Arial" w:hAnsi="Arial"/>
          <w:sz w:val="16"/>
          <w:szCs w:val="16"/>
          <w:color w:val="auto"/>
        </w:rPr>
        <w:t xml:space="preserv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Bulk Mail.</w:t>
      </w:r>
      <w:r>
        <w:rPr>
          <w:rFonts w:ascii="Arial" w:cs="Arial" w:eastAsia="Arial" w:hAnsi="Arial"/>
          <w:sz w:val="18"/>
          <w:szCs w:val="18"/>
          <w:color w:val="auto"/>
        </w:rPr>
        <w:t xml:space="preserve">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6.07</w:t>
      </w:r>
      <w:r>
        <w:rPr>
          <w:rFonts w:ascii="Arial" w:cs="Arial" w:eastAsia="Arial" w:hAnsi="Arial"/>
          <w:sz w:val="16"/>
          <w:szCs w:val="16"/>
          <w:i w:val="1"/>
          <w:iCs w:val="1"/>
          <w:color w:val="auto"/>
        </w:rPr>
        <w:t>. Shareholders Without Forwarding Addresses.</w:t>
      </w:r>
      <w:r>
        <w:rPr>
          <w:rFonts w:ascii="Arial" w:cs="Arial" w:eastAsia="Arial" w:hAnsi="Arial"/>
          <w:sz w:val="16"/>
          <w:szCs w:val="16"/>
          <w:color w:val="auto"/>
        </w:rPr>
        <w:t xml:space="preserve">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05" w:name="page106"/>
    <w:bookmarkEnd w:id="105"/>
    <w:p>
      <w:pPr>
        <w:jc w:val="center"/>
        <w:ind w:righ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 OF</w:t>
      </w:r>
      <w:r>
        <w:rPr>
          <w:rFonts w:ascii="Arial" w:cs="Arial" w:eastAsia="Arial" w:hAnsi="Arial"/>
          <w:sz w:val="18"/>
          <w:szCs w:val="18"/>
          <w:color w:val="auto"/>
        </w:rPr>
        <w:t xml:space="preserve"> D</w:t>
      </w:r>
      <w:r>
        <w:rPr>
          <w:rFonts w:ascii="Arial" w:cs="Arial" w:eastAsia="Arial" w:hAnsi="Arial"/>
          <w:sz w:val="14"/>
          <w:szCs w:val="14"/>
          <w:color w:val="auto"/>
        </w:rPr>
        <w:t>IRECTORS</w:t>
      </w:r>
      <w:r>
        <w:rPr>
          <w:rFonts w:ascii="Arial" w:cs="Arial" w:eastAsia="Arial" w:hAnsi="Arial"/>
          <w:sz w:val="18"/>
          <w:szCs w:val="18"/>
          <w:color w:val="auto"/>
        </w:rPr>
        <w:t>, O</w:t>
      </w:r>
      <w:r>
        <w:rPr>
          <w:rFonts w:ascii="Arial" w:cs="Arial" w:eastAsia="Arial" w:hAnsi="Arial"/>
          <w:sz w:val="14"/>
          <w:szCs w:val="14"/>
          <w:color w:val="auto"/>
        </w:rPr>
        <w:t>FFICERS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ERSONS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Indemnification and Insurance.</w:t>
      </w:r>
    </w:p>
    <w:p>
      <w:pPr>
        <w:spacing w:after="0" w:line="90" w:lineRule="exact"/>
        <w:rPr>
          <w:sz w:val="20"/>
          <w:szCs w:val="20"/>
          <w:color w:val="auto"/>
        </w:rPr>
      </w:pPr>
    </w:p>
    <w:p>
      <w:pPr>
        <w:ind w:left="240" w:hanging="236"/>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90" w:lineRule="exact"/>
        <w:rPr>
          <w:rFonts w:ascii="Arial" w:cs="Arial" w:eastAsia="Arial" w:hAnsi="Arial"/>
          <w:sz w:val="18"/>
          <w:szCs w:val="18"/>
          <w:color w:val="auto"/>
        </w:rPr>
      </w:pPr>
    </w:p>
    <w:p>
      <w:pPr>
        <w:ind w:firstLine="443"/>
        <w:spacing w:after="0" w:line="253" w:lineRule="auto"/>
        <w:tabs>
          <w:tab w:leader="none" w:pos="6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(A) in any case where the act or failure to act giving rise to the claim for indemnification is determined by a court to have constituted wilful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66" w:lineRule="exact"/>
        <w:rPr>
          <w:rFonts w:ascii="Arial" w:cs="Arial" w:eastAsia="Arial" w:hAnsi="Arial"/>
          <w:sz w:val="18"/>
          <w:szCs w:val="18"/>
          <w:color w:val="auto"/>
        </w:rPr>
      </w:pPr>
    </w:p>
    <w:p>
      <w:pPr>
        <w:ind w:right="100" w:firstLine="443"/>
        <w:spacing w:after="0" w:line="254" w:lineRule="auto"/>
        <w:tabs>
          <w:tab w:leader="none" w:pos="6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automatically and without any action or approval required by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63" w:lineRule="exact"/>
        <w:rPr>
          <w:rFonts w:ascii="Arial" w:cs="Arial" w:eastAsia="Arial" w:hAnsi="Arial"/>
          <w:sz w:val="18"/>
          <w:szCs w:val="18"/>
          <w:color w:val="auto"/>
        </w:rPr>
      </w:pPr>
    </w:p>
    <w:p>
      <w:pPr>
        <w:ind w:right="460" w:firstLine="443"/>
        <w:spacing w:after="0" w:line="268" w:lineRule="auto"/>
        <w:tabs>
          <w:tab w:leader="none" w:pos="7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44" w:lineRule="exact"/>
        <w:rPr>
          <w:rFonts w:ascii="Arial" w:cs="Arial" w:eastAsia="Arial" w:hAnsi="Arial"/>
          <w:sz w:val="18"/>
          <w:szCs w:val="18"/>
          <w:color w:val="auto"/>
        </w:rPr>
      </w:pPr>
    </w:p>
    <w:p>
      <w:pPr>
        <w:ind w:right="60" w:firstLine="443"/>
        <w:spacing w:after="0" w:line="301" w:lineRule="auto"/>
        <w:tabs>
          <w:tab w:leader="none" w:pos="736" w:val="left"/>
        </w:tabs>
        <w:numPr>
          <w:ilvl w:val="1"/>
          <w:numId w:val="49"/>
        </w:numPr>
        <w:rPr>
          <w:rFonts w:ascii="Arial" w:cs="Arial" w:eastAsia="Arial" w:hAnsi="Arial"/>
          <w:sz w:val="16"/>
          <w:szCs w:val="16"/>
          <w:color w:val="auto"/>
        </w:rPr>
      </w:pPr>
      <w:r>
        <w:rPr>
          <w:rFonts w:ascii="Arial" w:cs="Arial" w:eastAsia="Arial" w:hAnsi="Arial"/>
          <w:sz w:val="16"/>
          <w:szCs w:val="16"/>
          <w:color w:val="auto"/>
        </w:rPr>
        <w:t>For purposes of this Article, (A) “</w:t>
      </w:r>
      <w:r>
        <w:rPr>
          <w:rFonts w:ascii="Arial" w:cs="Arial" w:eastAsia="Arial" w:hAnsi="Arial"/>
          <w:sz w:val="16"/>
          <w:szCs w:val="16"/>
          <w:b w:val="1"/>
          <w:bCs w:val="1"/>
          <w:color w:val="auto"/>
        </w:rPr>
        <w:t>Indemnitee</w:t>
      </w:r>
      <w:r>
        <w:rPr>
          <w:rFonts w:ascii="Arial" w:cs="Arial" w:eastAsia="Arial" w:hAnsi="Arial"/>
          <w:sz w:val="16"/>
          <w:szCs w:val="16"/>
          <w:color w:val="auto"/>
        </w:rPr>
        <w:t>” shall mean each Director and each officer of the Corporation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106" w:name="page107"/>
    <w:bookmarkEnd w:id="106"/>
    <w:p>
      <w:pPr>
        <w:jc w:val="both"/>
        <w:ind w:left="460" w:right="320"/>
        <w:spacing w:after="0" w:line="3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venture, trust, employee benefit plan, or other entity; and (B) “</w:t>
      </w:r>
      <w:r>
        <w:rPr>
          <w:rFonts w:ascii="Arial" w:cs="Arial" w:eastAsia="Arial" w:hAnsi="Arial"/>
          <w:sz w:val="15"/>
          <w:szCs w:val="15"/>
          <w:b w:val="1"/>
          <w:bCs w:val="1"/>
          <w:color w:val="auto"/>
        </w:rPr>
        <w:t>Proceeding</w:t>
      </w:r>
      <w:r>
        <w:rPr>
          <w:rFonts w:ascii="Arial" w:cs="Arial" w:eastAsia="Arial" w:hAnsi="Arial"/>
          <w:sz w:val="15"/>
          <w:szCs w:val="15"/>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57" w:lineRule="exact"/>
        <w:rPr>
          <w:sz w:val="20"/>
          <w:szCs w:val="20"/>
          <w:color w:val="auto"/>
        </w:rPr>
      </w:pPr>
    </w:p>
    <w:p>
      <w:pPr>
        <w:ind w:right="60" w:firstLine="464"/>
        <w:spacing w:after="0" w:line="289" w:lineRule="auto"/>
        <w:tabs>
          <w:tab w:leader="none" w:pos="7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18" w:lineRule="exact"/>
        <w:rPr>
          <w:rFonts w:ascii="Arial" w:cs="Arial" w:eastAsia="Arial" w:hAnsi="Arial"/>
          <w:sz w:val="16"/>
          <w:szCs w:val="16"/>
          <w:color w:val="auto"/>
        </w:rPr>
      </w:pPr>
    </w:p>
    <w:p>
      <w:pPr>
        <w:ind w:right="180" w:firstLine="464"/>
        <w:spacing w:after="0" w:line="259"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43" w:lineRule="exact"/>
        <w:rPr>
          <w:rFonts w:ascii="Arial" w:cs="Arial" w:eastAsia="Arial" w:hAnsi="Arial"/>
          <w:sz w:val="18"/>
          <w:szCs w:val="18"/>
          <w:color w:val="auto"/>
        </w:rPr>
      </w:pPr>
    </w:p>
    <w:p>
      <w:pPr>
        <w:jc w:val="both"/>
        <w:ind w:right="580" w:firstLine="464"/>
        <w:spacing w:after="0" w:line="259"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Amendment.</w:t>
      </w:r>
      <w:r>
        <w:rPr>
          <w:rFonts w:ascii="Arial" w:cs="Arial" w:eastAsia="Arial" w:hAnsi="Arial"/>
          <w:sz w:val="18"/>
          <w:szCs w:val="18"/>
          <w:color w:val="auto"/>
        </w:rPr>
        <w:t xml:space="preserve"> The provisions of this Article 7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07" w:name="page108"/>
    <w:bookmarkEnd w:id="107"/>
    <w:p>
      <w:pPr>
        <w:ind w:right="2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repeal or amendment of this Article 7 which is adverse to any Director or officer shall apply to such Director or officer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amendment shall have retroactive effect inconsistent with the preceding sentence.</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Changes in Pennsylvania Law.</w:t>
      </w:r>
      <w:r>
        <w:rPr>
          <w:rFonts w:ascii="Arial" w:cs="Arial" w:eastAsia="Arial" w:hAnsi="Arial"/>
          <w:sz w:val="16"/>
          <w:szCs w:val="16"/>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Y</w:t>
      </w:r>
      <w:r>
        <w:rPr>
          <w:rFonts w:ascii="Arial" w:cs="Arial" w:eastAsia="Arial" w:hAnsi="Arial"/>
          <w:sz w:val="14"/>
          <w:szCs w:val="14"/>
          <w:color w:val="auto"/>
        </w:rPr>
        <w:t>EAR</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Determination of Fiscal Year.</w:t>
      </w:r>
      <w:r>
        <w:rPr>
          <w:rFonts w:ascii="Arial" w:cs="Arial" w:eastAsia="Arial" w:hAnsi="Arial"/>
          <w:sz w:val="18"/>
          <w:szCs w:val="18"/>
          <w:color w:val="auto"/>
        </w:rPr>
        <w:t xml:space="preserve"> Determination of Fiscal Year. The Board of Directors shall have the power by resolution to fix the fiscal year of the Corporation. If the Board of Directors shall fail to do so, the Chief Executive Officer shall fix the fiscal year.</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RTICLES</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I</w:t>
      </w:r>
      <w:r>
        <w:rPr>
          <w:rFonts w:ascii="Arial" w:cs="Arial" w:eastAsia="Arial" w:hAnsi="Arial"/>
          <w:sz w:val="14"/>
          <w:szCs w:val="14"/>
          <w:color w:val="auto"/>
        </w:rPr>
        <w:t>NCORPORATION</w:t>
      </w:r>
    </w:p>
    <w:p>
      <w:pPr>
        <w:spacing w:after="0" w:line="165"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Inconsistent Provisions.</w:t>
      </w:r>
      <w:r>
        <w:rPr>
          <w:rFonts w:ascii="Arial" w:cs="Arial" w:eastAsia="Arial" w:hAnsi="Arial"/>
          <w:sz w:val="18"/>
          <w:szCs w:val="18"/>
          <w:color w:val="auto"/>
        </w:rPr>
        <w:t xml:space="preserve">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w:t>
      </w:r>
      <w:r>
        <w:rPr>
          <w:rFonts w:ascii="Arial" w:cs="Arial" w:eastAsia="Arial" w:hAnsi="Arial"/>
          <w:sz w:val="18"/>
          <w:szCs w:val="18"/>
          <w:color w:val="auto"/>
        </w:rPr>
        <w:t>. Except as otherwise provided in these By-Laws or in the Articles of Incorporation, including Article SIXTH, Article SEVENTH and Article TENTH of the Articles of Incorporation:</w:t>
      </w:r>
    </w:p>
    <w:p>
      <w:pPr>
        <w:spacing w:after="0" w:line="51" w:lineRule="exact"/>
        <w:rPr>
          <w:sz w:val="20"/>
          <w:szCs w:val="20"/>
          <w:color w:val="auto"/>
        </w:rPr>
      </w:pPr>
    </w:p>
    <w:p>
      <w:pPr>
        <w:ind w:right="240" w:firstLine="464"/>
        <w:spacing w:after="0" w:line="298"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12" w:lineRule="exact"/>
        <w:rPr>
          <w:rFonts w:ascii="Arial" w:cs="Arial" w:eastAsia="Arial" w:hAnsi="Arial"/>
          <w:sz w:val="16"/>
          <w:szCs w:val="16"/>
          <w:color w:val="auto"/>
        </w:rPr>
      </w:pPr>
    </w:p>
    <w:p>
      <w:pPr>
        <w:ind w:firstLine="464"/>
        <w:spacing w:after="0" w:line="256"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Board of Directors shall not have the power to amend these By-Laws on any subject that is expressly committed to the shareholders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express terms hereof, by the Pennsylvania BCL or otherwise.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NTERPRETATION OF</w:t>
      </w:r>
      <w:r>
        <w:rPr>
          <w:rFonts w:ascii="Arial" w:cs="Arial" w:eastAsia="Arial" w:hAnsi="Arial"/>
          <w:sz w:val="18"/>
          <w:szCs w:val="18"/>
          <w:color w:val="auto"/>
        </w:rPr>
        <w:t xml:space="preserve"> B</w:t>
      </w:r>
      <w:r>
        <w:rPr>
          <w:rFonts w:ascii="Arial" w:cs="Arial" w:eastAsia="Arial" w:hAnsi="Arial"/>
          <w:sz w:val="14"/>
          <w:szCs w:val="14"/>
          <w:color w:val="auto"/>
        </w:rPr>
        <w:t>Y</w:t>
      </w:r>
      <w:r>
        <w:rPr>
          <w:rFonts w:ascii="Arial" w:cs="Arial" w:eastAsia="Arial" w:hAnsi="Arial"/>
          <w:sz w:val="18"/>
          <w:szCs w:val="18"/>
          <w:color w:val="auto"/>
        </w:rPr>
        <w:t>-L</w:t>
      </w:r>
      <w:r>
        <w:rPr>
          <w:rFonts w:ascii="Arial" w:cs="Arial" w:eastAsia="Arial" w:hAnsi="Arial"/>
          <w:sz w:val="14"/>
          <w:szCs w:val="14"/>
          <w:color w:val="auto"/>
        </w:rPr>
        <w:t>AWS</w:t>
      </w:r>
      <w:r>
        <w:rPr>
          <w:rFonts w:ascii="Arial" w:cs="Arial" w:eastAsia="Arial" w:hAnsi="Arial"/>
          <w:sz w:val="18"/>
          <w:szCs w:val="18"/>
          <w:color w:val="auto"/>
        </w:rPr>
        <w:t>; S</w:t>
      </w:r>
      <w:r>
        <w:rPr>
          <w:rFonts w:ascii="Arial" w:cs="Arial" w:eastAsia="Arial" w:hAnsi="Arial"/>
          <w:sz w:val="14"/>
          <w:szCs w:val="14"/>
          <w:color w:val="auto"/>
        </w:rPr>
        <w:t>EPARABILITY</w:t>
      </w:r>
    </w:p>
    <w:p>
      <w:pPr>
        <w:spacing w:after="0" w:line="165"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Interpretation.</w:t>
      </w:r>
      <w:r>
        <w:rPr>
          <w:rFonts w:ascii="Arial" w:cs="Arial" w:eastAsia="Arial" w:hAnsi="Arial"/>
          <w:sz w:val="18"/>
          <w:szCs w:val="18"/>
          <w:color w:val="auto"/>
        </w:rPr>
        <w:t xml:space="preserve"> All words, terms and provisions of these By-Laws shall be interpreted and defined by and in accordance with the Pennsylvania BCL.</w:t>
      </w:r>
    </w:p>
    <w:p>
      <w:pPr>
        <w:spacing w:after="0" w:line="132"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Section 11.02</w:t>
      </w:r>
      <w:r>
        <w:rPr>
          <w:rFonts w:ascii="Arial" w:cs="Arial" w:eastAsia="Arial" w:hAnsi="Arial"/>
          <w:sz w:val="15"/>
          <w:szCs w:val="15"/>
          <w:i w:val="1"/>
          <w:iCs w:val="1"/>
          <w:color w:val="auto"/>
        </w:rPr>
        <w:t>. Separability.</w:t>
      </w:r>
      <w:r>
        <w:rPr>
          <w:rFonts w:ascii="Arial" w:cs="Arial" w:eastAsia="Arial" w:hAnsi="Arial"/>
          <w:sz w:val="15"/>
          <w:szCs w:val="15"/>
          <w:color w:val="auto"/>
        </w:rPr>
        <w:t xml:space="preserve">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09" w:name="page110"/>
    <w:bookmarkEnd w:id="109"/>
    <w:p>
      <w:pPr>
        <w:jc w:val="center"/>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ETERMINATIONS BY THE</w:t>
      </w:r>
      <w:r>
        <w:rPr>
          <w:rFonts w:ascii="Arial" w:cs="Arial" w:eastAsia="Arial" w:hAnsi="Arial"/>
          <w:sz w:val="18"/>
          <w:szCs w:val="18"/>
          <w:color w:val="auto"/>
        </w:rPr>
        <w:t xml:space="preserve"> B</w:t>
      </w:r>
      <w:r>
        <w:rPr>
          <w:rFonts w:ascii="Arial" w:cs="Arial" w:eastAsia="Arial" w:hAnsi="Arial"/>
          <w:sz w:val="14"/>
          <w:szCs w:val="14"/>
          <w:color w:val="auto"/>
        </w:rPr>
        <w:t>OARD</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Effect of Board Determinations.</w:t>
      </w:r>
      <w:r>
        <w:rPr>
          <w:rFonts w:ascii="Arial" w:cs="Arial" w:eastAsia="Arial" w:hAnsi="Arial"/>
          <w:sz w:val="18"/>
          <w:szCs w:val="18"/>
          <w:color w:val="auto"/>
        </w:rPr>
        <w:t xml:space="preserve"> Any determination involving interpretation or application of these By-Laws made in good faith by the Board of Directors shall be final, binding and conclusive on all parties in interest.</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240" w:top="280" w:right="6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u w:val="single" w:color="auto"/>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COMCAST CORPORATION, as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CABLE GUARANTORS PARTY HERETO</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as Trustee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January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Certain Terms Defined</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1140" w:type="dxa"/>
            <w:vAlign w:val="bottom"/>
          </w:tcPr>
          <w:p>
            <w:pPr>
              <w:spacing w:after="0"/>
              <w:rPr>
                <w:sz w:val="24"/>
                <w:szCs w:val="24"/>
                <w:color w:val="auto"/>
              </w:rPr>
            </w:pPr>
          </w:p>
        </w:tc>
        <w:tc>
          <w:tcPr>
            <w:tcW w:w="8720" w:type="dxa"/>
            <w:vAlign w:val="bottom"/>
          </w:tcPr>
          <w:p>
            <w:pPr>
              <w:jc w:val="center"/>
              <w:ind w:left="332"/>
              <w:spacing w:after="0"/>
              <w:rPr>
                <w:sz w:val="20"/>
                <w:szCs w:val="20"/>
                <w:color w:val="auto"/>
              </w:rPr>
            </w:pPr>
            <w:r>
              <w:rPr>
                <w:rFonts w:ascii="Arial" w:cs="Arial" w:eastAsia="Arial" w:hAnsi="Arial"/>
                <w:sz w:val="18"/>
                <w:szCs w:val="18"/>
                <w:color w:val="auto"/>
                <w:w w:val="94"/>
              </w:rPr>
              <w:t>ARTICLE 2</w:t>
            </w:r>
          </w:p>
        </w:tc>
        <w:tc>
          <w:tcPr>
            <w:tcW w:w="156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8720" w:type="dxa"/>
            <w:vAlign w:val="bottom"/>
          </w:tcPr>
          <w:p>
            <w:pPr>
              <w:jc w:val="center"/>
              <w:ind w:left="352"/>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ECURITIES</w:t>
            </w:r>
          </w:p>
        </w:tc>
        <w:tc>
          <w:tcPr>
            <w:tcW w:w="1560" w:type="dxa"/>
            <w:vAlign w:val="bottom"/>
          </w:tcPr>
          <w:p>
            <w:pPr>
              <w:spacing w:after="0"/>
              <w:rPr>
                <w:sz w:val="19"/>
                <w:szCs w:val="19"/>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2.01.</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Forms Generally</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Form of Trustee’s Certification of Authentication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2.03.</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Amount Unlimited; Issuable in Series</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2.04.</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Authentication and Delivery of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2.05.</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Execution of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2.06.</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Certificate of Authentication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2.07.</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Denomination and Date of Securities; Payments of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2.08.</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Registration, Transfer and Exchange</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2.09.</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Mutilated, Defaced, Destroyed, Lost and Stolen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Cancellation of Securities; Destruction Thereof</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2.11.</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Temporary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2.12.</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Computation of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Section 2.13.</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CUSIP Numbers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26"/>
        </w:trPr>
        <w:tc>
          <w:tcPr>
            <w:tcW w:w="1140" w:type="dxa"/>
            <w:vAlign w:val="bottom"/>
          </w:tcPr>
          <w:p>
            <w:pPr>
              <w:spacing w:after="0"/>
              <w:rPr>
                <w:sz w:val="24"/>
                <w:szCs w:val="24"/>
                <w:color w:val="auto"/>
              </w:rPr>
            </w:pPr>
          </w:p>
        </w:tc>
        <w:tc>
          <w:tcPr>
            <w:tcW w:w="8720" w:type="dxa"/>
            <w:vAlign w:val="bottom"/>
          </w:tcPr>
          <w:p>
            <w:pPr>
              <w:jc w:val="center"/>
              <w:ind w:left="332"/>
              <w:spacing w:after="0"/>
              <w:rPr>
                <w:sz w:val="20"/>
                <w:szCs w:val="20"/>
                <w:color w:val="auto"/>
              </w:rPr>
            </w:pPr>
            <w:r>
              <w:rPr>
                <w:rFonts w:ascii="Arial" w:cs="Arial" w:eastAsia="Arial" w:hAnsi="Arial"/>
                <w:sz w:val="18"/>
                <w:szCs w:val="18"/>
                <w:color w:val="auto"/>
                <w:w w:val="94"/>
              </w:rPr>
              <w:t>ARTICLE 3</w:t>
            </w:r>
          </w:p>
        </w:tc>
        <w:tc>
          <w:tcPr>
            <w:tcW w:w="156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8720" w:type="dxa"/>
            <w:vAlign w:val="bottom"/>
          </w:tcPr>
          <w:p>
            <w:pPr>
              <w:jc w:val="center"/>
              <w:ind w:left="33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OVENANTS OF THE</w:t>
            </w:r>
            <w:r>
              <w:rPr>
                <w:rFonts w:ascii="Arial" w:cs="Arial" w:eastAsia="Arial" w:hAnsi="Arial"/>
                <w:sz w:val="18"/>
                <w:szCs w:val="18"/>
                <w:color w:val="auto"/>
                <w:w w:val="99"/>
              </w:rPr>
              <w:t xml:space="preserve"> I</w:t>
            </w:r>
            <w:r>
              <w:rPr>
                <w:rFonts w:ascii="Arial" w:cs="Arial" w:eastAsia="Arial" w:hAnsi="Arial"/>
                <w:sz w:val="14"/>
                <w:szCs w:val="14"/>
                <w:color w:val="auto"/>
                <w:w w:val="99"/>
              </w:rPr>
              <w:t>SSUER</w:t>
            </w:r>
            <w:r>
              <w:rPr>
                <w:rFonts w:ascii="Arial" w:cs="Arial" w:eastAsia="Arial" w:hAnsi="Arial"/>
                <w:sz w:val="18"/>
                <w:szCs w:val="18"/>
                <w:color w:val="auto"/>
                <w:w w:val="99"/>
              </w:rPr>
              <w:t xml:space="preserve">, </w:t>
            </w:r>
            <w:r>
              <w:rPr>
                <w:rFonts w:ascii="Arial" w:cs="Arial" w:eastAsia="Arial" w:hAnsi="Arial"/>
                <w:sz w:val="14"/>
                <w:szCs w:val="14"/>
                <w:color w:val="auto"/>
                <w:w w:val="99"/>
              </w:rPr>
              <w:t>THE</w:t>
            </w:r>
            <w:r>
              <w:rPr>
                <w:rFonts w:ascii="Arial" w:cs="Arial" w:eastAsia="Arial" w:hAnsi="Arial"/>
                <w:sz w:val="18"/>
                <w:szCs w:val="18"/>
                <w:color w:val="auto"/>
                <w:w w:val="99"/>
              </w:rPr>
              <w:t xml:space="preserve"> C</w:t>
            </w:r>
            <w:r>
              <w:rPr>
                <w:rFonts w:ascii="Arial" w:cs="Arial" w:eastAsia="Arial" w:hAnsi="Arial"/>
                <w:sz w:val="14"/>
                <w:szCs w:val="14"/>
                <w:color w:val="auto"/>
                <w:w w:val="99"/>
              </w:rPr>
              <w:t>ABLE</w:t>
            </w:r>
            <w:r>
              <w:rPr>
                <w:rFonts w:ascii="Arial" w:cs="Arial" w:eastAsia="Arial" w:hAnsi="Arial"/>
                <w:sz w:val="18"/>
                <w:szCs w:val="18"/>
                <w:color w:val="auto"/>
                <w:w w:val="99"/>
              </w:rPr>
              <w:t xml:space="preserve"> G</w:t>
            </w:r>
            <w:r>
              <w:rPr>
                <w:rFonts w:ascii="Arial" w:cs="Arial" w:eastAsia="Arial" w:hAnsi="Arial"/>
                <w:sz w:val="14"/>
                <w:szCs w:val="14"/>
                <w:color w:val="auto"/>
                <w:w w:val="99"/>
              </w:rPr>
              <w:t>UARANTORS AND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1560" w:type="dxa"/>
            <w:vAlign w:val="bottom"/>
          </w:tcPr>
          <w:p>
            <w:pPr>
              <w:spacing w:after="0"/>
              <w:rPr>
                <w:sz w:val="19"/>
                <w:szCs w:val="19"/>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3.01.</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Payment of Principal and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3.02.</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Offices for Payments, etc</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3.03.</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Paying Agents</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3.04.</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Certificate of the Issuer</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3.05.</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Securityholders Lists</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3.06.</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Reports by the Issuer</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3.07.</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Corporate Existence</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3.08.</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Restrictions on Mergers, Sales and Consolidations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3.09.</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Further Assurances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3.10.</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Limitation on Liens.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Section 3.11.</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Limitation on Sale and Leaseback Transactions.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26"/>
        </w:trPr>
        <w:tc>
          <w:tcPr>
            <w:tcW w:w="1140" w:type="dxa"/>
            <w:vAlign w:val="bottom"/>
          </w:tcPr>
          <w:p>
            <w:pPr>
              <w:spacing w:after="0"/>
              <w:rPr>
                <w:sz w:val="24"/>
                <w:szCs w:val="24"/>
                <w:color w:val="auto"/>
              </w:rPr>
            </w:pPr>
          </w:p>
        </w:tc>
        <w:tc>
          <w:tcPr>
            <w:tcW w:w="8720" w:type="dxa"/>
            <w:vAlign w:val="bottom"/>
          </w:tcPr>
          <w:p>
            <w:pPr>
              <w:jc w:val="center"/>
              <w:ind w:left="332"/>
              <w:spacing w:after="0"/>
              <w:rPr>
                <w:sz w:val="20"/>
                <w:szCs w:val="20"/>
                <w:color w:val="auto"/>
              </w:rPr>
            </w:pPr>
            <w:r>
              <w:rPr>
                <w:rFonts w:ascii="Arial" w:cs="Arial" w:eastAsia="Arial" w:hAnsi="Arial"/>
                <w:sz w:val="18"/>
                <w:szCs w:val="18"/>
                <w:color w:val="auto"/>
                <w:w w:val="94"/>
              </w:rPr>
              <w:t>ARTICLE 4</w:t>
            </w:r>
          </w:p>
        </w:tc>
        <w:tc>
          <w:tcPr>
            <w:tcW w:w="156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8720" w:type="dxa"/>
            <w:vAlign w:val="bottom"/>
          </w:tcPr>
          <w:p>
            <w:pPr>
              <w:jc w:val="center"/>
              <w:ind w:left="352"/>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EMEDIES OF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 AND</w:t>
            </w:r>
            <w:r>
              <w:rPr>
                <w:rFonts w:ascii="Arial" w:cs="Arial" w:eastAsia="Arial" w:hAnsi="Arial"/>
                <w:sz w:val="18"/>
                <w:szCs w:val="18"/>
                <w:color w:val="auto"/>
                <w:w w:val="99"/>
              </w:rPr>
              <w:t xml:space="preserve"> S</w:t>
            </w:r>
            <w:r>
              <w:rPr>
                <w:rFonts w:ascii="Arial" w:cs="Arial" w:eastAsia="Arial" w:hAnsi="Arial"/>
                <w:sz w:val="14"/>
                <w:szCs w:val="14"/>
                <w:color w:val="auto"/>
                <w:w w:val="99"/>
              </w:rPr>
              <w:t>ECURITYHOLDERS ON</w:t>
            </w:r>
            <w:r>
              <w:rPr>
                <w:rFonts w:ascii="Arial" w:cs="Arial" w:eastAsia="Arial" w:hAnsi="Arial"/>
                <w:sz w:val="18"/>
                <w:szCs w:val="18"/>
                <w:color w:val="auto"/>
                <w:w w:val="99"/>
              </w:rPr>
              <w:t xml:space="preserve"> E</w:t>
            </w:r>
            <w:r>
              <w:rPr>
                <w:rFonts w:ascii="Arial" w:cs="Arial" w:eastAsia="Arial" w:hAnsi="Arial"/>
                <w:sz w:val="14"/>
                <w:szCs w:val="14"/>
                <w:color w:val="auto"/>
                <w:w w:val="99"/>
              </w:rPr>
              <w:t>VENT OF</w:t>
            </w:r>
            <w:r>
              <w:rPr>
                <w:rFonts w:ascii="Arial" w:cs="Arial" w:eastAsia="Arial" w:hAnsi="Arial"/>
                <w:sz w:val="18"/>
                <w:szCs w:val="18"/>
                <w:color w:val="auto"/>
                <w:w w:val="99"/>
              </w:rPr>
              <w:t xml:space="preserve"> D</w:t>
            </w:r>
            <w:r>
              <w:rPr>
                <w:rFonts w:ascii="Arial" w:cs="Arial" w:eastAsia="Arial" w:hAnsi="Arial"/>
                <w:sz w:val="14"/>
                <w:szCs w:val="14"/>
                <w:color w:val="auto"/>
                <w:w w:val="99"/>
              </w:rPr>
              <w:t>EFAULT</w:t>
            </w:r>
          </w:p>
        </w:tc>
        <w:tc>
          <w:tcPr>
            <w:tcW w:w="1560" w:type="dxa"/>
            <w:vAlign w:val="bottom"/>
          </w:tcPr>
          <w:p>
            <w:pPr>
              <w:spacing w:after="0"/>
              <w:rPr>
                <w:sz w:val="19"/>
                <w:szCs w:val="19"/>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4.01.</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Event of Default Defined; Acceleration of Maturity; Waiver of Default</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4.02.</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Collection of Indebtedness by Trustee; Trustee May Prove Debt</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4.03.</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Application of Proceeds</w:t>
            </w: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Section 4.04.</w:t>
            </w:r>
          </w:p>
        </w:tc>
        <w:tc>
          <w:tcPr>
            <w:tcW w:w="8720" w:type="dxa"/>
            <w:vAlign w:val="bottom"/>
          </w:tcPr>
          <w:p>
            <w:pPr>
              <w:ind w:left="200"/>
              <w:spacing w:after="0"/>
              <w:rPr>
                <w:sz w:val="20"/>
                <w:szCs w:val="20"/>
                <w:color w:val="auto"/>
              </w:rPr>
            </w:pPr>
            <w:r>
              <w:rPr>
                <w:rFonts w:ascii="Arial" w:cs="Arial" w:eastAsia="Arial" w:hAnsi="Arial"/>
                <w:sz w:val="18"/>
                <w:szCs w:val="18"/>
                <w:i w:val="1"/>
                <w:iCs w:val="1"/>
                <w:color w:val="auto"/>
              </w:rPr>
              <w:t>Suits for Enforcement</w:t>
            </w: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4.05.</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Restoration of Rights on Abandonment of Proceedings</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4.06.</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Limitations on Suits by Securityholder</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4.07.</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Unconditional Right of Securityholders to Institute Certain Suits</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4.08.</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Powers and Remedies Cumulative; Delay or Omission Not Waiver of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4.09.</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Control by Securityholders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4.10.</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Waiver of Past Defaults</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4.11.</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Trustee to Give Notice of Default, But May Withhold in Certain Circumstances</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Section 4.12.</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Right of Court to Require Filing of Undertaking to Pay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26"/>
        </w:trPr>
        <w:tc>
          <w:tcPr>
            <w:tcW w:w="1140" w:type="dxa"/>
            <w:vAlign w:val="bottom"/>
          </w:tcPr>
          <w:p>
            <w:pPr>
              <w:spacing w:after="0"/>
              <w:rPr>
                <w:sz w:val="24"/>
                <w:szCs w:val="24"/>
                <w:color w:val="auto"/>
              </w:rPr>
            </w:pPr>
          </w:p>
        </w:tc>
        <w:tc>
          <w:tcPr>
            <w:tcW w:w="8600" w:type="dxa"/>
            <w:vAlign w:val="bottom"/>
          </w:tcPr>
          <w:p>
            <w:pPr>
              <w:jc w:val="center"/>
              <w:ind w:left="452"/>
              <w:spacing w:after="0"/>
              <w:rPr>
                <w:sz w:val="20"/>
                <w:szCs w:val="20"/>
                <w:color w:val="auto"/>
              </w:rPr>
            </w:pPr>
            <w:r>
              <w:rPr>
                <w:rFonts w:ascii="Arial" w:cs="Arial" w:eastAsia="Arial" w:hAnsi="Arial"/>
                <w:sz w:val="18"/>
                <w:szCs w:val="18"/>
                <w:color w:val="auto"/>
                <w:w w:val="94"/>
              </w:rPr>
              <w:t>ARTICLE 5</w:t>
            </w:r>
          </w:p>
        </w:tc>
        <w:tc>
          <w:tcPr>
            <w:tcW w:w="1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8600" w:type="dxa"/>
            <w:vAlign w:val="bottom"/>
          </w:tcPr>
          <w:p>
            <w:pPr>
              <w:jc w:val="center"/>
              <w:ind w:left="45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1680" w:type="dxa"/>
            <w:vAlign w:val="bottom"/>
          </w:tcPr>
          <w:p>
            <w:pPr>
              <w:spacing w:after="0"/>
              <w:rPr>
                <w:sz w:val="19"/>
                <w:szCs w:val="19"/>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Duties and Responsibilities of the Trustee; During Default; Prior to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5.02.</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Certain Rights of the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5.03.</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Trustee Not Responsible for Recitals, Disposition of Securities or Application of Proceeds Thereof</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5.04.</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Trustee and Agents May Hold Securities; Collections, etc</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5.05.</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Moneys Held by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5.06.</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Compensation and Indemnification of Trustee and Its Prior Claim</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5.07.</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Right of Trustee to Rely on Officers’ Certificate, etc</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5.08.</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Persons Eligible for Appointment as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5.09.</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Resignation and Removal; Appointment of Successor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5.10.</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Acceptance of Appointment by Successor</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5.11.</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Merger, Conversion, Consolidation or Succession to Business of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Section 5.12.</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Reports to the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6"/>
        </w:trPr>
        <w:tc>
          <w:tcPr>
            <w:tcW w:w="1140" w:type="dxa"/>
            <w:vAlign w:val="bottom"/>
          </w:tcPr>
          <w:p>
            <w:pPr>
              <w:spacing w:after="0"/>
              <w:rPr>
                <w:sz w:val="24"/>
                <w:szCs w:val="24"/>
                <w:color w:val="auto"/>
              </w:rPr>
            </w:pPr>
          </w:p>
        </w:tc>
        <w:tc>
          <w:tcPr>
            <w:tcW w:w="8600" w:type="dxa"/>
            <w:vAlign w:val="bottom"/>
          </w:tcPr>
          <w:p>
            <w:pPr>
              <w:jc w:val="center"/>
              <w:ind w:left="452"/>
              <w:spacing w:after="0"/>
              <w:rPr>
                <w:sz w:val="20"/>
                <w:szCs w:val="20"/>
                <w:color w:val="auto"/>
              </w:rPr>
            </w:pPr>
            <w:r>
              <w:rPr>
                <w:rFonts w:ascii="Arial" w:cs="Arial" w:eastAsia="Arial" w:hAnsi="Arial"/>
                <w:sz w:val="18"/>
                <w:szCs w:val="18"/>
                <w:color w:val="auto"/>
                <w:w w:val="94"/>
              </w:rPr>
              <w:t>ARTICLE 6</w:t>
            </w:r>
          </w:p>
        </w:tc>
        <w:tc>
          <w:tcPr>
            <w:tcW w:w="1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8600" w:type="dxa"/>
            <w:vAlign w:val="bottom"/>
          </w:tcPr>
          <w:p>
            <w:pPr>
              <w:jc w:val="center"/>
              <w:ind w:left="47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S</w:t>
            </w:r>
            <w:r>
              <w:rPr>
                <w:rFonts w:ascii="Arial" w:cs="Arial" w:eastAsia="Arial" w:hAnsi="Arial"/>
                <w:sz w:val="14"/>
                <w:szCs w:val="14"/>
                <w:color w:val="auto"/>
                <w:w w:val="99"/>
              </w:rPr>
              <w:t>ECURITYHOLDERS</w:t>
            </w:r>
          </w:p>
        </w:tc>
        <w:tc>
          <w:tcPr>
            <w:tcW w:w="1680" w:type="dxa"/>
            <w:vAlign w:val="bottom"/>
          </w:tcPr>
          <w:p>
            <w:pPr>
              <w:spacing w:after="0"/>
              <w:rPr>
                <w:sz w:val="19"/>
                <w:szCs w:val="19"/>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Evidence of Action Taken by Securityholders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6.02.</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Proof of Execution of Instruments and of Holding of Securities; Record Date</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6.03.</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Holders to be Treated as Owners</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6.04.</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Securities Owned by Issuer Deemed Not Outstanding</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Section 6.05.</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Right of Revocation of Action Taken</w:t>
            </w: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6"/>
        </w:trPr>
        <w:tc>
          <w:tcPr>
            <w:tcW w:w="1140" w:type="dxa"/>
            <w:vAlign w:val="bottom"/>
          </w:tcPr>
          <w:p>
            <w:pPr>
              <w:spacing w:after="0"/>
              <w:rPr>
                <w:sz w:val="24"/>
                <w:szCs w:val="24"/>
                <w:color w:val="auto"/>
              </w:rPr>
            </w:pPr>
          </w:p>
        </w:tc>
        <w:tc>
          <w:tcPr>
            <w:tcW w:w="8600" w:type="dxa"/>
            <w:vAlign w:val="bottom"/>
          </w:tcPr>
          <w:p>
            <w:pPr>
              <w:jc w:val="center"/>
              <w:ind w:left="452"/>
              <w:spacing w:after="0"/>
              <w:rPr>
                <w:sz w:val="20"/>
                <w:szCs w:val="20"/>
                <w:color w:val="auto"/>
              </w:rPr>
            </w:pPr>
            <w:r>
              <w:rPr>
                <w:rFonts w:ascii="Arial" w:cs="Arial" w:eastAsia="Arial" w:hAnsi="Arial"/>
                <w:sz w:val="18"/>
                <w:szCs w:val="18"/>
                <w:color w:val="auto"/>
                <w:w w:val="94"/>
              </w:rPr>
              <w:t>ARTICLE 7</w:t>
            </w:r>
          </w:p>
        </w:tc>
        <w:tc>
          <w:tcPr>
            <w:tcW w:w="1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8600" w:type="dxa"/>
            <w:vAlign w:val="bottom"/>
          </w:tcPr>
          <w:p>
            <w:pPr>
              <w:jc w:val="center"/>
              <w:ind w:left="47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tc>
        <w:tc>
          <w:tcPr>
            <w:tcW w:w="1680" w:type="dxa"/>
            <w:vAlign w:val="bottom"/>
          </w:tcPr>
          <w:p>
            <w:pPr>
              <w:spacing w:after="0"/>
              <w:rPr>
                <w:sz w:val="19"/>
                <w:szCs w:val="19"/>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7.01.</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Supplemental Indentures Without Consent of Securityholders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7.02.</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Supplemental Indentures With Consent of Securityholders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7.03.</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Effect of Supplemental Indenture</w:t>
            </w: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7.04.</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Documents to Be Given to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Section 7.05.</w:t>
            </w:r>
          </w:p>
        </w:tc>
        <w:tc>
          <w:tcPr>
            <w:tcW w:w="8600" w:type="dxa"/>
            <w:vAlign w:val="bottom"/>
          </w:tcPr>
          <w:p>
            <w:pPr>
              <w:ind w:left="200"/>
              <w:spacing w:after="0"/>
              <w:rPr>
                <w:sz w:val="20"/>
                <w:szCs w:val="20"/>
                <w:color w:val="auto"/>
              </w:rPr>
            </w:pPr>
            <w:r>
              <w:rPr>
                <w:rFonts w:ascii="Arial" w:cs="Arial" w:eastAsia="Arial" w:hAnsi="Arial"/>
                <w:sz w:val="18"/>
                <w:szCs w:val="18"/>
                <w:i w:val="1"/>
                <w:iCs w:val="1"/>
                <w:color w:val="auto"/>
              </w:rPr>
              <w:t>Notation on Securities in Respect of Supplemental Indentures</w:t>
            </w: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 OR</w:t>
      </w:r>
      <w:r>
        <w:rPr>
          <w:rFonts w:ascii="Arial" w:cs="Arial" w:eastAsia="Arial" w:hAnsi="Arial"/>
          <w:sz w:val="18"/>
          <w:szCs w:val="18"/>
          <w:color w:val="auto"/>
        </w:rPr>
        <w:t xml:space="preserve"> C</w:t>
      </w:r>
      <w:r>
        <w:rPr>
          <w:rFonts w:ascii="Arial" w:cs="Arial" w:eastAsia="Arial" w:hAnsi="Arial"/>
          <w:sz w:val="14"/>
          <w:szCs w:val="14"/>
          <w:color w:val="auto"/>
        </w:rPr>
        <w:t>ONVEYANCE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8.01.</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Issuer May Consolidate, etc., on Certain Terms</w:t>
            </w:r>
          </w:p>
        </w:tc>
        <w:tc>
          <w:tcPr>
            <w:tcW w:w="2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8.02.</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Successor Corporation Substituted</w:t>
            </w:r>
          </w:p>
        </w:tc>
        <w:tc>
          <w:tcPr>
            <w:tcW w:w="2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180" w:type="dxa"/>
            <w:vAlign w:val="bottom"/>
          </w:tcPr>
          <w:p>
            <w:pPr>
              <w:spacing w:after="0"/>
              <w:rPr>
                <w:sz w:val="24"/>
                <w:szCs w:val="24"/>
                <w:color w:val="auto"/>
              </w:rPr>
            </w:pPr>
          </w:p>
        </w:tc>
        <w:tc>
          <w:tcPr>
            <w:tcW w:w="8200" w:type="dxa"/>
            <w:vAlign w:val="bottom"/>
          </w:tcPr>
          <w:p>
            <w:pPr>
              <w:jc w:val="center"/>
              <w:ind w:left="772"/>
              <w:spacing w:after="0"/>
              <w:rPr>
                <w:sz w:val="20"/>
                <w:szCs w:val="20"/>
                <w:color w:val="auto"/>
              </w:rPr>
            </w:pPr>
            <w:r>
              <w:rPr>
                <w:rFonts w:ascii="Arial" w:cs="Arial" w:eastAsia="Arial" w:hAnsi="Arial"/>
                <w:sz w:val="18"/>
                <w:szCs w:val="18"/>
                <w:color w:val="auto"/>
                <w:w w:val="94"/>
              </w:rPr>
              <w:t>ARTICLE 9</w:t>
            </w:r>
          </w:p>
        </w:tc>
        <w:tc>
          <w:tcPr>
            <w:tcW w:w="204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8200" w:type="dxa"/>
            <w:vAlign w:val="bottom"/>
          </w:tcPr>
          <w:p>
            <w:pPr>
              <w:jc w:val="center"/>
              <w:ind w:left="77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p>
        </w:tc>
        <w:tc>
          <w:tcPr>
            <w:tcW w:w="204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9.01.</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Defeasance Within One Year of Payment</w:t>
            </w:r>
          </w:p>
        </w:tc>
        <w:tc>
          <w:tcPr>
            <w:tcW w:w="2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Defeasance</w:t>
            </w:r>
          </w:p>
        </w:tc>
        <w:tc>
          <w:tcPr>
            <w:tcW w:w="2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9.03.</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Covenant Defeasance</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9.04.</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Application of Trust Money</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9.05.</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Repayment to Issuer</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26"/>
        </w:trPr>
        <w:tc>
          <w:tcPr>
            <w:tcW w:w="1180" w:type="dxa"/>
            <w:vAlign w:val="bottom"/>
          </w:tcPr>
          <w:p>
            <w:pPr>
              <w:spacing w:after="0"/>
              <w:rPr>
                <w:sz w:val="24"/>
                <w:szCs w:val="24"/>
                <w:color w:val="auto"/>
              </w:rPr>
            </w:pPr>
          </w:p>
        </w:tc>
        <w:tc>
          <w:tcPr>
            <w:tcW w:w="8200" w:type="dxa"/>
            <w:vAlign w:val="bottom"/>
          </w:tcPr>
          <w:p>
            <w:pPr>
              <w:jc w:val="center"/>
              <w:ind w:left="772"/>
              <w:spacing w:after="0"/>
              <w:rPr>
                <w:sz w:val="20"/>
                <w:szCs w:val="20"/>
                <w:color w:val="auto"/>
              </w:rPr>
            </w:pPr>
            <w:r>
              <w:rPr>
                <w:rFonts w:ascii="Arial" w:cs="Arial" w:eastAsia="Arial" w:hAnsi="Arial"/>
                <w:sz w:val="18"/>
                <w:szCs w:val="18"/>
                <w:color w:val="auto"/>
                <w:w w:val="92"/>
              </w:rPr>
              <w:t>ARTICLE 10</w:t>
            </w:r>
          </w:p>
        </w:tc>
        <w:tc>
          <w:tcPr>
            <w:tcW w:w="204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8200" w:type="dxa"/>
            <w:vAlign w:val="bottom"/>
          </w:tcPr>
          <w:p>
            <w:pPr>
              <w:jc w:val="center"/>
              <w:ind w:left="792"/>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ISCELLANEOUS</w:t>
            </w:r>
            <w:r>
              <w:rPr>
                <w:rFonts w:ascii="Arial" w:cs="Arial" w:eastAsia="Arial" w:hAnsi="Arial"/>
                <w:sz w:val="18"/>
                <w:szCs w:val="18"/>
                <w:color w:val="auto"/>
                <w:w w:val="99"/>
              </w:rPr>
              <w:t xml:space="preserve"> P</w:t>
            </w:r>
            <w:r>
              <w:rPr>
                <w:rFonts w:ascii="Arial" w:cs="Arial" w:eastAsia="Arial" w:hAnsi="Arial"/>
                <w:sz w:val="14"/>
                <w:szCs w:val="14"/>
                <w:color w:val="auto"/>
                <w:w w:val="99"/>
              </w:rPr>
              <w:t>ROVISIONS</w:t>
            </w:r>
          </w:p>
        </w:tc>
        <w:tc>
          <w:tcPr>
            <w:tcW w:w="204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10.01.</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Incorporators, Stockholders, Officers and Directors Exempt from Individual Liability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10.02.</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Provisions of Indenture for the Sole Benefit of Parties and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10.03.</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Successors and Assigns of Issuer Bound by Indenture</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10.04.</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Notices and Demands on Issuer, Trustee and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10.05.</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Officers’ Certificates and Opinions of Counsel; Statements to be Contained Therein</w:t>
            </w:r>
          </w:p>
        </w:tc>
        <w:tc>
          <w:tcPr>
            <w:tcW w:w="2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10.06.</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Payments Due on Saturdays, Sundays and Holidays</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10.07.</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Conflict of Any Provision of Indenture with Trust Indenture Act of 1939</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10.08.</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New York Law to Govern</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10.09.</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Counterparts</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10.10.</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Effect of Headings</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26"/>
        </w:trPr>
        <w:tc>
          <w:tcPr>
            <w:tcW w:w="1180" w:type="dxa"/>
            <w:vAlign w:val="bottom"/>
          </w:tcPr>
          <w:p>
            <w:pPr>
              <w:spacing w:after="0"/>
              <w:rPr>
                <w:sz w:val="24"/>
                <w:szCs w:val="24"/>
                <w:color w:val="auto"/>
              </w:rPr>
            </w:pPr>
          </w:p>
        </w:tc>
        <w:tc>
          <w:tcPr>
            <w:tcW w:w="8200" w:type="dxa"/>
            <w:vAlign w:val="bottom"/>
          </w:tcPr>
          <w:p>
            <w:pPr>
              <w:jc w:val="center"/>
              <w:ind w:left="772"/>
              <w:spacing w:after="0"/>
              <w:rPr>
                <w:sz w:val="20"/>
                <w:szCs w:val="20"/>
                <w:color w:val="auto"/>
              </w:rPr>
            </w:pPr>
            <w:r>
              <w:rPr>
                <w:rFonts w:ascii="Arial" w:cs="Arial" w:eastAsia="Arial" w:hAnsi="Arial"/>
                <w:sz w:val="18"/>
                <w:szCs w:val="18"/>
                <w:color w:val="auto"/>
                <w:w w:val="92"/>
              </w:rPr>
              <w:t>ARTICLE 11</w:t>
            </w:r>
          </w:p>
        </w:tc>
        <w:tc>
          <w:tcPr>
            <w:tcW w:w="204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8200" w:type="dxa"/>
            <w:vAlign w:val="bottom"/>
          </w:tcPr>
          <w:p>
            <w:pPr>
              <w:jc w:val="center"/>
              <w:ind w:left="792"/>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EDEMPTION OF</w:t>
            </w:r>
            <w:r>
              <w:rPr>
                <w:rFonts w:ascii="Arial" w:cs="Arial" w:eastAsia="Arial" w:hAnsi="Arial"/>
                <w:sz w:val="18"/>
                <w:szCs w:val="18"/>
                <w:color w:val="auto"/>
                <w:w w:val="99"/>
              </w:rPr>
              <w:t xml:space="preserve"> S</w:t>
            </w:r>
            <w:r>
              <w:rPr>
                <w:rFonts w:ascii="Arial" w:cs="Arial" w:eastAsia="Arial" w:hAnsi="Arial"/>
                <w:sz w:val="14"/>
                <w:szCs w:val="14"/>
                <w:color w:val="auto"/>
                <w:w w:val="99"/>
              </w:rPr>
              <w:t>ECURITIES AND</w:t>
            </w:r>
            <w:r>
              <w:rPr>
                <w:rFonts w:ascii="Arial" w:cs="Arial" w:eastAsia="Arial" w:hAnsi="Arial"/>
                <w:sz w:val="18"/>
                <w:szCs w:val="18"/>
                <w:color w:val="auto"/>
                <w:w w:val="99"/>
              </w:rPr>
              <w:t xml:space="preserve"> S</w:t>
            </w:r>
            <w:r>
              <w:rPr>
                <w:rFonts w:ascii="Arial" w:cs="Arial" w:eastAsia="Arial" w:hAnsi="Arial"/>
                <w:sz w:val="14"/>
                <w:szCs w:val="14"/>
                <w:color w:val="auto"/>
                <w:w w:val="99"/>
              </w:rPr>
              <w:t>INKING</w:t>
            </w:r>
            <w:r>
              <w:rPr>
                <w:rFonts w:ascii="Arial" w:cs="Arial" w:eastAsia="Arial" w:hAnsi="Arial"/>
                <w:sz w:val="18"/>
                <w:szCs w:val="18"/>
                <w:color w:val="auto"/>
                <w:w w:val="99"/>
              </w:rPr>
              <w:t xml:space="preserve"> F</w:t>
            </w:r>
            <w:r>
              <w:rPr>
                <w:rFonts w:ascii="Arial" w:cs="Arial" w:eastAsia="Arial" w:hAnsi="Arial"/>
                <w:sz w:val="14"/>
                <w:szCs w:val="14"/>
                <w:color w:val="auto"/>
                <w:w w:val="99"/>
              </w:rPr>
              <w:t>UNDS</w:t>
            </w:r>
          </w:p>
        </w:tc>
        <w:tc>
          <w:tcPr>
            <w:tcW w:w="204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11.01.</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Applicability of Article</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11.02.</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Notice of Redemption; Partial Redemptions</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11.03.</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Payment of Securities Called for Redemption</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11.04.</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Exclusion of Certain Securities from Eligibility for Selection for Redemption</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11.05.</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Mandatory and Optional Sinking Funds</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11.06.</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Conversion Arrangement on Call for Redemption</w:t>
            </w:r>
          </w:p>
        </w:tc>
        <w:tc>
          <w:tcPr>
            <w:tcW w:w="2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26"/>
        </w:trPr>
        <w:tc>
          <w:tcPr>
            <w:tcW w:w="1180" w:type="dxa"/>
            <w:vAlign w:val="bottom"/>
          </w:tcPr>
          <w:p>
            <w:pPr>
              <w:spacing w:after="0"/>
              <w:rPr>
                <w:sz w:val="24"/>
                <w:szCs w:val="24"/>
                <w:color w:val="auto"/>
              </w:rPr>
            </w:pPr>
          </w:p>
        </w:tc>
        <w:tc>
          <w:tcPr>
            <w:tcW w:w="8200" w:type="dxa"/>
            <w:vAlign w:val="bottom"/>
          </w:tcPr>
          <w:p>
            <w:pPr>
              <w:jc w:val="center"/>
              <w:ind w:left="772"/>
              <w:spacing w:after="0"/>
              <w:rPr>
                <w:sz w:val="20"/>
                <w:szCs w:val="20"/>
                <w:color w:val="auto"/>
              </w:rPr>
            </w:pPr>
            <w:r>
              <w:rPr>
                <w:rFonts w:ascii="Arial" w:cs="Arial" w:eastAsia="Arial" w:hAnsi="Arial"/>
                <w:sz w:val="18"/>
                <w:szCs w:val="18"/>
                <w:color w:val="auto"/>
                <w:w w:val="92"/>
              </w:rPr>
              <w:t>ARTICLE 12</w:t>
            </w:r>
          </w:p>
        </w:tc>
        <w:tc>
          <w:tcPr>
            <w:tcW w:w="204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8200" w:type="dxa"/>
            <w:vAlign w:val="bottom"/>
          </w:tcPr>
          <w:p>
            <w:pPr>
              <w:jc w:val="center"/>
              <w:ind w:left="792"/>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ONVERSION OF</w:t>
            </w:r>
            <w:r>
              <w:rPr>
                <w:rFonts w:ascii="Arial" w:cs="Arial" w:eastAsia="Arial" w:hAnsi="Arial"/>
                <w:sz w:val="18"/>
                <w:szCs w:val="18"/>
                <w:color w:val="auto"/>
                <w:w w:val="98"/>
              </w:rPr>
              <w:t xml:space="preserve"> S</w:t>
            </w:r>
            <w:r>
              <w:rPr>
                <w:rFonts w:ascii="Arial" w:cs="Arial" w:eastAsia="Arial" w:hAnsi="Arial"/>
                <w:sz w:val="14"/>
                <w:szCs w:val="14"/>
                <w:color w:val="auto"/>
                <w:w w:val="98"/>
              </w:rPr>
              <w:t>ECURITIES</w:t>
            </w:r>
          </w:p>
        </w:tc>
        <w:tc>
          <w:tcPr>
            <w:tcW w:w="204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Applicability of Article</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12.02.</w:t>
            </w:r>
          </w:p>
        </w:tc>
        <w:tc>
          <w:tcPr>
            <w:tcW w:w="8200" w:type="dxa"/>
            <w:vAlign w:val="bottom"/>
          </w:tcPr>
          <w:p>
            <w:pPr>
              <w:ind w:left="160"/>
              <w:spacing w:after="0"/>
              <w:rPr>
                <w:sz w:val="20"/>
                <w:szCs w:val="20"/>
                <w:color w:val="auto"/>
              </w:rPr>
            </w:pPr>
            <w:r>
              <w:rPr>
                <w:rFonts w:ascii="Arial" w:cs="Arial" w:eastAsia="Arial" w:hAnsi="Arial"/>
                <w:sz w:val="18"/>
                <w:szCs w:val="18"/>
                <w:i w:val="1"/>
                <w:iCs w:val="1"/>
                <w:color w:val="auto"/>
              </w:rPr>
              <w:t>Right of Securityholders to Convert Securities</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12.03.</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Issuance of Shares of Capital Stock on Conversion</w:t>
            </w:r>
          </w:p>
        </w:tc>
        <w:tc>
          <w:tcPr>
            <w:tcW w:w="2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12.04.</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No Payment or Adjustment for Interest or Dividends</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12.05.</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Adjustment of Conversion Rate</w:t>
            </w:r>
          </w:p>
        </w:tc>
        <w:tc>
          <w:tcPr>
            <w:tcW w:w="2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12.06.</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No Fractional Shares to Be Issued</w:t>
            </w:r>
          </w:p>
        </w:tc>
        <w:tc>
          <w:tcPr>
            <w:tcW w:w="2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12.07.</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Preservation of Conversion Rights Upon Consolidation, Merger, Sale or Conveyance</w:t>
            </w:r>
          </w:p>
        </w:tc>
        <w:tc>
          <w:tcPr>
            <w:tcW w:w="2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12.08.</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Notice to Security Holders of a Series Prior to Taking Certain Types of Action</w:t>
            </w:r>
          </w:p>
        </w:tc>
        <w:tc>
          <w:tcPr>
            <w:tcW w:w="2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12.09.</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Covenant to Reserve Shares for Issuance on Conversion of Securities</w:t>
            </w:r>
          </w:p>
        </w:tc>
        <w:tc>
          <w:tcPr>
            <w:tcW w:w="2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12.10.</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Compliance with Governmental Requirements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12.11.</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Payment of Taxes Upon Certificates for Shares Issued Upon Conversion</w:t>
            </w:r>
          </w:p>
        </w:tc>
        <w:tc>
          <w:tcPr>
            <w:tcW w:w="2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12.12.</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Trustee’s Duties with Respect to Conversion Provisions</w:t>
            </w:r>
          </w:p>
        </w:tc>
        <w:tc>
          <w:tcPr>
            <w:tcW w:w="2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26"/>
        </w:trPr>
        <w:tc>
          <w:tcPr>
            <w:tcW w:w="1180" w:type="dxa"/>
            <w:vAlign w:val="bottom"/>
          </w:tcPr>
          <w:p>
            <w:pPr>
              <w:spacing w:after="0"/>
              <w:rPr>
                <w:sz w:val="24"/>
                <w:szCs w:val="24"/>
                <w:color w:val="auto"/>
              </w:rPr>
            </w:pPr>
          </w:p>
        </w:tc>
        <w:tc>
          <w:tcPr>
            <w:tcW w:w="8100" w:type="dxa"/>
            <w:vAlign w:val="bottom"/>
          </w:tcPr>
          <w:p>
            <w:pPr>
              <w:ind w:left="4060"/>
              <w:spacing w:after="0"/>
              <w:rPr>
                <w:sz w:val="20"/>
                <w:szCs w:val="20"/>
                <w:color w:val="auto"/>
              </w:rPr>
            </w:pPr>
            <w:r>
              <w:rPr>
                <w:rFonts w:ascii="Arial" w:cs="Arial" w:eastAsia="Arial" w:hAnsi="Arial"/>
                <w:sz w:val="18"/>
                <w:szCs w:val="18"/>
                <w:color w:val="auto"/>
              </w:rPr>
              <w:t>ARTICLE 13</w:t>
            </w:r>
          </w:p>
        </w:tc>
        <w:tc>
          <w:tcPr>
            <w:tcW w:w="214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8100" w:type="dxa"/>
            <w:vAlign w:val="bottom"/>
          </w:tcPr>
          <w:p>
            <w:pPr>
              <w:ind w:left="40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UARANTEES</w:t>
            </w:r>
          </w:p>
        </w:tc>
        <w:tc>
          <w:tcPr>
            <w:tcW w:w="214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13.01.</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The Cable Guarantees</w:t>
            </w:r>
          </w:p>
        </w:tc>
        <w:tc>
          <w:tcPr>
            <w:tcW w:w="2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13.02.</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Guarantee Unconditional</w:t>
            </w:r>
          </w:p>
        </w:tc>
        <w:tc>
          <w:tcPr>
            <w:tcW w:w="2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13.03.</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Discharge; Reinstatement</w:t>
            </w:r>
          </w:p>
        </w:tc>
        <w:tc>
          <w:tcPr>
            <w:tcW w:w="2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13.04.</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Waiver by the Cable Guarantors</w:t>
            </w:r>
          </w:p>
        </w:tc>
        <w:tc>
          <w:tcPr>
            <w:tcW w:w="2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13.05.</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Subrogation and Contribution</w:t>
            </w:r>
          </w:p>
        </w:tc>
        <w:tc>
          <w:tcPr>
            <w:tcW w:w="2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13.06.</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Stay of Acceleration</w:t>
            </w:r>
          </w:p>
        </w:tc>
        <w:tc>
          <w:tcPr>
            <w:tcW w:w="2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13.07.</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Limitation on Amount of Cable Guarantee</w:t>
            </w:r>
          </w:p>
        </w:tc>
        <w:tc>
          <w:tcPr>
            <w:tcW w:w="2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13.08.</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Execution and Delivery of Cable Guarantee</w:t>
            </w:r>
          </w:p>
        </w:tc>
        <w:tc>
          <w:tcPr>
            <w:tcW w:w="2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13.09.</w:t>
            </w:r>
          </w:p>
        </w:tc>
        <w:tc>
          <w:tcPr>
            <w:tcW w:w="8100" w:type="dxa"/>
            <w:vAlign w:val="bottom"/>
          </w:tcPr>
          <w:p>
            <w:pPr>
              <w:ind w:left="160"/>
              <w:spacing w:after="0"/>
              <w:rPr>
                <w:sz w:val="20"/>
                <w:szCs w:val="20"/>
                <w:color w:val="auto"/>
              </w:rPr>
            </w:pPr>
            <w:r>
              <w:rPr>
                <w:rFonts w:ascii="Arial" w:cs="Arial" w:eastAsia="Arial" w:hAnsi="Arial"/>
                <w:sz w:val="18"/>
                <w:szCs w:val="18"/>
                <w:i w:val="1"/>
                <w:iCs w:val="1"/>
                <w:color w:val="auto"/>
              </w:rPr>
              <w:t>Release of Cable Guarantee</w:t>
            </w:r>
          </w:p>
        </w:tc>
        <w:tc>
          <w:tcPr>
            <w:tcW w:w="21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115" w:name="page116"/>
    <w:bookmarkEnd w:id="115"/>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INDENTURE, dated as of January 7, 2003, among COMCAST CORPORATION, a Pennsylvania corporation (the “Issuer”), the Cable Guarantors party hereto and THE BANK OF NEW YORK, a New York banking corporation, as trustee (the “Trustee”).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WHEREAS, the Cable Guarantors party hereto have duly authorized the execution and delivery of the Indenture as guarantors of the Securities, and each Cable Guarantor has done all things necessary to make the Cable Guarantees, when the Securities are executed by the Issuer and authenticated and delivered by the Trustee and duly issued by the Issuer, the valid obligations of such Cable Guarantor as hereinafter provided.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consideration of the premises and the purchases of the Securities by the holders thereof, the Issuer, the Cable Guarantors and the Trustee mutually covenant and agree for the equal and proportionate benefit of the respective holders from time to time of the Securities as follows: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GAAP.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ectPr>
          <w:pgSz w:w="11900" w:h="16838" w:orient="portrait"/>
          <w:cols w:equalWidth="0" w:num="1">
            <w:col w:w="11420"/>
          </w:cols>
          <w:pgMar w:left="240" w:top="280" w:right="239" w:bottom="1440" w:gutter="0" w:footer="0" w:header="0"/>
        </w:sectPr>
      </w:pPr>
    </w:p>
    <w:bookmarkStart w:id="116" w:name="page117"/>
    <w:bookmarkEnd w:id="116"/>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“Authorized Newspaper”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 either the Board of Directors of the Issuer or any committee of such Board duly authorized to act hereunder.</w:t>
      </w:r>
    </w:p>
    <w:p>
      <w:pPr>
        <w:spacing w:after="0" w:line="17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“Business Day” means, with respect to any Security, a day that in the city (or in all of the cities, if more than one) in which amounts are payable, as specified in the form of such Security, is not a day on which banking institutions are authorized by law or regulation to close.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“Cable Guarantee” means the guarantee of the Securities by a Cable Guarantor pursuant to this Indenture.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“Cable Guarantor” means each of Comcast Cable Communications, Inc., Comcast Cable Communications Holdings, Inc., Comcast Cable Holdings, LLC and Comcast MO Group, Inc., in each case excluding such entities’ Subsidiaries and unless and until such Cable Guarantor is released from its Cable Guarantee pursuant to this Indenture.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“Capital Stock” means, with respect to any Person, including the Issuer, any and all shares, interests, participations or other equivalents (however designated, whether voting or non-voting) of such Person’s capital stock or other ownership interests, whether now outstanding or issued after the date of this Indenture, including, without limitation, all Common Stock and Preferred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Common Stock” means the Class A Common Stock, $0.01 par value, of the Issuer.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Special Common Stock” means the Class A Special Common Stock, $0.01 par value, of the Issuer.</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“Closing Price” on any day when used with respect to any class of Capital Stock means (i) if the stock is then listed or admitted to trading on a national securities exchange in the United States, the last reported sale price, regular way, for the stock as reported in the consolidated transaction or other reporting system for securities listed or traded on such exchange, or (ii) if the stock is listed on the National Association of Securities Dealers, Inc. Automated Quotations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System National Market System (the “NASDAQ National Market System”), the last reported sale price, regular way, for the stock, as reported on such list, or</w:t>
      </w:r>
    </w:p>
    <w:p>
      <w:pPr>
        <w:spacing w:after="0" w:line="38" w:lineRule="exact"/>
        <w:rPr>
          <w:sz w:val="20"/>
          <w:szCs w:val="20"/>
          <w:color w:val="auto"/>
        </w:rPr>
      </w:pPr>
    </w:p>
    <w:p>
      <w:pPr>
        <w:ind w:right="60" w:firstLine="8"/>
        <w:spacing w:after="0" w:line="292" w:lineRule="auto"/>
        <w:tabs>
          <w:tab w:leader="none" w:pos="307"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stock is not so admitted for trading on any national securities exchange or the NASDAQ National Market System, the average of the last reported closing bid and asked prices reported by the National Association of Securities Dealers, Inc. Automated Quotations System as furnished by any member in good standing of the National Association of Securities Dealers, Inc., selected from time to time by the Issuer for that purpose or as quoted by the National Quotation Bureau Incorporated. In the event that no such quotation is available for any day, the Board of Directors shall be entitled to determine in good faith the current market price on the basis of such quotations as it considers appropriate.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“Common Stock” means, with respect to any Person, any and all shares, interests, participations or other equivalents (however designated, whether voting or non-voting) of such Person’s common stock, whether now outstanding or issued after the date of this Indenture, including, without limitation, all series and classes of such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“Corporate Trust Office” means the office of the Trustee at which the corporate trust business of the Trustee shall, at any particular time, be principally administered, which office is, at the date as of which this Indenture is dated, located at 101 Barclay Street, Floor 8W, New York, NY 10286, Attention: Corporate Trust Administration.</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“Currency Agreement” means any foreign exchange contract, currency swap agreement, or other similar agreement or arrangement designed to protect against the fluctuation in currency values.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“Default” means any Event of Default as defined in Section 4.01 and any event that is, or after notice or passage of time or both would be, an Event of Default.</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“Depositary”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means any event or condition specified as such in Section 4.01.</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18" w:name="page119"/>
    <w:bookmarkEnd w:id="118"/>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Standards Board or in such other statements by such other entity as approved by a significant segment of the accounting profession. All ratios and computations contained in this Indenture shall be computed in conformity with GAAP applied on a consistent basis.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4" w:lineRule="exact"/>
        <w:rPr>
          <w:sz w:val="20"/>
          <w:szCs w:val="20"/>
          <w:color w:val="auto"/>
        </w:rPr>
      </w:pPr>
    </w:p>
    <w:p>
      <w:pPr>
        <w:ind w:right="260" w:firstLine="464"/>
        <w:spacing w:after="0" w:line="259"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40"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“holder of Securities”, “Securityholder” or other similar terms mean the registered holder of any Security.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“Indebtedness” means, with respect to any Person at any date of determination (without duplication):</w:t>
      </w:r>
    </w:p>
    <w:p>
      <w:pPr>
        <w:spacing w:after="0" w:line="90" w:lineRule="exact"/>
        <w:rPr>
          <w:sz w:val="20"/>
          <w:szCs w:val="20"/>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obligations of such Person evidenced by bonds, debentures, notes, or other similar instruments, in each case, for value received or settlement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claims;</w:t>
      </w:r>
    </w:p>
    <w:p>
      <w:pPr>
        <w:spacing w:after="0" w:line="164" w:lineRule="exact"/>
        <w:rPr>
          <w:rFonts w:ascii="Arial" w:cs="Arial" w:eastAsia="Arial" w:hAnsi="Arial"/>
          <w:sz w:val="16"/>
          <w:szCs w:val="16"/>
          <w:color w:val="auto"/>
        </w:rPr>
      </w:pPr>
    </w:p>
    <w:p>
      <w:pPr>
        <w:ind w:left="700" w:hanging="236"/>
        <w:spacing w:after="0"/>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94"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71" w:lineRule="exact"/>
        <w:rPr>
          <w:rFonts w:ascii="Arial" w:cs="Arial" w:eastAsia="Arial" w:hAnsi="Arial"/>
          <w:sz w:val="18"/>
          <w:szCs w:val="18"/>
          <w:color w:val="auto"/>
        </w:rPr>
      </w:pPr>
    </w:p>
    <w:p>
      <w:pPr>
        <w:ind w:firstLine="464"/>
        <w:spacing w:after="0" w:line="268" w:lineRule="auto"/>
        <w:tabs>
          <w:tab w:leader="none" w:pos="6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140" w:hanging="219"/>
        <w:spacing w:after="0"/>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19" w:name="page120"/>
    <w:bookmarkEnd w:id="119"/>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Indebtedness of other Persons to the extent Guaranteed by such Person;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in no event shall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right="580" w:firstLine="464"/>
        <w:spacing w:after="0" w:line="332"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means, when used with respect to non-interest bearing Securities, interest payable after maturity.</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“Interest Rate Agreements”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“Issuer” means (except as otherwise provided in Article 5) Comcast Corporation, a Pennsylvania corporation, and, subject to Article 8, its successors and assigns.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this Indenture, the Issuer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20" w:name="page121"/>
    <w:bookmarkEnd w:id="120"/>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“Obligor” means each of the Issuer and each Cable Guarantor, in each case excluding such entities’ Subsidiaries (other than the Issuer and the Cable Guarantors).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10.05.</w:t>
      </w:r>
    </w:p>
    <w:p>
      <w:pPr>
        <w:spacing w:after="0" w:line="14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“Opinion of Counsel”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spacing w:after="0" w:line="14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4.01.</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“Outstanding”, when used with reference to Securities, shall, subject to the provisions of Section 6.04, mean, as of any particular time, all Securities authenticated and delivered by the Trustee under this Indenture, except:</w:t>
      </w:r>
    </w:p>
    <w:p>
      <w:pPr>
        <w:spacing w:after="0" w:line="51" w:lineRule="exact"/>
        <w:rPr>
          <w:sz w:val="20"/>
          <w:szCs w:val="20"/>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7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12" w:lineRule="exact"/>
        <w:rPr>
          <w:rFonts w:ascii="Arial" w:cs="Arial" w:eastAsia="Arial" w:hAnsi="Arial"/>
          <w:sz w:val="16"/>
          <w:szCs w:val="16"/>
          <w:color w:val="auto"/>
        </w:rPr>
      </w:pPr>
    </w:p>
    <w:p>
      <w:pPr>
        <w:ind w:right="80" w:firstLine="464"/>
        <w:spacing w:after="0" w:line="259"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21" w:name="page122"/>
    <w:bookmarkEnd w:id="12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“Permitted Liens” means (a) any Lien on any asset incurred prior to the date of this Indenture; (b) any Lien on any assets acquired after the date of this Indenture (including by way of merger or consolidation) by the Issuer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this Indenture existing at the time of such acquisition (whether or not assumed by the Issuer or any Cable Guarantor), provided that any such Lien shall attach only to the assets so acquired; (c) any Lien on any assets in favor of the Issuer or any Cable Guarantor; (d) any Lien on assets incurred in connection with the issuance of tax-exempt governmental obligations (including, without limitation, industrial revenue bonds and similar financing); (e) any Lien granted by any Cable Guarantor on assets to the extent limitations on the incurrence of such Liens are prohibited by any agreement to which such Cable Guarantor is subject as of the date of this Indenture; and (f) any renewal of or substitution for any Lien permitted by any of the preceding clauses,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joint venture, association, joint stock company, trust, unincorporated organization or government or any agency or political subdivision thereof or any other entity.</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“Preferred Stock” means, with respect to any Person, any and all shares, interests, participations or other equivalents (however designated, whether voting or non-voting) of such Person’s preferred or preference stock, whether now outstanding or issued after the date of the Indenture, including, without limitation, all series and classes of such preferred or preference stock.</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“Principal” whenever used with reference to the Securities or any Security or any portion thereof, shall be deemed to include “and premium, if any”.</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“Registered Global Security” means a Security evidencing all or a part of a series of Registered Securities, issued to the Depositary for such series in accordance with Section 2.04, and bearing the legend prescribed in Section 2.04.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“Registered Security” means any Security registered on the register maintained by the Issuer pursuant to Section 2.08.</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“Responsible Officer”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122" w:name="page123"/>
    <w:bookmarkEnd w:id="122"/>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 and Leaseback Transaction” means any direct or indirect arrangement with any Person or to which any such Person is a party, providing for the leasing to the Issuer or a Cable Guarantor of any property, whether owned by the Issuer or such Cable Guarantor at the date of the original issuance of any series of Securities or later acquired, which has been or is to be sold or transferred by the Issuer or such Cable Guarantor to such Person or to any other Person by whom funds have been or are to be advanced on the security of such property. Notwithstanding the foregoing no arrangement shall be deemed a “Sale and Leaseback Transaction” if (a) the lease is for a period of not in excess of three years, including renewal of rights; (b) the lease secures or relates to industrial revenue or similar financing; (c) the transaction is solely between the Issuer and a Cable Guarantor or between or among Cable Guarantors; or (d) the Issuer or such Cable Guarantor, within 270 days after the sale is completed, applies an amount equal to or greater than (i) the net proceeds of the sale of the assets or part thereof leased or (ii) the fair market value of the assets or part thereof leased (as determined in good faith by Board of Directors) either to (A) the retirement (or open market purchase) of Securities, other long-term Indebtedness of the Issuer ranking on a parity with or senior to each series of Securities or long-term Indebtedness of a Cable Guarantor; or (B) the purchase by the Issuer or any Cable Guarantor of other property, plant or equipment related to the business of the Issuer or any Cable Guarantor having a value at least equal to the value of the assets or part thereof leased.</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“Security” or “Securities” has the meaning stated in the first recital of this Indenture, or, as the case may be, Securities that have been authenticated and delivered under this Indenture.</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“Subsidiary”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“Trustee” means the Person identified as “Trustee” in the first paragraph hereof and, subject to the provisions of Article 5, shall also include any successor trustee.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“Trust Indenture Act of 1939” (except as otherwise provided in Sections 7.01 and 7.02) means the Trust Indenture Act of 1939 as in force at the date as of which this Indenture was originally executed.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“UCC” means the Uniform Commercial Code, as in effect in each applicable jurisdiction.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“Unregistered Security” means any Security other than a Registered Security.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“U.S. Government Obligations” means securities that are (i) direct obligations of the United States of America for the payment of which its full faith and credit is pledged or (ii) obligations of an agency of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3" w:name="page124"/>
    <w:bookmarkEnd w:id="12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“Voting Stock” means with respect to any Person, Capital Stock of any class or kind ordinarily having the power to vote for the election of directors, managers or other voting members of the governing body of such Person.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“vice president” when used with respect to the Issuer or the Trustee, means any vice president, whether or not designated by a number or a word or words added before or after the title of “vice president”.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“Wholly-Owned”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ECURITIES</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2.01</w:t>
      </w:r>
      <w:r>
        <w:rPr>
          <w:rFonts w:ascii="Arial" w:cs="Arial" w:eastAsia="Arial" w:hAnsi="Arial"/>
          <w:sz w:val="16"/>
          <w:szCs w:val="16"/>
          <w:i w:val="1"/>
          <w:iCs w:val="1"/>
          <w:color w:val="auto"/>
        </w:rPr>
        <w:t>. 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Form of Trustee’s Certification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4" w:name="page125"/>
    <w:bookmarkEnd w:id="124"/>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OF NEW YORK,</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Amount Unlimited; 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Securities may be issued in one or more series. There shall be established in or pursuant to a resolution of the Board of Directors and set forth in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Officers’ Certificate, or established in one or more indentures supplemental hereto, prior to the issuance of Securities of any series:</w:t>
      </w:r>
    </w:p>
    <w:p>
      <w:pPr>
        <w:spacing w:after="0" w:line="84" w:lineRule="exact"/>
        <w:rPr>
          <w:sz w:val="20"/>
          <w:szCs w:val="20"/>
          <w:color w:val="auto"/>
        </w:rPr>
      </w:pPr>
    </w:p>
    <w:p>
      <w:pPr>
        <w:ind w:left="700" w:hanging="23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w:t>
      </w:r>
    </w:p>
    <w:p>
      <w:pPr>
        <w:spacing w:after="0" w:line="171" w:lineRule="exact"/>
        <w:rPr>
          <w:rFonts w:ascii="Arial" w:cs="Arial" w:eastAsia="Arial" w:hAnsi="Arial"/>
          <w:sz w:val="18"/>
          <w:szCs w:val="18"/>
          <w:color w:val="auto"/>
        </w:rPr>
      </w:pPr>
    </w:p>
    <w:p>
      <w:pPr>
        <w:ind w:firstLine="464"/>
        <w:spacing w:after="0" w:line="259"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Section 12.03);</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71" w:lineRule="exact"/>
        <w:rPr>
          <w:rFonts w:ascii="Arial" w:cs="Arial" w:eastAsia="Arial" w:hAnsi="Arial"/>
          <w:sz w:val="18"/>
          <w:szCs w:val="18"/>
          <w:color w:val="auto"/>
        </w:rPr>
      </w:pPr>
    </w:p>
    <w:p>
      <w:pPr>
        <w:ind w:right="140" w:firstLine="464"/>
        <w:spacing w:after="0" w:line="259"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 3.02);</w:t>
      </w:r>
    </w:p>
    <w:p>
      <w:pPr>
        <w:spacing w:after="0" w:line="194" w:lineRule="exact"/>
        <w:rPr>
          <w:rFonts w:ascii="Arial" w:cs="Arial" w:eastAsia="Arial" w:hAnsi="Arial"/>
          <w:sz w:val="16"/>
          <w:szCs w:val="16"/>
          <w:color w:val="auto"/>
        </w:rPr>
      </w:pPr>
    </w:p>
    <w:p>
      <w:pPr>
        <w:ind w:right="260" w:firstLine="464"/>
        <w:spacing w:after="0" w:line="268" w:lineRule="auto"/>
        <w:tabs>
          <w:tab w:leader="none" w:pos="6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40" w:lineRule="exact"/>
        <w:rPr>
          <w:rFonts w:ascii="Arial" w:cs="Arial" w:eastAsia="Arial" w:hAnsi="Arial"/>
          <w:sz w:val="18"/>
          <w:szCs w:val="18"/>
          <w:color w:val="auto"/>
        </w:rPr>
      </w:pPr>
    </w:p>
    <w:p>
      <w:pPr>
        <w:ind w:right="160" w:firstLine="464"/>
        <w:spacing w:after="0" w:line="306"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obligation, if any, of the Issuer to permit the conversion of the Securities of such series into Class A Common Stock or Class A Special Common Stock, or a combination thereof,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5" w:name="page126"/>
    <w:bookmarkEnd w:id="125"/>
    <w:p>
      <w:pPr>
        <w:ind w:left="680" w:hanging="21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other than denominations of $1,000 and any multiple thereof, the denominations in which Securities of the series shall be issuable;</w:t>
      </w:r>
    </w:p>
    <w:p>
      <w:pPr>
        <w:spacing w:after="0" w:line="171" w:lineRule="exact"/>
        <w:rPr>
          <w:rFonts w:ascii="Arial" w:cs="Arial" w:eastAsia="Arial" w:hAnsi="Arial"/>
          <w:sz w:val="18"/>
          <w:szCs w:val="18"/>
          <w:color w:val="auto"/>
        </w:rPr>
      </w:pPr>
    </w:p>
    <w:p>
      <w:pPr>
        <w:ind w:right="440" w:firstLine="464"/>
        <w:spacing w:after="0" w:line="268" w:lineRule="auto"/>
        <w:tabs>
          <w:tab w:leader="none" w:pos="6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for such Registered Global Security or Securities;</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 and</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trustees, authenticating or paying agents, transfer agents or registrar or any other agents with respect to the Securities of such series.</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such resolution of the Board of Directors or in any such indenture supplemental hereto.</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Authentication and Delivery of Securities.</w:t>
      </w:r>
      <w:r>
        <w:rPr>
          <w:rFonts w:ascii="Arial" w:cs="Arial" w:eastAsia="Arial" w:hAnsi="Arial"/>
          <w:sz w:val="18"/>
          <w:szCs w:val="18"/>
          <w:color w:val="auto"/>
        </w:rPr>
        <w:t xml:space="preserve">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or any vice chairman of its Board of Directors, or its president or any vice president and (b) by its treasurer or any assistant treasurer,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spacing w:after="0" w:line="63" w:lineRule="exact"/>
        <w:rPr>
          <w:sz w:val="20"/>
          <w:szCs w:val="20"/>
          <w:color w:val="auto"/>
        </w:rPr>
      </w:pPr>
    </w:p>
    <w:p>
      <w:pPr>
        <w:ind w:right="40" w:firstLine="464"/>
        <w:spacing w:after="0" w:line="268"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certified copy of any resolution or resolutions of the Board of Directors authorizing the action taken pursuant to the resolution or resolutions delivered under clause Section 2.04(b) below;</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copy of any resolution or resolutions of the Board of Directors relating to such series, in each case certified by the secretary or an assistant secretary of the Issuer;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executed supplemental indenture, if any, and the documentation required to be delivered pursuant to Section 7.04;</w:t>
      </w:r>
    </w:p>
    <w:p>
      <w:pPr>
        <w:spacing w:after="0" w:line="171"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Officers’ Certificate setting forth the form and terms of the Securities as required pursuant to Section 2.01 and 2.03, respectively and prepared in accordance with Section 10.05;</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Opinion of Counsel, prepared in accordance with Section 10.05, to the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6" w:name="page127"/>
    <w:bookmarkEnd w:id="126"/>
    <w:p>
      <w:pPr>
        <w:ind w:left="460" w:right="720" w:firstLine="443"/>
        <w:spacing w:after="0" w:line="332" w:lineRule="auto"/>
        <w:tabs>
          <w:tab w:leader="none" w:pos="1108"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the form or forms and terms of such Securities have been established by or pursuant to a resolution of the Board of Directors or by a supplemental indenture as permitted by Section 2.01 and 2.03 in conformity with the provisions of this Indenture; and</w:t>
      </w:r>
    </w:p>
    <w:p>
      <w:pPr>
        <w:spacing w:after="0" w:line="4" w:lineRule="exact"/>
        <w:rPr>
          <w:rFonts w:ascii="Arial" w:cs="Arial" w:eastAsia="Arial" w:hAnsi="Arial"/>
          <w:sz w:val="16"/>
          <w:szCs w:val="16"/>
          <w:color w:val="auto"/>
        </w:rPr>
      </w:pPr>
    </w:p>
    <w:p>
      <w:pPr>
        <w:ind w:left="460" w:right="320" w:firstLine="443"/>
        <w:spacing w:after="0" w:line="259" w:lineRule="auto"/>
        <w:tabs>
          <w:tab w:leader="none" w:pos="115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Issuer in the manner and subject to any conditions specified in such Opinion of Counsel, will constitute legal, valid and binding obligations of the Issuer enforceable against the Issuer in accordance with their terms.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107"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08" w:lineRule="exact"/>
        <w:rPr>
          <w:sz w:val="20"/>
          <w:szCs w:val="20"/>
          <w:color w:val="auto"/>
        </w:rPr>
      </w:pPr>
    </w:p>
    <w:p>
      <w:pPr>
        <w:jc w:val="both"/>
        <w:ind w:right="60" w:firstLine="456"/>
        <w:spacing w:after="0" w:line="254" w:lineRule="auto"/>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Execution of Securities.</w:t>
      </w:r>
      <w:r>
        <w:rPr>
          <w:rFonts w:ascii="Arial" w:cs="Arial" w:eastAsia="Arial" w:hAnsi="Arial"/>
          <w:sz w:val="18"/>
          <w:szCs w:val="18"/>
          <w:color w:val="auto"/>
        </w:rPr>
        <w:t xml:space="preserve"> The Securities shall be signed on behalf of the Issuer by the chairman of its Board of Directors or any vice chairman of its Board of Directors or its president or any vice president or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7" w:name="page128"/>
    <w:bookmarkEnd w:id="127"/>
    <w:p>
      <w:pPr>
        <w:ind w:right="1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2.06</w:t>
      </w:r>
      <w:r>
        <w:rPr>
          <w:rFonts w:ascii="Arial" w:cs="Arial" w:eastAsia="Arial" w:hAnsi="Arial"/>
          <w:sz w:val="16"/>
          <w:szCs w:val="16"/>
          <w:i w:val="1"/>
          <w:iCs w:val="1"/>
          <w:color w:val="auto"/>
        </w:rPr>
        <w:t>. Certificate of Authentication.</w:t>
      </w:r>
      <w:r>
        <w:rPr>
          <w:rFonts w:ascii="Arial" w:cs="Arial" w:eastAsia="Arial" w:hAnsi="Arial"/>
          <w:sz w:val="16"/>
          <w:szCs w:val="16"/>
          <w:color w:val="auto"/>
        </w:rPr>
        <w:t xml:space="preserve">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Section 2.07</w:t>
      </w:r>
      <w:r>
        <w:rPr>
          <w:rFonts w:ascii="Arial" w:cs="Arial" w:eastAsia="Arial" w:hAnsi="Arial"/>
          <w:sz w:val="18"/>
          <w:szCs w:val="18"/>
          <w:i w:val="1"/>
          <w:iCs w:val="1"/>
          <w:color w:val="auto"/>
        </w:rPr>
        <w:t>. Denomination and Date of Securities; Payments of Interest.</w:t>
      </w:r>
      <w:r>
        <w:rPr>
          <w:rFonts w:ascii="Arial" w:cs="Arial" w:eastAsia="Arial" w:hAnsi="Arial"/>
          <w:sz w:val="18"/>
          <w:szCs w:val="18"/>
          <w:color w:val="auto"/>
        </w:rPr>
        <w:t xml:space="preserve">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Each Security shall be dated the date of its authentication, shall bear interest, if any, from the date and shall be payable on the dates, in each case, which shall be specified as contemplated by Section 2.03.</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2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2.08</w:t>
      </w:r>
      <w:r>
        <w:rPr>
          <w:rFonts w:ascii="Arial" w:cs="Arial" w:eastAsia="Arial" w:hAnsi="Arial"/>
          <w:sz w:val="16"/>
          <w:szCs w:val="16"/>
          <w:i w:val="1"/>
          <w:iCs w:val="1"/>
          <w:color w:val="auto"/>
        </w:rPr>
        <w:t>. Registration, Transfer and Exchange.</w:t>
      </w:r>
      <w:r>
        <w:rPr>
          <w:rFonts w:ascii="Arial" w:cs="Arial" w:eastAsia="Arial" w:hAnsi="Arial"/>
          <w:sz w:val="16"/>
          <w:szCs w:val="16"/>
          <w:color w:val="auto"/>
        </w:rPr>
        <w:t xml:space="preserv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28" w:name="page129"/>
    <w:bookmarkEnd w:id="128"/>
    <w:p>
      <w:pPr>
        <w:ind w:right="120" w:firstLine="456"/>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spacing w:after="0" w:line="12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 such ineligibility,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29" w:name="page130"/>
    <w:bookmarkEnd w:id="129"/>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spacing w:after="0" w:line="62" w:lineRule="exact"/>
        <w:rPr>
          <w:sz w:val="20"/>
          <w:szCs w:val="20"/>
          <w:color w:val="auto"/>
        </w:rPr>
      </w:pPr>
    </w:p>
    <w:p>
      <w:pPr>
        <w:ind w:left="460" w:right="140" w:firstLine="443"/>
        <w:spacing w:after="0" w:line="357" w:lineRule="auto"/>
        <w:tabs>
          <w:tab w:leader="none" w:pos="1108" w:val="left"/>
        </w:tabs>
        <w:numPr>
          <w:ilvl w:val="1"/>
          <w:numId w:val="62"/>
        </w:numPr>
        <w:rPr>
          <w:rFonts w:ascii="Arial" w:cs="Arial" w:eastAsia="Arial" w:hAnsi="Arial"/>
          <w:sz w:val="15"/>
          <w:szCs w:val="15"/>
          <w:color w:val="auto"/>
        </w:rPr>
      </w:pPr>
      <w:r>
        <w:rPr>
          <w:rFonts w:ascii="Arial" w:cs="Arial" w:eastAsia="Arial" w:hAnsi="Arial"/>
          <w:sz w:val="15"/>
          <w:szCs w:val="15"/>
          <w:color w:val="auto"/>
        </w:rPr>
        <w:t>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ind w:left="460" w:right="500" w:firstLine="443"/>
        <w:spacing w:after="0" w:line="305" w:lineRule="auto"/>
        <w:tabs>
          <w:tab w:leader="none" w:pos="1157" w:val="left"/>
        </w:tabs>
        <w:numPr>
          <w:ilvl w:val="1"/>
          <w:numId w:val="62"/>
        </w:numPr>
        <w:rPr>
          <w:rFonts w:ascii="Arial" w:cs="Arial" w:eastAsia="Arial" w:hAnsi="Arial"/>
          <w:sz w:val="15"/>
          <w:szCs w:val="15"/>
          <w:color w:val="auto"/>
        </w:rPr>
      </w:pPr>
      <w:r>
        <w:rPr>
          <w:rFonts w:ascii="Arial" w:cs="Arial" w:eastAsia="Arial" w:hAnsi="Arial"/>
          <w:sz w:val="15"/>
          <w:szCs w:val="15"/>
          <w:color w:val="auto"/>
        </w:rPr>
        <w:t>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w:t>
      </w:r>
    </w:p>
    <w:p>
      <w:pPr>
        <w:ind w:left="680" w:hanging="21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above.</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30" w:name="page131"/>
    <w:bookmarkEnd w:id="130"/>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Mutilated, Defaced, Destroyed, Lost and Stolen Securities.</w:t>
      </w:r>
      <w:r>
        <w:rPr>
          <w:rFonts w:ascii="Arial" w:cs="Arial" w:eastAsia="Arial" w:hAnsi="Arial"/>
          <w:sz w:val="16"/>
          <w:szCs w:val="16"/>
          <w:color w:val="auto"/>
        </w:rPr>
        <w:t xml:space="preserve">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wrongful taking, the applicant shall also furnish to the Issuer and the Trustee and any agent of the Issuer or the Trustee evidence to their satisfaction of the destruction, loss or wrongful taking of such Security and of the ownership thereof.</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31" w:name="page132"/>
    <w:bookmarkEnd w:id="131"/>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Section 2.10</w:t>
      </w:r>
      <w:r>
        <w:rPr>
          <w:rFonts w:ascii="Arial" w:cs="Arial" w:eastAsia="Arial" w:hAnsi="Arial"/>
          <w:sz w:val="16"/>
          <w:szCs w:val="16"/>
          <w:i w:val="1"/>
          <w:iCs w:val="1"/>
          <w:color w:val="auto"/>
        </w:rPr>
        <w:t>. Cancellation of Securities; Destruction Thereof.</w:t>
      </w:r>
      <w:r>
        <w:rPr>
          <w:rFonts w:ascii="Arial" w:cs="Arial" w:eastAsia="Arial" w:hAnsi="Arial"/>
          <w:sz w:val="16"/>
          <w:szCs w:val="16"/>
          <w:color w:val="auto"/>
        </w:rPr>
        <w:t xml:space="preserve"> All Securities surrendered for payment, redemption, conversion,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2.11</w:t>
      </w:r>
      <w:r>
        <w:rPr>
          <w:rFonts w:ascii="Arial" w:cs="Arial" w:eastAsia="Arial" w:hAnsi="Arial"/>
          <w:sz w:val="16"/>
          <w:szCs w:val="16"/>
          <w:i w:val="1"/>
          <w:iCs w:val="1"/>
          <w:color w:val="auto"/>
        </w:rPr>
        <w:t>. 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2.12</w:t>
      </w:r>
      <w:r>
        <w:rPr>
          <w:rFonts w:ascii="Arial" w:cs="Arial" w:eastAsia="Arial" w:hAnsi="Arial"/>
          <w:sz w:val="18"/>
          <w:szCs w:val="18"/>
          <w:i w:val="1"/>
          <w:iCs w:val="1"/>
          <w:color w:val="auto"/>
        </w:rPr>
        <w:t>. Computation of Interest.</w:t>
      </w:r>
      <w:r>
        <w:rPr>
          <w:rFonts w:ascii="Arial" w:cs="Arial" w:eastAsia="Arial" w:hAnsi="Arial"/>
          <w:sz w:val="18"/>
          <w:szCs w:val="18"/>
          <w:color w:val="auto"/>
        </w:rPr>
        <w:t xml:space="preserve"> Except as otherwise specified in the Securities of a series, interest shall be computed on the basis of a 360-day year of twelve 30-day months.</w:t>
      </w:r>
    </w:p>
    <w:p>
      <w:pPr>
        <w:spacing w:after="0" w:line="13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Section 2.13</w:t>
      </w:r>
      <w:r>
        <w:rPr>
          <w:rFonts w:ascii="Arial" w:cs="Arial" w:eastAsia="Arial" w:hAnsi="Arial"/>
          <w:sz w:val="16"/>
          <w:szCs w:val="16"/>
          <w:i w:val="1"/>
          <w:iCs w:val="1"/>
          <w:color w:val="auto"/>
        </w:rPr>
        <w:t>. CUSIP Numbers.</w:t>
      </w:r>
      <w:r>
        <w:rPr>
          <w:rFonts w:ascii="Arial" w:cs="Arial" w:eastAsia="Arial" w:hAnsi="Arial"/>
          <w:sz w:val="16"/>
          <w:szCs w:val="16"/>
          <w:color w:val="auto"/>
        </w:rPr>
        <w:t xml:space="preserve"> The Issuer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 OF THE</w:t>
      </w:r>
      <w:r>
        <w:rPr>
          <w:rFonts w:ascii="Arial" w:cs="Arial" w:eastAsia="Arial" w:hAnsi="Arial"/>
          <w:sz w:val="18"/>
          <w:szCs w:val="18"/>
          <w:color w:val="auto"/>
        </w:rPr>
        <w:t xml:space="preserve"> I</w:t>
      </w:r>
      <w:r>
        <w:rPr>
          <w:rFonts w:ascii="Arial" w:cs="Arial" w:eastAsia="Arial" w:hAnsi="Arial"/>
          <w:sz w:val="14"/>
          <w:szCs w:val="14"/>
          <w:color w:val="auto"/>
        </w:rPr>
        <w:t>SSUER</w:t>
      </w:r>
      <w:r>
        <w:rPr>
          <w:rFonts w:ascii="Arial" w:cs="Arial" w:eastAsia="Arial" w:hAnsi="Arial"/>
          <w:sz w:val="18"/>
          <w:szCs w:val="18"/>
          <w:color w:val="auto"/>
        </w:rPr>
        <w:t xml:space="preserve">, </w:t>
      </w:r>
      <w:r>
        <w:rPr>
          <w:rFonts w:ascii="Arial" w:cs="Arial" w:eastAsia="Arial" w:hAnsi="Arial"/>
          <w:sz w:val="14"/>
          <w:szCs w:val="14"/>
          <w:color w:val="auto"/>
        </w:rPr>
        <w:t>THE</w:t>
      </w:r>
      <w:r>
        <w:rPr>
          <w:rFonts w:ascii="Arial" w:cs="Arial" w:eastAsia="Arial" w:hAnsi="Arial"/>
          <w:sz w:val="18"/>
          <w:szCs w:val="18"/>
          <w:color w:val="auto"/>
        </w:rPr>
        <w:t xml:space="preserve"> C</w:t>
      </w:r>
      <w:r>
        <w:rPr>
          <w:rFonts w:ascii="Arial" w:cs="Arial" w:eastAsia="Arial" w:hAnsi="Arial"/>
          <w:sz w:val="14"/>
          <w:szCs w:val="14"/>
          <w:color w:val="auto"/>
        </w:rPr>
        <w:t>ABLE</w:t>
      </w:r>
      <w:r>
        <w:rPr>
          <w:rFonts w:ascii="Arial" w:cs="Arial" w:eastAsia="Arial" w:hAnsi="Arial"/>
          <w:sz w:val="18"/>
          <w:szCs w:val="18"/>
          <w:color w:val="auto"/>
        </w:rPr>
        <w:t xml:space="preserve"> G</w:t>
      </w:r>
      <w:r>
        <w:rPr>
          <w:rFonts w:ascii="Arial" w:cs="Arial" w:eastAsia="Arial" w:hAnsi="Arial"/>
          <w:sz w:val="14"/>
          <w:szCs w:val="14"/>
          <w:color w:val="auto"/>
        </w:rPr>
        <w:t>UARANTORS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Payment of Principal and Interest.</w:t>
      </w:r>
      <w:r>
        <w:rPr>
          <w:rFonts w:ascii="Arial" w:cs="Arial" w:eastAsia="Arial" w:hAnsi="Arial"/>
          <w:sz w:val="16"/>
          <w:szCs w:val="16"/>
          <w:color w:val="auto"/>
        </w:rPr>
        <w:t xml:space="preserve">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(other than interest payable at maturity or on any redemption or repayment date or the final payment of Principal on such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3.02</w:t>
      </w:r>
      <w:r>
        <w:rPr>
          <w:rFonts w:ascii="Arial" w:cs="Arial" w:eastAsia="Arial" w:hAnsi="Arial"/>
          <w:sz w:val="16"/>
          <w:szCs w:val="16"/>
          <w:i w:val="1"/>
          <w:iCs w:val="1"/>
          <w:color w:val="auto"/>
        </w:rPr>
        <w:t>. Offices for Payments, etc.</w:t>
      </w:r>
      <w:r>
        <w:rPr>
          <w:rFonts w:ascii="Arial" w:cs="Arial" w:eastAsia="Arial" w:hAnsi="Arial"/>
          <w:sz w:val="16"/>
          <w:szCs w:val="16"/>
          <w:color w:val="auto"/>
        </w:rPr>
        <w:t xml:space="preserve"> So long as any of the Securities remain outstanding, the Issuer will maintain in the Borough of Manhattan, The City of New York an office or agency (a) where the Securities may be presented for payment, (b) where the Securities may be presented for registration of transfer and for exchange as in this Indenture provided, (c) where notices and demands to or upon the Issuer in respect of the Securities or of this Indenture may be served and (d)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33" w:name="page134"/>
    <w:bookmarkEnd w:id="133"/>
    <w:p>
      <w:pPr>
        <w:jc w:val="both"/>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3.03</w:t>
      </w:r>
      <w:r>
        <w:rPr>
          <w:rFonts w:ascii="Arial" w:cs="Arial" w:eastAsia="Arial" w:hAnsi="Arial"/>
          <w:sz w:val="18"/>
          <w:szCs w:val="18"/>
          <w:i w:val="1"/>
          <w:iCs w:val="1"/>
          <w:color w:val="auto"/>
        </w:rPr>
        <w:t>. 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40" w:lineRule="exact"/>
        <w:rPr>
          <w:sz w:val="20"/>
          <w:szCs w:val="20"/>
          <w:color w:val="auto"/>
        </w:rPr>
      </w:pPr>
    </w:p>
    <w:p>
      <w:pPr>
        <w:ind w:firstLine="464"/>
        <w:spacing w:after="0" w:line="259"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40" w:lineRule="exact"/>
        <w:rPr>
          <w:rFonts w:ascii="Arial" w:cs="Arial" w:eastAsia="Arial" w:hAnsi="Arial"/>
          <w:sz w:val="18"/>
          <w:szCs w:val="18"/>
          <w:color w:val="auto"/>
        </w:rPr>
      </w:pPr>
    </w:p>
    <w:p>
      <w:pPr>
        <w:ind w:right="400" w:firstLine="464"/>
        <w:spacing w:after="0" w:line="268"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31"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upon the Trustee’s written request at any time during the continuance of the failure referred to in clause 3.03(b) above.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Whenever the Issuer shall have one or more paying agents for any series of Securities, it will, on or before each due date of the principal of or interest on any Securities of such series, deposit with the paying agent or agents for the Securities of such series a sum, by 10:00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spacing w:after="0" w:line="11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 9.05.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34" w:name="page135"/>
    <w:bookmarkEnd w:id="134"/>
    <w:p>
      <w:pPr>
        <w:ind w:right="2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3.04</w:t>
      </w:r>
      <w:r>
        <w:rPr>
          <w:rFonts w:ascii="Arial" w:cs="Arial" w:eastAsia="Arial" w:hAnsi="Arial"/>
          <w:sz w:val="16"/>
          <w:szCs w:val="16"/>
          <w:i w:val="1"/>
          <w:iCs w:val="1"/>
          <w:color w:val="auto"/>
        </w:rPr>
        <w:t>. Certificate of the Issuer.</w:t>
      </w:r>
      <w:r>
        <w:rPr>
          <w:rFonts w:ascii="Arial" w:cs="Arial" w:eastAsia="Arial" w:hAnsi="Arial"/>
          <w:sz w:val="16"/>
          <w:szCs w:val="16"/>
          <w:color w:val="auto"/>
        </w:rPr>
        <w:t xml:space="preserve"> Within 120 days after the close of the fiscal year ended December 31, 2002,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3.05</w:t>
      </w:r>
      <w:r>
        <w:rPr>
          <w:rFonts w:ascii="Arial" w:cs="Arial" w:eastAsia="Arial" w:hAnsi="Arial"/>
          <w:sz w:val="16"/>
          <w:szCs w:val="16"/>
          <w:i w:val="1"/>
          <w:iCs w:val="1"/>
          <w:color w:val="auto"/>
        </w:rPr>
        <w:t>. Securityholders Lists.</w:t>
      </w:r>
      <w:r>
        <w:rPr>
          <w:rFonts w:ascii="Arial" w:cs="Arial" w:eastAsia="Arial" w:hAnsi="Arial"/>
          <w:sz w:val="16"/>
          <w:szCs w:val="16"/>
          <w:color w:val="auto"/>
        </w:rPr>
        <w:t xml:space="preserve">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10 days prior to the time such information is furnished.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w:t>
      </w:r>
    </w:p>
    <w:p>
      <w:pPr>
        <w:spacing w:after="0" w:line="90" w:lineRule="exact"/>
        <w:rPr>
          <w:sz w:val="20"/>
          <w:szCs w:val="20"/>
          <w:color w:val="auto"/>
        </w:rPr>
      </w:pPr>
    </w:p>
    <w:p>
      <w:pPr>
        <w:ind w:right="100" w:firstLine="464"/>
        <w:spacing w:after="0" w:line="290"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file, whether or not required to do so under applicable law,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if the Issuer is not required to file with the Commission, annual reports, information, documents and other reports pursuant to either Section 13 or Section 15(d) of the Securities Exchange Act of 1934, then the Issuer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118" w:lineRule="exact"/>
        <w:rPr>
          <w:rFonts w:ascii="Arial" w:cs="Arial" w:eastAsia="Arial" w:hAnsi="Arial"/>
          <w:sz w:val="16"/>
          <w:szCs w:val="16"/>
          <w:color w:val="auto"/>
        </w:rPr>
      </w:pPr>
    </w:p>
    <w:p>
      <w:pPr>
        <w:ind w:right="300" w:firstLine="464"/>
        <w:spacing w:after="0" w:line="268"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the rules and regulations prescribed from time to time by the Securities and Exchange Commission,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35" w:name="page136"/>
    <w:bookmarkEnd w:id="135"/>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information, documents and reports with respect to compliance by the Issuer with the conditions and covenants provided for in this Indenture as may be required by such rules and regulations;</w:t>
      </w:r>
    </w:p>
    <w:p>
      <w:pPr>
        <w:spacing w:after="0" w:line="132" w:lineRule="exact"/>
        <w:rPr>
          <w:sz w:val="20"/>
          <w:szCs w:val="20"/>
          <w:color w:val="auto"/>
        </w:rPr>
      </w:pPr>
    </w:p>
    <w:p>
      <w:pPr>
        <w:jc w:val="both"/>
        <w:ind w:right="160" w:firstLine="464"/>
        <w:spacing w:after="0" w:line="259"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transmit to the Securityholders, in the manner and to the extent provided in Section 10.04, such summaries of any information, documents and reports required to be filed with the Trustee pursuant to the provisions of subdivisions (a) and (b) of this Section 3.06 as may be required by the rules and regulations of the Commission.</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Section 3.07</w:t>
      </w:r>
      <w:r>
        <w:rPr>
          <w:rFonts w:ascii="Arial" w:cs="Arial" w:eastAsia="Arial" w:hAnsi="Arial"/>
          <w:sz w:val="16"/>
          <w:szCs w:val="16"/>
          <w:i w:val="1"/>
          <w:iCs w:val="1"/>
          <w:color w:val="auto"/>
        </w:rPr>
        <w:t>. Corporate Existence.</w:t>
      </w:r>
      <w:r>
        <w:rPr>
          <w:rFonts w:ascii="Arial" w:cs="Arial" w:eastAsia="Arial" w:hAnsi="Arial"/>
          <w:sz w:val="16"/>
          <w:szCs w:val="16"/>
          <w:color w:val="auto"/>
        </w:rPr>
        <w:t xml:space="preserve"> So long as any of the Securities remain unpaid, the Issuer will at all times (except as otherwise provided or permitted elsewhere in this Indenture) do or cause to be done all things necessary to preserve and keep in full force and effect its corporate existence.</w:t>
      </w:r>
    </w:p>
    <w:p>
      <w:pPr>
        <w:spacing w:after="0" w:line="85"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Section 3.08</w:t>
      </w:r>
      <w:r>
        <w:rPr>
          <w:rFonts w:ascii="Arial" w:cs="Arial" w:eastAsia="Arial" w:hAnsi="Arial"/>
          <w:sz w:val="16"/>
          <w:szCs w:val="16"/>
          <w:i w:val="1"/>
          <w:iCs w:val="1"/>
          <w:color w:val="auto"/>
        </w:rPr>
        <w:t>. Restrictions on Mergers, Sales and Consolidations.</w:t>
      </w:r>
      <w:r>
        <w:rPr>
          <w:rFonts w:ascii="Arial" w:cs="Arial" w:eastAsia="Arial" w:hAnsi="Arial"/>
          <w:sz w:val="16"/>
          <w:szCs w:val="16"/>
          <w:color w:val="auto"/>
        </w:rPr>
        <w:t xml:space="preserve"> So long as any of the Securities remain unpaid, the Issuer will not consolidate or merge with or sell, convey or lease all or substantially all of its property to any other corporation except as permitted in Article 8 hereof.</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Section 3.09</w:t>
      </w:r>
      <w:r>
        <w:rPr>
          <w:rFonts w:ascii="Arial" w:cs="Arial" w:eastAsia="Arial" w:hAnsi="Arial"/>
          <w:sz w:val="18"/>
          <w:szCs w:val="18"/>
          <w:i w:val="1"/>
          <w:iCs w:val="1"/>
          <w:color w:val="auto"/>
        </w:rPr>
        <w:t>. Further Assurances.</w:t>
      </w:r>
      <w:r>
        <w:rPr>
          <w:rFonts w:ascii="Arial" w:cs="Arial" w:eastAsia="Arial" w:hAnsi="Arial"/>
          <w:sz w:val="18"/>
          <w:szCs w:val="18"/>
          <w:color w:val="auto"/>
        </w:rPr>
        <w:t xml:space="preserve">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3.10</w:t>
      </w:r>
      <w:r>
        <w:rPr>
          <w:rFonts w:ascii="Arial" w:cs="Arial" w:eastAsia="Arial" w:hAnsi="Arial"/>
          <w:sz w:val="18"/>
          <w:szCs w:val="18"/>
          <w:i w:val="1"/>
          <w:iCs w:val="1"/>
          <w:color w:val="auto"/>
        </w:rPr>
        <w:t>. Limitation on Liens.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Neither the Issuer nor any Cable Guarantor shall create, incur or assume any Lien (other than any Permitted Lien) on such Person’s assets, including the Capital Stock of its Wholly-Owned Subsidiaries, to secure the payment of Indebtedness of the Issuer or any Cable Guarantor, unless the Issuer secures the Outstanding Securities equally and ratably with (or prior to) all Indebtedness secured by such Lien, so long as such Indebtedness shall be so secured.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3.11</w:t>
      </w:r>
      <w:r>
        <w:rPr>
          <w:rFonts w:ascii="Arial" w:cs="Arial" w:eastAsia="Arial" w:hAnsi="Arial"/>
          <w:sz w:val="18"/>
          <w:szCs w:val="18"/>
          <w:i w:val="1"/>
          <w:iCs w:val="1"/>
          <w:color w:val="auto"/>
        </w:rPr>
        <w:t>. Limitation on Sale and Leaseback Transactions.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Neither the Issuer nor any Cable Guarantor shall enter into any Sale and Leaseback Transaction involving any of such Person’s assets, including the Capital Stock of its Wholly-Owned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S</w:t>
      </w:r>
      <w:r>
        <w:rPr>
          <w:rFonts w:ascii="Arial" w:cs="Arial" w:eastAsia="Arial" w:hAnsi="Arial"/>
          <w:sz w:val="14"/>
          <w:szCs w:val="14"/>
          <w:color w:val="auto"/>
        </w:rPr>
        <w:t>ECURITYHOLDERS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165"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Event of Default Defined; Acceleration of Maturity; Waiver of Default.</w:t>
      </w:r>
      <w:r>
        <w:rPr>
          <w:rFonts w:ascii="Arial" w:cs="Arial" w:eastAsia="Arial" w:hAnsi="Arial"/>
          <w:sz w:val="18"/>
          <w:szCs w:val="18"/>
          <w:color w:val="auto"/>
        </w:rPr>
        <w:t xml:space="preserve"> “Event 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2" w:lineRule="exact"/>
        <w:rPr>
          <w:sz w:val="20"/>
          <w:szCs w:val="20"/>
          <w:color w:val="auto"/>
        </w:rPr>
      </w:pPr>
    </w:p>
    <w:p>
      <w:pPr>
        <w:ind w:right="240" w:firstLine="464"/>
        <w:spacing w:after="0" w:line="268"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default by any Obligor in the payment of any installment of interest upon any of the Securities of such series as and when the same shall become due and payable, and continuance of such default for a period of 30 days; or</w:t>
      </w:r>
    </w:p>
    <w:p>
      <w:pPr>
        <w:spacing w:after="0" w:line="131"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default by an Obligor in the payment of all or any part of the principal on any of the Securities of such series as and when the same shall become due and payable either at maturity, upon redemption, by declaration or otherwise; or</w:t>
      </w:r>
    </w:p>
    <w:p>
      <w:pPr>
        <w:spacing w:after="0" w:line="131" w:lineRule="exact"/>
        <w:rPr>
          <w:rFonts w:ascii="Arial" w:cs="Arial" w:eastAsia="Arial" w:hAnsi="Arial"/>
          <w:sz w:val="18"/>
          <w:szCs w:val="18"/>
          <w:color w:val="auto"/>
        </w:rPr>
      </w:pPr>
    </w:p>
    <w:p>
      <w:pPr>
        <w:ind w:firstLine="464"/>
        <w:spacing w:after="0" w:line="294"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default by an Obligor in the performance, or breach by any Obligor, of any of its covenants or agreements in respect of the Securities of such series (other than a covenant or agreement in respect of the 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 or</w:t>
      </w:r>
    </w:p>
    <w:p>
      <w:pPr>
        <w:spacing w:after="0" w:line="115" w:lineRule="exact"/>
        <w:rPr>
          <w:rFonts w:ascii="Arial" w:cs="Arial" w:eastAsia="Arial" w:hAnsi="Arial"/>
          <w:sz w:val="16"/>
          <w:szCs w:val="16"/>
          <w:color w:val="auto"/>
        </w:rPr>
      </w:pPr>
    </w:p>
    <w:p>
      <w:pPr>
        <w:jc w:val="both"/>
        <w:ind w:right="120" w:firstLine="464"/>
        <w:spacing w:after="0" w:line="298"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court having jurisdiction in the premises shall enter a decree or order for relief in respect of any Obligor in an involuntary case under any applicable bankruptcy, insolvency or other similar law now or hereafter in effect, or appointing a receiver, liquidator, assignee, custodian, trustee or sequestrator (or similar official) of any Obligor or for any substantial part of such party’s property and assets or ordering the winding up or liquidation of any Obligor’s affairs, and such decree or order shall remain unstayed and in effect for a period of 180 consecutive days; or</w:t>
      </w:r>
    </w:p>
    <w:p>
      <w:pPr>
        <w:spacing w:after="0" w:line="112" w:lineRule="exact"/>
        <w:rPr>
          <w:rFonts w:ascii="Arial" w:cs="Arial" w:eastAsia="Arial" w:hAnsi="Arial"/>
          <w:sz w:val="16"/>
          <w:szCs w:val="16"/>
          <w:color w:val="auto"/>
        </w:rPr>
      </w:pPr>
    </w:p>
    <w:p>
      <w:pPr>
        <w:jc w:val="both"/>
        <w:ind w:right="40" w:firstLine="464"/>
        <w:spacing w:after="0" w:line="256"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Obligor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such party or for any substantial part of such party’s property, or make any general assignment for the benefit of creditors; or</w:t>
      </w:r>
    </w:p>
    <w:p>
      <w:pPr>
        <w:spacing w:after="0" w:line="143" w:lineRule="exact"/>
        <w:rPr>
          <w:rFonts w:ascii="Arial" w:cs="Arial" w:eastAsia="Arial" w:hAnsi="Arial"/>
          <w:sz w:val="18"/>
          <w:szCs w:val="18"/>
          <w:color w:val="auto"/>
        </w:rPr>
      </w:pPr>
    </w:p>
    <w:p>
      <w:pPr>
        <w:ind w:left="680" w:hanging="216"/>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Cable Guarantee shall not be (or claimed by any Cable Guarantor not to be) in full force and effect;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37" w:name="page138"/>
    <w:bookmarkEnd w:id="137"/>
    <w:p>
      <w:pPr>
        <w:ind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Event of Default provided in the supplemental indenture or resolution of the Board of Directors under which such series of Securities is issued or in the form of Security for such series.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an Event of Default described in clauses 4.01(a), 4.01(b), 4.01(c), 4.01(f) or 4.01(g)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4.01(d) or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33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38" w:name="page139"/>
    <w:bookmarkEnd w:id="138"/>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Collection of Indebtedness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37" w:lineRule="exact"/>
        <w:rPr>
          <w:sz w:val="20"/>
          <w:szCs w:val="20"/>
          <w:color w:val="auto"/>
        </w:rPr>
      </w:pPr>
    </w:p>
    <w:p>
      <w:pPr>
        <w:ind w:firstLine="464"/>
        <w:spacing w:after="0" w:line="314" w:lineRule="auto"/>
        <w:tabs>
          <w:tab w:leader="none" w:pos="695"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39" w:name="page140"/>
    <w:bookmarkEnd w:id="139"/>
    <w:p>
      <w:pPr>
        <w:ind w:right="14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40" w:lineRule="exact"/>
        <w:rPr>
          <w:rFonts w:ascii="Arial" w:cs="Arial" w:eastAsia="Arial" w:hAnsi="Arial"/>
          <w:sz w:val="18"/>
          <w:szCs w:val="18"/>
          <w:color w:val="auto"/>
        </w:rPr>
      </w:pPr>
    </w:p>
    <w:p>
      <w:pPr>
        <w:ind w:firstLine="464"/>
        <w:spacing w:after="0" w:line="291"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140" w:name="page141"/>
    <w:bookmarkEnd w:id="140"/>
    <w:p>
      <w:pPr>
        <w:jc w:val="both"/>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Section 4.03</w:t>
      </w:r>
      <w:r>
        <w:rPr>
          <w:rFonts w:ascii="Arial" w:cs="Arial" w:eastAsia="Arial" w:hAnsi="Arial"/>
          <w:sz w:val="16"/>
          <w:szCs w:val="16"/>
          <w:i w:val="1"/>
          <w:iCs w:val="1"/>
          <w:color w:val="auto"/>
        </w:rPr>
        <w:t>. Application of Proceeds.</w:t>
      </w:r>
      <w:r>
        <w:rPr>
          <w:rFonts w:ascii="Arial" w:cs="Arial" w:eastAsia="Arial" w:hAnsi="Arial"/>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32" w:lineRule="exact"/>
        <w:rPr>
          <w:sz w:val="20"/>
          <w:szCs w:val="20"/>
          <w:color w:val="auto"/>
        </w:rPr>
      </w:pPr>
    </w:p>
    <w:p>
      <w:pPr>
        <w:ind w:left="460" w:right="200" w:firstLine="438"/>
        <w:spacing w:after="0" w:line="256" w:lineRule="auto"/>
        <w:rPr>
          <w:sz w:val="20"/>
          <w:szCs w:val="20"/>
          <w:color w:val="auto"/>
        </w:rPr>
      </w:pPr>
      <w:r>
        <w:rPr>
          <w:rFonts w:ascii="Arial" w:cs="Arial" w:eastAsia="Arial" w:hAnsi="Arial"/>
          <w:sz w:val="18"/>
          <w:szCs w:val="18"/>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spacing w:after="0" w:line="62"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62"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41" w:name="page142"/>
    <w:bookmarkEnd w:id="141"/>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4.04</w:t>
      </w:r>
      <w:r>
        <w:rPr>
          <w:rFonts w:ascii="Arial" w:cs="Arial" w:eastAsia="Arial" w:hAnsi="Arial"/>
          <w:sz w:val="18"/>
          <w:szCs w:val="18"/>
          <w:i w:val="1"/>
          <w:iCs w:val="1"/>
          <w:color w:val="auto"/>
        </w:rPr>
        <w:t>. Suits for Enforcement.</w:t>
      </w:r>
      <w:r>
        <w:rPr>
          <w:rFonts w:ascii="Arial" w:cs="Arial" w:eastAsia="Arial" w:hAnsi="Arial"/>
          <w:sz w:val="18"/>
          <w:szCs w:val="18"/>
          <w:color w:val="auto"/>
        </w:rPr>
        <w:t xml:space="preserve">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4.05</w:t>
      </w:r>
      <w:r>
        <w:rPr>
          <w:rFonts w:ascii="Arial" w:cs="Arial" w:eastAsia="Arial" w:hAnsi="Arial"/>
          <w:sz w:val="16"/>
          <w:szCs w:val="16"/>
          <w:i w:val="1"/>
          <w:iCs w:val="1"/>
          <w:color w:val="auto"/>
        </w:rPr>
        <w:t>. Restoration of Rights on Abandonment of Proceedings.</w:t>
      </w:r>
      <w:r>
        <w:rPr>
          <w:rFonts w:ascii="Arial" w:cs="Arial" w:eastAsia="Arial" w:hAnsi="Arial"/>
          <w:sz w:val="16"/>
          <w:szCs w:val="16"/>
          <w:color w:val="auto"/>
        </w:rPr>
        <w:t xml:space="preserve"> In case the Trustee shall have proceeded to enforce any right under this Indenture and such proceedings shall have been discontinued or abandoned for any reason, or shall have been determined adversely to the Trustee, then and in every such case the Issuer, any Cable Guarantors and the Trustee shall be restored respectively to their former positions and rights hereunder, and all rights, remedies and powers of the Issuer, any Cable Guarantors, the Trustee and the Securityholders shall continue as though no such proceedings had been taken.</w:t>
      </w:r>
    </w:p>
    <w:p>
      <w:pPr>
        <w:spacing w:after="0" w:line="11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Section 4.06</w:t>
      </w:r>
      <w:r>
        <w:rPr>
          <w:rFonts w:ascii="Arial" w:cs="Arial" w:eastAsia="Arial" w:hAnsi="Arial"/>
          <w:sz w:val="16"/>
          <w:szCs w:val="16"/>
          <w:i w:val="1"/>
          <w:iCs w:val="1"/>
          <w:color w:val="auto"/>
        </w:rPr>
        <w:t>. Limitations on Suits by Securityholder.</w:t>
      </w:r>
      <w:r>
        <w:rPr>
          <w:rFonts w:ascii="Arial" w:cs="Arial" w:eastAsia="Arial" w:hAnsi="Arial"/>
          <w:sz w:val="16"/>
          <w:szCs w:val="16"/>
          <w:color w:val="auto"/>
        </w:rPr>
        <w:t xml:space="preserve">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2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 Unconditional Right of Securityholders to Institute Certain Suits.</w:t>
      </w:r>
      <w:r>
        <w:rPr>
          <w:rFonts w:ascii="Arial" w:cs="Arial" w:eastAsia="Arial" w:hAnsi="Arial"/>
          <w:sz w:val="18"/>
          <w:szCs w:val="18"/>
          <w:color w:val="auto"/>
        </w:rPr>
        <w:t xml:space="preserve"> Notwithstanding any other provision in this Indenture and any provision of any Security, the right of any Holder of any Security to receive payment of the principal of, premium, if any, or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Powers and Remedies Cumulative; Delay or Omission Not Waiver of Default.</w:t>
      </w:r>
      <w:r>
        <w:rPr>
          <w:rFonts w:ascii="Arial" w:cs="Arial" w:eastAsia="Arial" w:hAnsi="Arial"/>
          <w:sz w:val="18"/>
          <w:szCs w:val="18"/>
          <w:color w:val="auto"/>
        </w:rPr>
        <w:t xml:space="preserve"> Except as provided in Section 4.06, no right or remedy herein conferred upon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142" w:name="page143"/>
    <w:bookmarkEnd w:id="142"/>
    <w:p>
      <w:pPr>
        <w:jc w:val="both"/>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8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4.09</w:t>
      </w:r>
      <w:r>
        <w:rPr>
          <w:rFonts w:ascii="Arial" w:cs="Arial" w:eastAsia="Arial" w:hAnsi="Arial"/>
          <w:sz w:val="16"/>
          <w:szCs w:val="16"/>
          <w:i w:val="1"/>
          <w:iCs w:val="1"/>
          <w:color w:val="auto"/>
        </w:rPr>
        <w:t>. Control by Securityholders.</w:t>
      </w:r>
      <w:r>
        <w:rPr>
          <w:rFonts w:ascii="Arial" w:cs="Arial" w:eastAsia="Arial" w:hAnsi="Arial"/>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spacing w:after="0" w:line="120"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Nothing in this Indenture shall impair the right of the Trustee to take any action which is not inconsistent with such direction or directions by Securityholders.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4.10</w:t>
      </w:r>
      <w:r>
        <w:rPr>
          <w:rFonts w:ascii="Arial" w:cs="Arial" w:eastAsia="Arial" w:hAnsi="Arial"/>
          <w:sz w:val="16"/>
          <w:szCs w:val="16"/>
          <w:i w:val="1"/>
          <w:iCs w:val="1"/>
          <w:color w:val="auto"/>
        </w:rPr>
        <w:t>. Waiver of Past Defaults.</w:t>
      </w:r>
      <w:r>
        <w:rPr>
          <w:rFonts w:ascii="Arial" w:cs="Arial" w:eastAsia="Arial" w:hAnsi="Arial"/>
          <w:sz w:val="16"/>
          <w:szCs w:val="16"/>
          <w:color w:val="auto"/>
        </w:rPr>
        <w:t xml:space="preserve">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43" w:name="page144"/>
    <w:bookmarkEnd w:id="143"/>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4.11</w:t>
      </w:r>
      <w:r>
        <w:rPr>
          <w:rFonts w:ascii="Arial" w:cs="Arial" w:eastAsia="Arial" w:hAnsi="Arial"/>
          <w:sz w:val="16"/>
          <w:szCs w:val="16"/>
          <w:i w:val="1"/>
          <w:iCs w:val="1"/>
          <w:color w:val="auto"/>
        </w:rPr>
        <w:t>. Trustee to Give Notice of Default, But May Withhold in Certain Circumstances.</w:t>
      </w:r>
      <w:r>
        <w:rPr>
          <w:rFonts w:ascii="Arial" w:cs="Arial" w:eastAsia="Arial" w:hAnsi="Arial"/>
          <w:sz w:val="16"/>
          <w:szCs w:val="16"/>
          <w:color w:val="auto"/>
        </w:rPr>
        <w:t xml:space="preserve">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4.12</w:t>
      </w:r>
      <w:r>
        <w:rPr>
          <w:rFonts w:ascii="Arial" w:cs="Arial" w:eastAsia="Arial" w:hAnsi="Arial"/>
          <w:sz w:val="16"/>
          <w:szCs w:val="16"/>
          <w:i w:val="1"/>
          <w:iCs w:val="1"/>
          <w:color w:val="auto"/>
        </w:rPr>
        <w:t>. Right of Court to Require Filing of Undertaking to Pay Costs.</w:t>
      </w:r>
      <w:r>
        <w:rPr>
          <w:rFonts w:ascii="Arial" w:cs="Arial" w:eastAsia="Arial" w:hAnsi="Arial"/>
          <w:sz w:val="16"/>
          <w:szCs w:val="16"/>
          <w:color w:val="auto"/>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 Holder pursuant to Section 4.07.</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5.01</w:t>
      </w:r>
      <w:r>
        <w:rPr>
          <w:rFonts w:ascii="Arial" w:cs="Arial" w:eastAsia="Arial" w:hAnsi="Arial"/>
          <w:sz w:val="16"/>
          <w:szCs w:val="16"/>
          <w:i w:val="1"/>
          <w:iCs w:val="1"/>
          <w:color w:val="auto"/>
        </w:rPr>
        <w:t>. Duties and Responsibilities of the Trustee; During Default; Prior to Default.</w:t>
      </w:r>
      <w:r>
        <w:rPr>
          <w:rFonts w:ascii="Arial" w:cs="Arial" w:eastAsia="Arial" w:hAnsi="Arial"/>
          <w:sz w:val="16"/>
          <w:szCs w:val="16"/>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144" w:name="page145"/>
    <w:bookmarkEnd w:id="144"/>
    <w:p>
      <w:pPr>
        <w:ind w:right="180" w:firstLine="464"/>
        <w:spacing w:after="0" w:line="268"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occurrence of an Event of Default with respect to the Securities of any series and after the curing or waiving of all such Events of Default with respect to such series which may have occurred:</w:t>
      </w:r>
    </w:p>
    <w:p>
      <w:pPr>
        <w:spacing w:after="0" w:line="50" w:lineRule="exact"/>
        <w:rPr>
          <w:rFonts w:ascii="Arial" w:cs="Arial" w:eastAsia="Arial" w:hAnsi="Arial"/>
          <w:sz w:val="18"/>
          <w:szCs w:val="18"/>
          <w:color w:val="auto"/>
        </w:rPr>
      </w:pPr>
    </w:p>
    <w:p>
      <w:pPr>
        <w:jc w:val="both"/>
        <w:ind w:left="1500" w:right="60" w:firstLine="786"/>
        <w:spacing w:after="0" w:line="306" w:lineRule="auto"/>
        <w:tabs>
          <w:tab w:leader="none" w:pos="2543"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25" w:lineRule="exact"/>
        <w:rPr>
          <w:rFonts w:ascii="Arial" w:cs="Arial" w:eastAsia="Arial" w:hAnsi="Arial"/>
          <w:sz w:val="16"/>
          <w:szCs w:val="16"/>
          <w:color w:val="auto"/>
        </w:rPr>
      </w:pPr>
    </w:p>
    <w:p>
      <w:pPr>
        <w:ind w:left="1500" w:right="160" w:firstLine="786"/>
        <w:spacing w:after="0" w:line="255" w:lineRule="auto"/>
        <w:tabs>
          <w:tab w:leader="none" w:pos="2543"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42"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50" w:lineRule="exact"/>
        <w:rPr>
          <w:rFonts w:ascii="Arial" w:cs="Arial" w:eastAsia="Arial" w:hAnsi="Arial"/>
          <w:sz w:val="18"/>
          <w:szCs w:val="18"/>
          <w:color w:val="auto"/>
        </w:rPr>
      </w:pPr>
    </w:p>
    <w:p>
      <w:pPr>
        <w:ind w:left="2540" w:hanging="254"/>
        <w:spacing w:after="0"/>
        <w:tabs>
          <w:tab w:leader="none" w:pos="2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this subsection (b) shall not be construed to limit the effect of subsection (a) of this Section;</w:t>
      </w:r>
    </w:p>
    <w:p>
      <w:pPr>
        <w:spacing w:after="0" w:line="90" w:lineRule="exact"/>
        <w:rPr>
          <w:rFonts w:ascii="Arial" w:cs="Arial" w:eastAsia="Arial" w:hAnsi="Arial"/>
          <w:sz w:val="18"/>
          <w:szCs w:val="18"/>
          <w:color w:val="auto"/>
        </w:rPr>
      </w:pPr>
    </w:p>
    <w:p>
      <w:pPr>
        <w:ind w:left="1500" w:right="80" w:firstLine="786"/>
        <w:spacing w:after="0" w:line="332" w:lineRule="auto"/>
        <w:tabs>
          <w:tab w:leader="none" w:pos="2543"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4" w:lineRule="exact"/>
        <w:rPr>
          <w:rFonts w:ascii="Arial" w:cs="Arial" w:eastAsia="Arial" w:hAnsi="Arial"/>
          <w:sz w:val="16"/>
          <w:szCs w:val="16"/>
          <w:color w:val="auto"/>
        </w:rPr>
      </w:pPr>
    </w:p>
    <w:p>
      <w:pPr>
        <w:ind w:left="1500" w:firstLine="786"/>
        <w:spacing w:after="0" w:line="259" w:lineRule="auto"/>
        <w:tabs>
          <w:tab w:leader="none" w:pos="254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5.01 are in furtherance of and subject to Sections 315 and 316 of the Trust Indenture Act of 1939.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145" w:name="page146"/>
    <w:bookmarkEnd w:id="14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therein expressly provided, every provision of this Indenture relating to the conduct or affecting the liability of or affording protection to the Trustee shall be subject to the provisions of this Section 5.01.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Certain Rights of the Trustee.</w:t>
      </w:r>
      <w:r>
        <w:rPr>
          <w:rFonts w:ascii="Arial" w:cs="Arial" w:eastAsia="Arial" w:hAnsi="Arial"/>
          <w:sz w:val="18"/>
          <w:szCs w:val="18"/>
          <w:color w:val="auto"/>
        </w:rPr>
        <w:t xml:space="preserve"> In furtherance of and subject to the Trust Indenture Act of 1939, and subject to Section 5.01:</w:t>
      </w:r>
    </w:p>
    <w:p>
      <w:pPr>
        <w:spacing w:after="0" w:line="90" w:lineRule="exact"/>
        <w:rPr>
          <w:sz w:val="20"/>
          <w:szCs w:val="20"/>
          <w:color w:val="auto"/>
        </w:rPr>
      </w:pPr>
    </w:p>
    <w:p>
      <w:pPr>
        <w:ind w:right="260" w:firstLine="464"/>
        <w:spacing w:after="0" w:line="259"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140"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40" w:lineRule="exact"/>
        <w:rPr>
          <w:rFonts w:ascii="Arial" w:cs="Arial" w:eastAsia="Arial" w:hAnsi="Arial"/>
          <w:sz w:val="18"/>
          <w:szCs w:val="18"/>
          <w:color w:val="auto"/>
        </w:rPr>
      </w:pPr>
    </w:p>
    <w:p>
      <w:pPr>
        <w:ind w:right="260" w:firstLine="464"/>
        <w:spacing w:after="0" w:line="332"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85" w:lineRule="exact"/>
        <w:rPr>
          <w:rFonts w:ascii="Arial" w:cs="Arial" w:eastAsia="Arial" w:hAnsi="Arial"/>
          <w:sz w:val="16"/>
          <w:szCs w:val="16"/>
          <w:color w:val="auto"/>
        </w:rPr>
      </w:pPr>
    </w:p>
    <w:p>
      <w:pPr>
        <w:ind w:right="200" w:firstLine="464"/>
        <w:spacing w:after="0" w:line="306"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by it in connection with such request, order or direction;</w:t>
      </w:r>
    </w:p>
    <w:p>
      <w:pPr>
        <w:spacing w:after="0" w:line="106" w:lineRule="exact"/>
        <w:rPr>
          <w:rFonts w:ascii="Arial" w:cs="Arial" w:eastAsia="Arial" w:hAnsi="Arial"/>
          <w:sz w:val="16"/>
          <w:szCs w:val="16"/>
          <w:color w:val="auto"/>
        </w:rPr>
      </w:pPr>
    </w:p>
    <w:p>
      <w:pPr>
        <w:ind w:right="300" w:firstLine="464"/>
        <w:spacing w:after="0" w:line="268"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31" w:lineRule="exact"/>
        <w:rPr>
          <w:rFonts w:ascii="Arial" w:cs="Arial" w:eastAsia="Arial" w:hAnsi="Arial"/>
          <w:sz w:val="18"/>
          <w:szCs w:val="18"/>
          <w:color w:val="auto"/>
        </w:rPr>
      </w:pPr>
    </w:p>
    <w:p>
      <w:pPr>
        <w:ind w:right="80" w:firstLine="464"/>
        <w:spacing w:after="0" w:line="289" w:lineRule="auto"/>
        <w:tabs>
          <w:tab w:leader="none" w:pos="6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46" w:name="page147"/>
    <w:bookmarkEnd w:id="146"/>
    <w:p>
      <w:pPr>
        <w:ind w:firstLine="464"/>
        <w:spacing w:after="0" w:line="259"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40" w:lineRule="exact"/>
        <w:rPr>
          <w:rFonts w:ascii="Arial" w:cs="Arial" w:eastAsia="Arial" w:hAnsi="Arial"/>
          <w:sz w:val="18"/>
          <w:szCs w:val="18"/>
          <w:color w:val="auto"/>
        </w:rPr>
      </w:pPr>
    </w:p>
    <w:p>
      <w:pPr>
        <w:ind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in good faith and believed by it to be authorized or within the discretion, rights or powers conferred upon it by this Indenture;</w:t>
      </w:r>
    </w:p>
    <w:p>
      <w:pPr>
        <w:spacing w:after="0" w:line="131" w:lineRule="exact"/>
        <w:rPr>
          <w:rFonts w:ascii="Arial" w:cs="Arial" w:eastAsia="Arial" w:hAnsi="Arial"/>
          <w:sz w:val="18"/>
          <w:szCs w:val="18"/>
          <w:color w:val="auto"/>
        </w:rPr>
      </w:pPr>
    </w:p>
    <w:p>
      <w:pPr>
        <w:ind w:right="60" w:firstLine="464"/>
        <w:spacing w:after="0" w:line="259" w:lineRule="auto"/>
        <w:tabs>
          <w:tab w:leader="none" w:pos="6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40" w:lineRule="exact"/>
        <w:rPr>
          <w:rFonts w:ascii="Arial" w:cs="Arial" w:eastAsia="Arial" w:hAnsi="Arial"/>
          <w:sz w:val="18"/>
          <w:szCs w:val="18"/>
          <w:color w:val="auto"/>
        </w:rPr>
      </w:pPr>
    </w:p>
    <w:p>
      <w:pPr>
        <w:ind w:firstLine="464"/>
        <w:spacing w:after="0" w:line="332" w:lineRule="auto"/>
        <w:tabs>
          <w:tab w:leader="none" w:pos="66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spacing w:after="0" w:line="85" w:lineRule="exact"/>
        <w:rPr>
          <w:rFonts w:ascii="Arial" w:cs="Arial" w:eastAsia="Arial" w:hAnsi="Arial"/>
          <w:sz w:val="16"/>
          <w:szCs w:val="16"/>
          <w:color w:val="auto"/>
        </w:rPr>
      </w:pPr>
    </w:p>
    <w:p>
      <w:pPr>
        <w:ind w:right="180" w:firstLine="464"/>
        <w:spacing w:after="0" w:line="306"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0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Section 5.03</w:t>
      </w:r>
      <w:r>
        <w:rPr>
          <w:rFonts w:ascii="Arial" w:cs="Arial" w:eastAsia="Arial" w:hAnsi="Arial"/>
          <w:sz w:val="16"/>
          <w:szCs w:val="16"/>
          <w:i w:val="1"/>
          <w:iCs w:val="1"/>
          <w:color w:val="auto"/>
        </w:rPr>
        <w:t>. 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the Securities or the Cable Guarantees. The Trustee shall not be accountable for the use or application by the Issuer of any of the Securities or of the proceeds thereof.</w:t>
      </w:r>
    </w:p>
    <w:p>
      <w:pPr>
        <w:spacing w:after="0" w:line="11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Section 5.04</w:t>
      </w:r>
      <w:r>
        <w:rPr>
          <w:rFonts w:ascii="Arial" w:cs="Arial" w:eastAsia="Arial" w:hAnsi="Arial"/>
          <w:sz w:val="16"/>
          <w:szCs w:val="16"/>
          <w:i w:val="1"/>
          <w:iCs w:val="1"/>
          <w:color w:val="auto"/>
        </w:rPr>
        <w:t>. Trustee and Agents May Hold Securities; Collections, etc.</w:t>
      </w:r>
      <w:r>
        <w:rPr>
          <w:rFonts w:ascii="Arial" w:cs="Arial" w:eastAsia="Arial" w:hAnsi="Arial"/>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Moneys Held by Trustee.</w:t>
      </w:r>
      <w:r>
        <w:rPr>
          <w:rFonts w:ascii="Arial" w:cs="Arial" w:eastAsia="Arial" w:hAnsi="Arial"/>
          <w:sz w:val="18"/>
          <w:szCs w:val="18"/>
          <w:color w:val="auto"/>
        </w:rPr>
        <w:t xml:space="preserve"> All moneys received by the Trustee in trust hereunder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Section 5.06</w:t>
      </w:r>
      <w:r>
        <w:rPr>
          <w:rFonts w:ascii="Arial" w:cs="Arial" w:eastAsia="Arial" w:hAnsi="Arial"/>
          <w:sz w:val="18"/>
          <w:szCs w:val="18"/>
          <w:i w:val="1"/>
          <w:iCs w:val="1"/>
          <w:color w:val="auto"/>
        </w:rPr>
        <w:t>. Compensation and Indemnification of Trustee and Its Prior Claim.</w:t>
      </w:r>
      <w:r>
        <w:rPr>
          <w:rFonts w:ascii="Arial" w:cs="Arial" w:eastAsia="Arial" w:hAnsi="Arial"/>
          <w:sz w:val="18"/>
          <w:szCs w:val="18"/>
          <w:color w:val="auto"/>
        </w:rPr>
        <w:t xml:space="preserve"> The Issuer covenants and agrees to pay to the Trustee from time to time, and the Trustee shall be entitled to, such compensation as shall be agreed in writing from time to time by the Issuer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47" w:name="page148"/>
    <w:bookmarkEnd w:id="147"/>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Cable Guarantor,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spacing w:after="0" w:line="10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Section 5.07</w:t>
      </w:r>
      <w:r>
        <w:rPr>
          <w:rFonts w:ascii="Arial" w:cs="Arial" w:eastAsia="Arial" w:hAnsi="Arial"/>
          <w:sz w:val="18"/>
          <w:szCs w:val="18"/>
          <w:i w:val="1"/>
          <w:iCs w:val="1"/>
          <w:color w:val="auto"/>
        </w:rPr>
        <w:t>. Right of Trustee to Rely on Officers’ Certificate, etc.</w:t>
      </w:r>
      <w:r>
        <w:rPr>
          <w:rFonts w:ascii="Arial" w:cs="Arial" w:eastAsia="Arial" w:hAnsi="Arial"/>
          <w:sz w:val="18"/>
          <w:szCs w:val="18"/>
          <w:color w:val="auto"/>
        </w:rPr>
        <w:t xml:space="preserve">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4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Section 5.08</w:t>
      </w:r>
      <w:r>
        <w:rPr>
          <w:rFonts w:ascii="Arial" w:cs="Arial" w:eastAsia="Arial" w:hAnsi="Arial"/>
          <w:sz w:val="16"/>
          <w:szCs w:val="16"/>
          <w:i w:val="1"/>
          <w:iCs w:val="1"/>
          <w:color w:val="auto"/>
        </w:rPr>
        <w:t>. Persons Eligible for Appointment as Trustee.</w:t>
      </w:r>
      <w:r>
        <w:rPr>
          <w:rFonts w:ascii="Arial" w:cs="Arial" w:eastAsia="Arial" w:hAnsi="Arial"/>
          <w:sz w:val="16"/>
          <w:szCs w:val="16"/>
          <w:color w:val="auto"/>
        </w:rPr>
        <w:t xml:space="preserve"> The Trustee for each series of Securities hereunder shall at all times be a corporation which is eligible in accordance with the provisions of Section 310(a) of the Trust Indenture Act of 1939 and which has, or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5.09</w:t>
      </w:r>
      <w:r>
        <w:rPr>
          <w:rFonts w:ascii="Arial" w:cs="Arial" w:eastAsia="Arial" w:hAnsi="Arial"/>
          <w:sz w:val="18"/>
          <w:szCs w:val="18"/>
          <w:i w:val="1"/>
          <w:iCs w:val="1"/>
          <w:color w:val="auto"/>
        </w:rPr>
        <w:t>. Resignation and Removal; Appointment of Successor Trustee.</w:t>
      </w:r>
      <w:r>
        <w:rPr>
          <w:rFonts w:ascii="Arial" w:cs="Arial" w:eastAsia="Arial" w:hAnsi="Arial"/>
          <w:sz w:val="18"/>
          <w:szCs w:val="18"/>
          <w:color w:val="auto"/>
        </w:rPr>
        <w:t xml:space="preserve"> (a) The Trustee, or any trustee or trustees hereafter appointed, may at any time resign with respect to 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48" w:name="page149"/>
    <w:bookmarkEnd w:id="14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18" w:lineRule="exact"/>
        <w:rPr>
          <w:sz w:val="20"/>
          <w:szCs w:val="20"/>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0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59" w:lineRule="exact"/>
        <w:rPr>
          <w:rFonts w:ascii="Arial" w:cs="Arial" w:eastAsia="Arial" w:hAnsi="Arial"/>
          <w:sz w:val="18"/>
          <w:szCs w:val="18"/>
          <w:color w:val="auto"/>
        </w:rPr>
      </w:pPr>
    </w:p>
    <w:p>
      <w:pPr>
        <w:ind w:left="460" w:right="440" w:firstLine="443"/>
        <w:spacing w:after="0" w:line="268" w:lineRule="auto"/>
        <w:tabs>
          <w:tab w:leader="none" w:pos="115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20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4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20" w:lineRule="exact"/>
        <w:rPr>
          <w:sz w:val="20"/>
          <w:szCs w:val="20"/>
          <w:color w:val="auto"/>
        </w:rPr>
      </w:pPr>
    </w:p>
    <w:p>
      <w:pPr>
        <w:ind w:right="220" w:firstLine="464"/>
        <w:spacing w:after="0" w:line="335" w:lineRule="auto"/>
        <w:tabs>
          <w:tab w:leader="none" w:pos="695"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49" w:name="page150"/>
    <w:bookmarkEnd w:id="149"/>
    <w:p>
      <w:pPr>
        <w:ind w:right="160" w:firstLine="464"/>
        <w:spacing w:after="0" w:line="332" w:lineRule="auto"/>
        <w:tabs>
          <w:tab w:leader="none" w:pos="705"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5.10</w:t>
      </w:r>
      <w:r>
        <w:rPr>
          <w:rFonts w:ascii="Arial" w:cs="Arial" w:eastAsia="Arial" w:hAnsi="Arial"/>
          <w:sz w:val="16"/>
          <w:szCs w:val="16"/>
          <w:i w:val="1"/>
          <w:iCs w:val="1"/>
          <w:color w:val="auto"/>
        </w:rPr>
        <w:t>. Acceptance of Appointment by Successor.</w:t>
      </w:r>
      <w:r>
        <w:rPr>
          <w:rFonts w:ascii="Arial" w:cs="Arial" w:eastAsia="Arial" w:hAnsi="Arial"/>
          <w:sz w:val="16"/>
          <w:szCs w:val="16"/>
          <w:color w:val="auto"/>
        </w:rPr>
        <w:t xml:space="preserve">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5.06,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1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Section 5.11</w:t>
      </w:r>
      <w:r>
        <w:rPr>
          <w:rFonts w:ascii="Arial" w:cs="Arial" w:eastAsia="Arial" w:hAnsi="Arial"/>
          <w:sz w:val="15"/>
          <w:szCs w:val="15"/>
          <w:i w:val="1"/>
          <w:iCs w:val="1"/>
          <w:color w:val="auto"/>
        </w:rPr>
        <w:t>. Merger, Conversion, Consolidation or Succession to Business of Trustee.</w:t>
      </w:r>
      <w:r>
        <w:rPr>
          <w:rFonts w:ascii="Arial" w:cs="Arial" w:eastAsia="Arial" w:hAnsi="Arial"/>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50" w:name="page151"/>
    <w:bookmarkEnd w:id="15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shall be eligible under the provisions of Section 5.08, without the execution or filing of any paper or any further act on the part of any of the parties hereto, anything herein to the contrary notwithstanding.</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5.12</w:t>
      </w:r>
      <w:r>
        <w:rPr>
          <w:rFonts w:ascii="Arial" w:cs="Arial" w:eastAsia="Arial" w:hAnsi="Arial"/>
          <w:sz w:val="16"/>
          <w:szCs w:val="16"/>
          <w:i w:val="1"/>
          <w:iCs w:val="1"/>
          <w:color w:val="auto"/>
        </w:rPr>
        <w:t>. Reports to the Trustee.</w:t>
      </w:r>
      <w:r>
        <w:rPr>
          <w:rFonts w:ascii="Arial" w:cs="Arial" w:eastAsia="Arial" w:hAnsi="Arial"/>
          <w:sz w:val="16"/>
          <w:szCs w:val="16"/>
          <w:color w:val="auto"/>
        </w:rPr>
        <w:t xml:space="preserve">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S</w:t>
      </w:r>
      <w:r>
        <w:rPr>
          <w:rFonts w:ascii="Arial" w:cs="Arial" w:eastAsia="Arial" w:hAnsi="Arial"/>
          <w:sz w:val="14"/>
          <w:szCs w:val="14"/>
          <w:color w:val="auto"/>
        </w:rPr>
        <w:t>ECURITYHOLDERS</w:t>
      </w:r>
    </w:p>
    <w:p>
      <w:pPr>
        <w:spacing w:after="0" w:line="165"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Evidence of Action Taken by Securityholders.</w:t>
      </w:r>
      <w:r>
        <w:rPr>
          <w:rFonts w:ascii="Arial" w:cs="Arial" w:eastAsia="Arial" w:hAnsi="Arial"/>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2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Section 6.02</w:t>
      </w:r>
      <w:r>
        <w:rPr>
          <w:rFonts w:ascii="Arial" w:cs="Arial" w:eastAsia="Arial" w:hAnsi="Arial"/>
          <w:sz w:val="16"/>
          <w:szCs w:val="16"/>
          <w:i w:val="1"/>
          <w:iCs w:val="1"/>
          <w:color w:val="auto"/>
        </w:rPr>
        <w:t>. Proof of Execution of Instruments and of Holding of Securities; Record Date.</w:t>
      </w:r>
      <w:r>
        <w:rPr>
          <w:rFonts w:ascii="Arial" w:cs="Arial" w:eastAsia="Arial" w:hAnsi="Arial"/>
          <w:sz w:val="16"/>
          <w:szCs w:val="16"/>
          <w:color w:val="auto"/>
        </w:rPr>
        <w:t xml:space="preserve"> Subject to Sections 5.01 and 5.02, the execution of any instrument by a Securityholder or his agent or proxy may be proved by the certificate of any notary public or other officer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51" w:name="page152"/>
    <w:bookmarkEnd w:id="151"/>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Section 6.03</w:t>
      </w:r>
      <w:r>
        <w:rPr>
          <w:rFonts w:ascii="Arial" w:cs="Arial" w:eastAsia="Arial" w:hAnsi="Arial"/>
          <w:sz w:val="16"/>
          <w:szCs w:val="16"/>
          <w:i w:val="1"/>
          <w:iCs w:val="1"/>
          <w:color w:val="auto"/>
        </w:rPr>
        <w:t>. Holders to be Treated as Owners.</w:t>
      </w:r>
      <w:r>
        <w:rPr>
          <w:rFonts w:ascii="Arial" w:cs="Arial" w:eastAsia="Arial" w:hAnsi="Arial"/>
          <w:sz w:val="16"/>
          <w:szCs w:val="16"/>
          <w:color w:val="auto"/>
        </w:rPr>
        <w:t xml:space="preserve">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Securities Owned by Issuer Deemed Not Outstanding.</w:t>
      </w:r>
      <w:r>
        <w:rPr>
          <w:rFonts w:ascii="Arial" w:cs="Arial" w:eastAsia="Arial" w:hAnsi="Arial"/>
          <w:sz w:val="16"/>
          <w:szCs w:val="16"/>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9" w:right="259" w:bottom="1440" w:gutter="0" w:footer="0" w:header="0"/>
        </w:sectPr>
      </w:pPr>
    </w:p>
    <w:bookmarkStart w:id="152" w:name="page153"/>
    <w:bookmarkEnd w:id="152"/>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persons; and, subject to Sections 5.01 and 5.02, the Trustee shall be entitled to accept such Officers’ Certificate as conclusive evidence of the facts therein set forth and of the fact that all Securities not listed therein are Outstanding for the purpose of any such determination.</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Right of Revocation of Action Taken.</w:t>
      </w:r>
      <w:r>
        <w:rPr>
          <w:rFonts w:ascii="Arial" w:cs="Arial" w:eastAsia="Arial" w:hAnsi="Arial"/>
          <w:sz w:val="16"/>
          <w:szCs w:val="16"/>
          <w:color w:val="auto"/>
        </w:rPr>
        <w:t xml:space="preserve">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p>
      <w:pPr>
        <w:spacing w:after="0" w:line="16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Supplemental Indentures Without Consent of Securityholders.</w:t>
      </w:r>
      <w:r>
        <w:rPr>
          <w:rFonts w:ascii="Arial" w:cs="Arial" w:eastAsia="Arial" w:hAnsi="Arial"/>
          <w:sz w:val="18"/>
          <w:szCs w:val="18"/>
          <w:color w:val="auto"/>
        </w:rPr>
        <w:t xml:space="preserve"> The Issuer, when authorized by a resolution of its Board of Directors certified to the Trustee, and the Trustee may from time to time and at any time enter into an indenture or indentures supplemental hereto for one or more of the following purposes:</w:t>
      </w:r>
    </w:p>
    <w:p>
      <w:pPr>
        <w:spacing w:after="0" w:line="59" w:lineRule="exact"/>
        <w:rPr>
          <w:sz w:val="20"/>
          <w:szCs w:val="20"/>
          <w:color w:val="auto"/>
        </w:rPr>
      </w:pPr>
    </w:p>
    <w:p>
      <w:pPr>
        <w:ind w:right="500" w:firstLine="464"/>
        <w:spacing w:after="0" w:line="268"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Issuer, or successive successions, and the assumption by the successor corporation of the covenants, agreements and obligations of the Issuer pursuant to Article 8;</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which may be defective or</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inconsistent with any other provision contained herein or in any supplemental indenture; or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spacing w:after="0" w:line="144" w:lineRule="exact"/>
        <w:rPr>
          <w:rFonts w:ascii="Arial" w:cs="Arial" w:eastAsia="Arial" w:hAnsi="Arial"/>
          <w:sz w:val="16"/>
          <w:szCs w:val="16"/>
          <w:color w:val="auto"/>
        </w:rPr>
      </w:pPr>
    </w:p>
    <w:p>
      <w:pPr>
        <w:ind w:left="700" w:hanging="23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71" w:lineRule="exact"/>
        <w:rPr>
          <w:rFonts w:ascii="Arial" w:cs="Arial" w:eastAsia="Arial" w:hAnsi="Arial"/>
          <w:sz w:val="18"/>
          <w:szCs w:val="18"/>
          <w:color w:val="auto"/>
        </w:rPr>
      </w:pPr>
    </w:p>
    <w:p>
      <w:pPr>
        <w:jc w:val="both"/>
        <w:ind w:right="180" w:firstLine="464"/>
        <w:spacing w:after="0" w:line="259"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53" w:name="page154"/>
    <w:bookmarkEnd w:id="153"/>
    <w:p>
      <w:pPr>
        <w:ind w:left="700" w:hanging="236"/>
        <w:spacing w:after="0"/>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comply with any requirements of the Commission in connection with the qualification of this Indenture under the Trust Indenture Act of 1939;</w:t>
      </w:r>
    </w:p>
    <w:p>
      <w:pPr>
        <w:spacing w:after="0" w:line="194" w:lineRule="exact"/>
        <w:rPr>
          <w:rFonts w:ascii="Arial" w:cs="Arial" w:eastAsia="Arial" w:hAnsi="Arial"/>
          <w:sz w:val="16"/>
          <w:szCs w:val="16"/>
          <w:color w:val="auto"/>
        </w:rPr>
      </w:pPr>
    </w:p>
    <w:p>
      <w:pPr>
        <w:ind w:left="680" w:hanging="21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uncertificated or Unregistered Securities and to make all appropriate changes for such purpose;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provided by or pursuant to a Board Resolution or indenture supplemental hereto establishing the terms of one or more series of Securities;</w:t>
      </w:r>
    </w:p>
    <w:p>
      <w:pPr>
        <w:spacing w:after="0" w:line="194" w:lineRule="exact"/>
        <w:rPr>
          <w:rFonts w:ascii="Arial" w:cs="Arial" w:eastAsia="Arial" w:hAnsi="Arial"/>
          <w:sz w:val="16"/>
          <w:szCs w:val="16"/>
          <w:color w:val="auto"/>
        </w:rPr>
      </w:pPr>
    </w:p>
    <w:p>
      <w:pPr>
        <w:ind w:firstLine="464"/>
        <w:spacing w:after="0" w:line="290" w:lineRule="auto"/>
        <w:tabs>
          <w:tab w:leader="none" w:pos="666"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any change so long as no Securities are Outstanding.</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Supplemental Indentures With Consent of Securityholders.</w:t>
      </w:r>
      <w:r>
        <w:rPr>
          <w:rFonts w:ascii="Arial" w:cs="Arial" w:eastAsia="Arial" w:hAnsi="Arial"/>
          <w:sz w:val="16"/>
          <w:szCs w:val="16"/>
          <w:color w:val="auto"/>
        </w:rPr>
        <w:t xml:space="preserve">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spacing w:after="0" w:line="39" w:lineRule="exact"/>
        <w:rPr>
          <w:sz w:val="20"/>
          <w:szCs w:val="20"/>
          <w:color w:val="auto"/>
        </w:rPr>
      </w:pPr>
    </w:p>
    <w:p>
      <w:pPr>
        <w:ind w:left="1120" w:hanging="217"/>
        <w:spacing w:after="0"/>
        <w:tabs>
          <w:tab w:leader="none" w:pos="11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sinking fund obligation or any installment of interest on, such Holder’s Security;</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154" w:name="page155"/>
    <w:bookmarkEnd w:id="154"/>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 the Principal thereof or the rate of interest thereon, or any premium payable with respect thereto;</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in which, any Security or any premium or the interest thereon is payable;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any change to Section 4.07 or 4.10 (except to include other provisions subject to Section 4.10);</w:t>
      </w:r>
    </w:p>
    <w:p>
      <w:pPr>
        <w:spacing w:after="0" w:line="90" w:lineRule="exact"/>
        <w:rPr>
          <w:rFonts w:ascii="Arial" w:cs="Arial" w:eastAsia="Arial" w:hAnsi="Arial"/>
          <w:sz w:val="18"/>
          <w:szCs w:val="18"/>
          <w:color w:val="auto"/>
        </w:rPr>
      </w:pPr>
    </w:p>
    <w:p>
      <w:pPr>
        <w:ind w:left="460" w:right="140" w:firstLine="443"/>
        <w:spacing w:after="0" w:line="259" w:lineRule="auto"/>
        <w:tabs>
          <w:tab w:leader="none" w:pos="11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alter or impair the right to convert any Security at the rate and upon the terms provided in Article 12;</w:t>
      </w:r>
    </w:p>
    <w:p>
      <w:pPr>
        <w:spacing w:after="0" w:line="90" w:lineRule="exact"/>
        <w:rPr>
          <w:rFonts w:ascii="Arial" w:cs="Arial" w:eastAsia="Arial" w:hAnsi="Arial"/>
          <w:sz w:val="18"/>
          <w:szCs w:val="18"/>
          <w:color w:val="auto"/>
        </w:rPr>
      </w:pPr>
    </w:p>
    <w:p>
      <w:pPr>
        <w:ind w:left="460" w:right="580" w:firstLine="443"/>
        <w:spacing w:after="0" w:line="268" w:lineRule="auto"/>
        <w:tabs>
          <w:tab w:leader="none" w:pos="12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waive a default in the payment of Principal of or interest on any Security of such Holder (except pursuant to a rescission of acceleration pursuant to Section 4.01);</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adversely affect the rights of such Holder under any mandatory redemption or repurchase provision or any right of redemption or repurchase at the option of such Holder;</w:t>
      </w:r>
    </w:p>
    <w:p>
      <w:pPr>
        <w:spacing w:after="0" w:line="50" w:lineRule="exact"/>
        <w:rPr>
          <w:rFonts w:ascii="Arial" w:cs="Arial" w:eastAsia="Arial" w:hAnsi="Arial"/>
          <w:sz w:val="18"/>
          <w:szCs w:val="18"/>
          <w:color w:val="auto"/>
        </w:rPr>
      </w:pPr>
    </w:p>
    <w:p>
      <w:pPr>
        <w:ind w:left="460" w:right="560" w:firstLine="443"/>
        <w:spacing w:after="0" w:line="332"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modify any of the provisions of this Section 7.02, except to increase any such percentage or to provide that certain other provisions of this Indenture cannot be modified or waived without the consent of the Holder of each outstanding Security affected thereby; or</w:t>
      </w:r>
    </w:p>
    <w:p>
      <w:pPr>
        <w:spacing w:after="0" w:line="4" w:lineRule="exact"/>
        <w:rPr>
          <w:rFonts w:ascii="Arial" w:cs="Arial" w:eastAsia="Arial" w:hAnsi="Arial"/>
          <w:sz w:val="16"/>
          <w:szCs w:val="16"/>
          <w:color w:val="auto"/>
        </w:rPr>
      </w:pPr>
    </w:p>
    <w:p>
      <w:pPr>
        <w:ind w:left="460" w:right="100" w:firstLine="443"/>
        <w:spacing w:after="0" w:line="268" w:lineRule="auto"/>
        <w:tabs>
          <w:tab w:leader="none" w:pos="11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or waive any provision that, pursuant to a board resolution or indenture supplemental hereto establishing the terms of one or more series of Securities, is prohibited to be so changed or waived.</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55" w:name="page156"/>
    <w:bookmarkEnd w:id="155"/>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shall not be necessary for the consent of the Securityholders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 Documents to Be Given to Trustee.</w:t>
      </w:r>
      <w:r>
        <w:rPr>
          <w:rFonts w:ascii="Arial" w:cs="Arial" w:eastAsia="Arial" w:hAnsi="Arial"/>
          <w:sz w:val="18"/>
          <w:szCs w:val="18"/>
          <w:color w:val="auto"/>
        </w:rPr>
        <w:t xml:space="preserve"> The Trustee, subject to the provisions of Sections 5.01 and 5.02, may receive an Officers’ Certificate and an Opinion of Counsel as conclusive evidence that any supplemental indenture executed pursuant to this Article 7 complies with the applicable provisions of this Indenture.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7.05</w:t>
      </w:r>
      <w:r>
        <w:rPr>
          <w:rFonts w:ascii="Arial" w:cs="Arial" w:eastAsia="Arial" w:hAnsi="Arial"/>
          <w:sz w:val="16"/>
          <w:szCs w:val="16"/>
          <w:i w:val="1"/>
          <w:iCs w:val="1"/>
          <w:color w:val="auto"/>
        </w:rPr>
        <w:t>. Notation on Securities in Respect of Supplemental Indentures.</w:t>
      </w:r>
      <w:r>
        <w:rPr>
          <w:rFonts w:ascii="Arial" w:cs="Arial" w:eastAsia="Arial" w:hAnsi="Arial"/>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 OR</w:t>
      </w:r>
      <w:r>
        <w:rPr>
          <w:rFonts w:ascii="Arial" w:cs="Arial" w:eastAsia="Arial" w:hAnsi="Arial"/>
          <w:sz w:val="18"/>
          <w:szCs w:val="18"/>
          <w:color w:val="auto"/>
        </w:rPr>
        <w:t xml:space="preserve"> C</w:t>
      </w:r>
      <w:r>
        <w:rPr>
          <w:rFonts w:ascii="Arial" w:cs="Arial" w:eastAsia="Arial" w:hAnsi="Arial"/>
          <w:sz w:val="14"/>
          <w:szCs w:val="14"/>
          <w:color w:val="auto"/>
        </w:rPr>
        <w:t>ONVEYANCE</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8.01</w:t>
      </w:r>
      <w:r>
        <w:rPr>
          <w:rFonts w:ascii="Arial" w:cs="Arial" w:eastAsia="Arial" w:hAnsi="Arial"/>
          <w:sz w:val="16"/>
          <w:szCs w:val="16"/>
          <w:i w:val="1"/>
          <w:iCs w:val="1"/>
          <w:color w:val="auto"/>
        </w:rPr>
        <w:t>. Issuer May Consolidate, etc., on Certain Terms.</w:t>
      </w:r>
      <w:r>
        <w:rPr>
          <w:rFonts w:ascii="Arial" w:cs="Arial" w:eastAsia="Arial" w:hAnsi="Arial"/>
          <w:sz w:val="16"/>
          <w:szCs w:val="16"/>
          <w:color w:val="auto"/>
        </w:rPr>
        <w:t xml:space="preserve">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provided that, in connection with any such merger of the Issuer with a Wholly-Owned Subsidiary, no consideration (other than common stock) in the surviving person or the Issuer shall be issued or distributed to the stockholders of the Issuer), unless (i) either (x) the Issuer shall be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156" w:name="page157"/>
    <w:bookmarkEnd w:id="156"/>
    <w:p>
      <w:pPr>
        <w:ind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w:t>
      </w:r>
    </w:p>
    <w:p>
      <w:pPr>
        <w:spacing w:after="0" w:line="2" w:lineRule="exact"/>
        <w:rPr>
          <w:sz w:val="20"/>
          <w:szCs w:val="20"/>
          <w:color w:val="auto"/>
        </w:rPr>
      </w:pPr>
    </w:p>
    <w:p>
      <w:pPr>
        <w:ind w:firstLine="8"/>
        <w:spacing w:after="0" w:line="290" w:lineRule="auto"/>
        <w:tabs>
          <w:tab w:leader="none" w:pos="258" w:val="left"/>
        </w:tabs>
        <w:numPr>
          <w:ilvl w:val="0"/>
          <w:numId w:val="81"/>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and (iii)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provided,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provided further that any such transaction shall not have as one of its purposes the evasion of the foregoing limitations.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Section 8.02</w:t>
      </w:r>
      <w:r>
        <w:rPr>
          <w:rFonts w:ascii="Arial" w:cs="Arial" w:eastAsia="Arial" w:hAnsi="Arial"/>
          <w:sz w:val="16"/>
          <w:szCs w:val="16"/>
          <w:i w:val="1"/>
          <w:iCs w:val="1"/>
          <w:color w:val="auto"/>
        </w:rPr>
        <w:t>. Successor Corporation Substituted.</w:t>
      </w:r>
      <w:r>
        <w:rPr>
          <w:rFonts w:ascii="Arial" w:cs="Arial" w:eastAsia="Arial" w:hAnsi="Arial"/>
          <w:sz w:val="16"/>
          <w:szCs w:val="16"/>
          <w:color w:val="auto"/>
        </w:rPr>
        <w:t xml:space="preserve">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2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case of any such consolidation, merger, sale, conveyance, transfer, lease or other disposition, such changes in phraseology and form (but not in substance) may be made in the Securities thereafter to be issued as may be appropriate.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Upon the assumption by the successor Person in the manner described in this Article, the Issuer shall be discharged from all obligations and covenants under this Indenture and the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57" w:name="page158"/>
    <w:bookmarkEnd w:id="15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Defeasance Within One Year of Payment.</w:t>
      </w:r>
      <w:r>
        <w:rPr>
          <w:rFonts w:ascii="Arial" w:cs="Arial" w:eastAsia="Arial" w:hAnsi="Arial"/>
          <w:sz w:val="18"/>
          <w:szCs w:val="18"/>
          <w:color w:val="auto"/>
        </w:rPr>
        <w:t xml:space="preserve"> Except as otherwise provided in this Section 9.01, the Issuer may terminate its obligations and the obligations of the Cable Guarantors under the Securities of any series, the Cable Guarantees with respect to Securities of such series and this Indenture with respect to Securities of such series if:</w:t>
      </w:r>
    </w:p>
    <w:p>
      <w:pPr>
        <w:spacing w:after="0" w:line="59" w:lineRule="exact"/>
        <w:rPr>
          <w:sz w:val="20"/>
          <w:szCs w:val="20"/>
          <w:color w:val="auto"/>
        </w:rPr>
      </w:pPr>
    </w:p>
    <w:p>
      <w:pPr>
        <w:jc w:val="both"/>
        <w:ind w:left="460" w:right="160" w:firstLine="443"/>
        <w:spacing w:after="0" w:line="256" w:lineRule="auto"/>
        <w:tabs>
          <w:tab w:leader="none" w:pos="110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Securities of such series previously authenticated and delivered (other than destroyed, lost or wrongfully taken Securities of such series that have been replaced or Securities of such series that are paid pursuant to Section 3.01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spacing w:after="0" w:line="62" w:lineRule="exact"/>
        <w:rPr>
          <w:rFonts w:ascii="Arial" w:cs="Arial" w:eastAsia="Arial" w:hAnsi="Arial"/>
          <w:sz w:val="18"/>
          <w:szCs w:val="18"/>
          <w:color w:val="auto"/>
        </w:rPr>
      </w:pPr>
    </w:p>
    <w:p>
      <w:pPr>
        <w:ind w:left="460" w:firstLine="443"/>
        <w:spacing w:after="0" w:line="288" w:lineRule="auto"/>
        <w:tabs>
          <w:tab w:leader="none" w:pos="115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spacing w:after="0" w:line="12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 Defeasance.</w:t>
      </w:r>
      <w:r>
        <w:rPr>
          <w:rFonts w:ascii="Arial" w:cs="Arial" w:eastAsia="Arial" w:hAnsi="Arial"/>
          <w:sz w:val="18"/>
          <w:szCs w:val="18"/>
          <w:color w:val="auto"/>
        </w:rPr>
        <w:t xml:space="preserve"> Except as provided below, the Issuer will be deemed to have paid and will be discharged from any and all obligations in respect of the Securities of any series and the provisions of this Indenture and the Cable Guarantees will no longer be in effect with respect to the Securities of such series (and the Trustee, at the expense of the Issuer, shall execute instruments in form and substance satisfactory to the Issuer and the Trustee acknowledging the same); provided that the following conditions shall have been satisfied:</w:t>
      </w:r>
    </w:p>
    <w:p>
      <w:pPr>
        <w:spacing w:after="0" w:line="62" w:lineRule="exact"/>
        <w:rPr>
          <w:sz w:val="20"/>
          <w:szCs w:val="20"/>
          <w:color w:val="auto"/>
        </w:rPr>
      </w:pPr>
    </w:p>
    <w:p>
      <w:pPr>
        <w:ind w:left="460" w:right="20" w:firstLine="443"/>
        <w:spacing w:after="0" w:line="253"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158" w:name="page159"/>
    <w:bookmarkEnd w:id="158"/>
    <w:p>
      <w:pPr>
        <w:ind w:left="460" w:right="280" w:firstLine="443"/>
        <w:spacing w:after="0" w:line="268" w:lineRule="auto"/>
        <w:tabs>
          <w:tab w:leader="none" w:pos="1157"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deposit will not result in a breach or violation of, or constitute a default under, this Indenture, the Cable Guarantees or any other material agreement or instrument to which the Issuer is a party or by which it is bound;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460" w:firstLine="443"/>
        <w:spacing w:after="0" w:line="302" w:lineRule="auto"/>
        <w:tabs>
          <w:tab w:leader="none" w:pos="1196" w:val="left"/>
        </w:tabs>
        <w:numPr>
          <w:ilvl w:val="1"/>
          <w:numId w:val="84"/>
        </w:numPr>
        <w:rPr>
          <w:rFonts w:ascii="Arial" w:cs="Arial" w:eastAsia="Arial" w:hAnsi="Arial"/>
          <w:sz w:val="15"/>
          <w:szCs w:val="15"/>
          <w:color w:val="auto"/>
        </w:rPr>
      </w:pPr>
      <w:r>
        <w:rPr>
          <w:rFonts w:ascii="Arial" w:cs="Arial" w:eastAsia="Arial" w:hAnsi="Arial"/>
          <w:sz w:val="15"/>
          <w:szCs w:val="15"/>
          <w:color w:val="auto"/>
        </w:rPr>
        <w:t>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w:t>
      </w:r>
    </w:p>
    <w:p>
      <w:pPr>
        <w:spacing w:after="0" w:line="2" w:lineRule="exact"/>
        <w:rPr>
          <w:rFonts w:ascii="Arial" w:cs="Arial" w:eastAsia="Arial" w:hAnsi="Arial"/>
          <w:sz w:val="15"/>
          <w:szCs w:val="15"/>
          <w:color w:val="auto"/>
        </w:rPr>
      </w:pPr>
    </w:p>
    <w:p>
      <w:pPr>
        <w:ind w:left="460" w:right="80" w:firstLine="4"/>
        <w:spacing w:after="0" w:line="261" w:lineRule="auto"/>
        <w:tabs>
          <w:tab w:leader="none" w:pos="7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above and based upon a change in law and (2) an Opinion of Counsel to the effect that the Holders of the Securities of such series have a valid security interest in the trust funds subject to no prior liens under the UCC; and</w:t>
      </w:r>
    </w:p>
    <w:p>
      <w:pPr>
        <w:spacing w:after="0" w:line="56" w:lineRule="exact"/>
        <w:rPr>
          <w:rFonts w:ascii="Arial" w:cs="Arial" w:eastAsia="Arial" w:hAnsi="Arial"/>
          <w:sz w:val="18"/>
          <w:szCs w:val="18"/>
          <w:color w:val="auto"/>
        </w:rPr>
      </w:pPr>
    </w:p>
    <w:p>
      <w:pPr>
        <w:ind w:left="460" w:right="520" w:firstLine="443"/>
        <w:spacing w:after="0" w:line="370" w:lineRule="auto"/>
        <w:tabs>
          <w:tab w:leader="none" w:pos="1147" w:val="left"/>
        </w:tabs>
        <w:numPr>
          <w:ilvl w:val="1"/>
          <w:numId w:val="85"/>
        </w:numPr>
        <w:rPr>
          <w:rFonts w:ascii="Arial" w:cs="Arial" w:eastAsia="Arial" w:hAnsi="Arial"/>
          <w:sz w:val="15"/>
          <w:szCs w:val="15"/>
          <w:color w:val="auto"/>
        </w:rPr>
      </w:pPr>
      <w:r>
        <w:rPr>
          <w:rFonts w:ascii="Arial" w:cs="Arial" w:eastAsia="Arial" w:hAnsi="Arial"/>
          <w:sz w:val="15"/>
          <w:szCs w:val="15"/>
          <w:color w:val="auto"/>
        </w:rPr>
        <w:t>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spacing w:after="0" w:line="6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Section 9.03</w:t>
      </w:r>
      <w:r>
        <w:rPr>
          <w:rFonts w:ascii="Arial" w:cs="Arial" w:eastAsia="Arial" w:hAnsi="Arial"/>
          <w:sz w:val="18"/>
          <w:szCs w:val="18"/>
          <w:i w:val="1"/>
          <w:iCs w:val="1"/>
          <w:color w:val="auto"/>
        </w:rPr>
        <w:t>. Covenant Defeasance.</w:t>
      </w:r>
      <w:r>
        <w:rPr>
          <w:rFonts w:ascii="Arial" w:cs="Arial" w:eastAsia="Arial" w:hAnsi="Arial"/>
          <w:sz w:val="18"/>
          <w:szCs w:val="18"/>
          <w:color w:val="auto"/>
        </w:rPr>
        <w:t xml:space="preserve"> The Issuer may omit to comply with any term, provision or condition set forth in Sections 3.04, 3.08, 3.10 or 3.11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spacing w:after="0" w:line="62" w:lineRule="exact"/>
        <w:rPr>
          <w:sz w:val="20"/>
          <w:szCs w:val="20"/>
          <w:color w:val="auto"/>
        </w:rPr>
      </w:pPr>
    </w:p>
    <w:p>
      <w:pPr>
        <w:ind w:left="460" w:right="40" w:firstLine="443"/>
        <w:spacing w:after="0" w:line="268" w:lineRule="auto"/>
        <w:tabs>
          <w:tab w:leader="none" w:pos="11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has irrevocably deposited in trust with the Trustee as trust funds solely for the benefit of the Holders of the Securities of such series, for payment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59" w:name="page160"/>
    <w:bookmarkEnd w:id="159"/>
    <w:p>
      <w:pPr>
        <w:ind w:left="460"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spacing w:after="0" w:line="35" w:lineRule="exact"/>
        <w:rPr>
          <w:sz w:val="20"/>
          <w:szCs w:val="20"/>
          <w:color w:val="auto"/>
        </w:rPr>
      </w:pPr>
    </w:p>
    <w:p>
      <w:pPr>
        <w:ind w:left="460" w:right="300" w:firstLine="443"/>
        <w:spacing w:after="0" w:line="268" w:lineRule="auto"/>
        <w:tabs>
          <w:tab w:leader="none" w:pos="1157"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460" w:right="80" w:firstLine="443"/>
        <w:spacing w:after="0" w:line="298" w:lineRule="auto"/>
        <w:tabs>
          <w:tab w:leader="none" w:pos="11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spacing w:after="0" w:line="31" w:lineRule="exact"/>
        <w:rPr>
          <w:rFonts w:ascii="Arial" w:cs="Arial" w:eastAsia="Arial" w:hAnsi="Arial"/>
          <w:sz w:val="16"/>
          <w:szCs w:val="16"/>
          <w:color w:val="auto"/>
        </w:rPr>
      </w:pPr>
    </w:p>
    <w:p>
      <w:pPr>
        <w:ind w:left="460" w:right="540" w:firstLine="443"/>
        <w:spacing w:after="0" w:line="370" w:lineRule="auto"/>
        <w:tabs>
          <w:tab w:leader="none" w:pos="1147"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spacing w:after="0" w:line="62"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Section 9.04</w:t>
      </w:r>
      <w:r>
        <w:rPr>
          <w:rFonts w:ascii="Arial" w:cs="Arial" w:eastAsia="Arial" w:hAnsi="Arial"/>
          <w:sz w:val="15"/>
          <w:szCs w:val="15"/>
          <w:i w:val="1"/>
          <w:iCs w:val="1"/>
          <w:color w:val="auto"/>
        </w:rPr>
        <w:t>. Application of Trust Money.</w:t>
      </w:r>
      <w:r>
        <w:rPr>
          <w:rFonts w:ascii="Arial" w:cs="Arial" w:eastAsia="Arial" w:hAnsi="Arial"/>
          <w:sz w:val="15"/>
          <w:szCs w:val="15"/>
          <w:color w:val="auto"/>
        </w:rPr>
        <w:t xml:space="preserve"> Subject to Section 9.05, the Trustee or Paying Agent shall hold in trust money or U.S. Government Obligations deposited with it pursuant to Section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but such money need not be segregated from other funds except to the extent required by law. The Issuer shall pay and indemnify the Trustee against any tax, fee or other charge imposed on or assessed against the U.S. Government Obligations deposited pursuant to Section 9.01,</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9.02, or 9.03, as the case may be, or the principal and interest received in respect thereof, other than any such tax, fee or other charge that by law is for the account of the Holders.</w:t>
      </w:r>
    </w:p>
    <w:p>
      <w:pPr>
        <w:spacing w:after="0" w:line="13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Section 9.05</w:t>
      </w:r>
      <w:r>
        <w:rPr>
          <w:rFonts w:ascii="Arial" w:cs="Arial" w:eastAsia="Arial" w:hAnsi="Arial"/>
          <w:sz w:val="18"/>
          <w:szCs w:val="18"/>
          <w:i w:val="1"/>
          <w:iCs w:val="1"/>
          <w:color w:val="auto"/>
        </w:rPr>
        <w:t>. Repayment to Issuer.</w:t>
      </w:r>
      <w:r>
        <w:rPr>
          <w:rFonts w:ascii="Arial" w:cs="Arial" w:eastAsia="Arial" w:hAnsi="Arial"/>
          <w:sz w:val="18"/>
          <w:szCs w:val="18"/>
          <w:color w:val="auto"/>
        </w:rPr>
        <w:t xml:space="preserve"> Subject to Sections 5.06, 9.01, 9.02 and 9.03,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60" w:name="page161"/>
    <w:bookmarkEnd w:id="16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under this Indenture that remains unclaimed for two years; provided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Section 10.01</w:t>
      </w:r>
      <w:r>
        <w:rPr>
          <w:rFonts w:ascii="Arial" w:cs="Arial" w:eastAsia="Arial" w:hAnsi="Arial"/>
          <w:sz w:val="16"/>
          <w:szCs w:val="16"/>
          <w:i w:val="1"/>
          <w:iCs w:val="1"/>
          <w:color w:val="auto"/>
        </w:rPr>
        <w:t>. Incorporators, Stockholders, Officers and Directors Exempt from Individual Liability.</w:t>
      </w:r>
      <w:r>
        <w:rPr>
          <w:rFonts w:ascii="Arial" w:cs="Arial" w:eastAsia="Arial" w:hAnsi="Arial"/>
          <w:sz w:val="16"/>
          <w:szCs w:val="16"/>
          <w:color w:val="auto"/>
        </w:rPr>
        <w:t xml:space="preserve"> No recourse under or upon any obligation, covenant or agreement contained in this Indenture, the Cable Guarantees or in any Security, or because of any indebtedness evidenced thereby, shall be had against any incorporator, as such, or against any past, present or future stockholder, officer, director or employee, as such, of the Issuer, any Cable Guarantor or of any successor Person thereof, either directly or through the Issuer or any Cable Guarantor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Section 10.02</w:t>
      </w:r>
      <w:r>
        <w:rPr>
          <w:rFonts w:ascii="Arial" w:cs="Arial" w:eastAsia="Arial" w:hAnsi="Arial"/>
          <w:sz w:val="16"/>
          <w:szCs w:val="16"/>
          <w:i w:val="1"/>
          <w:iCs w:val="1"/>
          <w:color w:val="auto"/>
        </w:rPr>
        <w:t>. Provisions of Indenture for the Sole Benefit of Parties and Securityholders.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10.03</w:t>
      </w:r>
      <w:r>
        <w:rPr>
          <w:rFonts w:ascii="Arial" w:cs="Arial" w:eastAsia="Arial" w:hAnsi="Arial"/>
          <w:sz w:val="18"/>
          <w:szCs w:val="18"/>
          <w:i w:val="1"/>
          <w:iCs w:val="1"/>
          <w:color w:val="auto"/>
        </w:rPr>
        <w:t>. Successors and Assigns of Issuer Bound by Indenture.</w:t>
      </w:r>
      <w:r>
        <w:rPr>
          <w:rFonts w:ascii="Arial" w:cs="Arial" w:eastAsia="Arial" w:hAnsi="Arial"/>
          <w:sz w:val="18"/>
          <w:szCs w:val="18"/>
          <w:color w:val="auto"/>
        </w:rPr>
        <w:t xml:space="preserve"> All the covenants, stipulations, promises and agreements in this Indenture contained by or in behalf of the Issuer shall bind its successors and assigns, whether so expressed or not.</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Section 10.04</w:t>
      </w:r>
      <w:r>
        <w:rPr>
          <w:rFonts w:ascii="Arial" w:cs="Arial" w:eastAsia="Arial" w:hAnsi="Arial"/>
          <w:sz w:val="15"/>
          <w:szCs w:val="15"/>
          <w:i w:val="1"/>
          <w:iCs w:val="1"/>
          <w:color w:val="auto"/>
        </w:rPr>
        <w:t>. Notices and Demands on Issuer, Trustee and Securityholders.</w:t>
      </w:r>
      <w:r>
        <w:rPr>
          <w:rFonts w:ascii="Arial" w:cs="Arial" w:eastAsia="Arial" w:hAnsi="Arial"/>
          <w:sz w:val="15"/>
          <w:szCs w:val="15"/>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Comcast Corporation at 1500 Market Street, Philadelphia, Pennsylvania 19102-2148, Attention: Treasurer. Any notice, direction, request or demand by the Issuer or any Securityholder to or upon the Trustee shall be deemed to have been sufficiently given or made, for all purposes, if given or made at the Corporate Trust Office.</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161" w:name="page162"/>
    <w:bookmarkEnd w:id="16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10.05</w:t>
      </w:r>
      <w:r>
        <w:rPr>
          <w:rFonts w:ascii="Arial" w:cs="Arial" w:eastAsia="Arial" w:hAnsi="Arial"/>
          <w:sz w:val="18"/>
          <w:szCs w:val="18"/>
          <w:i w:val="1"/>
          <w:iCs w:val="1"/>
          <w:color w:val="auto"/>
        </w:rPr>
        <w:t>. 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62" w:name="page163"/>
    <w:bookmarkEnd w:id="162"/>
    <w:p>
      <w:pPr>
        <w:jc w:val="both"/>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certificate or opinion of any independent firm of public accountants filed with the Trustee shall contain a statement that such firm is independent.</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10.06</w:t>
      </w:r>
      <w:r>
        <w:rPr>
          <w:rFonts w:ascii="Arial" w:cs="Arial" w:eastAsia="Arial" w:hAnsi="Arial"/>
          <w:sz w:val="18"/>
          <w:szCs w:val="18"/>
          <w:i w:val="1"/>
          <w:iCs w:val="1"/>
          <w:color w:val="auto"/>
        </w:rPr>
        <w:t>. 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Section 10.07</w:t>
      </w:r>
      <w:r>
        <w:rPr>
          <w:rFonts w:ascii="Arial" w:cs="Arial" w:eastAsia="Arial" w:hAnsi="Arial"/>
          <w:sz w:val="18"/>
          <w:szCs w:val="18"/>
          <w:i w:val="1"/>
          <w:iCs w:val="1"/>
          <w:color w:val="auto"/>
        </w:rPr>
        <w:t>. 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(an “incorporated provision”), such incorporated provision shall control.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10.08</w:t>
      </w:r>
      <w:r>
        <w:rPr>
          <w:rFonts w:ascii="Arial" w:cs="Arial" w:eastAsia="Arial" w:hAnsi="Arial"/>
          <w:sz w:val="18"/>
          <w:szCs w:val="18"/>
          <w:i w:val="1"/>
          <w:iCs w:val="1"/>
          <w:color w:val="auto"/>
        </w:rPr>
        <w:t>. New York Law to Govern.</w:t>
      </w:r>
      <w:r>
        <w:rPr>
          <w:rFonts w:ascii="Arial" w:cs="Arial" w:eastAsia="Arial" w:hAnsi="Arial"/>
          <w:sz w:val="18"/>
          <w:szCs w:val="18"/>
          <w:color w:val="auto"/>
        </w:rPr>
        <w:t xml:space="preserve"> This Indenture, including any Cable Guarantee, and each Security shall be deemed to be a contract under the laws of the State of New York, and for all purposes shall be construed in accordance with the laws of such State.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10.09</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Section 10.10</w:t>
      </w:r>
      <w:r>
        <w:rPr>
          <w:rFonts w:ascii="Arial" w:cs="Arial" w:eastAsia="Arial" w:hAnsi="Arial"/>
          <w:sz w:val="18"/>
          <w:szCs w:val="18"/>
          <w:i w:val="1"/>
          <w:iCs w:val="1"/>
          <w:color w:val="auto"/>
        </w:rPr>
        <w:t>. 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S</w:t>
      </w:r>
      <w:r>
        <w:rPr>
          <w:rFonts w:ascii="Arial" w:cs="Arial" w:eastAsia="Arial" w:hAnsi="Arial"/>
          <w:sz w:val="14"/>
          <w:szCs w:val="14"/>
          <w:color w:val="auto"/>
        </w:rPr>
        <w:t>ECURITIES AND</w:t>
      </w:r>
      <w:r>
        <w:rPr>
          <w:rFonts w:ascii="Arial" w:cs="Arial" w:eastAsia="Arial" w:hAnsi="Arial"/>
          <w:sz w:val="18"/>
          <w:szCs w:val="18"/>
          <w:color w:val="auto"/>
        </w:rPr>
        <w:t xml:space="preserve"> S</w:t>
      </w:r>
      <w:r>
        <w:rPr>
          <w:rFonts w:ascii="Arial" w:cs="Arial" w:eastAsia="Arial" w:hAnsi="Arial"/>
          <w:sz w:val="14"/>
          <w:szCs w:val="14"/>
          <w:color w:val="auto"/>
        </w:rPr>
        <w:t>INKING</w:t>
      </w:r>
      <w:r>
        <w:rPr>
          <w:rFonts w:ascii="Arial" w:cs="Arial" w:eastAsia="Arial" w:hAnsi="Arial"/>
          <w:sz w:val="18"/>
          <w:szCs w:val="18"/>
          <w:color w:val="auto"/>
        </w:rPr>
        <w:t xml:space="preserve"> F</w:t>
      </w:r>
      <w:r>
        <w:rPr>
          <w:rFonts w:ascii="Arial" w:cs="Arial" w:eastAsia="Arial" w:hAnsi="Arial"/>
          <w:sz w:val="14"/>
          <w:szCs w:val="14"/>
          <w:color w:val="auto"/>
        </w:rPr>
        <w:t>UNDS</w:t>
      </w:r>
    </w:p>
    <w:p>
      <w:pPr>
        <w:spacing w:after="0" w:line="16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Section 11.02</w:t>
      </w:r>
      <w:r>
        <w:rPr>
          <w:rFonts w:ascii="Arial" w:cs="Arial" w:eastAsia="Arial" w:hAnsi="Arial"/>
          <w:sz w:val="16"/>
          <w:szCs w:val="16"/>
          <w:i w:val="1"/>
          <w:iCs w:val="1"/>
          <w:color w:val="auto"/>
        </w:rPr>
        <w:t>. 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163" w:name="page164"/>
    <w:bookmarkEnd w:id="16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Section 11.02, if applicable, and shall state that on and after the date fixed for redemption, upon surrender of such Security, a new Security or Securities of such series in principal amount equal to the unredeemed portion thereof will be issued.</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written request, by the Trustee in the name and at the expense of the Issuer.</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By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case of the redemption of all of the Securities of a series outstanding, the Issuer shall notify the Trustee in writing of the redemption date 45 days (unless a shorter period shall be satisfactory to the Trustee) prior to the redemption date.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164" w:name="page165"/>
    <w:bookmarkEnd w:id="164"/>
    <w:p>
      <w:pPr>
        <w:ind w:right="4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11.03</w:t>
      </w:r>
      <w:r>
        <w:rPr>
          <w:rFonts w:ascii="Arial" w:cs="Arial" w:eastAsia="Arial" w:hAnsi="Arial"/>
          <w:sz w:val="16"/>
          <w:szCs w:val="16"/>
          <w:i w:val="1"/>
          <w:iCs w:val="1"/>
          <w:color w:val="auto"/>
        </w:rPr>
        <w:t>. Payment of Securities Called for Redemption.</w:t>
      </w:r>
      <w:r>
        <w:rPr>
          <w:rFonts w:ascii="Arial" w:cs="Arial" w:eastAsia="Arial" w:hAnsi="Arial"/>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spacing w:after="0" w:line="123" w:lineRule="exact"/>
        <w:rPr>
          <w:sz w:val="20"/>
          <w:szCs w:val="20"/>
          <w:color w:val="auto"/>
        </w:rPr>
      </w:pPr>
    </w:p>
    <w:p>
      <w:pPr>
        <w:jc w:val="both"/>
        <w:ind w:right="240" w:firstLine="456"/>
        <w:spacing w:after="0" w:line="332"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Sections 2.04, 2.05 and 2.06.</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Section 11.04</w:t>
      </w:r>
      <w:r>
        <w:rPr>
          <w:rFonts w:ascii="Arial" w:cs="Arial" w:eastAsia="Arial" w:hAnsi="Arial"/>
          <w:sz w:val="18"/>
          <w:szCs w:val="18"/>
          <w:i w:val="1"/>
          <w:iCs w:val="1"/>
          <w:color w:val="auto"/>
        </w:rPr>
        <w:t>. 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Section 11.05</w:t>
      </w:r>
      <w:r>
        <w:rPr>
          <w:rFonts w:ascii="Arial" w:cs="Arial" w:eastAsia="Arial" w:hAnsi="Arial"/>
          <w:sz w:val="18"/>
          <w:szCs w:val="18"/>
          <w:i w:val="1"/>
          <w:iCs w:val="1"/>
          <w:color w:val="auto"/>
        </w:rPr>
        <w:t>. Mandatory and Optional Sinking Funds.</w:t>
      </w:r>
      <w:r>
        <w:rPr>
          <w:rFonts w:ascii="Arial" w:cs="Arial" w:eastAsia="Arial" w:hAnsi="Arial"/>
          <w:sz w:val="18"/>
          <w:szCs w:val="18"/>
          <w:color w:val="auto"/>
        </w:rPr>
        <w:t xml:space="preserve">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The date on which a sinking fund payment is to be made is herein referred to as the “sinking fund payment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165" w:name="page166"/>
    <w:bookmarkEnd w:id="16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lieu of making all or any part of any mandatory sinking fund payment with respect to any series of Securities in cash, the Issuer may at its option</w:t>
      </w:r>
    </w:p>
    <w:p>
      <w:pPr>
        <w:spacing w:after="0" w:line="38" w:lineRule="exact"/>
        <w:rPr>
          <w:sz w:val="20"/>
          <w:szCs w:val="20"/>
          <w:color w:val="auto"/>
        </w:rPr>
      </w:pPr>
    </w:p>
    <w:p>
      <w:pPr>
        <w:ind w:right="100" w:firstLine="8"/>
        <w:spacing w:after="0" w:line="290" w:lineRule="auto"/>
        <w:tabs>
          <w:tab w:leader="none" w:pos="239"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or before the sixtieth day next preceding each sinking fund payment date for any series, the Issuer will deliver to the Trustee an Officers’ Certificate</w:t>
      </w:r>
    </w:p>
    <w:p>
      <w:pPr>
        <w:spacing w:after="0" w:line="38" w:lineRule="exact"/>
        <w:rPr>
          <w:sz w:val="20"/>
          <w:szCs w:val="20"/>
          <w:color w:val="auto"/>
        </w:rPr>
      </w:pPr>
    </w:p>
    <w:p>
      <w:pPr>
        <w:ind w:firstLine="8"/>
        <w:spacing w:after="0" w:line="285" w:lineRule="auto"/>
        <w:tabs>
          <w:tab w:leader="none" w:pos="239" w:val="left"/>
        </w:tabs>
        <w:numPr>
          <w:ilvl w:val="0"/>
          <w:numId w:val="89"/>
        </w:numPr>
        <w:rPr>
          <w:rFonts w:ascii="Arial" w:cs="Arial" w:eastAsia="Arial" w:hAnsi="Arial"/>
          <w:sz w:val="16"/>
          <w:szCs w:val="16"/>
          <w:color w:val="auto"/>
        </w:rPr>
      </w:pPr>
      <w:r>
        <w:rPr>
          <w:rFonts w:ascii="Arial" w:cs="Arial" w:eastAsia="Arial" w:hAnsi="Arial"/>
          <w:sz w:val="16"/>
          <w:szCs w:val="16"/>
          <w:color w:val="auto"/>
        </w:rPr>
        <w:t>specifying the portion of the mandatory sinking fund payment to be satisfied by payment of cash and the portion to be satisfied by credit of Securities of such series,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sinking fund payment or payments (mandatory or optional or both) to be made in cash on the next succeeding sinking fund payment date plus any unused balance of any preceding sinking fund payments made in cash shall exceed $50,000 (or a lesser sum if the Issuer shall so request in writing)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 Issuer makes no such request then it shall be carried over until a sum in excess of $50,000 is available together with accrued interest to the date fixed for redemption. The Trustee shall select, in the manner provided in Section 11.02, for redemption on such sinking fund payment date a sufficient principal amount of Securities of such series to absorb said cash, as nearly as may be, and shall (if requested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166" w:name="page167"/>
    <w:bookmarkEnd w:id="166"/>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writing by the Issuer) inform the Issuer of the serial numbers of the Securities of such series (or portions thereof) so selected. Securities of any series which are identified in an Officers’ Certificate at least 60 days prior to the sinking fund payment date as being beneficially owned by, and not pledged or hypothecated by, the Issuer or an entity directly or indirectly controlling or controlled by or under direct or indirect common control with the Issuer shall be excluded from Securities of such series eligible for selection for redemption. The Issuer or the Trustee, in the name and at the expense of the Issuer (if the Issuer shall so request the Trustee in writing) shall cause notice of redemption of the Securities of such series to be given in the manner provided in Section 11.02 (and with the effect provided in Section 11.03)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2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At least one Business Day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if the Trustee has received written notice thereof at least three Business Days prior to any payment hereunder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if the Trustee has received written notice of such default or Event of Default at least three Business Days prior to any payment hereunder, any moneys in the sinking fund for such series at the time when any such default or Event of Default shall occur, and any moneys thereafter paid into the sinking fund, shall, during the continuance of such default or Event of Default, be deemed to have been collected under Article 4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11.06</w:t>
      </w:r>
      <w:r>
        <w:rPr>
          <w:rFonts w:ascii="Arial" w:cs="Arial" w:eastAsia="Arial" w:hAnsi="Arial"/>
          <w:sz w:val="16"/>
          <w:szCs w:val="16"/>
          <w:i w:val="1"/>
          <w:iCs w:val="1"/>
          <w:color w:val="auto"/>
        </w:rPr>
        <w:t>. Conversion Arrangement On Call For Redemption.</w:t>
      </w:r>
      <w:r>
        <w:rPr>
          <w:rFonts w:ascii="Arial" w:cs="Arial" w:eastAsia="Arial" w:hAnsi="Arial"/>
          <w:sz w:val="16"/>
          <w:szCs w:val="16"/>
          <w:color w:val="auto"/>
        </w:rPr>
        <w:t xml:space="preserve">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80" w:right="279" w:bottom="1440" w:gutter="0" w:footer="0" w:header="0"/>
        </w:sectPr>
      </w:pPr>
    </w:p>
    <w:bookmarkStart w:id="167" w:name="page168"/>
    <w:bookmarkEnd w:id="167"/>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12)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moneys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ONVERSION OF</w:t>
      </w:r>
      <w:r>
        <w:rPr>
          <w:rFonts w:ascii="Arial" w:cs="Arial" w:eastAsia="Arial" w:hAnsi="Arial"/>
          <w:sz w:val="18"/>
          <w:szCs w:val="18"/>
          <w:color w:val="auto"/>
        </w:rPr>
        <w:t xml:space="preserve"> S</w:t>
      </w:r>
      <w:r>
        <w:rPr>
          <w:rFonts w:ascii="Arial" w:cs="Arial" w:eastAsia="Arial" w:hAnsi="Arial"/>
          <w:sz w:val="14"/>
          <w:szCs w:val="14"/>
          <w:color w:val="auto"/>
        </w:rPr>
        <w:t>ECURITIES</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12.01</w:t>
      </w:r>
      <w:r>
        <w:rPr>
          <w:rFonts w:ascii="Arial" w:cs="Arial" w:eastAsia="Arial" w:hAnsi="Arial"/>
          <w:sz w:val="16"/>
          <w:szCs w:val="16"/>
          <w:i w:val="1"/>
          <w:iCs w:val="1"/>
          <w:color w:val="auto"/>
        </w:rPr>
        <w:t>. Applicability of Article.</w:t>
      </w:r>
      <w:r>
        <w:rPr>
          <w:rFonts w:ascii="Arial" w:cs="Arial" w:eastAsia="Arial" w:hAnsi="Arial"/>
          <w:sz w:val="16"/>
          <w:szCs w:val="16"/>
          <w:color w:val="auto"/>
        </w:rPr>
        <w:t xml:space="preserve">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12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12 shall be applied separately to each such series.</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Section 12.02</w:t>
      </w:r>
      <w:r>
        <w:rPr>
          <w:rFonts w:ascii="Arial" w:cs="Arial" w:eastAsia="Arial" w:hAnsi="Arial"/>
          <w:sz w:val="18"/>
          <w:szCs w:val="18"/>
          <w:i w:val="1"/>
          <w:iCs w:val="1"/>
          <w:color w:val="auto"/>
        </w:rPr>
        <w:t>. Right of Securityholders to Convert Securities.</w:t>
      </w:r>
      <w:r>
        <w:rPr>
          <w:rFonts w:ascii="Arial" w:cs="Arial" w:eastAsia="Arial" w:hAnsi="Arial"/>
          <w:sz w:val="18"/>
          <w:szCs w:val="18"/>
          <w:color w:val="auto"/>
        </w:rPr>
        <w:t xml:space="preserve"> Subject to and upon compliance with the terms of the Securities and the provisions of Section 11.06 and this Article 12,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168" w:name="page169"/>
    <w:bookmarkEnd w:id="168"/>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the class of Class A Common Stock and Class A Special Common Stock, or combination thereof,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12.05,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12.03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initial conversion price or conversion rate in respect of a series of Securities shall be as specified in the Securities of such series. The conversion price or conversion rate will be subject to adjustment on the terms set forth in Section 12.05 or such other or different terms, if any, as may be specified by Section 2.03 for Securities of such series. Provisions of this Indenture that apply to conversion of all of a Security also apply to conversion of a portion of it.</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Section 12.03</w:t>
      </w:r>
      <w:r>
        <w:rPr>
          <w:rFonts w:ascii="Arial" w:cs="Arial" w:eastAsia="Arial" w:hAnsi="Arial"/>
          <w:sz w:val="16"/>
          <w:szCs w:val="16"/>
          <w:i w:val="1"/>
          <w:iCs w:val="1"/>
          <w:color w:val="auto"/>
        </w:rPr>
        <w:t>. Issuance of Shares of Capital Stock on Conversion.</w:t>
      </w:r>
      <w:r>
        <w:rPr>
          <w:rFonts w:ascii="Arial" w:cs="Arial" w:eastAsia="Arial" w:hAnsi="Arial"/>
          <w:sz w:val="16"/>
          <w:szCs w:val="16"/>
          <w:color w:val="auto"/>
        </w:rPr>
        <w:t xml:space="preserve">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12.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169" w:name="page170"/>
    <w:bookmarkEnd w:id="169"/>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last day on which a Security may be converted is not a Business Day in a place where a conversion agent is located, the Security may be surrendered to that conversion agent on the next succeeding day that is a Business Day.</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12.04</w:t>
      </w:r>
      <w:r>
        <w:rPr>
          <w:rFonts w:ascii="Arial" w:cs="Arial" w:eastAsia="Arial" w:hAnsi="Arial"/>
          <w:sz w:val="16"/>
          <w:szCs w:val="16"/>
          <w:i w:val="1"/>
          <w:iCs w:val="1"/>
          <w:color w:val="auto"/>
        </w:rPr>
        <w:t>. No Payment or Adjustment for Interest or Dividends.</w:t>
      </w:r>
      <w:r>
        <w:rPr>
          <w:rFonts w:ascii="Arial" w:cs="Arial" w:eastAsia="Arial" w:hAnsi="Arial"/>
          <w:sz w:val="16"/>
          <w:szCs w:val="16"/>
          <w:color w:val="auto"/>
        </w:rPr>
        <w:t xml:space="preserve">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Security with original issue discount,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12.05</w:t>
      </w:r>
      <w:r>
        <w:rPr>
          <w:rFonts w:ascii="Arial" w:cs="Arial" w:eastAsia="Arial" w:hAnsi="Arial"/>
          <w:sz w:val="18"/>
          <w:szCs w:val="18"/>
          <w:i w:val="1"/>
          <w:iCs w:val="1"/>
          <w:color w:val="auto"/>
        </w:rPr>
        <w:t>. Adjustment of Conversion Rate.</w:t>
      </w:r>
      <w:r>
        <w:rPr>
          <w:rFonts w:ascii="Arial" w:cs="Arial" w:eastAsia="Arial" w:hAnsi="Arial"/>
          <w:sz w:val="18"/>
          <w:szCs w:val="18"/>
          <w:color w:val="auto"/>
        </w:rPr>
        <w:t xml:space="preserve"> Unless otherwise specified as contemplated by Section 2.03 for Securities of such series, the conversion rate for Securities in effect at any time shall be subject to adjustment as follows:</w:t>
      </w:r>
    </w:p>
    <w:p>
      <w:pPr>
        <w:spacing w:after="0" w:line="51" w:lineRule="exact"/>
        <w:rPr>
          <w:sz w:val="20"/>
          <w:szCs w:val="20"/>
          <w:color w:val="auto"/>
        </w:rPr>
      </w:pPr>
    </w:p>
    <w:p>
      <w:pPr>
        <w:ind w:firstLine="464"/>
        <w:spacing w:after="0" w:line="288"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 combine the outstanding shares of the class of Capital Stock into which Securities of such series are convertible into a smaller number of shares, or (iv)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date for such dividend or distribution, or the effective date of such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70" w:name="page171"/>
    <w:bookmarkEnd w:id="170"/>
    <w:p>
      <w:pPr>
        <w:ind w:left="-40" w:firstLine="464"/>
        <w:spacing w:after="0" w:line="303" w:lineRule="auto"/>
        <w:tabs>
          <w:tab w:leader="none" w:pos="665" w:val="left"/>
        </w:tabs>
        <w:numPr>
          <w:ilvl w:val="0"/>
          <w:numId w:val="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“Determination Date”),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spacing w:after="0" w:line="341" w:lineRule="exact"/>
        <w:rPr>
          <w:rFonts w:ascii="Arial" w:cs="Arial" w:eastAsia="Arial" w:hAnsi="Arial"/>
          <w:sz w:val="15"/>
          <w:szCs w:val="15"/>
          <w:color w:val="auto"/>
        </w:rPr>
      </w:pPr>
    </w:p>
    <w:p>
      <w:pPr>
        <w:ind w:left="-40" w:firstLine="464"/>
        <w:spacing w:after="0" w:line="259"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80" w:top="280" w:right="279" w:bottom="1440" w:gutter="0" w:footer="0" w:header="0"/>
        </w:sectPr>
      </w:pPr>
    </w:p>
    <w:bookmarkStart w:id="171" w:name="page172"/>
    <w:bookmarkEnd w:id="17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any vice chairmen of the board, vice president or assistant vice president and treasurer of the Issuer,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spacing w:after="0" w:line="121" w:lineRule="exact"/>
        <w:rPr>
          <w:sz w:val="20"/>
          <w:szCs w:val="20"/>
          <w:color w:val="auto"/>
        </w:rPr>
      </w:pPr>
    </w:p>
    <w:p>
      <w:pPr>
        <w:ind w:right="40" w:firstLine="464"/>
        <w:spacing w:after="0" w:line="285"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case the Issuer shall, by dividend or otherwise, distribute to all holders of its Capital Stock cash (excluding (x) any quarterly cash dividend on the Capital Stock to the extent the aggregate cash dividend per share of Capital Stock in any fiscal quarter does not exceed the greater of (A) the amount per share of Capital Stock of the next preceding quarterly cash dividend on the Capital Stock to the extent such preceding quarterly dividend did not require any adjustment of the conversion rate pursuant to this Section 12.05(d) (as adjusted to reflect subdivisions or combinations of the Capital Stock), and (B) 3.75% of the current market price of the Capital Stock (determined as provided in Section 12.05(e)) on the date of declaration of such dividend and (y)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12.05(e)) on the record date less the amount of cash so distributed (and not excluded as provided above) applicable to one share of Capital Stock and the numerator shall be such current market price of the Capital Stock (determined as provided in Section 12.05(e)), such adjusted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72" w:name="page173"/>
    <w:bookmarkEnd w:id="17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in Section 12.05(e))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spacing w:after="0" w:line="143" w:lineRule="exact"/>
        <w:rPr>
          <w:sz w:val="20"/>
          <w:szCs w:val="20"/>
          <w:color w:val="auto"/>
        </w:rPr>
      </w:pPr>
    </w:p>
    <w:p>
      <w:pPr>
        <w:jc w:val="both"/>
        <w:ind w:right="220" w:firstLine="464"/>
        <w:spacing w:after="0" w:line="259"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the purpose of any computation under subsections (b) and (d) above and Section 12.06, the current market price per share of the Capital Stock on any date as of which such price is to be computed shall mean the average of the Closing Prices for the 30 consecutive Business Days commencing 45 Business Days before such date.</w:t>
      </w:r>
    </w:p>
    <w:p>
      <w:pPr>
        <w:spacing w:after="0" w:line="140" w:lineRule="exact"/>
        <w:rPr>
          <w:rFonts w:ascii="Arial" w:cs="Arial" w:eastAsia="Arial" w:hAnsi="Arial"/>
          <w:sz w:val="18"/>
          <w:szCs w:val="18"/>
          <w:color w:val="auto"/>
        </w:rPr>
      </w:pPr>
    </w:p>
    <w:p>
      <w:pPr>
        <w:ind w:firstLine="464"/>
        <w:spacing w:after="0" w:line="288" w:lineRule="auto"/>
        <w:tabs>
          <w:tab w:leader="none" w:pos="676"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 adjustment in the conversion rate shall be required unless such adjustment would require a cumulative increase or decrease of at least 1% in such rate; provided, however, that any adjustments which by reason of this subsection (e) are not required to be made shall be carried forward and taken into account in any subsequent adjustment, and provided, further, that adjustments shall be required and made in accordance with the provisions of this Article 12 (other than this subsection (e)) not later than such time as may be required in order to preserve the tax-free nature of a distribution for United States income tax purposes to the holders of Securities or the class of Capital Stock into which such Securities are convertible. All calculations under this Article 12 shall be made to the nearest cent or to the nearest one-thousandth of a share, as the case may be. Anything in this Section 12.05 to the contrary notwithstanding, the Issuer shall be entitled to make such adjustments in the conversion rate, in addition to those required by this Section 12.05,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spacing w:after="0" w:line="119" w:lineRule="exact"/>
        <w:rPr>
          <w:rFonts w:ascii="Arial" w:cs="Arial" w:eastAsia="Arial" w:hAnsi="Arial"/>
          <w:sz w:val="16"/>
          <w:szCs w:val="16"/>
          <w:color w:val="auto"/>
        </w:rPr>
      </w:pPr>
    </w:p>
    <w:p>
      <w:pPr>
        <w:ind w:firstLine="464"/>
        <w:spacing w:after="0" w:line="289"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spacing w:after="0" w:line="118" w:lineRule="exact"/>
        <w:rPr>
          <w:rFonts w:ascii="Arial" w:cs="Arial" w:eastAsia="Arial" w:hAnsi="Arial"/>
          <w:sz w:val="16"/>
          <w:szCs w:val="16"/>
          <w:color w:val="auto"/>
        </w:rPr>
      </w:pPr>
    </w:p>
    <w:p>
      <w:pPr>
        <w:ind w:right="100" w:firstLine="464"/>
        <w:spacing w:after="0" w:line="306"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73" w:name="page174"/>
    <w:bookmarkEnd w:id="173"/>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12 with respect to the class of Capital Stock into which the Securities of such series are convertible shall apply on like terms to any such other shares.</w:t>
      </w:r>
    </w:p>
    <w:p>
      <w:pPr>
        <w:spacing w:after="0" w:line="113" w:lineRule="exact"/>
        <w:rPr>
          <w:sz w:val="20"/>
          <w:szCs w:val="20"/>
          <w:color w:val="auto"/>
        </w:rPr>
      </w:pPr>
    </w:p>
    <w:p>
      <w:pPr>
        <w:ind w:firstLine="464"/>
        <w:spacing w:after="0" w:line="268" w:lineRule="auto"/>
        <w:tabs>
          <w:tab w:leader="none" w:pos="66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conversion rate with respect to any Securities with original issue discount, the terms of which provide for convertibility, shall not be adjusted during the term of such Original Issue Discount Security for accrued original issue discount.</w:t>
      </w:r>
    </w:p>
    <w:p>
      <w:pPr>
        <w:spacing w:after="0" w:line="131" w:lineRule="exact"/>
        <w:rPr>
          <w:rFonts w:ascii="Arial" w:cs="Arial" w:eastAsia="Arial" w:hAnsi="Arial"/>
          <w:sz w:val="18"/>
          <w:szCs w:val="18"/>
          <w:color w:val="auto"/>
        </w:rPr>
      </w:pPr>
    </w:p>
    <w:p>
      <w:pPr>
        <w:ind w:right="260" w:firstLine="464"/>
        <w:spacing w:after="0" w:line="268" w:lineRule="auto"/>
        <w:tabs>
          <w:tab w:leader="none" w:pos="66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event that the Securities of any series are convertible into more than one class of Capital Stock, the provisions of this Section 12.05 shall apply separately to events affecting each such class.</w:t>
      </w:r>
    </w:p>
    <w:p>
      <w:pPr>
        <w:spacing w:after="0" w:line="132" w:lineRule="exact"/>
        <w:rPr>
          <w:sz w:val="20"/>
          <w:szCs w:val="20"/>
          <w:color w:val="auto"/>
        </w:rPr>
      </w:pPr>
    </w:p>
    <w:p>
      <w:pPr>
        <w:ind w:right="260" w:firstLine="456"/>
        <w:spacing w:after="0" w:line="314" w:lineRule="auto"/>
        <w:rPr>
          <w:sz w:val="20"/>
          <w:szCs w:val="20"/>
          <w:color w:val="auto"/>
        </w:rPr>
      </w:pPr>
      <w:r>
        <w:rPr>
          <w:rFonts w:ascii="Arial" w:cs="Arial" w:eastAsia="Arial" w:hAnsi="Arial"/>
          <w:sz w:val="15"/>
          <w:szCs w:val="15"/>
          <w:color w:val="auto"/>
        </w:rPr>
        <w:t>Section 12.06</w:t>
      </w:r>
      <w:r>
        <w:rPr>
          <w:rFonts w:ascii="Arial" w:cs="Arial" w:eastAsia="Arial" w:hAnsi="Arial"/>
          <w:sz w:val="15"/>
          <w:szCs w:val="15"/>
          <w:i w:val="1"/>
          <w:iCs w:val="1"/>
          <w:color w:val="auto"/>
        </w:rPr>
        <w:t>. No Fractional Shares to Be Issued.</w:t>
      </w:r>
      <w:r>
        <w:rPr>
          <w:rFonts w:ascii="Arial" w:cs="Arial" w:eastAsia="Arial" w:hAnsi="Arial"/>
          <w:sz w:val="15"/>
          <w:szCs w:val="15"/>
          <w:color w:val="auto"/>
        </w:rPr>
        <w:t xml:space="preserve">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12.05) per share of Capital Stock on the Business Day next preceding the day of conversion.</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12.07</w:t>
      </w:r>
      <w:r>
        <w:rPr>
          <w:rFonts w:ascii="Arial" w:cs="Arial" w:eastAsia="Arial" w:hAnsi="Arial"/>
          <w:sz w:val="16"/>
          <w:szCs w:val="16"/>
          <w:i w:val="1"/>
          <w:iCs w:val="1"/>
          <w:color w:val="auto"/>
        </w:rPr>
        <w:t>. Preservation of Conversion Rights Upon Consolidation, Merger, Sale or Conveyance.</w:t>
      </w:r>
      <w:r>
        <w:rPr>
          <w:rFonts w:ascii="Arial" w:cs="Arial" w:eastAsia="Arial" w:hAnsi="Arial"/>
          <w:sz w:val="16"/>
          <w:szCs w:val="16"/>
          <w:color w:val="auto"/>
        </w:rPr>
        <w:t xml:space="preserve">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Articles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12.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174" w:name="page175"/>
    <w:bookmarkEnd w:id="174"/>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12.07 shall similarly apply to successive consolidations, mergers, sales or transfers.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i w:val="1"/>
          <w:iCs w:val="1"/>
          <w:color w:val="auto"/>
        </w:rPr>
        <w:t>Notice to Security Holders of a Series Prior to Taking Certain Types of Action.</w:t>
      </w:r>
      <w:r>
        <w:rPr>
          <w:rFonts w:ascii="Arial" w:cs="Arial" w:eastAsia="Arial" w:hAnsi="Arial"/>
          <w:sz w:val="16"/>
          <w:szCs w:val="16"/>
          <w:color w:val="auto"/>
        </w:rPr>
        <w:t xml:space="preserve"> With respect to the Securities of any series, in case:</w:t>
      </w:r>
    </w:p>
    <w:p>
      <w:pPr>
        <w:spacing w:after="0" w:line="113" w:lineRule="exact"/>
        <w:rPr>
          <w:sz w:val="20"/>
          <w:szCs w:val="20"/>
          <w:color w:val="auto"/>
        </w:rPr>
      </w:pPr>
    </w:p>
    <w:p>
      <w:pPr>
        <w:ind w:firstLine="464"/>
        <w:spacing w:after="0" w:line="268"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shall authorize the issuance to all holders of the class of Capital Stock into which Securities of such series are convertible of rights or warrants to subscribe for or purchase shares of its Capital Stock or of any other right;</w:t>
      </w:r>
    </w:p>
    <w:p>
      <w:pPr>
        <w:spacing w:after="0" w:line="131" w:lineRule="exact"/>
        <w:rPr>
          <w:rFonts w:ascii="Arial" w:cs="Arial" w:eastAsia="Arial" w:hAnsi="Arial"/>
          <w:sz w:val="18"/>
          <w:szCs w:val="18"/>
          <w:color w:val="auto"/>
        </w:rPr>
      </w:pPr>
    </w:p>
    <w:p>
      <w:pPr>
        <w:ind w:right="140" w:firstLine="464"/>
        <w:spacing w:after="0" w:line="332"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Issuer shall authorize the distribution to all holders of the class of Capital Stock into which Securities of such series are convertible of evidences of its indebtedness or assets (except for the exclusions with respect to certain dividends set forth in Section 12.05(c));</w:t>
      </w:r>
    </w:p>
    <w:p>
      <w:pPr>
        <w:spacing w:after="0" w:line="85" w:lineRule="exact"/>
        <w:rPr>
          <w:rFonts w:ascii="Arial" w:cs="Arial" w:eastAsia="Arial" w:hAnsi="Arial"/>
          <w:sz w:val="16"/>
          <w:szCs w:val="16"/>
          <w:color w:val="auto"/>
        </w:rPr>
      </w:pPr>
    </w:p>
    <w:p>
      <w:pPr>
        <w:ind w:right="520" w:firstLine="464"/>
        <w:spacing w:after="0" w:line="259"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Issuer;</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ten days prior to the applicable record date hereinafter specified, a notice stating (i) the date as of which the holders of such class of Capital Stock to be entitled to receive any such rights, warrants or 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12.08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spacing w:after="0" w:line="109"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Section 12.09</w:t>
      </w:r>
      <w:r>
        <w:rPr>
          <w:rFonts w:ascii="Arial" w:cs="Arial" w:eastAsia="Arial" w:hAnsi="Arial"/>
          <w:sz w:val="18"/>
          <w:szCs w:val="18"/>
          <w:i w:val="1"/>
          <w:iCs w:val="1"/>
          <w:color w:val="auto"/>
        </w:rPr>
        <w:t>. Covenant to Reserve Shares for Issuance on Conversion of Securities.</w:t>
      </w:r>
      <w:r>
        <w:rPr>
          <w:rFonts w:ascii="Arial" w:cs="Arial" w:eastAsia="Arial" w:hAnsi="Arial"/>
          <w:sz w:val="18"/>
          <w:szCs w:val="18"/>
          <w:color w:val="auto"/>
        </w:rPr>
        <w:t xml:space="preserve"> The Issuer covenants that at all times it will reserve and keep available out of each class of 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75" w:name="page176"/>
    <w:bookmarkEnd w:id="175"/>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12.10</w:t>
      </w:r>
      <w:r>
        <w:rPr>
          <w:rFonts w:ascii="Arial" w:cs="Arial" w:eastAsia="Arial" w:hAnsi="Arial"/>
          <w:sz w:val="16"/>
          <w:szCs w:val="16"/>
          <w:i w:val="1"/>
          <w:iCs w:val="1"/>
          <w:color w:val="auto"/>
        </w:rPr>
        <w:t>. Compliance with Governmental Requirements.</w:t>
      </w:r>
      <w:r>
        <w:rPr>
          <w:rFonts w:ascii="Arial" w:cs="Arial" w:eastAsia="Arial" w:hAnsi="Arial"/>
          <w:sz w:val="16"/>
          <w:szCs w:val="16"/>
          <w:color w:val="auto"/>
        </w:rPr>
        <w:t xml:space="preserve">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its best efforts to cause such shares to be duly registered, listed or approved, as the case may be.</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Section 12.11</w:t>
      </w:r>
      <w:r>
        <w:rPr>
          <w:rFonts w:ascii="Arial" w:cs="Arial" w:eastAsia="Arial" w:hAnsi="Arial"/>
          <w:sz w:val="16"/>
          <w:szCs w:val="16"/>
          <w:i w:val="1"/>
          <w:iCs w:val="1"/>
          <w:color w:val="auto"/>
        </w:rPr>
        <w:t>. Payment of Taxes Upon Certificates for Shares Issued Upon Conversion.</w:t>
      </w:r>
      <w:r>
        <w:rPr>
          <w:rFonts w:ascii="Arial" w:cs="Arial" w:eastAsia="Arial" w:hAnsi="Arial"/>
          <w:sz w:val="16"/>
          <w:szCs w:val="16"/>
          <w:color w:val="auto"/>
        </w:rPr>
        <w:t xml:space="preserve">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12.12</w:t>
      </w:r>
      <w:r>
        <w:rPr>
          <w:rFonts w:ascii="Arial" w:cs="Arial" w:eastAsia="Arial" w:hAnsi="Arial"/>
          <w:sz w:val="16"/>
          <w:szCs w:val="16"/>
          <w:i w:val="1"/>
          <w:iCs w:val="1"/>
          <w:color w:val="auto"/>
        </w:rPr>
        <w:t>. Trustee’s Duties with Respect to Conversion Provisions.</w:t>
      </w:r>
      <w:r>
        <w:rPr>
          <w:rFonts w:ascii="Arial" w:cs="Arial" w:eastAsia="Arial" w:hAnsi="Arial"/>
          <w:sz w:val="16"/>
          <w:szCs w:val="16"/>
          <w:color w:val="auto"/>
        </w:rPr>
        <w:t xml:space="preserve">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13.01</w:t>
      </w:r>
      <w:r>
        <w:rPr>
          <w:rFonts w:ascii="Arial" w:cs="Arial" w:eastAsia="Arial" w:hAnsi="Arial"/>
          <w:sz w:val="18"/>
          <w:szCs w:val="18"/>
          <w:i w:val="1"/>
          <w:iCs w:val="1"/>
          <w:color w:val="auto"/>
        </w:rPr>
        <w:t>. The Cable Guarantees.</w:t>
      </w:r>
      <w:r>
        <w:rPr>
          <w:rFonts w:ascii="Arial" w:cs="Arial" w:eastAsia="Arial" w:hAnsi="Arial"/>
          <w:sz w:val="18"/>
          <w:szCs w:val="18"/>
          <w:color w:val="auto"/>
        </w:rPr>
        <w:t xml:space="preserve"> Subject to the provisions of this Article, each Cable Guarantor hereby irrevocably, fully and unconditionally guarantees,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Issuer under the Indenture. Upon failure by the Issuer to pay punctually any such amount, each Cable Guarantor shall forthwith on demand pay the amount not so paid at the place and in the manner specified in the Indenture.</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Section 13.02</w:t>
      </w:r>
      <w:r>
        <w:rPr>
          <w:rFonts w:ascii="Arial" w:cs="Arial" w:eastAsia="Arial" w:hAnsi="Arial"/>
          <w:sz w:val="18"/>
          <w:szCs w:val="18"/>
          <w:i w:val="1"/>
          <w:iCs w:val="1"/>
          <w:color w:val="auto"/>
        </w:rPr>
        <w:t>. Guarantee Unconditional.</w:t>
      </w:r>
      <w:r>
        <w:rPr>
          <w:rFonts w:ascii="Arial" w:cs="Arial" w:eastAsia="Arial" w:hAnsi="Arial"/>
          <w:sz w:val="18"/>
          <w:szCs w:val="18"/>
          <w:color w:val="auto"/>
        </w:rPr>
        <w:t xml:space="preserve"> The obligations of each Cable Guarantor hereunder are unconditional and absolute and, without limiting the generality of the foregoing, will not be released, discharged or otherwise affected by</w:t>
      </w:r>
    </w:p>
    <w:p>
      <w:pPr>
        <w:spacing w:after="0" w:line="51" w:lineRule="exact"/>
        <w:rPr>
          <w:sz w:val="20"/>
          <w:szCs w:val="20"/>
          <w:color w:val="auto"/>
        </w:rPr>
      </w:pPr>
    </w:p>
    <w:p>
      <w:pPr>
        <w:ind w:right="360" w:firstLine="464"/>
        <w:spacing w:after="0" w:line="268"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Issuer under the Indenture or any Security, by operation of law or otherwise;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Security;</w:t>
      </w:r>
    </w:p>
    <w:p>
      <w:pPr>
        <w:spacing w:after="0" w:line="171" w:lineRule="exact"/>
        <w:rPr>
          <w:rFonts w:ascii="Arial" w:cs="Arial" w:eastAsia="Arial" w:hAnsi="Arial"/>
          <w:sz w:val="18"/>
          <w:szCs w:val="18"/>
          <w:color w:val="auto"/>
        </w:rPr>
      </w:pPr>
    </w:p>
    <w:p>
      <w:pPr>
        <w:ind w:right="240" w:firstLine="464"/>
        <w:spacing w:after="0" w:line="332"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any Security;</w:t>
      </w:r>
    </w:p>
    <w:p>
      <w:pPr>
        <w:spacing w:after="0" w:line="85" w:lineRule="exact"/>
        <w:rPr>
          <w:rFonts w:ascii="Arial" w:cs="Arial" w:eastAsia="Arial" w:hAnsi="Arial"/>
          <w:sz w:val="16"/>
          <w:szCs w:val="16"/>
          <w:color w:val="auto"/>
        </w:rPr>
      </w:pPr>
    </w:p>
    <w:p>
      <w:pPr>
        <w:ind w:right="180" w:firstLine="464"/>
        <w:spacing w:after="0" w:line="259" w:lineRule="auto"/>
        <w:tabs>
          <w:tab w:leader="none" w:pos="7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existence of any claim, set-off or other rights which any Cable Guarantor may have at any time against the Issuer, the Trustee, any other Cable Guarantor or any other Person, whether in connection with the Indenture or an unrelated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prevents the assertion of any such claim by separate suit or compulsory counterclaim;</w:t>
      </w:r>
    </w:p>
    <w:p>
      <w:pPr>
        <w:spacing w:after="0" w:line="140" w:lineRule="exact"/>
        <w:rPr>
          <w:rFonts w:ascii="Arial" w:cs="Arial" w:eastAsia="Arial" w:hAnsi="Arial"/>
          <w:sz w:val="18"/>
          <w:szCs w:val="18"/>
          <w:color w:val="auto"/>
        </w:rPr>
      </w:pPr>
    </w:p>
    <w:p>
      <w:pPr>
        <w:ind w:right="280" w:firstLine="464"/>
        <w:spacing w:after="0" w:line="259"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invalidity, irregularity or unenforceability relating to or against the Issuer for any reason of the Indenture or any Security, or any provision of applicable law or regulation purporting to prohibit the payment by the Issuer of the principal of or interest on any Security or any other amount payable by the Issuer under the Indenture; or</w:t>
      </w:r>
    </w:p>
    <w:p>
      <w:pPr>
        <w:spacing w:after="0" w:line="140" w:lineRule="exact"/>
        <w:rPr>
          <w:rFonts w:ascii="Arial" w:cs="Arial" w:eastAsia="Arial" w:hAnsi="Arial"/>
          <w:sz w:val="18"/>
          <w:szCs w:val="18"/>
          <w:color w:val="auto"/>
        </w:rPr>
      </w:pPr>
    </w:p>
    <w:p>
      <w:pPr>
        <w:ind w:right="160" w:firstLine="464"/>
        <w:spacing w:after="0" w:line="332" w:lineRule="auto"/>
        <w:tabs>
          <w:tab w:leader="none" w:pos="676"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other act or omission to act or delay of any kind by the Issuer, the Trustee or any other Person or any other circumstance whatsoever which might, but for the provisions of this paragraph, constitute a legal or equitable discharge of or defense to such Cable Guarantor’s obligations hereunder.</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13.03</w:t>
      </w:r>
      <w:r>
        <w:rPr>
          <w:rFonts w:ascii="Arial" w:cs="Arial" w:eastAsia="Arial" w:hAnsi="Arial"/>
          <w:sz w:val="16"/>
          <w:szCs w:val="16"/>
          <w:i w:val="1"/>
          <w:iCs w:val="1"/>
          <w:color w:val="auto"/>
        </w:rPr>
        <w:t>. Discharge; Reinstatement.</w:t>
      </w:r>
      <w:r>
        <w:rPr>
          <w:rFonts w:ascii="Arial" w:cs="Arial" w:eastAsia="Arial" w:hAnsi="Arial"/>
          <w:sz w:val="16"/>
          <w:szCs w:val="16"/>
          <w:color w:val="auto"/>
        </w:rPr>
        <w:t xml:space="preserve"> Each Cable Guarantor’s obligations hereunder will remain in full force and effect until the Principal of and interest on the Securities of each series and all other amounts payable by the Issuer under the Indenture have been paid in full. If at any time any payment of the Principal of or interest on any Security or any other amount payable by the Issuer under the Indenture is rescinded or must be otherwise restored or returned upon the insolvency, bankruptcy or reorganization of the Issuer or otherwise, each Cable Guarantor’s obligations hereunder with respect to such payment will be reinstated as though such payment had been due but not made at such time.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77" w:name="page178"/>
    <w:bookmarkEnd w:id="177"/>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13.04</w:t>
      </w:r>
      <w:r>
        <w:rPr>
          <w:rFonts w:ascii="Arial" w:cs="Arial" w:eastAsia="Arial" w:hAnsi="Arial"/>
          <w:sz w:val="16"/>
          <w:szCs w:val="16"/>
          <w:i w:val="1"/>
          <w:iCs w:val="1"/>
          <w:color w:val="auto"/>
        </w:rPr>
        <w:t>. Waiver by the Cable Guarantors.</w:t>
      </w:r>
      <w:r>
        <w:rPr>
          <w:rFonts w:ascii="Arial" w:cs="Arial" w:eastAsia="Arial" w:hAnsi="Arial"/>
          <w:sz w:val="16"/>
          <w:szCs w:val="16"/>
          <w:color w:val="auto"/>
        </w:rPr>
        <w:t xml:space="preserve"> Each Cable Guarantor irrevocably waives acceptance hereof, presentment, demand, protest and any notice not provided for herein, as well as any requirement that at any time any action be taken by any Person against the Company or any other Person.</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13.05</w:t>
      </w:r>
      <w:r>
        <w:rPr>
          <w:rFonts w:ascii="Arial" w:cs="Arial" w:eastAsia="Arial" w:hAnsi="Arial"/>
          <w:sz w:val="16"/>
          <w:szCs w:val="16"/>
          <w:i w:val="1"/>
          <w:iCs w:val="1"/>
          <w:color w:val="auto"/>
        </w:rPr>
        <w:t>. Subrogation and Contribution.</w:t>
      </w:r>
      <w:r>
        <w:rPr>
          <w:rFonts w:ascii="Arial" w:cs="Arial" w:eastAsia="Arial" w:hAnsi="Arial"/>
          <w:sz w:val="16"/>
          <w:szCs w:val="16"/>
          <w:color w:val="auto"/>
        </w:rPr>
        <w:t xml:space="preserve"> Upon making any payment with respect to any obligation of the Issuer under this Article, the Cable Guarantor making such payment will be subrogated to the rights of the payee against the Issuer with respect to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Cable Guarantor may not enforce either any right of subrogation, or any right to receive payment in the nature of contribution, or otherwise, from any other Cable Guarantor, with respect to such payment so long as any amount payable by the Issuer hereunder or under the Securities remains unpaid.</w:t>
      </w:r>
    </w:p>
    <w:p>
      <w:pPr>
        <w:spacing w:after="0" w:line="11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Section 13.06</w:t>
      </w:r>
      <w:r>
        <w:rPr>
          <w:rFonts w:ascii="Arial" w:cs="Arial" w:eastAsia="Arial" w:hAnsi="Arial"/>
          <w:sz w:val="16"/>
          <w:szCs w:val="16"/>
          <w:i w:val="1"/>
          <w:iCs w:val="1"/>
          <w:color w:val="auto"/>
        </w:rPr>
        <w:t>. Stay of Acceleration.</w:t>
      </w:r>
      <w:r>
        <w:rPr>
          <w:rFonts w:ascii="Arial" w:cs="Arial" w:eastAsia="Arial" w:hAnsi="Arial"/>
          <w:sz w:val="16"/>
          <w:szCs w:val="16"/>
          <w:color w:val="auto"/>
        </w:rPr>
        <w:t xml:space="preserve"> If acceleration of the time for payment of any amount payable by the Issuer under the Indenture or the Securities is stayed upon the insolvency, bankruptcy or reorganization of the Issuer, all such amounts otherwise subject to acceleration under the terms of the Indenture are nonetheless payable by the Cable Guarantors hereunder forthwith on demand by the Trustee or the Holders.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13.07</w:t>
      </w:r>
      <w:r>
        <w:rPr>
          <w:rFonts w:ascii="Arial" w:cs="Arial" w:eastAsia="Arial" w:hAnsi="Arial"/>
          <w:sz w:val="16"/>
          <w:szCs w:val="16"/>
          <w:i w:val="1"/>
          <w:iCs w:val="1"/>
          <w:color w:val="auto"/>
        </w:rPr>
        <w:t>. Limitation on Amount of Cable Guarantee.</w:t>
      </w:r>
      <w:r>
        <w:rPr>
          <w:rFonts w:ascii="Arial" w:cs="Arial" w:eastAsia="Arial" w:hAnsi="Arial"/>
          <w:sz w:val="16"/>
          <w:szCs w:val="16"/>
          <w:color w:val="auto"/>
        </w:rPr>
        <w:t xml:space="preserve"> Notwithstanding anything to the contrary in this Article, each Cable Guarantor, and by its acceptance of Securities, each Holder, hereby confirms that it is the intention of all such parties that the Cable Guarantee of such Cable Guarantor not constitute a fraudulent conveyance under applicable fraudulent conveyance provisions of the United States Bankruptcy Code or any comparable provision of other U.S. and non-U.S. law. To effectuate that intention, the Trustee, the Holders and the Cable Guarantors hereby irrevocably agree that the obligations of each Cable Guarantor under its Cable Guarantee are limited to the maximum amount that would not render the Cable Guarantor’s obligations subject to avoidance under applicable fraudulent conveyance provisions of the United States Bankruptcy Code or any comparable provision of other U.S. and non-U.S. law.</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13.08</w:t>
      </w:r>
      <w:r>
        <w:rPr>
          <w:rFonts w:ascii="Arial" w:cs="Arial" w:eastAsia="Arial" w:hAnsi="Arial"/>
          <w:sz w:val="18"/>
          <w:szCs w:val="18"/>
          <w:i w:val="1"/>
          <w:iCs w:val="1"/>
          <w:color w:val="auto"/>
        </w:rPr>
        <w:t>. Execution and Delivery of Cable Guarantee.</w:t>
      </w:r>
      <w:r>
        <w:rPr>
          <w:rFonts w:ascii="Arial" w:cs="Arial" w:eastAsia="Arial" w:hAnsi="Arial"/>
          <w:sz w:val="18"/>
          <w:szCs w:val="18"/>
          <w:color w:val="auto"/>
        </w:rPr>
        <w:t xml:space="preserve"> The execution by each Cable Guarantor of the Indenture evidences the Cable Guarantee of such Cable Guarantor, whether or not the person signing as an officer of the Cable Guarantor still holds that office at the time of authentication of any Security. The delivery of any Security by the Trustee after authentication constitutes due delivery of the Cable Guarantee set forth in the Indenture on behalf of each Cable Guarantor.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13.09</w:t>
      </w:r>
      <w:r>
        <w:rPr>
          <w:rFonts w:ascii="Arial" w:cs="Arial" w:eastAsia="Arial" w:hAnsi="Arial"/>
          <w:sz w:val="18"/>
          <w:szCs w:val="18"/>
          <w:i w:val="1"/>
          <w:iCs w:val="1"/>
          <w:color w:val="auto"/>
        </w:rPr>
        <w:t>. Release of Cable Guarantee.</w:t>
      </w:r>
      <w:r>
        <w:rPr>
          <w:rFonts w:ascii="Arial" w:cs="Arial" w:eastAsia="Arial" w:hAnsi="Arial"/>
          <w:sz w:val="18"/>
          <w:szCs w:val="18"/>
          <w:color w:val="auto"/>
        </w:rPr>
        <w:t xml:space="preserve"> This Cable Guarantee of a Cable Guarantor will terminate upon</w:t>
      </w:r>
    </w:p>
    <w:p>
      <w:pPr>
        <w:spacing w:after="0" w:line="90" w:lineRule="exact"/>
        <w:rPr>
          <w:sz w:val="20"/>
          <w:szCs w:val="20"/>
          <w:color w:val="auto"/>
        </w:rPr>
      </w:pPr>
    </w:p>
    <w:p>
      <w:pPr>
        <w:jc w:val="both"/>
        <w:ind w:right="100" w:firstLine="464"/>
        <w:spacing w:after="0" w:line="259"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Cable Guarantor or the sale or disposition of all or substantially all the assets of the Cable Guarantor (in each case other than to the Issuer or a Cable Guarantor or a Person who, prior to such sale or other disposition, is an affiliate of the Issuer or a Cable Guarantor);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80" w:right="279" w:bottom="1440" w:gutter="0" w:footer="0" w:header="0"/>
        </w:sectPr>
      </w:pPr>
    </w:p>
    <w:bookmarkStart w:id="178" w:name="page179"/>
    <w:bookmarkEnd w:id="1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Defeasance or discharge of the Securities, as provided in Article 9.</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Upon delivery by the Issuer to the Trustee of an Officers’ Certificate and an Opinion of Counsel to the foregoing effect, the Trustee will execute any documents reasonably required in order to evidence the release of the Cable Guarantor from its obligations under its Cable Guarantee.</w:t>
      </w:r>
    </w:p>
    <w:p>
      <w:pPr>
        <w:spacing w:after="0" w:line="7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80"/>
          </w:cols>
          <w:pgMar w:left="240" w:top="280" w:right="779" w:bottom="1440" w:gutter="0" w:footer="0" w:header="0"/>
        </w:sectPr>
      </w:pPr>
    </w:p>
    <w:bookmarkStart w:id="179" w:name="page180"/>
    <w:bookmarkEnd w:id="17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Indenture to be duly executed, and their respective corporate seals to be hereunto affixed and attested, all as of the first date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 as Issuer</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as Trustee</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Joseph A. Lloret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Joseph A. Lloret</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Mary LaGumina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180" w:name="page181"/>
    <w:bookmarkEnd w:id="180"/>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CABLE COMMUNICATIONS, HOLDINGS, INC.</w:t>
      </w:r>
    </w:p>
    <w:p>
      <w:pPr>
        <w:spacing w:after="0" w:line="24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u w:val="single" w:color="auto"/>
          <w:color w:val="auto"/>
        </w:rPr>
        <w:t>EXHIBIT 4.5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FIRST SUPPLEMENTAL INDENTURE dated as of March 25, 2003 (this “</w:t>
      </w:r>
      <w:r>
        <w:rPr>
          <w:rFonts w:ascii="Arial" w:cs="Arial" w:eastAsia="Arial" w:hAnsi="Arial"/>
          <w:sz w:val="16"/>
          <w:szCs w:val="16"/>
          <w:b w:val="1"/>
          <w:bCs w:val="1"/>
          <w:color w:val="auto"/>
        </w:rPr>
        <w:t>Supplemental Indenture</w:t>
      </w:r>
      <w:r>
        <w:rPr>
          <w:rFonts w:ascii="Arial" w:cs="Arial" w:eastAsia="Arial" w:hAnsi="Arial"/>
          <w:sz w:val="16"/>
          <w:szCs w:val="16"/>
          <w:color w:val="auto"/>
        </w:rPr>
        <w:t>”), among Comcast Corporation, a Delaware corporation (excluding its Subsidiaries,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Comcast</w:t>
      </w:r>
      <w:r>
        <w:rPr>
          <w:rFonts w:ascii="Arial" w:cs="Arial" w:eastAsia="Arial" w:hAnsi="Arial"/>
          <w:sz w:val="16"/>
          <w:szCs w:val="16"/>
          <w:color w:val="auto"/>
        </w:rPr>
        <w:t>”), Comcast Cable Holdings, LLC, a Delaware limited liability company, (excluding its Subsidiaries, “</w:t>
      </w:r>
      <w:r>
        <w:rPr>
          <w:rFonts w:ascii="Arial" w:cs="Arial" w:eastAsia="Arial" w:hAnsi="Arial"/>
          <w:sz w:val="16"/>
          <w:szCs w:val="16"/>
          <w:b w:val="1"/>
          <w:bCs w:val="1"/>
          <w:color w:val="auto"/>
        </w:rPr>
        <w:t>Comcast Cable Holdings</w:t>
      </w:r>
      <w:r>
        <w:rPr>
          <w:rFonts w:ascii="Arial" w:cs="Arial" w:eastAsia="Arial" w:hAnsi="Arial"/>
          <w:sz w:val="16"/>
          <w:szCs w:val="16"/>
          <w:color w:val="auto"/>
        </w:rPr>
        <w:t>”), Comcast Cable Communications Holdings, Inc., a Delaware corporation (excluding its Subsidiaries, “</w:t>
      </w:r>
      <w:r>
        <w:rPr>
          <w:rFonts w:ascii="Arial" w:cs="Arial" w:eastAsia="Arial" w:hAnsi="Arial"/>
          <w:sz w:val="16"/>
          <w:szCs w:val="16"/>
          <w:b w:val="1"/>
          <w:bCs w:val="1"/>
          <w:color w:val="auto"/>
        </w:rPr>
        <w:t>Comcast Cable</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Communications Holdings</w:t>
      </w:r>
      <w:r>
        <w:rPr>
          <w:rFonts w:ascii="Arial" w:cs="Arial" w:eastAsia="Arial" w:hAnsi="Arial"/>
          <w:sz w:val="16"/>
          <w:szCs w:val="16"/>
          <w:color w:val="auto"/>
        </w:rPr>
        <w:t>”), Comcast Cable Communications, Inc., a Delaware corporation (excluding its Subsidiaries, “</w:t>
      </w:r>
      <w:r>
        <w:rPr>
          <w:rFonts w:ascii="Arial" w:cs="Arial" w:eastAsia="Arial" w:hAnsi="Arial"/>
          <w:sz w:val="16"/>
          <w:szCs w:val="16"/>
          <w:b w:val="1"/>
          <w:bCs w:val="1"/>
          <w:color w:val="auto"/>
        </w:rPr>
        <w:t>Comcast Cable</w:t>
      </w:r>
      <w:r>
        <w:rPr>
          <w:rFonts w:ascii="Arial" w:cs="Arial" w:eastAsia="Arial" w:hAnsi="Arial"/>
          <w:sz w:val="16"/>
          <w:szCs w:val="16"/>
          <w:color w:val="auto"/>
        </w:rPr>
        <w:t>”), Comcast MO</w:t>
      </w:r>
      <w:r>
        <w:rPr>
          <w:rFonts w:ascii="Arial" w:cs="Arial" w:eastAsia="Arial" w:hAnsi="Arial"/>
          <w:sz w:val="16"/>
          <w:szCs w:val="16"/>
          <w:b w:val="1"/>
          <w:bCs w:val="1"/>
          <w:color w:val="auto"/>
        </w:rPr>
        <w:t xml:space="preserve"> </w:t>
      </w:r>
      <w:r>
        <w:rPr>
          <w:rFonts w:ascii="Arial" w:cs="Arial" w:eastAsia="Arial" w:hAnsi="Arial"/>
          <w:sz w:val="16"/>
          <w:szCs w:val="16"/>
          <w:color w:val="auto"/>
        </w:rPr>
        <w:t>Group, Inc., a Delaware corporation (excluding its Subsidiaries, “</w:t>
      </w:r>
      <w:r>
        <w:rPr>
          <w:rFonts w:ascii="Arial" w:cs="Arial" w:eastAsia="Arial" w:hAnsi="Arial"/>
          <w:sz w:val="16"/>
          <w:szCs w:val="16"/>
          <w:b w:val="1"/>
          <w:bCs w:val="1"/>
          <w:color w:val="auto"/>
        </w:rPr>
        <w:t>Comcast MO Group</w:t>
      </w:r>
      <w:r>
        <w:rPr>
          <w:rFonts w:ascii="Arial" w:cs="Arial" w:eastAsia="Arial" w:hAnsi="Arial"/>
          <w:sz w:val="16"/>
          <w:szCs w:val="16"/>
          <w:color w:val="auto"/>
        </w:rPr>
        <w:t>” and collectively with Comcast Cable Holdings, Comcast Cable Communications Holdings and Comcast Cable, each an “</w:t>
      </w:r>
      <w:r>
        <w:rPr>
          <w:rFonts w:ascii="Arial" w:cs="Arial" w:eastAsia="Arial" w:hAnsi="Arial"/>
          <w:sz w:val="16"/>
          <w:szCs w:val="16"/>
          <w:b w:val="1"/>
          <w:bCs w:val="1"/>
          <w:color w:val="auto"/>
        </w:rPr>
        <w:t>Original Guarantor</w:t>
      </w:r>
      <w:r>
        <w:rPr>
          <w:rFonts w:ascii="Arial" w:cs="Arial" w:eastAsia="Arial" w:hAnsi="Arial"/>
          <w:sz w:val="16"/>
          <w:szCs w:val="16"/>
          <w:color w:val="auto"/>
        </w:rPr>
        <w:t>”), Comcast MO of Delaware, Inc., a Delaware corporation (excluding its Subsidiaries, “</w:t>
      </w:r>
      <w:r>
        <w:rPr>
          <w:rFonts w:ascii="Arial" w:cs="Arial" w:eastAsia="Arial" w:hAnsi="Arial"/>
          <w:sz w:val="16"/>
          <w:szCs w:val="16"/>
          <w:b w:val="1"/>
          <w:bCs w:val="1"/>
          <w:color w:val="auto"/>
        </w:rPr>
        <w:t>Continental</w:t>
      </w:r>
      <w:r>
        <w:rPr>
          <w:rFonts w:ascii="Arial" w:cs="Arial" w:eastAsia="Arial" w:hAnsi="Arial"/>
          <w:sz w:val="16"/>
          <w:szCs w:val="16"/>
          <w:color w:val="auto"/>
        </w:rPr>
        <w:t>”) and The Bank of New York, a New York banking corporation,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1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WHEREAS, the Company is the issuer under the Indenture, dated as of January 7, 2003 among the Company, the Trustee and the Original Guarantors (the “</w:t>
      </w:r>
      <w:r>
        <w:rPr>
          <w:rFonts w:ascii="Arial" w:cs="Arial" w:eastAsia="Arial" w:hAnsi="Arial"/>
          <w:sz w:val="18"/>
          <w:szCs w:val="18"/>
          <w:b w:val="1"/>
          <w:bCs w:val="1"/>
          <w:color w:val="auto"/>
        </w:rPr>
        <w:t>Original Indenture</w:t>
      </w:r>
      <w:r>
        <w:rPr>
          <w:rFonts w:ascii="Arial" w:cs="Arial" w:eastAsia="Arial" w:hAnsi="Arial"/>
          <w:sz w:val="18"/>
          <w:szCs w:val="18"/>
          <w:color w:val="auto"/>
        </w:rPr>
        <w:t>” and together with this Supplemental Indenture, the “</w:t>
      </w:r>
      <w:r>
        <w:rPr>
          <w:rFonts w:ascii="Arial" w:cs="Arial" w:eastAsia="Arial" w:hAnsi="Arial"/>
          <w:sz w:val="18"/>
          <w:szCs w:val="18"/>
          <w:b w:val="1"/>
          <w:bCs w:val="1"/>
          <w:color w:val="auto"/>
        </w:rPr>
        <w:t>Indenture</w:t>
      </w:r>
      <w:r>
        <w:rPr>
          <w:rFonts w:ascii="Arial" w:cs="Arial" w:eastAsia="Arial" w:hAnsi="Arial"/>
          <w:sz w:val="18"/>
          <w:szCs w:val="18"/>
          <w:color w:val="auto"/>
        </w:rPr>
        <w:t>”), pursuant to which the Company issued, and the Trustee authenticated and delivered 5.85% Notes Due 2010, 6.50% Notes Due 2015, 5.50% Notes Due 2011, and 7.05% Notes Due 2033 which are, as of the date hereof, outstanding (the “</w:t>
      </w:r>
      <w:r>
        <w:rPr>
          <w:rFonts w:ascii="Arial" w:cs="Arial" w:eastAsia="Arial" w:hAnsi="Arial"/>
          <w:sz w:val="18"/>
          <w:szCs w:val="18"/>
          <w:b w:val="1"/>
          <w:bCs w:val="1"/>
          <w:color w:val="auto"/>
        </w:rPr>
        <w:t>Outstanding Securities</w:t>
      </w:r>
      <w:r>
        <w:rPr>
          <w:rFonts w:ascii="Arial" w:cs="Arial" w:eastAsia="Arial" w:hAnsi="Arial"/>
          <w:sz w:val="18"/>
          <w:szCs w:val="18"/>
          <w:color w:val="auto"/>
        </w:rPr>
        <w:t>”) and pursuant to which the Company may issue Securities in the future (the “</w:t>
      </w:r>
      <w:r>
        <w:rPr>
          <w:rFonts w:ascii="Arial" w:cs="Arial" w:eastAsia="Arial" w:hAnsi="Arial"/>
          <w:sz w:val="18"/>
          <w:szCs w:val="18"/>
          <w:b w:val="1"/>
          <w:bCs w:val="1"/>
          <w:color w:val="auto"/>
        </w:rPr>
        <w:t>New Securities</w:t>
      </w:r>
      <w:r>
        <w:rPr>
          <w:rFonts w:ascii="Arial" w:cs="Arial" w:eastAsia="Arial" w:hAnsi="Arial"/>
          <w:sz w:val="18"/>
          <w:szCs w:val="18"/>
          <w:color w:val="auto"/>
        </w:rPr>
        <w:t>,” and together with the Outstanding Securities,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each of Comcast Cable Communications Holdings, Comcast Cable, Comcast MO Group, Comcast Cable Holdings and Continental is a Wholly-Owned Subsidiary of Comcast;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is the obligor with respect to the Securities;</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WHEREAS, the Original Guarantors irrevocably, fully and unconditionally guaranteed,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WHEREAS, Continental desires to irrevocably, fully and unconditionally guarantee, jointly and severally with the Original Guarantors,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 and</w:t>
      </w:r>
    </w:p>
    <w:p>
      <w:pPr>
        <w:sectPr>
          <w:pgSz w:w="11900" w:h="16838" w:orient="portrait"/>
          <w:cols w:equalWidth="0" w:num="1">
            <w:col w:w="11420"/>
          </w:cols>
          <w:pgMar w:left="240" w:top="125" w:right="239" w:bottom="1440" w:gutter="0" w:footer="0" w:header="0"/>
        </w:sectPr>
      </w:pPr>
    </w:p>
    <w:bookmarkStart w:id="182" w:name="page183"/>
    <w:bookmarkEnd w:id="182"/>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 the Original Guarantors and Continental have requested that the Trustee execute and deliver this Supplemental Indenture and all requirements necessary to make this Supplemental Indenture a valid instrument in accordance with its terms and to make the guarantees provided under the Indenture the valid obligations of Continental, and the execution and delivery of this Supplemental Indenture have been duly authorized in all respects.</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receipt and sufficiency of which are hereby acknowledged, the Company, each Original Guarantor, Continental and the Trustee hereby agree as follows for the equal and ratable benefit of the holders of the Securities: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Certain Terms Defined.</w:t>
      </w:r>
      <w:r>
        <w:rPr>
          <w:rFonts w:ascii="Arial" w:cs="Arial" w:eastAsia="Arial" w:hAnsi="Arial"/>
          <w:sz w:val="18"/>
          <w:szCs w:val="18"/>
          <w:color w:val="auto"/>
        </w:rPr>
        <w:t xml:space="preserve"> The Indenture is hereby amended as follows:</w:t>
      </w:r>
    </w:p>
    <w:p>
      <w:pPr>
        <w:spacing w:after="0" w:line="84"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Guarantor</w:t>
      </w:r>
      <w:r>
        <w:rPr>
          <w:rFonts w:ascii="Arial" w:cs="Arial" w:eastAsia="Arial" w:hAnsi="Arial"/>
          <w:sz w:val="18"/>
          <w:szCs w:val="18"/>
          <w:color w:val="auto"/>
        </w:rPr>
        <w:t>” means each of Comcast Cable Holdings, Comcast Cable Communications Holdings, Comcast Cable, Comcast MO Group, and Continental.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UARANTEES</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Guarantee</w:t>
      </w:r>
      <w:r>
        <w:rPr>
          <w:rFonts w:ascii="Arial" w:cs="Arial" w:eastAsia="Arial" w:hAnsi="Arial"/>
          <w:sz w:val="16"/>
          <w:szCs w:val="16"/>
          <w:color w:val="auto"/>
        </w:rPr>
        <w:t>. Continental hereby agrees to be bound by all obligations of a Cable Guarantor as set forth under the Indenture including, but not limited to irrevocably, fully and unconditionally guaranteeing,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 upon the terms and subject to the conditions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13.10 is hereby added to Article 13 of the Original Indenture:</w:t>
      </w:r>
    </w:p>
    <w:p>
      <w:pPr>
        <w:spacing w:after="0" w:line="9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 xml:space="preserve">“Section 13.10. </w:t>
      </w:r>
      <w:r>
        <w:rPr>
          <w:rFonts w:ascii="Arial" w:cs="Arial" w:eastAsia="Arial" w:hAnsi="Arial"/>
          <w:sz w:val="15"/>
          <w:szCs w:val="15"/>
          <w:i w:val="1"/>
          <w:iCs w:val="1"/>
          <w:color w:val="auto"/>
        </w:rPr>
        <w:t>Additional Cable Guarantors.</w:t>
      </w:r>
      <w:r>
        <w:rPr>
          <w:rFonts w:ascii="Arial" w:cs="Arial" w:eastAsia="Arial" w:hAnsi="Arial"/>
          <w:sz w:val="15"/>
          <w:szCs w:val="15"/>
          <w:color w:val="auto"/>
        </w:rPr>
        <w:t xml:space="preserve"> If, from time to time, a Comcast Subsidiary desires to be added as a Cable Guarantor under the Indenture and such Subsidiary agrees to assume all the obligations of a Cable Guarantor under the Indenture including without limitation, the obligations specified under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3" w:name="page184"/>
    <w:bookmarkEnd w:id="183"/>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Article 13, such Subsidiary may be added to the definition of “Cable Guarantor” under the Indenture by entering into a written agreement with the Company and the Trustee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Execution of such written agreement by a Subsidiary evidences the Cable Guarantee of such Subsidiary and constitutes due delivery of the Cable Guarantee as set forth in this Supplemental Indenture on behalf of the Subsidiary with respect to the Outstanding Securities. The execution of such written agreement evidences the Cable Guarantee of such Subsidiary with respect to any New Security, whether or not the person signing as an officer of the Subsidiary still holds that office at the time of authentication of such New Security. The delivery of any New Security by the Trustee after authentication constitutes due delivery of the Cable Guarantees as set forth in this Supplemental Indenture on behalf of the Subsidiary.”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Date and Time of Effectiveness.</w:t>
      </w:r>
      <w:r>
        <w:rPr>
          <w:rFonts w:ascii="Arial" w:cs="Arial" w:eastAsia="Arial" w:hAnsi="Arial"/>
          <w:sz w:val="18"/>
          <w:szCs w:val="18"/>
          <w:color w:val="auto"/>
        </w:rPr>
        <w:t xml:space="preserve"> This Supplemental Indenture shall become a legally effective and binding instrument at and as of the date hereof.</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Supplemental Indenture Incorporated Into Indenture.</w:t>
      </w:r>
      <w:r>
        <w:rPr>
          <w:rFonts w:ascii="Arial" w:cs="Arial" w:eastAsia="Arial" w:hAnsi="Arial"/>
          <w:sz w:val="18"/>
          <w:szCs w:val="18"/>
          <w:color w:val="auto"/>
        </w:rPr>
        <w:t xml:space="preserve">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Outstanding Securities Deemed Conformed.</w:t>
      </w:r>
      <w:r>
        <w:rPr>
          <w:rFonts w:ascii="Arial" w:cs="Arial" w:eastAsia="Arial" w:hAnsi="Arial"/>
          <w:sz w:val="18"/>
          <w:szCs w:val="18"/>
          <w:color w:val="auto"/>
        </w:rPr>
        <w:t xml:space="preserve"> As of the date hereof, the provisions of the Outstanding Securities shall be deemed o be conformed, without the necessity for any reissuance or exchange of such Outstanding Security or any other action on the party of the holders of Outstanding Securities, the Company or the Trustee, so as to reflect this Supplemental Indenture.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Separability.</w:t>
      </w:r>
      <w:r>
        <w:rPr>
          <w:rFonts w:ascii="Arial" w:cs="Arial" w:eastAsia="Arial" w:hAnsi="Arial"/>
          <w:sz w:val="18"/>
          <w:szCs w:val="18"/>
          <w:color w:val="auto"/>
        </w:rPr>
        <w:t xml:space="preserve">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Benefits of Supplemental Indenture.</w:t>
      </w:r>
      <w:r>
        <w:rPr>
          <w:rFonts w:ascii="Arial" w:cs="Arial" w:eastAsia="Arial" w:hAnsi="Arial"/>
          <w:sz w:val="18"/>
          <w:szCs w:val="18"/>
          <w:color w:val="auto"/>
        </w:rPr>
        <w:t xml:space="preserve">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4" w:name="page185"/>
    <w:bookmarkEnd w:id="184"/>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3.06</w:t>
      </w:r>
      <w:r>
        <w:rPr>
          <w:rFonts w:ascii="Arial" w:cs="Arial" w:eastAsia="Arial" w:hAnsi="Arial"/>
          <w:sz w:val="18"/>
          <w:szCs w:val="18"/>
          <w:i w:val="1"/>
          <w:iCs w:val="1"/>
          <w:color w:val="auto"/>
        </w:rPr>
        <w:t>. Successors.</w:t>
      </w:r>
      <w:r>
        <w:rPr>
          <w:rFonts w:ascii="Arial" w:cs="Arial" w:eastAsia="Arial" w:hAnsi="Arial"/>
          <w:sz w:val="18"/>
          <w:szCs w:val="18"/>
          <w:color w:val="auto"/>
        </w:rPr>
        <w:t xml:space="preserve"> Subject to Section 13.09 of the Original Indenture dated as of January 7, 2003, all agreements of the Company, the Guarantors and the Trustee in this Supplemental Indenture and in the Indenture shall bind their respective successors.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 New York Law to Govern.</w:t>
      </w:r>
      <w:r>
        <w:rPr>
          <w:rFonts w:ascii="Arial" w:cs="Arial" w:eastAsia="Arial" w:hAnsi="Arial"/>
          <w:sz w:val="18"/>
          <w:szCs w:val="18"/>
          <w:color w:val="auto"/>
        </w:rPr>
        <w:t xml:space="preserve"> This Supplemental Indenture shall be deemed to be a contract under the laws of the State of New York, and for all purposes shall be construed in accordance with the laws of such State.</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Section 3.08</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Supplemental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3.09</w:t>
      </w:r>
      <w:r>
        <w:rPr>
          <w:rFonts w:ascii="Arial" w:cs="Arial" w:eastAsia="Arial" w:hAnsi="Arial"/>
          <w:sz w:val="16"/>
          <w:szCs w:val="16"/>
          <w:i w:val="1"/>
          <w:iCs w:val="1"/>
          <w:color w:val="auto"/>
        </w:rPr>
        <w:t>. Effect Of Headings.</w:t>
      </w:r>
      <w:r>
        <w:rPr>
          <w:rFonts w:ascii="Arial" w:cs="Arial" w:eastAsia="Arial" w:hAnsi="Arial"/>
          <w:sz w:val="16"/>
          <w:szCs w:val="16"/>
          <w:color w:val="auto"/>
        </w:rPr>
        <w:t xml:space="preserve"> The Article and Section headings herein are for convenience only and shall not affect the construction hereof.</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Trustee</w:t>
      </w:r>
      <w:r>
        <w:rPr>
          <w:rFonts w:ascii="Arial" w:cs="Arial" w:eastAsia="Arial" w:hAnsi="Arial"/>
          <w:sz w:val="18"/>
          <w:szCs w:val="18"/>
          <w:color w:val="auto"/>
        </w:rPr>
        <w:t>. The Trustee makes no representations as to the validity or sufficiency of this Supplemental Indenture. The statements and recitals herein are deemed to be those of the Company and the Guarantor and not of the Trustee.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185" w:name="page186"/>
    <w:bookmarkEnd w:id="185"/>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the parties have caused this Supplemental Indenture to be duly executed, and its corporate seal to be hereunto affixed and attested, all as of the first date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COMCAST CABLE COMMUNICATIONS HOLDINGS, INC.</w:t>
      </w:r>
    </w:p>
    <w:p>
      <w:pPr>
        <w:spacing w:after="0" w:line="24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bookmarkStart w:id="186" w:name="page187"/>
    <w:bookmarkEnd w:id="186"/>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MO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COMCAST CABLE HOLDINGS, LLC</w:t>
      </w:r>
    </w:p>
    <w:p>
      <w:pPr>
        <w:spacing w:after="0" w:line="24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COMCAST MO OF DELAWARE, INC.</w:t>
      </w:r>
    </w:p>
    <w:p>
      <w:pPr>
        <w:spacing w:after="0" w:line="24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 Finance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87" w:name="page188"/>
    <w:bookmarkEnd w:id="187"/>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OF NEW YORK, as Trustee</w:t>
      </w:r>
    </w:p>
    <w:p>
      <w:pPr>
        <w:spacing w:after="0" w:line="24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Ming J.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Ming J. Ryan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Geovanni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40" w:type="dxa"/>
            <w:vAlign w:val="bottom"/>
            <w:gridSpan w:val="2"/>
          </w:tcPr>
          <w:p>
            <w:pPr>
              <w:ind w:left="3760"/>
              <w:spacing w:after="0"/>
              <w:rPr>
                <w:sz w:val="20"/>
                <w:szCs w:val="20"/>
                <w:color w:val="auto"/>
              </w:rPr>
            </w:pPr>
            <w:r>
              <w:rPr>
                <w:rFonts w:ascii="Arial" w:cs="Arial" w:eastAsia="Arial" w:hAnsi="Arial"/>
                <w:sz w:val="18"/>
                <w:szCs w:val="18"/>
                <w:color w:val="auto"/>
                <w:w w:val="92"/>
              </w:rPr>
              <w:t>Exhibit A</w:t>
            </w:r>
          </w:p>
        </w:tc>
      </w:tr>
      <w:tr>
        <w:trPr>
          <w:trHeight w:val="358"/>
        </w:trPr>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Additional Guarantor Agreement</w:t>
            </w:r>
          </w:p>
        </w:tc>
        <w:tc>
          <w:tcPr>
            <w:tcW w:w="3860" w:type="dxa"/>
            <w:vAlign w:val="bottom"/>
            <w:gridSpan w:val="3"/>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358"/>
        </w:trPr>
        <w:tc>
          <w:tcPr>
            <w:tcW w:w="6020" w:type="dxa"/>
            <w:vAlign w:val="bottom"/>
            <w:gridSpan w:val="4"/>
          </w:tcPr>
          <w:p>
            <w:pPr>
              <w:ind w:left="460"/>
              <w:spacing w:after="0"/>
              <w:rPr>
                <w:sz w:val="20"/>
                <w:szCs w:val="20"/>
                <w:color w:val="auto"/>
              </w:rPr>
            </w:pPr>
            <w:r>
              <w:rPr>
                <w:rFonts w:ascii="Arial" w:cs="Arial" w:eastAsia="Arial" w:hAnsi="Arial"/>
                <w:sz w:val="18"/>
                <w:szCs w:val="18"/>
                <w:color w:val="auto"/>
                <w:w w:val="90"/>
              </w:rPr>
              <w:t>This Additional Guarantor Agreement (the “</w:t>
            </w:r>
            <w:r>
              <w:rPr>
                <w:rFonts w:ascii="Arial" w:cs="Arial" w:eastAsia="Arial" w:hAnsi="Arial"/>
                <w:sz w:val="18"/>
                <w:szCs w:val="18"/>
                <w:b w:val="1"/>
                <w:bCs w:val="1"/>
                <w:color w:val="auto"/>
                <w:w w:val="90"/>
              </w:rPr>
              <w:t>Agreement</w:t>
            </w:r>
            <w:r>
              <w:rPr>
                <w:rFonts w:ascii="Arial" w:cs="Arial" w:eastAsia="Arial" w:hAnsi="Arial"/>
                <w:sz w:val="18"/>
                <w:szCs w:val="18"/>
                <w:color w:val="auto"/>
                <w:w w:val="90"/>
              </w:rPr>
              <w:t>”) is entered into as of</w:t>
            </w:r>
          </w:p>
        </w:tc>
        <w:tc>
          <w:tcPr>
            <w:tcW w:w="520" w:type="dxa"/>
            <w:vAlign w:val="bottom"/>
          </w:tcPr>
          <w:p>
            <w:pPr>
              <w:spacing w:after="0"/>
              <w:rPr>
                <w:sz w:val="24"/>
                <w:szCs w:val="24"/>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w w:val="89"/>
              </w:rPr>
              <w:t>, 200  among Comcast Corporation, a Pennsylvania corporation (the</w:t>
            </w:r>
          </w:p>
        </w:tc>
      </w:tr>
      <w:tr>
        <w:trPr>
          <w:trHeight w:val="20"/>
        </w:trPr>
        <w:tc>
          <w:tcPr>
            <w:tcW w:w="2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196"/>
        </w:trPr>
        <w:tc>
          <w:tcPr>
            <w:tcW w:w="3020" w:type="dxa"/>
            <w:vAlign w:val="bottom"/>
            <w:gridSpan w:val="2"/>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Comcast</w:t>
            </w:r>
            <w:r>
              <w:rPr>
                <w:rFonts w:ascii="Arial" w:cs="Arial" w:eastAsia="Arial" w:hAnsi="Arial"/>
                <w:sz w:val="18"/>
                <w:szCs w:val="18"/>
                <w:color w:val="auto"/>
              </w:rPr>
              <w:t>”), [</w:t>
            </w:r>
          </w:p>
        </w:tc>
        <w:tc>
          <w:tcPr>
            <w:tcW w:w="8400" w:type="dxa"/>
            <w:vAlign w:val="bottom"/>
            <w:gridSpan w:val="8"/>
          </w:tcPr>
          <w:p>
            <w:pPr>
              <w:spacing w:after="0" w:line="196" w:lineRule="exact"/>
              <w:rPr>
                <w:sz w:val="20"/>
                <w:szCs w:val="20"/>
                <w:color w:val="auto"/>
              </w:rPr>
            </w:pPr>
            <w:r>
              <w:rPr>
                <w:rFonts w:ascii="Arial" w:cs="Arial" w:eastAsia="Arial" w:hAnsi="Arial"/>
                <w:sz w:val="18"/>
                <w:szCs w:val="18"/>
                <w:color w:val="auto"/>
                <w:w w:val="97"/>
              </w:rPr>
              <w:t>] (the “</w:t>
            </w:r>
            <w:r>
              <w:rPr>
                <w:rFonts w:ascii="Arial" w:cs="Arial" w:eastAsia="Arial" w:hAnsi="Arial"/>
                <w:sz w:val="18"/>
                <w:szCs w:val="18"/>
                <w:b w:val="1"/>
                <w:bCs w:val="1"/>
                <w:color w:val="auto"/>
                <w:w w:val="97"/>
              </w:rPr>
              <w:t>New Cable Guarantor</w:t>
            </w:r>
            <w:r>
              <w:rPr>
                <w:rFonts w:ascii="Arial" w:cs="Arial" w:eastAsia="Arial" w:hAnsi="Arial"/>
                <w:sz w:val="18"/>
                <w:szCs w:val="18"/>
                <w:color w:val="auto"/>
                <w:w w:val="97"/>
              </w:rPr>
              <w:t>”), and The Bank of New York, a New York banking corporation, as trustee (the</w:t>
            </w:r>
          </w:p>
        </w:tc>
      </w:tr>
      <w:tr>
        <w:trPr>
          <w:trHeight w:val="235"/>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w:t>
            </w:r>
          </w:p>
        </w:tc>
        <w:tc>
          <w:tcPr>
            <w:tcW w:w="88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firstLine="456"/>
        <w:spacing w:after="0" w:line="291" w:lineRule="auto"/>
        <w:rPr>
          <w:sz w:val="20"/>
          <w:szCs w:val="20"/>
          <w:color w:val="auto"/>
        </w:rPr>
      </w:pPr>
      <w:r>
        <w:rPr>
          <w:rFonts w:ascii="Arial" w:cs="Arial" w:eastAsia="Arial" w:hAnsi="Arial"/>
          <w:sz w:val="16"/>
          <w:szCs w:val="16"/>
          <w:color w:val="auto"/>
        </w:rPr>
        <w:t>WHEREAS, the Company is the issuer under the Indenture, dated as of January 7, 2003 and a First Supplemental Indenture dated as of March 25, 2003 (collectively, the “</w:t>
      </w:r>
      <w:r>
        <w:rPr>
          <w:rFonts w:ascii="Arial" w:cs="Arial" w:eastAsia="Arial" w:hAnsi="Arial"/>
          <w:sz w:val="16"/>
          <w:szCs w:val="16"/>
          <w:b w:val="1"/>
          <w:bCs w:val="1"/>
          <w:color w:val="auto"/>
        </w:rPr>
        <w:t>Indenture</w:t>
      </w:r>
      <w:r>
        <w:rPr>
          <w:rFonts w:ascii="Arial" w:cs="Arial" w:eastAsia="Arial" w:hAnsi="Arial"/>
          <w:sz w:val="16"/>
          <w:szCs w:val="16"/>
          <w:color w:val="auto"/>
        </w:rPr>
        <w:t>”), pursuant to which the Company issued, and the Trustee authenticated and delivered, certain Securities (as defined below) which are, as of the date hereof, outstanding (the “</w:t>
      </w:r>
      <w:r>
        <w:rPr>
          <w:rFonts w:ascii="Arial" w:cs="Arial" w:eastAsia="Arial" w:hAnsi="Arial"/>
          <w:sz w:val="16"/>
          <w:szCs w:val="16"/>
          <w:b w:val="1"/>
          <w:bCs w:val="1"/>
          <w:color w:val="auto"/>
        </w:rPr>
        <w:t>Outstanding Securities</w:t>
      </w:r>
      <w:r>
        <w:rPr>
          <w:rFonts w:ascii="Arial" w:cs="Arial" w:eastAsia="Arial" w:hAnsi="Arial"/>
          <w:sz w:val="16"/>
          <w:szCs w:val="16"/>
          <w:color w:val="auto"/>
        </w:rPr>
        <w:t>”) and pursuant to which the Company may issue Securities in the future (the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and together with the Outstanding Securities, the “</w:t>
      </w:r>
      <w:r>
        <w:rPr>
          <w:rFonts w:ascii="Arial" w:cs="Arial" w:eastAsia="Arial" w:hAnsi="Arial"/>
          <w:sz w:val="16"/>
          <w:szCs w:val="16"/>
          <w:b w:val="1"/>
          <w:bCs w:val="1"/>
          <w:color w:val="auto"/>
        </w:rPr>
        <w:t>Securities</w:t>
      </w:r>
      <w:r>
        <w:rPr>
          <w:rFonts w:ascii="Arial" w:cs="Arial" w:eastAsia="Arial" w:hAnsi="Arial"/>
          <w:sz w:val="16"/>
          <w:szCs w:val="16"/>
          <w:color w:val="auto"/>
        </w:rPr>
        <w:t>”) which Securities have been guaranteed by Comcast Cable Holdings, LLC,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liability company, Comcast Cable Communications, Inc., a Delaware corporation, Comcast Cable Communications Holdings, Inc., a Delaware corporation, Comcast MO Group, Inc., a Delaware corporation, and Comcast MO of Delaware, Inc., a Delaware corporation;</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pursuant to Section 13.10 of the Indenture, the New Cable Guarantor may become a Cable Guarantor under the Indenture by entering into this Agreement among the New Cable Guarantor, the Company and the Trustee; and</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New Cable Guarantor wishes to enter into this Agreement to make the guarantees as provided under the Indenture a valid obligation of the New Cable Guarantor, and the execution and delivery of this Agreement have been duly authorized in all respects;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receipt and sufficiency of which are hereby acknowledged, the Company, the New Cable Guarantor, and the Trustee hereby agree as follows for the equal and ratable benefit of the holders of the Securities:</w:t>
      </w:r>
    </w:p>
    <w:p>
      <w:pPr>
        <w:spacing w:after="0" w:line="53" w:lineRule="exact"/>
        <w:rPr>
          <w:sz w:val="20"/>
          <w:szCs w:val="20"/>
          <w:color w:val="auto"/>
        </w:rPr>
      </w:pPr>
    </w:p>
    <w:p>
      <w:pPr>
        <w:ind w:right="80" w:firstLine="464"/>
        <w:spacing w:after="0" w:line="296"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parties hereby agree to the addition of the New Cable Guarantor to the definition of “</w:t>
      </w:r>
      <w:r>
        <w:rPr>
          <w:rFonts w:ascii="Arial" w:cs="Arial" w:eastAsia="Arial" w:hAnsi="Arial"/>
          <w:sz w:val="16"/>
          <w:szCs w:val="16"/>
          <w:b w:val="1"/>
          <w:bCs w:val="1"/>
          <w:color w:val="auto"/>
        </w:rPr>
        <w:t>Cable Guarantor</w:t>
      </w:r>
      <w:r>
        <w:rPr>
          <w:rFonts w:ascii="Arial" w:cs="Arial" w:eastAsia="Arial" w:hAnsi="Arial"/>
          <w:sz w:val="16"/>
          <w:szCs w:val="16"/>
          <w:color w:val="auto"/>
        </w:rPr>
        <w:t>” under the Indenture and the New Cable Guarantor agrees to be bound by all obligations of a Cable Guarantor as set forth under the Indenture including, but not limited to irrevocably, fully and unconditionally guaranteeing,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 upon the terms and subject to the conditions of the Indenture.</w:t>
      </w:r>
    </w:p>
    <w:p>
      <w:pPr>
        <w:sectPr>
          <w:pgSz w:w="11900" w:h="16838" w:orient="portrait"/>
          <w:cols w:equalWidth="0" w:num="1">
            <w:col w:w="11420"/>
          </w:cols>
          <w:pgMar w:left="240" w:top="257" w:right="239" w:bottom="1440" w:gutter="0" w:footer="0" w:header="0"/>
        </w:sectPr>
      </w:pPr>
    </w:p>
    <w:bookmarkStart w:id="189" w:name="page190"/>
    <w:bookmarkEnd w:id="189"/>
    <w:p>
      <w:pPr>
        <w:ind w:left="-80" w:firstLine="464"/>
        <w:spacing w:after="0" w:line="268" w:lineRule="auto"/>
        <w:tabs>
          <w:tab w:leader="none" w:pos="552"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shall be deemed to be a contract under the laws of the State of New York, and for all purposes shall be construed in accordance with the laws of such State.</w:t>
      </w:r>
    </w:p>
    <w:p>
      <w:pPr>
        <w:spacing w:after="0" w:line="131" w:lineRule="exact"/>
        <w:rPr>
          <w:rFonts w:ascii="Arial" w:cs="Arial" w:eastAsia="Arial" w:hAnsi="Arial"/>
          <w:sz w:val="18"/>
          <w:szCs w:val="18"/>
          <w:color w:val="auto"/>
        </w:rPr>
      </w:pPr>
    </w:p>
    <w:p>
      <w:pPr>
        <w:ind w:left="-80" w:right="160" w:firstLine="464"/>
        <w:spacing w:after="0" w:line="268" w:lineRule="auto"/>
        <w:tabs>
          <w:tab w:leader="none" w:pos="5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80"/>
          </w:cols>
          <w:pgMar w:left="320" w:top="280" w:right="299" w:bottom="1440" w:gutter="0" w:footer="0" w:header="0"/>
        </w:sectPr>
      </w:pPr>
    </w:p>
    <w:bookmarkStart w:id="190" w:name="page191"/>
    <w:bookmarkEnd w:id="19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the parties have caused this Agreement to be duly executed, and its corporate seal to be hereunto affixed and attested, all as of the first date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-5715</wp:posOffset>
            </wp:positionV>
            <wp:extent cx="25215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8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-13970</wp:posOffset>
            </wp:positionV>
            <wp:extent cx="12541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-5715</wp:posOffset>
            </wp:positionV>
            <wp:extent cx="25215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1240"/>
          </w:cols>
          <w:pgMar w:left="240" w:top="280" w:right="4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9, 2008)</w:t>
      </w:r>
    </w:p>
    <w:p>
      <w:pPr>
        <w:spacing w:after="0" w:line="212" w:lineRule="exact"/>
        <w:rPr>
          <w:sz w:val="20"/>
          <w:szCs w:val="20"/>
          <w:color w:val="auto"/>
        </w:rPr>
      </w:pPr>
    </w:p>
    <w:p>
      <w:pPr>
        <w:ind w:left="1480" w:hanging="567"/>
        <w:spacing w:after="0"/>
        <w:tabs>
          <w:tab w:leader="none" w:pos="1480"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96" w:lineRule="exact"/>
        <w:rPr>
          <w:rFonts w:ascii="Arial" w:cs="Arial" w:eastAsia="Arial" w:hAnsi="Arial"/>
          <w:sz w:val="18"/>
          <w:szCs w:val="18"/>
          <w:b w:val="1"/>
          <w:bCs w:val="1"/>
          <w:color w:val="auto"/>
        </w:rPr>
      </w:pPr>
    </w:p>
    <w:p>
      <w:pPr>
        <w:ind w:firstLine="921"/>
        <w:spacing w:after="0" w:line="268" w:lineRule="auto"/>
        <w:tabs>
          <w:tab w:leader="none" w:pos="1152" w:val="left"/>
        </w:tabs>
        <w:numPr>
          <w:ilvl w:val="2"/>
          <w:numId w:val="100"/>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2002 Stock Option Plan (the “Plan”), effective December 9, 2008.</w:t>
      </w:r>
    </w:p>
    <w:p>
      <w:pPr>
        <w:spacing w:after="0" w:line="131" w:lineRule="exact"/>
        <w:rPr>
          <w:rFonts w:ascii="Arial" w:cs="Arial" w:eastAsia="Arial" w:hAnsi="Arial"/>
          <w:sz w:val="18"/>
          <w:szCs w:val="18"/>
          <w:color w:val="auto"/>
        </w:rPr>
      </w:pPr>
    </w:p>
    <w:p>
      <w:pPr>
        <w:ind w:right="20" w:firstLine="921"/>
        <w:spacing w:after="0" w:line="259" w:lineRule="auto"/>
        <w:tabs>
          <w:tab w:leader="none" w:pos="1161" w:val="left"/>
        </w:tabs>
        <w:numPr>
          <w:ilvl w:val="2"/>
          <w:numId w:val="100"/>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74" w:lineRule="exact"/>
        <w:rPr>
          <w:rFonts w:ascii="Arial" w:cs="Arial" w:eastAsia="Arial" w:hAnsi="Arial"/>
          <w:sz w:val="18"/>
          <w:szCs w:val="18"/>
          <w:color w:val="auto"/>
        </w:rPr>
      </w:pPr>
    </w:p>
    <w:p>
      <w:pPr>
        <w:ind w:left="1480" w:hanging="567"/>
        <w:spacing w:after="0"/>
        <w:tabs>
          <w:tab w:leader="none" w:pos="1480"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jc w:val="both"/>
        <w:ind w:right="200" w:firstLine="921"/>
        <w:spacing w:after="0" w:line="256" w:lineRule="auto"/>
        <w:tabs>
          <w:tab w:leader="none" w:pos="115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240" w:firstLine="921"/>
        <w:spacing w:after="0" w:line="268" w:lineRule="auto"/>
        <w:tabs>
          <w:tab w:leader="none" w:pos="116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rFonts w:ascii="Arial" w:cs="Arial" w:eastAsia="Arial" w:hAnsi="Arial"/>
          <w:sz w:val="16"/>
          <w:szCs w:val="16"/>
          <w:color w:val="auto"/>
        </w:rPr>
      </w:pPr>
    </w:p>
    <w:p>
      <w:pPr>
        <w:ind w:right="80" w:firstLine="8"/>
        <w:spacing w:after="0" w:line="254" w:lineRule="auto"/>
        <w:tabs>
          <w:tab w:leader="none" w:pos="2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pacing w:after="0" w:line="143" w:lineRule="exact"/>
        <w:rPr>
          <w:rFonts w:ascii="Arial" w:cs="Arial" w:eastAsia="Arial" w:hAnsi="Arial"/>
          <w:sz w:val="18"/>
          <w:szCs w:val="18"/>
          <w:color w:val="auto"/>
        </w:rPr>
      </w:pPr>
    </w:p>
    <w:p>
      <w:pPr>
        <w:ind w:left="1140" w:hanging="219"/>
        <w:spacing w:after="0"/>
        <w:tabs>
          <w:tab w:leader="none" w:pos="114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w:t>
      </w:r>
    </w:p>
    <w:p>
      <w:pPr>
        <w:sectPr>
          <w:pgSz w:w="11900" w:h="16838" w:orient="portrait"/>
          <w:cols w:equalWidth="0" w:num="1">
            <w:col w:w="11420"/>
          </w:cols>
          <w:pgMar w:left="240" w:top="125" w:right="239" w:bottom="1440" w:gutter="0" w:footer="0" w:header="0"/>
        </w:sectPr>
      </w:pPr>
    </w:p>
    <w:bookmarkStart w:id="192" w:name="page193"/>
    <w:bookmarkEnd w:id="19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40" w:lineRule="exact"/>
        <w:rPr>
          <w:sz w:val="20"/>
          <w:szCs w:val="20"/>
          <w:color w:val="auto"/>
        </w:rPr>
      </w:pPr>
    </w:p>
    <w:p>
      <w:pPr>
        <w:ind w:left="1160" w:hanging="239"/>
        <w:spacing w:after="0"/>
        <w:tabs>
          <w:tab w:leader="none" w:pos="1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460" w:right="340" w:firstLine="443"/>
        <w:spacing w:after="0" w:line="335" w:lineRule="auto"/>
        <w:tabs>
          <w:tab w:leader="none" w:pos="114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Comcast Plan</w:t>
      </w:r>
      <w:r>
        <w:rPr>
          <w:rFonts w:ascii="Arial" w:cs="Arial" w:eastAsia="Arial" w:hAnsi="Arial"/>
          <w:sz w:val="15"/>
          <w:szCs w:val="15"/>
          <w:color w:val="auto"/>
        </w:rPr>
        <w:t>” means any restricted stock, stock bonus, stock option or other compensation plan, program or arrangement established or maintained by the Sponsor or an Affiliate of the Sponsor, including, but not limited to this Plan, the Comcast Corporation 2003 Stock Option Plan, the Comcast Corporation 2002 Restricted Stock Plan, the Comcast Corporation 1987 Stock Option Plan and the AT&amp;T Broadband Corp. Adjustment Plan.</w:t>
      </w:r>
    </w:p>
    <w:p>
      <w:pPr>
        <w:spacing w:after="0" w:line="88" w:lineRule="exact"/>
        <w:rPr>
          <w:rFonts w:ascii="Arial" w:cs="Arial" w:eastAsia="Arial" w:hAnsi="Arial"/>
          <w:sz w:val="15"/>
          <w:szCs w:val="15"/>
          <w:color w:val="auto"/>
        </w:rPr>
      </w:pPr>
    </w:p>
    <w:p>
      <w:pPr>
        <w:ind w:left="1140" w:hanging="219"/>
        <w:spacing w:after="0"/>
        <w:tabs>
          <w:tab w:leader="none" w:pos="11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all references to the Committee shall be treated as references to the Board with respect to any Option granted to or held by a Non-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 Director; and</w:t>
      </w:r>
    </w:p>
    <w:p>
      <w:pPr>
        <w:spacing w:after="0" w:line="164" w:lineRule="exact"/>
        <w:rPr>
          <w:rFonts w:ascii="Arial" w:cs="Arial" w:eastAsia="Arial" w:hAnsi="Arial"/>
          <w:sz w:val="16"/>
          <w:szCs w:val="16"/>
          <w:color w:val="auto"/>
        </w:rPr>
      </w:pPr>
    </w:p>
    <w:p>
      <w:pPr>
        <w:ind w:right="160" w:firstLine="1492"/>
        <w:spacing w:after="0" w:line="268" w:lineRule="auto"/>
        <w:tabs>
          <w:tab w:leader="none" w:pos="1742"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171"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15" w:lineRule="exact"/>
        <w:rPr>
          <w:rFonts w:ascii="Arial" w:cs="Arial" w:eastAsia="Arial" w:hAnsi="Arial"/>
          <w:sz w:val="16"/>
          <w:szCs w:val="16"/>
          <w:color w:val="auto"/>
        </w:rPr>
      </w:pPr>
    </w:p>
    <w:p>
      <w:pPr>
        <w:ind w:right="640" w:firstLine="921"/>
        <w:spacing w:after="0" w:line="268" w:lineRule="auto"/>
        <w:tabs>
          <w:tab w:leader="none" w:pos="116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93" w:name="page194"/>
    <w:bookmarkEnd w:id="193"/>
    <w:p>
      <w:pPr>
        <w:ind w:firstLine="921"/>
        <w:spacing w:after="0" w:line="298" w:lineRule="auto"/>
        <w:tabs>
          <w:tab w:leader="none" w:pos="11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12" w:lineRule="exact"/>
        <w:rPr>
          <w:rFonts w:ascii="Arial" w:cs="Arial" w:eastAsia="Arial" w:hAnsi="Arial"/>
          <w:sz w:val="16"/>
          <w:szCs w:val="16"/>
          <w:color w:val="auto"/>
        </w:rPr>
      </w:pPr>
    </w:p>
    <w:p>
      <w:pPr>
        <w:ind w:right="700" w:firstLine="921"/>
        <w:spacing w:after="0" w:line="332" w:lineRule="auto"/>
        <w:tabs>
          <w:tab w:leader="none" w:pos="11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right="240" w:firstLine="1492"/>
        <w:spacing w:after="0" w:line="268" w:lineRule="auto"/>
        <w:tabs>
          <w:tab w:leader="none" w:pos="169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131" w:lineRule="exact"/>
        <w:rPr>
          <w:rFonts w:ascii="Arial" w:cs="Arial" w:eastAsia="Arial" w:hAnsi="Arial"/>
          <w:sz w:val="18"/>
          <w:szCs w:val="18"/>
          <w:color w:val="auto"/>
        </w:rPr>
      </w:pPr>
    </w:p>
    <w:p>
      <w:pPr>
        <w:ind w:right="160" w:firstLine="1492"/>
        <w:spacing w:after="0" w:line="268" w:lineRule="auto"/>
        <w:tabs>
          <w:tab w:leader="none" w:pos="174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Optionee</w:t>
      </w:r>
      <w:r>
        <w:rPr>
          <w:rFonts w:ascii="Arial" w:cs="Arial" w:eastAsia="Arial" w:hAnsi="Arial"/>
          <w:sz w:val="15"/>
          <w:szCs w:val="15"/>
          <w:color w:val="auto"/>
        </w:rPr>
        <w:t>” means a person to whom an Option has been granted under the Plan, which Option has not been exercised in full and has not expired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terminated.</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right="240" w:firstLine="1492"/>
        <w:spacing w:after="0" w:line="332" w:lineRule="auto"/>
        <w:tabs>
          <w:tab w:leader="none" w:pos="169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85" w:lineRule="exact"/>
        <w:rPr>
          <w:rFonts w:ascii="Arial" w:cs="Arial" w:eastAsia="Arial" w:hAnsi="Arial"/>
          <w:sz w:val="16"/>
          <w:szCs w:val="16"/>
          <w:color w:val="auto"/>
        </w:rPr>
      </w:pPr>
    </w:p>
    <w:p>
      <w:pPr>
        <w:ind w:left="1760" w:hanging="268"/>
        <w:spacing w:after="0"/>
        <w:tabs>
          <w:tab w:leader="none" w:pos="17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2240" w:hanging="292"/>
        <w:spacing w:after="0"/>
        <w:tabs>
          <w:tab w:leader="none" w:pos="224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the total number of Shares owned by an Optionee or such Optionee’s Family Member other than the Shares described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Paragraph 2(v)(i); over</w:t>
      </w:r>
    </w:p>
    <w:p>
      <w:pPr>
        <w:spacing w:after="0" w:line="164" w:lineRule="exact"/>
        <w:rPr>
          <w:rFonts w:ascii="Arial" w:cs="Arial" w:eastAsia="Arial" w:hAnsi="Arial"/>
          <w:sz w:val="16"/>
          <w:szCs w:val="16"/>
          <w:color w:val="auto"/>
        </w:rPr>
      </w:pPr>
    </w:p>
    <w:p>
      <w:pPr>
        <w:ind w:left="2220" w:hanging="272"/>
        <w:spacing w:after="0"/>
        <w:tabs>
          <w:tab w:leader="none" w:pos="22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3"/>
          <w:numId w:val="104"/>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for less than six months; plus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94" w:name="page195"/>
    <w:bookmarkEnd w:id="194"/>
    <w:p>
      <w:pPr>
        <w:jc w:val="both"/>
        <w:ind w:right="200" w:firstLine="2404"/>
        <w:spacing w:after="0" w:line="370" w:lineRule="auto"/>
        <w:tabs>
          <w:tab w:leader="none" w:pos="2645" w:val="left"/>
        </w:tabs>
        <w:numPr>
          <w:ilvl w:val="0"/>
          <w:numId w:val="10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62" w:lineRule="exact"/>
        <w:rPr>
          <w:rFonts w:ascii="Arial" w:cs="Arial" w:eastAsia="Arial" w:hAnsi="Arial"/>
          <w:sz w:val="15"/>
          <w:szCs w:val="15"/>
          <w:color w:val="auto"/>
        </w:rPr>
      </w:pPr>
    </w:p>
    <w:p>
      <w:pPr>
        <w:ind w:right="60" w:firstLine="2404"/>
        <w:spacing w:after="0" w:line="256" w:lineRule="auto"/>
        <w:tabs>
          <w:tab w:leader="none" w:pos="264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43" w:lineRule="exact"/>
        <w:rPr>
          <w:rFonts w:ascii="Arial" w:cs="Arial" w:eastAsia="Arial" w:hAnsi="Arial"/>
          <w:sz w:val="18"/>
          <w:szCs w:val="18"/>
          <w:color w:val="auto"/>
        </w:rPr>
      </w:pPr>
    </w:p>
    <w:p>
      <w:pPr>
        <w:jc w:val="both"/>
        <w:ind w:right="80" w:firstLine="2404"/>
        <w:spacing w:after="0" w:line="259" w:lineRule="auto"/>
        <w:tabs>
          <w:tab w:leader="none" w:pos="264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an Optionee or such Optionee’s Family Member immediately before the consummation of the AT&amp;T Broadband Transaction that became Common Stock or Special Common Stock as a result of the AT&amp;T Broadband Transaction.</w:t>
      </w:r>
    </w:p>
    <w:p>
      <w:pPr>
        <w:spacing w:after="0" w:line="118" w:lineRule="exact"/>
        <w:rPr>
          <w:sz w:val="20"/>
          <w:szCs w:val="20"/>
          <w:color w:val="auto"/>
        </w:rPr>
      </w:pPr>
    </w:p>
    <w:p>
      <w:pPr>
        <w:ind w:right="400" w:firstLine="921"/>
        <w:spacing w:after="0" w:line="268" w:lineRule="auto"/>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Except as otherwise provided in this Paragraph 2(z), the term “Share” or “Shares” means a share or shares of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95" w:name="page196"/>
    <w:bookmarkEnd w:id="195"/>
    <w:p>
      <w:pPr>
        <w:ind w:left="-20" w:right="220" w:firstLine="1492"/>
        <w:spacing w:after="0" w:line="268" w:lineRule="auto"/>
        <w:tabs>
          <w:tab w:leader="none" w:pos="17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Options granted before the consummation of the AT&amp;T Broadband Transaction, the term “Share” or “Shares” means a share or shares of Special Common Stock.</w:t>
      </w:r>
    </w:p>
    <w:p>
      <w:pPr>
        <w:spacing w:after="0" w:line="131" w:lineRule="exact"/>
        <w:rPr>
          <w:rFonts w:ascii="Arial" w:cs="Arial" w:eastAsia="Arial" w:hAnsi="Arial"/>
          <w:sz w:val="18"/>
          <w:szCs w:val="18"/>
          <w:color w:val="auto"/>
        </w:rPr>
      </w:pPr>
    </w:p>
    <w:p>
      <w:pPr>
        <w:ind w:left="1780" w:hanging="308"/>
        <w:spacing w:after="0"/>
        <w:tabs>
          <w:tab w:leader="none" w:pos="17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For purposes of Paragraphs 2(v), 7(d) and 15, the term “Share” or “Shares” also means a share or shares of Special Common Stock.</w:t>
      </w:r>
    </w:p>
    <w:p>
      <w:pPr>
        <w:spacing w:after="0" w:line="194" w:lineRule="exact"/>
        <w:rPr>
          <w:rFonts w:ascii="Arial" w:cs="Arial" w:eastAsia="Arial" w:hAnsi="Arial"/>
          <w:sz w:val="16"/>
          <w:szCs w:val="16"/>
          <w:color w:val="auto"/>
        </w:rPr>
      </w:pPr>
    </w:p>
    <w:p>
      <w:pPr>
        <w:ind w:left="-20" w:right="240" w:firstLine="1492"/>
        <w:spacing w:after="0" w:line="259" w:lineRule="auto"/>
        <w:tabs>
          <w:tab w:leader="none" w:pos="176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term “Share” or “Shares” also means such other securities issued by the Sponsor as may be the subject of an adjustment under Paragraph 10, or for purposes of Paragraph 2(u) and Paragraph 15, as may have been the subject of a similar adjustment under similar provisions of a Comcast Plan as now in effect or as may have been in effect before the AT&amp;T Broadband Transaction.</w:t>
      </w:r>
    </w:p>
    <w:p>
      <w:pPr>
        <w:spacing w:after="0" w:line="140" w:lineRule="exact"/>
        <w:rPr>
          <w:rFonts w:ascii="Arial" w:cs="Arial" w:eastAsia="Arial" w:hAnsi="Arial"/>
          <w:sz w:val="18"/>
          <w:szCs w:val="18"/>
          <w:color w:val="auto"/>
        </w:rPr>
      </w:pPr>
    </w:p>
    <w:p>
      <w:pPr>
        <w:ind w:left="1220" w:hanging="319"/>
        <w:spacing w:after="0"/>
        <w:tabs>
          <w:tab w:leader="none" w:pos="1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Sponsor’s Class A Special Common Stock, par value $0.01.</w:t>
      </w:r>
    </w:p>
    <w:p>
      <w:pPr>
        <w:spacing w:after="0" w:line="194" w:lineRule="exact"/>
        <w:rPr>
          <w:rFonts w:ascii="Arial" w:cs="Arial" w:eastAsia="Arial" w:hAnsi="Arial"/>
          <w:sz w:val="16"/>
          <w:szCs w:val="16"/>
          <w:color w:val="auto"/>
        </w:rPr>
      </w:pPr>
    </w:p>
    <w:p>
      <w:pPr>
        <w:ind w:left="-20" w:right="580" w:firstLine="921"/>
        <w:spacing w:after="0" w:line="332" w:lineRule="auto"/>
        <w:tabs>
          <w:tab w:leader="none" w:pos="122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85" w:lineRule="exact"/>
        <w:rPr>
          <w:rFonts w:ascii="Arial" w:cs="Arial" w:eastAsia="Arial" w:hAnsi="Arial"/>
          <w:sz w:val="16"/>
          <w:szCs w:val="16"/>
          <w:color w:val="auto"/>
        </w:rPr>
      </w:pPr>
    </w:p>
    <w:p>
      <w:pPr>
        <w:ind w:left="-20" w:right="200" w:firstLine="921"/>
        <w:spacing w:after="0" w:line="268" w:lineRule="auto"/>
        <w:tabs>
          <w:tab w:leader="none" w:pos="12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31" w:lineRule="exact"/>
        <w:rPr>
          <w:rFonts w:ascii="Arial" w:cs="Arial" w:eastAsia="Arial" w:hAnsi="Arial"/>
          <w:sz w:val="18"/>
          <w:szCs w:val="18"/>
          <w:color w:val="auto"/>
        </w:rPr>
      </w:pPr>
    </w:p>
    <w:p>
      <w:pPr>
        <w:ind w:left="-20" w:firstLine="921"/>
        <w:spacing w:after="0" w:line="306" w:lineRule="auto"/>
        <w:tabs>
          <w:tab w:leader="none" w:pos="122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87" w:lineRule="exact"/>
        <w:rPr>
          <w:rFonts w:ascii="Arial" w:cs="Arial" w:eastAsia="Arial" w:hAnsi="Arial"/>
          <w:sz w:val="16"/>
          <w:szCs w:val="16"/>
          <w:color w:val="auto"/>
        </w:rPr>
      </w:pPr>
    </w:p>
    <w:p>
      <w:pPr>
        <w:ind w:left="1220" w:hanging="319"/>
        <w:spacing w:after="0"/>
        <w:tabs>
          <w:tab w:leader="none" w:pos="1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680" w:hanging="208"/>
        <w:spacing w:after="0"/>
        <w:tabs>
          <w:tab w:leader="none" w:pos="16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171" w:lineRule="exact"/>
        <w:rPr>
          <w:rFonts w:ascii="Arial" w:cs="Arial" w:eastAsia="Arial" w:hAnsi="Arial"/>
          <w:sz w:val="18"/>
          <w:szCs w:val="18"/>
          <w:color w:val="auto"/>
        </w:rPr>
      </w:pPr>
    </w:p>
    <w:p>
      <w:pPr>
        <w:ind w:left="1740" w:hanging="268"/>
        <w:spacing w:after="0"/>
        <w:tabs>
          <w:tab w:leader="none" w:pos="17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20" w:right="320" w:firstLine="921"/>
        <w:spacing w:after="0" w:line="268" w:lineRule="auto"/>
        <w:tabs>
          <w:tab w:leader="none" w:pos="11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31" w:lineRule="exact"/>
        <w:rPr>
          <w:rFonts w:ascii="Arial" w:cs="Arial" w:eastAsia="Arial" w:hAnsi="Arial"/>
          <w:sz w:val="18"/>
          <w:szCs w:val="18"/>
          <w:color w:val="auto"/>
        </w:rPr>
      </w:pPr>
    </w:p>
    <w:p>
      <w:pPr>
        <w:ind w:left="1240" w:hanging="339"/>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color w:val="auto"/>
        </w:rPr>
      </w:pPr>
    </w:p>
    <w:p>
      <w:pPr>
        <w:ind w:left="1240" w:hanging="339"/>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196" w:name="page197"/>
    <w:bookmarkEnd w:id="196"/>
    <w:p>
      <w:pPr>
        <w:ind w:left="1480" w:hanging="567"/>
        <w:spacing w:after="0"/>
        <w:tabs>
          <w:tab w:leader="none" w:pos="14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To Be Granted</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171" w:lineRule="exact"/>
        <w:rPr>
          <w:rFonts w:ascii="Arial" w:cs="Arial" w:eastAsia="Arial" w:hAnsi="Arial"/>
          <w:sz w:val="18"/>
          <w:szCs w:val="18"/>
          <w:color w:val="auto"/>
        </w:rPr>
      </w:pPr>
    </w:p>
    <w:p>
      <w:pPr>
        <w:ind w:right="260" w:firstLine="1492"/>
        <w:spacing w:after="0" w:line="268" w:lineRule="auto"/>
        <w:tabs>
          <w:tab w:leader="none" w:pos="1693" w:val="left"/>
        </w:tabs>
        <w:numPr>
          <w:ilvl w:val="2"/>
          <w:numId w:val="109"/>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31" w:lineRule="exact"/>
        <w:rPr>
          <w:rFonts w:ascii="Arial" w:cs="Arial" w:eastAsia="Arial" w:hAnsi="Arial"/>
          <w:sz w:val="18"/>
          <w:szCs w:val="18"/>
          <w:color w:val="auto"/>
        </w:rPr>
      </w:pPr>
    </w:p>
    <w:p>
      <w:pPr>
        <w:ind w:firstLine="1492"/>
        <w:spacing w:after="0" w:line="268" w:lineRule="auto"/>
        <w:tabs>
          <w:tab w:leader="none" w:pos="174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determined by the Committee; and</w:t>
      </w:r>
    </w:p>
    <w:p>
      <w:pPr>
        <w:spacing w:after="0" w:line="131" w:lineRule="exact"/>
        <w:rPr>
          <w:rFonts w:ascii="Arial" w:cs="Arial" w:eastAsia="Arial" w:hAnsi="Arial"/>
          <w:sz w:val="18"/>
          <w:szCs w:val="18"/>
          <w:color w:val="auto"/>
        </w:rPr>
      </w:pPr>
    </w:p>
    <w:p>
      <w:pPr>
        <w:jc w:val="both"/>
        <w:ind w:right="120" w:firstLine="1492"/>
        <w:spacing w:after="0" w:line="259" w:lineRule="auto"/>
        <w:tabs>
          <w:tab w:leader="none" w:pos="1791" w:val="left"/>
        </w:tabs>
        <w:numPr>
          <w:ilvl w:val="2"/>
          <w:numId w:val="109"/>
        </w:numPr>
        <w:rPr>
          <w:rFonts w:ascii="Arial" w:cs="Arial" w:eastAsia="Arial" w:hAnsi="Arial"/>
          <w:sz w:val="18"/>
          <w:szCs w:val="18"/>
          <w:color w:val="auto"/>
        </w:rPr>
      </w:pPr>
      <w:r>
        <w:rPr>
          <w:rFonts w:ascii="Arial" w:cs="Arial" w:eastAsia="Arial" w:hAnsi="Arial"/>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40" w:lineRule="exact"/>
        <w:rPr>
          <w:rFonts w:ascii="Arial" w:cs="Arial" w:eastAsia="Arial" w:hAnsi="Arial"/>
          <w:sz w:val="18"/>
          <w:szCs w:val="18"/>
          <w:color w:val="auto"/>
        </w:rPr>
      </w:pPr>
    </w:p>
    <w:p>
      <w:pPr>
        <w:ind w:right="340" w:firstLine="921"/>
        <w:spacing w:after="0" w:line="268" w:lineRule="auto"/>
        <w:tabs>
          <w:tab w:leader="none" w:pos="1161"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10,000,000 Shares.</w:t>
      </w:r>
    </w:p>
    <w:p>
      <w:pPr>
        <w:spacing w:after="0" w:line="166" w:lineRule="exact"/>
        <w:rPr>
          <w:rFonts w:ascii="Arial" w:cs="Arial" w:eastAsia="Arial" w:hAnsi="Arial"/>
          <w:sz w:val="18"/>
          <w:szCs w:val="18"/>
          <w:color w:val="auto"/>
        </w:rPr>
      </w:pPr>
    </w:p>
    <w:p>
      <w:pPr>
        <w:ind w:left="1480" w:hanging="567"/>
        <w:spacing w:after="0"/>
        <w:tabs>
          <w:tab w:leader="none" w:pos="14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Subject to adjustment as provided in Paragraph 10, not more than 112,500,000 Shares in the aggregate (including Shares granted pursuant to the Plan as in effect immediately before the closing of the AT&amp;T Broadband Transaction, and as adjusted to reflect the three-for-two stock split in the form of a 50% stock dividend payable on February 21, 2007 to shareholders of record on February 14, 2007)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79" w:lineRule="exact"/>
        <w:rPr>
          <w:sz w:val="20"/>
          <w:szCs w:val="20"/>
          <w:color w:val="auto"/>
        </w:rPr>
      </w:pPr>
    </w:p>
    <w:p>
      <w:pPr>
        <w:ind w:left="1480" w:hanging="567"/>
        <w:spacing w:after="0"/>
        <w:tabs>
          <w:tab w:leader="none" w:pos="14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96" w:lineRule="exact"/>
        <w:rPr>
          <w:rFonts w:ascii="Arial" w:cs="Arial" w:eastAsia="Arial" w:hAnsi="Arial"/>
          <w:sz w:val="18"/>
          <w:szCs w:val="18"/>
          <w:b w:val="1"/>
          <w:bCs w:val="1"/>
          <w:color w:val="auto"/>
        </w:rPr>
      </w:pPr>
    </w:p>
    <w:p>
      <w:pPr>
        <w:ind w:right="20" w:firstLine="921"/>
        <w:spacing w:after="0" w:line="259" w:lineRule="auto"/>
        <w:tabs>
          <w:tab w:leader="none" w:pos="1152"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80" w:firstLine="1492"/>
        <w:spacing w:after="0" w:line="256" w:lineRule="auto"/>
        <w:tabs>
          <w:tab w:leader="none" w:pos="1693" w:val="left"/>
        </w:tabs>
        <w:numPr>
          <w:ilvl w:val="2"/>
          <w:numId w:val="110"/>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Options with respect to any employee or officer of a Company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97" w:name="page198"/>
    <w:bookmarkEnd w:id="197"/>
    <w:p>
      <w:pPr>
        <w:jc w:val="both"/>
        <w:ind w:right="220" w:firstLine="1492"/>
        <w:spacing w:after="0" w:line="256" w:lineRule="auto"/>
        <w:tabs>
          <w:tab w:leader="none" w:pos="1742"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w:t>
      </w:r>
    </w:p>
    <w:p>
      <w:pPr>
        <w:spacing w:after="0" w:line="143" w:lineRule="exact"/>
        <w:rPr>
          <w:rFonts w:ascii="Arial" w:cs="Arial" w:eastAsia="Arial" w:hAnsi="Arial"/>
          <w:sz w:val="18"/>
          <w:szCs w:val="18"/>
          <w:color w:val="auto"/>
        </w:rPr>
      </w:pPr>
    </w:p>
    <w:p>
      <w:pPr>
        <w:ind w:right="140" w:firstLine="1492"/>
        <w:spacing w:after="0" w:line="259" w:lineRule="auto"/>
        <w:tabs>
          <w:tab w:leader="none" w:pos="1791"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w:t>
      </w:r>
    </w:p>
    <w:p>
      <w:pPr>
        <w:spacing w:after="0" w:line="140" w:lineRule="exact"/>
        <w:rPr>
          <w:rFonts w:ascii="Arial" w:cs="Arial" w:eastAsia="Arial" w:hAnsi="Arial"/>
          <w:sz w:val="18"/>
          <w:szCs w:val="18"/>
          <w:color w:val="auto"/>
        </w:rPr>
      </w:pPr>
    </w:p>
    <w:p>
      <w:pPr>
        <w:ind w:left="1780" w:hanging="288"/>
        <w:spacing w:after="0"/>
        <w:tabs>
          <w:tab w:leader="none" w:pos="1780"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5(b) shall continue in effect until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earliest of:</w:t>
      </w:r>
    </w:p>
    <w:p>
      <w:pPr>
        <w:spacing w:after="0" w:line="83" w:lineRule="exact"/>
        <w:rPr>
          <w:rFonts w:ascii="Arial" w:cs="Arial" w:eastAsia="Arial" w:hAnsi="Arial"/>
          <w:sz w:val="16"/>
          <w:szCs w:val="16"/>
          <w:color w:val="auto"/>
        </w:rPr>
      </w:pPr>
    </w:p>
    <w:p>
      <w:pPr>
        <w:ind w:left="2200" w:hanging="252"/>
        <w:spacing w:after="0"/>
        <w:tabs>
          <w:tab w:leader="none" w:pos="220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71" w:lineRule="exact"/>
        <w:rPr>
          <w:rFonts w:ascii="Arial" w:cs="Arial" w:eastAsia="Arial" w:hAnsi="Arial"/>
          <w:sz w:val="18"/>
          <w:szCs w:val="18"/>
          <w:color w:val="auto"/>
        </w:rPr>
      </w:pPr>
    </w:p>
    <w:p>
      <w:pPr>
        <w:ind w:right="220" w:firstLine="1948"/>
        <w:spacing w:after="0" w:line="259" w:lineRule="auto"/>
        <w:tabs>
          <w:tab w:leader="none" w:pos="2189"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59" w:lineRule="exact"/>
        <w:rPr>
          <w:rFonts w:ascii="Arial" w:cs="Arial" w:eastAsia="Arial" w:hAnsi="Arial"/>
          <w:sz w:val="18"/>
          <w:szCs w:val="18"/>
          <w:color w:val="auto"/>
        </w:rPr>
      </w:pPr>
    </w:p>
    <w:p>
      <w:pPr>
        <w:ind w:left="2180" w:hanging="232"/>
        <w:spacing w:after="0"/>
        <w:tabs>
          <w:tab w:leader="none" w:pos="21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71" w:lineRule="exact"/>
        <w:rPr>
          <w:rFonts w:ascii="Arial" w:cs="Arial" w:eastAsia="Arial" w:hAnsi="Arial"/>
          <w:sz w:val="18"/>
          <w:szCs w:val="18"/>
          <w:color w:val="auto"/>
        </w:rPr>
      </w:pPr>
    </w:p>
    <w:p>
      <w:pPr>
        <w:ind w:right="400" w:firstLine="921"/>
        <w:spacing w:after="0" w:line="332" w:lineRule="auto"/>
        <w:tabs>
          <w:tab w:leader="none" w:pos="115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85" w:lineRule="exact"/>
        <w:rPr>
          <w:rFonts w:ascii="Arial" w:cs="Arial" w:eastAsia="Arial" w:hAnsi="Arial"/>
          <w:sz w:val="16"/>
          <w:szCs w:val="16"/>
          <w:color w:val="auto"/>
        </w:rPr>
      </w:pPr>
    </w:p>
    <w:p>
      <w:pPr>
        <w:jc w:val="both"/>
        <w:ind w:firstLine="921"/>
        <w:spacing w:after="0" w:line="298" w:lineRule="auto"/>
        <w:tabs>
          <w:tab w:leader="none" w:pos="1161"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ind w:right="100" w:firstLine="921"/>
        <w:spacing w:after="0" w:line="255" w:lineRule="auto"/>
        <w:tabs>
          <w:tab w:leader="none" w:pos="11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98" w:name="page199"/>
    <w:bookmarkEnd w:id="198"/>
    <w:p>
      <w:pPr>
        <w:ind w:left="1480" w:hanging="567"/>
        <w:spacing w:after="0"/>
        <w:tabs>
          <w:tab w:leader="none" w:pos="14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w:t>
      </w:r>
    </w:p>
    <w:p>
      <w:pPr>
        <w:spacing w:after="0" w:line="96" w:lineRule="exact"/>
        <w:rPr>
          <w:rFonts w:ascii="Arial" w:cs="Arial" w:eastAsia="Arial" w:hAnsi="Arial"/>
          <w:sz w:val="18"/>
          <w:szCs w:val="18"/>
          <w:b w:val="1"/>
          <w:bCs w:val="1"/>
          <w:color w:val="auto"/>
        </w:rPr>
      </w:pPr>
    </w:p>
    <w:p>
      <w:pPr>
        <w:ind w:right="40" w:firstLine="921"/>
        <w:spacing w:after="0" w:line="294" w:lineRule="auto"/>
        <w:tabs>
          <w:tab w:leader="none" w:pos="115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15" w:lineRule="exact"/>
        <w:rPr>
          <w:rFonts w:ascii="Arial" w:cs="Arial" w:eastAsia="Arial" w:hAnsi="Arial"/>
          <w:sz w:val="16"/>
          <w:szCs w:val="16"/>
          <w:color w:val="auto"/>
        </w:rPr>
      </w:pPr>
    </w:p>
    <w:p>
      <w:pPr>
        <w:ind w:right="140" w:firstLine="921"/>
        <w:spacing w:after="0" w:line="298" w:lineRule="auto"/>
        <w:tabs>
          <w:tab w:leader="none" w:pos="116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47" w:lineRule="exact"/>
        <w:rPr>
          <w:rFonts w:ascii="Arial" w:cs="Arial" w:eastAsia="Arial" w:hAnsi="Arial"/>
          <w:sz w:val="16"/>
          <w:szCs w:val="16"/>
          <w:color w:val="auto"/>
        </w:rPr>
      </w:pPr>
    </w:p>
    <w:p>
      <w:pPr>
        <w:ind w:left="1480" w:hanging="567"/>
        <w:spacing w:after="0"/>
        <w:tabs>
          <w:tab w:leader="none" w:pos="14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59" w:lineRule="exact"/>
        <w:rPr>
          <w:sz w:val="20"/>
          <w:szCs w:val="20"/>
          <w:color w:val="auto"/>
        </w:rPr>
      </w:pPr>
    </w:p>
    <w:p>
      <w:pPr>
        <w:ind w:left="1160" w:hanging="239"/>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March 13, 2006.</w:t>
      </w:r>
    </w:p>
    <w:p>
      <w:pPr>
        <w:spacing w:after="0" w:line="171" w:lineRule="exact"/>
        <w:rPr>
          <w:rFonts w:ascii="Arial" w:cs="Arial" w:eastAsia="Arial" w:hAnsi="Arial"/>
          <w:sz w:val="18"/>
          <w:szCs w:val="18"/>
          <w:color w:val="auto"/>
        </w:rPr>
      </w:pPr>
    </w:p>
    <w:p>
      <w:pPr>
        <w:ind w:right="120" w:firstLine="921"/>
        <w:spacing w:after="0" w:line="298" w:lineRule="auto"/>
        <w:tabs>
          <w:tab w:leader="none" w:pos="116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Except as otherwise provided in Section 13(b), the option price per Share with respect to any Option shall be determined by the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with respect to any Incentive Stock Options, the option price per share shall not 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12" w:lineRule="exact"/>
        <w:rPr>
          <w:rFonts w:ascii="Arial" w:cs="Arial" w:eastAsia="Arial" w:hAnsi="Arial"/>
          <w:sz w:val="16"/>
          <w:szCs w:val="16"/>
          <w:color w:val="auto"/>
        </w:rPr>
      </w:pPr>
    </w:p>
    <w:p>
      <w:pPr>
        <w:ind w:firstLine="921"/>
        <w:spacing w:after="0" w:line="294" w:lineRule="auto"/>
        <w:tabs>
          <w:tab w:leader="none" w:pos="115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Restrictions on Transferability</w:t>
      </w:r>
      <w:r>
        <w:rPr>
          <w:rFonts w:ascii="Arial" w:cs="Arial" w:eastAsia="Arial" w:hAnsi="Arial"/>
          <w:sz w:val="16"/>
          <w:szCs w:val="16"/>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 any such transfer is without consideration and (ii) each</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99" w:name="page200"/>
    <w:bookmarkEnd w:id="199"/>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transferee is a Family Member with respect to the Optionee;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16" w:lineRule="exact"/>
        <w:rPr>
          <w:sz w:val="20"/>
          <w:szCs w:val="20"/>
          <w:color w:val="auto"/>
        </w:rPr>
      </w:pPr>
    </w:p>
    <w:p>
      <w:pPr>
        <w:ind w:left="1160" w:hanging="239"/>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Payment Upon Exercise of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4" w:lineRule="auto"/>
        <w:tabs>
          <w:tab w:leader="none" w:pos="1693"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132" w:lineRule="exact"/>
        <w:rPr>
          <w:rFonts w:ascii="Arial" w:cs="Arial" w:eastAsia="Arial" w:hAnsi="Arial"/>
          <w:sz w:val="16"/>
          <w:szCs w:val="16"/>
          <w:color w:val="auto"/>
        </w:rPr>
      </w:pPr>
    </w:p>
    <w:p>
      <w:pPr>
        <w:ind w:right="200" w:firstLine="1492"/>
        <w:spacing w:after="0" w:line="259" w:lineRule="auto"/>
        <w:tabs>
          <w:tab w:leader="none" w:pos="1742"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Except as authorized by the Committee and agreed to by an Optionee, the payment methods described in Paragraph 7(d)(i) shall, to the extent so provided in an Option document, be the exclusive payment methods, provided that the Committee may, in its sole discretion, and subject to the Optionee’s written consent on a form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0" w:name="page201"/>
    <w:bookmarkEnd w:id="200"/>
    <w:p>
      <w:pPr>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by the Committee, authorize Option documents covering Options to be amended to provide that the “cashless exercise” payment method described in this Paragraph 7(d)(ii) shall be an additional or the exclusive payment method. Accordingly, to the extent authorized by the Committee and agreed to by an Optionee, full payment for Shares purchased upon the exercise of an Option shall or may be made 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08" w:lineRule="exact"/>
        <w:rPr>
          <w:sz w:val="20"/>
          <w:szCs w:val="20"/>
          <w:color w:val="auto"/>
        </w:rPr>
      </w:pPr>
    </w:p>
    <w:p>
      <w:pPr>
        <w:ind w:right="20" w:firstLine="921"/>
        <w:spacing w:after="0" w:line="291" w:lineRule="auto"/>
        <w:tabs>
          <w:tab w:leader="none" w:pos="1152"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20" w:lineRule="exact"/>
        <w:rPr>
          <w:rFonts w:ascii="Arial" w:cs="Arial" w:eastAsia="Arial" w:hAnsi="Arial"/>
          <w:sz w:val="16"/>
          <w:szCs w:val="16"/>
          <w:color w:val="auto"/>
        </w:rPr>
      </w:pPr>
    </w:p>
    <w:p>
      <w:pPr>
        <w:ind w:right="100" w:firstLine="921"/>
        <w:spacing w:after="0" w:line="310" w:lineRule="auto"/>
        <w:tabs>
          <w:tab w:leader="none" w:pos="1132"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08" w:lineRule="exact"/>
        <w:rPr>
          <w:rFonts w:ascii="Arial" w:cs="Arial" w:eastAsia="Arial" w:hAnsi="Arial"/>
          <w:sz w:val="15"/>
          <w:szCs w:val="15"/>
          <w:color w:val="auto"/>
        </w:rPr>
      </w:pPr>
    </w:p>
    <w:p>
      <w:pPr>
        <w:ind w:right="120" w:firstLine="921"/>
        <w:spacing w:after="0" w:line="268" w:lineRule="auto"/>
        <w:tabs>
          <w:tab w:leader="none" w:pos="116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Periods of Exercise of Options</w:t>
      </w:r>
      <w:r>
        <w:rPr>
          <w:rFonts w:ascii="Arial" w:cs="Arial" w:eastAsia="Arial" w:hAnsi="Arial"/>
          <w:sz w:val="18"/>
          <w:szCs w:val="18"/>
          <w:color w:val="auto"/>
        </w:rPr>
        <w:t>. An Option shall be exercisable in whole or in part at such time or times as may be determined by the Committee and stated in the option document, provided, however, that if the grant of an Option would be subject to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01" w:name="page202"/>
    <w:bookmarkEnd w:id="201"/>
    <w:p>
      <w:pPr>
        <w:ind w:right="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62" w:lineRule="exact"/>
        <w:rPr>
          <w:sz w:val="20"/>
          <w:szCs w:val="20"/>
          <w:color w:val="auto"/>
        </w:rPr>
      </w:pPr>
    </w:p>
    <w:p>
      <w:pPr>
        <w:ind w:right="60" w:firstLine="1492"/>
        <w:spacing w:after="0" w:line="253" w:lineRule="auto"/>
        <w:tabs>
          <w:tab w:leader="none" w:pos="169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47" w:lineRule="exact"/>
        <w:rPr>
          <w:rFonts w:ascii="Arial" w:cs="Arial" w:eastAsia="Arial" w:hAnsi="Arial"/>
          <w:sz w:val="18"/>
          <w:szCs w:val="18"/>
          <w:color w:val="auto"/>
        </w:rPr>
      </w:pPr>
    </w:p>
    <w:p>
      <w:pPr>
        <w:ind w:firstLine="1492"/>
        <w:spacing w:after="0" w:line="255" w:lineRule="auto"/>
        <w:tabs>
          <w:tab w:leader="none" w:pos="174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42" w:lineRule="exact"/>
        <w:rPr>
          <w:rFonts w:ascii="Arial" w:cs="Arial" w:eastAsia="Arial" w:hAnsi="Arial"/>
          <w:sz w:val="18"/>
          <w:szCs w:val="18"/>
          <w:color w:val="auto"/>
        </w:rPr>
      </w:pPr>
    </w:p>
    <w:p>
      <w:pPr>
        <w:ind w:right="40" w:firstLine="1492"/>
        <w:spacing w:after="0" w:line="256" w:lineRule="auto"/>
        <w:tabs>
          <w:tab w:leader="none" w:pos="179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43" w:lineRule="exact"/>
        <w:rPr>
          <w:rFonts w:ascii="Arial" w:cs="Arial" w:eastAsia="Arial" w:hAnsi="Arial"/>
          <w:sz w:val="18"/>
          <w:szCs w:val="18"/>
          <w:color w:val="auto"/>
        </w:rPr>
      </w:pPr>
    </w:p>
    <w:p>
      <w:pPr>
        <w:ind w:right="200" w:firstLine="921"/>
        <w:spacing w:after="0" w:line="290" w:lineRule="auto"/>
        <w:tabs>
          <w:tab w:leader="none" w:pos="116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Date of Exercise</w:t>
      </w:r>
      <w:r>
        <w:rPr>
          <w:rFonts w:ascii="Arial" w:cs="Arial" w:eastAsia="Arial" w:hAnsi="Arial"/>
          <w:sz w:val="16"/>
          <w:szCs w:val="16"/>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02" w:name="page203"/>
    <w:bookmarkEnd w:id="202"/>
    <w:p>
      <w:pPr>
        <w:ind w:firstLine="921"/>
        <w:spacing w:after="0" w:line="332" w:lineRule="auto"/>
        <w:tabs>
          <w:tab w:leader="none" w:pos="1122"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4" w:lineRule="exact"/>
        <w:rPr>
          <w:rFonts w:ascii="Arial" w:cs="Arial" w:eastAsia="Arial" w:hAnsi="Arial"/>
          <w:sz w:val="16"/>
          <w:szCs w:val="16"/>
          <w:color w:val="auto"/>
        </w:rPr>
      </w:pPr>
    </w:p>
    <w:p>
      <w:pPr>
        <w:ind w:left="1700" w:hanging="208"/>
        <w:spacing w:after="0"/>
        <w:tabs>
          <w:tab w:leader="none" w:pos="170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119"/>
        </w:numPr>
        <w:rPr>
          <w:rFonts w:ascii="Arial" w:cs="Arial" w:eastAsia="Arial" w:hAnsi="Arial"/>
          <w:sz w:val="15"/>
          <w:szCs w:val="15"/>
          <w:color w:val="auto"/>
        </w:rPr>
      </w:pPr>
      <w:r>
        <w:rPr>
          <w:rFonts w:ascii="Arial" w:cs="Arial" w:eastAsia="Arial" w:hAnsi="Arial"/>
          <w:sz w:val="15"/>
          <w:szCs w:val="15"/>
          <w:color w:val="auto"/>
        </w:rPr>
        <w:t>Such Cash Right shall provide for the cash payment of such amount per Share as shall be determined by the Committee and stated in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option document.</w:t>
      </w:r>
    </w:p>
    <w:p>
      <w:pPr>
        <w:spacing w:after="0" w:line="164" w:lineRule="exact"/>
        <w:rPr>
          <w:rFonts w:ascii="Arial" w:cs="Arial" w:eastAsia="Arial" w:hAnsi="Arial"/>
          <w:sz w:val="15"/>
          <w:szCs w:val="15"/>
          <w:color w:val="auto"/>
        </w:rPr>
      </w:pPr>
    </w:p>
    <w:p>
      <w:pPr>
        <w:ind w:left="1800" w:hanging="308"/>
        <w:spacing w:after="0"/>
        <w:tabs>
          <w:tab w:leader="none" w:pos="180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Such Cash Right shall be subject to the same restrictions on transferability as the Non-Qualified Option to which it is attached.</w:t>
      </w:r>
    </w:p>
    <w:p>
      <w:pPr>
        <w:spacing w:after="0" w:line="194" w:lineRule="exact"/>
        <w:rPr>
          <w:rFonts w:ascii="Arial" w:cs="Arial" w:eastAsia="Arial" w:hAnsi="Arial"/>
          <w:sz w:val="16"/>
          <w:szCs w:val="16"/>
          <w:color w:val="auto"/>
        </w:rPr>
      </w:pPr>
    </w:p>
    <w:p>
      <w:pPr>
        <w:ind w:right="160" w:firstLine="1492"/>
        <w:spacing w:after="0" w:line="268" w:lineRule="auto"/>
        <w:tabs>
          <w:tab w:leader="none" w:pos="1781" w:val="left"/>
        </w:tabs>
        <w:numPr>
          <w:ilvl w:val="2"/>
          <w:numId w:val="119"/>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228" w:lineRule="exact"/>
        <w:rPr>
          <w:rFonts w:ascii="Arial" w:cs="Arial" w:eastAsia="Arial" w:hAnsi="Arial"/>
          <w:sz w:val="16"/>
          <w:szCs w:val="16"/>
          <w:color w:val="auto"/>
        </w:rPr>
      </w:pPr>
    </w:p>
    <w:p>
      <w:pPr>
        <w:ind w:left="900" w:hanging="446"/>
        <w:spacing w:after="0"/>
        <w:tabs>
          <w:tab w:leader="none" w:pos="9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53"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03" w:name="page204"/>
    <w:bookmarkEnd w:id="203"/>
    <w:p>
      <w:pPr>
        <w:ind w:left="900" w:hanging="446"/>
        <w:spacing w:after="0"/>
        <w:tabs>
          <w:tab w:leader="none" w:pos="9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Capitalization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53"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rFonts w:ascii="Arial" w:cs="Arial" w:eastAsia="Arial" w:hAnsi="Arial"/>
          <w:sz w:val="18"/>
          <w:szCs w:val="18"/>
          <w:b w:val="1"/>
          <w:bCs w:val="1"/>
          <w:color w:val="auto"/>
        </w:rPr>
      </w:pPr>
    </w:p>
    <w:p>
      <w:pPr>
        <w:ind w:firstLine="921"/>
        <w:spacing w:after="0" w:line="291" w:lineRule="auto"/>
        <w:tabs>
          <w:tab w:leader="none" w:pos="115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20" w:lineRule="exact"/>
        <w:rPr>
          <w:rFonts w:ascii="Arial" w:cs="Arial" w:eastAsia="Arial" w:hAnsi="Arial"/>
          <w:sz w:val="16"/>
          <w:szCs w:val="16"/>
          <w:color w:val="auto"/>
        </w:rPr>
      </w:pPr>
    </w:p>
    <w:p>
      <w:pPr>
        <w:ind w:firstLine="921"/>
        <w:spacing w:after="0" w:line="268" w:lineRule="auto"/>
        <w:tabs>
          <w:tab w:leader="none" w:pos="116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66"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47"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96" w:lineRule="exact"/>
        <w:rPr>
          <w:rFonts w:ascii="Arial" w:cs="Arial" w:eastAsia="Arial" w:hAnsi="Arial"/>
          <w:sz w:val="18"/>
          <w:szCs w:val="18"/>
          <w:b w:val="1"/>
          <w:bCs w:val="1"/>
          <w:color w:val="auto"/>
        </w:rPr>
      </w:pPr>
    </w:p>
    <w:p>
      <w:pPr>
        <w:ind w:right="120" w:firstLine="921"/>
        <w:spacing w:after="0" w:line="268" w:lineRule="auto"/>
        <w:tabs>
          <w:tab w:leader="none" w:pos="1152"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Board or the Committee may amend the Plan from time to time in such manner as it may deem advisable. Nevertheless, neither the Board nor the Committee may, without obtaining approval within twelve months before or after such action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04" w:name="page205"/>
    <w:bookmarkEnd w:id="20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16" w:lineRule="exact"/>
        <w:rPr>
          <w:sz w:val="20"/>
          <w:szCs w:val="20"/>
          <w:color w:val="auto"/>
        </w:rPr>
      </w:pPr>
    </w:p>
    <w:p>
      <w:pPr>
        <w:ind w:right="80" w:firstLine="921"/>
        <w:spacing w:after="0" w:line="256" w:lineRule="auto"/>
        <w:tabs>
          <w:tab w:leader="none" w:pos="1161"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Repricing of Options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77"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96" w:lineRule="exact"/>
        <w:rPr>
          <w:rFonts w:ascii="Arial" w:cs="Arial" w:eastAsia="Arial" w:hAnsi="Arial"/>
          <w:sz w:val="18"/>
          <w:szCs w:val="18"/>
          <w:b w:val="1"/>
          <w:bCs w:val="1"/>
          <w:color w:val="auto"/>
        </w:rPr>
      </w:pPr>
    </w:p>
    <w:p>
      <w:pPr>
        <w:ind w:right="480" w:firstLine="921"/>
        <w:spacing w:after="0" w:line="259" w:lineRule="auto"/>
        <w:tabs>
          <w:tab w:leader="none" w:pos="1152"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40" w:lineRule="exact"/>
        <w:rPr>
          <w:rFonts w:ascii="Arial" w:cs="Arial" w:eastAsia="Arial" w:hAnsi="Arial"/>
          <w:sz w:val="18"/>
          <w:szCs w:val="18"/>
          <w:color w:val="auto"/>
        </w:rPr>
      </w:pPr>
    </w:p>
    <w:p>
      <w:pPr>
        <w:jc w:val="both"/>
        <w:ind w:right="180" w:firstLine="921"/>
        <w:spacing w:after="0" w:line="259" w:lineRule="auto"/>
        <w:tabs>
          <w:tab w:leader="none" w:pos="1161"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59" w:lineRule="exact"/>
        <w:rPr>
          <w:rFonts w:ascii="Arial" w:cs="Arial" w:eastAsia="Arial" w:hAnsi="Arial"/>
          <w:sz w:val="18"/>
          <w:szCs w:val="18"/>
          <w:color w:val="auto"/>
        </w:rPr>
      </w:pPr>
    </w:p>
    <w:p>
      <w:pPr>
        <w:ind w:right="180" w:firstLine="1492"/>
        <w:spacing w:after="0" w:line="332" w:lineRule="auto"/>
        <w:tabs>
          <w:tab w:leader="none" w:pos="1693" w:val="left"/>
        </w:tabs>
        <w:numPr>
          <w:ilvl w:val="2"/>
          <w:numId w:val="126"/>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85" w:lineRule="exact"/>
        <w:rPr>
          <w:rFonts w:ascii="Arial" w:cs="Arial" w:eastAsia="Arial" w:hAnsi="Arial"/>
          <w:sz w:val="16"/>
          <w:szCs w:val="16"/>
          <w:color w:val="auto"/>
        </w:rPr>
      </w:pPr>
    </w:p>
    <w:p>
      <w:pPr>
        <w:jc w:val="both"/>
        <w:ind w:firstLine="1492"/>
        <w:spacing w:after="0" w:line="256" w:lineRule="auto"/>
        <w:tabs>
          <w:tab w:leader="none" w:pos="174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43" w:lineRule="exact"/>
        <w:rPr>
          <w:rFonts w:ascii="Arial" w:cs="Arial" w:eastAsia="Arial" w:hAnsi="Arial"/>
          <w:sz w:val="18"/>
          <w:szCs w:val="18"/>
          <w:color w:val="auto"/>
        </w:rPr>
      </w:pPr>
    </w:p>
    <w:p>
      <w:pPr>
        <w:ind w:left="1800" w:hanging="308"/>
        <w:spacing w:after="0"/>
        <w:tabs>
          <w:tab w:leader="none" w:pos="18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the Shares subject to the Option may not be transferred without compliance with all applicable federal and state securities laws.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05" w:name="page206"/>
    <w:bookmarkEnd w:id="205"/>
    <w:p>
      <w:pPr>
        <w:ind w:left="-40" w:right="60" w:firstLine="921"/>
        <w:spacing w:after="0" w:line="255" w:lineRule="auto"/>
        <w:tabs>
          <w:tab w:leader="none" w:pos="1112"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77" w:lineRule="exact"/>
        <w:rPr>
          <w:rFonts w:ascii="Arial" w:cs="Arial" w:eastAsia="Arial" w:hAnsi="Arial"/>
          <w:sz w:val="18"/>
          <w:szCs w:val="18"/>
          <w:color w:val="auto"/>
        </w:rPr>
      </w:pPr>
    </w:p>
    <w:p>
      <w:pPr>
        <w:ind w:left="860" w:hanging="446"/>
        <w:spacing w:after="0"/>
        <w:tabs>
          <w:tab w:leader="none" w:pos="8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96" w:lineRule="exact"/>
        <w:rPr>
          <w:rFonts w:ascii="Arial" w:cs="Arial" w:eastAsia="Arial" w:hAnsi="Arial"/>
          <w:sz w:val="18"/>
          <w:szCs w:val="18"/>
          <w:b w:val="1"/>
          <w:bCs w:val="1"/>
          <w:color w:val="auto"/>
        </w:rPr>
      </w:pPr>
    </w:p>
    <w:p>
      <w:pPr>
        <w:ind w:left="-40" w:right="40" w:firstLine="921"/>
        <w:spacing w:after="0" w:line="290" w:lineRule="auto"/>
        <w:tabs>
          <w:tab w:leader="none" w:pos="110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18" w:lineRule="exact"/>
        <w:rPr>
          <w:rFonts w:ascii="Arial" w:cs="Arial" w:eastAsia="Arial" w:hAnsi="Arial"/>
          <w:sz w:val="16"/>
          <w:szCs w:val="16"/>
          <w:color w:val="auto"/>
        </w:rPr>
      </w:pPr>
    </w:p>
    <w:p>
      <w:pPr>
        <w:ind w:left="-40" w:firstLine="921"/>
        <w:spacing w:after="0" w:line="286" w:lineRule="auto"/>
        <w:tabs>
          <w:tab w:leader="none" w:pos="112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206" w:name="page207"/>
    <w:bookmarkEnd w:id="206"/>
    <w:p>
      <w:pPr>
        <w:ind w:firstLine="921"/>
        <w:spacing w:after="0" w:line="289" w:lineRule="auto"/>
        <w:tabs>
          <w:tab w:leader="none" w:pos="1152" w:val="left"/>
        </w:tabs>
        <w:numPr>
          <w:ilvl w:val="1"/>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w:t>
      </w:r>
    </w:p>
    <w:p>
      <w:pPr>
        <w:spacing w:after="0" w:line="152" w:lineRule="exact"/>
        <w:rPr>
          <w:rFonts w:ascii="Arial" w:cs="Arial" w:eastAsia="Arial" w:hAnsi="Arial"/>
          <w:sz w:val="16"/>
          <w:szCs w:val="16"/>
          <w:color w:val="auto"/>
        </w:rPr>
      </w:pPr>
    </w:p>
    <w:p>
      <w:pPr>
        <w:ind w:left="900" w:hanging="446"/>
        <w:spacing w:after="0"/>
        <w:tabs>
          <w:tab w:leader="none" w:pos="9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amendment and restatement of the Plan shall be effective December 9, 2008. The Plan shall expire no later than March 13, 2006, the tenth anniversary of the date the Plan was initially adopted by the board of directors of the Sponsor, unless sooner terminated by the Board.</w:t>
      </w:r>
    </w:p>
    <w:p>
      <w:pPr>
        <w:spacing w:after="0" w:line="120"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07" w:name="page208"/>
    <w:bookmarkEnd w:id="20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or state securities laws, and all Shares issued under the Plan shall be subject to the terms and restrictions contained in the Articles of Incorporation and By-Laws of the Sponsor, as amended from time to time.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2008.</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9, 2008)</w:t>
      </w:r>
    </w:p>
    <w:p>
      <w:pPr>
        <w:spacing w:after="0" w:line="212" w:lineRule="exact"/>
        <w:rPr>
          <w:sz w:val="20"/>
          <w:szCs w:val="20"/>
          <w:color w:val="auto"/>
        </w:rPr>
      </w:pPr>
    </w:p>
    <w:p>
      <w:pPr>
        <w:ind w:left="900" w:hanging="446"/>
        <w:spacing w:after="0"/>
        <w:tabs>
          <w:tab w:leader="none" w:pos="900"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96" w:lineRule="exact"/>
        <w:rPr>
          <w:rFonts w:ascii="Arial" w:cs="Arial" w:eastAsia="Arial" w:hAnsi="Arial"/>
          <w:sz w:val="18"/>
          <w:szCs w:val="18"/>
          <w:b w:val="1"/>
          <w:bCs w:val="1"/>
          <w:color w:val="auto"/>
        </w:rPr>
      </w:pPr>
    </w:p>
    <w:p>
      <w:pPr>
        <w:ind w:right="40" w:firstLine="921"/>
        <w:spacing w:after="0" w:line="268" w:lineRule="auto"/>
        <w:tabs>
          <w:tab w:leader="none" w:pos="1152" w:val="left"/>
        </w:tabs>
        <w:numPr>
          <w:ilvl w:val="2"/>
          <w:numId w:val="132"/>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December 9, 2008.</w:t>
      </w:r>
    </w:p>
    <w:p>
      <w:pPr>
        <w:spacing w:after="0" w:line="131" w:lineRule="exact"/>
        <w:rPr>
          <w:rFonts w:ascii="Arial" w:cs="Arial" w:eastAsia="Arial" w:hAnsi="Arial"/>
          <w:sz w:val="18"/>
          <w:szCs w:val="18"/>
          <w:color w:val="auto"/>
        </w:rPr>
      </w:pPr>
    </w:p>
    <w:p>
      <w:pPr>
        <w:ind w:right="20" w:firstLine="921"/>
        <w:spacing w:after="0" w:line="259" w:lineRule="auto"/>
        <w:tabs>
          <w:tab w:leader="none" w:pos="1161" w:val="left"/>
        </w:tabs>
        <w:numPr>
          <w:ilvl w:val="2"/>
          <w:numId w:val="132"/>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74" w:lineRule="exact"/>
        <w:rPr>
          <w:rFonts w:ascii="Arial" w:cs="Arial" w:eastAsia="Arial" w:hAnsi="Arial"/>
          <w:sz w:val="18"/>
          <w:szCs w:val="18"/>
          <w:color w:val="auto"/>
        </w:rPr>
      </w:pPr>
    </w:p>
    <w:p>
      <w:pPr>
        <w:ind w:left="900" w:hanging="446"/>
        <w:spacing w:after="0"/>
        <w:tabs>
          <w:tab w:leader="none" w:pos="900"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jc w:val="both"/>
        <w:ind w:right="200" w:firstLine="921"/>
        <w:spacing w:after="0" w:line="256" w:lineRule="auto"/>
        <w:tabs>
          <w:tab w:leader="none" w:pos="115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240" w:firstLine="921"/>
        <w:spacing w:after="0" w:line="268" w:lineRule="auto"/>
        <w:tabs>
          <w:tab w:leader="none" w:pos="116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rFonts w:ascii="Arial" w:cs="Arial" w:eastAsia="Arial" w:hAnsi="Arial"/>
          <w:sz w:val="16"/>
          <w:szCs w:val="16"/>
          <w:color w:val="auto"/>
        </w:rPr>
      </w:pPr>
    </w:p>
    <w:p>
      <w:pPr>
        <w:ind w:right="80" w:firstLine="8"/>
        <w:spacing w:after="0" w:line="254" w:lineRule="auto"/>
        <w:tabs>
          <w:tab w:leader="none" w:pos="29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ectPr>
          <w:pgSz w:w="11900" w:h="16838" w:orient="portrait"/>
          <w:cols w:equalWidth="0" w:num="1">
            <w:col w:w="11420"/>
          </w:cols>
          <w:pgMar w:left="240" w:top="125" w:right="239" w:bottom="1440" w:gutter="0" w:footer="0" w:header="0"/>
        </w:sectPr>
      </w:pPr>
    </w:p>
    <w:bookmarkStart w:id="209" w:name="page210"/>
    <w:bookmarkEnd w:id="209"/>
    <w:p>
      <w:pPr>
        <w:ind w:right="220" w:firstLine="921"/>
        <w:spacing w:after="0" w:line="298" w:lineRule="auto"/>
        <w:tabs>
          <w:tab w:leader="none" w:pos="11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references to the Committee shall be treated as references to the Board with respect to any Option granted to or held by a Non-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 Director; and</w:t>
      </w:r>
    </w:p>
    <w:p>
      <w:pPr>
        <w:spacing w:after="0" w:line="164" w:lineRule="exact"/>
        <w:rPr>
          <w:rFonts w:ascii="Arial" w:cs="Arial" w:eastAsia="Arial" w:hAnsi="Arial"/>
          <w:sz w:val="16"/>
          <w:szCs w:val="16"/>
          <w:color w:val="auto"/>
        </w:rPr>
      </w:pPr>
    </w:p>
    <w:p>
      <w:pPr>
        <w:ind w:right="140" w:firstLine="1492"/>
        <w:spacing w:after="0" w:line="268" w:lineRule="auto"/>
        <w:tabs>
          <w:tab w:leader="none" w:pos="174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171" w:lineRule="exact"/>
        <w:rPr>
          <w:rFonts w:ascii="Arial" w:cs="Arial" w:eastAsia="Arial" w:hAnsi="Arial"/>
          <w:sz w:val="18"/>
          <w:szCs w:val="18"/>
          <w:color w:val="auto"/>
        </w:rPr>
      </w:pPr>
    </w:p>
    <w:p>
      <w:pPr>
        <w:ind w:firstLine="921"/>
        <w:spacing w:after="0" w:line="294" w:lineRule="auto"/>
        <w:tabs>
          <w:tab w:leader="none" w:pos="11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10" w:name="page211"/>
    <w:bookmarkEnd w:id="210"/>
    <w:p>
      <w:pPr>
        <w:ind w:right="600" w:firstLine="921"/>
        <w:spacing w:after="0" w:line="268" w:lineRule="auto"/>
        <w:tabs>
          <w:tab w:leader="none" w:pos="1162"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31" w:lineRule="exact"/>
        <w:rPr>
          <w:rFonts w:ascii="Arial" w:cs="Arial" w:eastAsia="Arial" w:hAnsi="Arial"/>
          <w:sz w:val="18"/>
          <w:szCs w:val="18"/>
          <w:color w:val="auto"/>
        </w:rPr>
      </w:pPr>
    </w:p>
    <w:p>
      <w:pPr>
        <w:ind w:firstLine="921"/>
        <w:spacing w:after="0" w:line="298" w:lineRule="auto"/>
        <w:tabs>
          <w:tab w:leader="none" w:pos="116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12" w:lineRule="exact"/>
        <w:rPr>
          <w:rFonts w:ascii="Arial" w:cs="Arial" w:eastAsia="Arial" w:hAnsi="Arial"/>
          <w:sz w:val="16"/>
          <w:szCs w:val="16"/>
          <w:color w:val="auto"/>
        </w:rPr>
      </w:pPr>
    </w:p>
    <w:p>
      <w:pPr>
        <w:ind w:right="700" w:firstLine="921"/>
        <w:spacing w:after="0" w:line="332" w:lineRule="auto"/>
        <w:tabs>
          <w:tab w:leader="none" w:pos="116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right="240" w:firstLine="1492"/>
        <w:spacing w:after="0" w:line="268" w:lineRule="auto"/>
        <w:tabs>
          <w:tab w:leader="none" w:pos="169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131" w:lineRule="exact"/>
        <w:rPr>
          <w:rFonts w:ascii="Arial" w:cs="Arial" w:eastAsia="Arial" w:hAnsi="Arial"/>
          <w:sz w:val="18"/>
          <w:szCs w:val="18"/>
          <w:color w:val="auto"/>
        </w:rPr>
      </w:pPr>
    </w:p>
    <w:p>
      <w:pPr>
        <w:ind w:right="160" w:firstLine="1492"/>
        <w:spacing w:after="0" w:line="268" w:lineRule="auto"/>
        <w:tabs>
          <w:tab w:leader="none" w:pos="174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Optionee</w:t>
      </w:r>
      <w:r>
        <w:rPr>
          <w:rFonts w:ascii="Arial" w:cs="Arial" w:eastAsia="Arial" w:hAnsi="Arial"/>
          <w:sz w:val="15"/>
          <w:szCs w:val="15"/>
          <w:color w:val="auto"/>
        </w:rPr>
        <w:t>” means a person to whom an Option has been granted under the Plan, which Option has not been exercised in full and has not expired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terminated.</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right="240" w:firstLine="1492"/>
        <w:spacing w:after="0" w:line="332" w:lineRule="auto"/>
        <w:tabs>
          <w:tab w:leader="none" w:pos="169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85" w:lineRule="exact"/>
        <w:rPr>
          <w:rFonts w:ascii="Arial" w:cs="Arial" w:eastAsia="Arial" w:hAnsi="Arial"/>
          <w:sz w:val="16"/>
          <w:szCs w:val="16"/>
          <w:color w:val="auto"/>
        </w:rPr>
      </w:pPr>
    </w:p>
    <w:p>
      <w:pPr>
        <w:ind w:left="1760" w:hanging="268"/>
        <w:spacing w:after="0"/>
        <w:tabs>
          <w:tab w:leader="none" w:pos="17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2240" w:hanging="292"/>
        <w:spacing w:after="0"/>
        <w:tabs>
          <w:tab w:leader="none" w:pos="2240" w:val="left"/>
        </w:tabs>
        <w:numPr>
          <w:ilvl w:val="2"/>
          <w:numId w:val="135"/>
        </w:numPr>
        <w:rPr>
          <w:rFonts w:ascii="Arial" w:cs="Arial" w:eastAsia="Arial" w:hAnsi="Arial"/>
          <w:sz w:val="16"/>
          <w:szCs w:val="16"/>
          <w:color w:val="auto"/>
        </w:rPr>
      </w:pPr>
      <w:r>
        <w:rPr>
          <w:rFonts w:ascii="Arial" w:cs="Arial" w:eastAsia="Arial" w:hAnsi="Arial"/>
          <w:sz w:val="16"/>
          <w:szCs w:val="16"/>
          <w:color w:val="auto"/>
        </w:rPr>
        <w:t>the total number of Shares owned by an Optionee or such Optionee’s Family Member other than the Shares described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Paragraph 2(v)(i); over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11" w:name="page212"/>
    <w:bookmarkEnd w:id="211"/>
    <w:p>
      <w:pPr>
        <w:ind w:left="2220" w:hanging="272"/>
        <w:spacing w:after="0"/>
        <w:tabs>
          <w:tab w:leader="none" w:pos="2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sum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for less than six months; plus</w:t>
      </w:r>
    </w:p>
    <w:p>
      <w:pPr>
        <w:spacing w:after="0" w:line="194" w:lineRule="exact"/>
        <w:rPr>
          <w:rFonts w:ascii="Arial" w:cs="Arial" w:eastAsia="Arial" w:hAnsi="Arial"/>
          <w:sz w:val="16"/>
          <w:szCs w:val="16"/>
          <w:color w:val="auto"/>
        </w:rPr>
      </w:pPr>
    </w:p>
    <w:p>
      <w:pPr>
        <w:jc w:val="both"/>
        <w:ind w:right="200" w:firstLine="2404"/>
        <w:spacing w:after="0" w:line="370" w:lineRule="auto"/>
        <w:tabs>
          <w:tab w:leader="none" w:pos="2645" w:val="left"/>
        </w:tabs>
        <w:numPr>
          <w:ilvl w:val="1"/>
          <w:numId w:val="136"/>
        </w:numPr>
        <w:rPr>
          <w:rFonts w:ascii="Arial" w:cs="Arial" w:eastAsia="Arial" w:hAnsi="Arial"/>
          <w:sz w:val="15"/>
          <w:szCs w:val="15"/>
          <w:color w:val="auto"/>
        </w:rPr>
      </w:pPr>
      <w:r>
        <w:rPr>
          <w:rFonts w:ascii="Arial" w:cs="Arial" w:eastAsia="Arial" w:hAnsi="Arial"/>
          <w:sz w:val="15"/>
          <w:szCs w:val="15"/>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62" w:lineRule="exact"/>
        <w:rPr>
          <w:rFonts w:ascii="Arial" w:cs="Arial" w:eastAsia="Arial" w:hAnsi="Arial"/>
          <w:sz w:val="15"/>
          <w:szCs w:val="15"/>
          <w:color w:val="auto"/>
        </w:rPr>
      </w:pPr>
    </w:p>
    <w:p>
      <w:pPr>
        <w:ind w:right="60" w:firstLine="2404"/>
        <w:spacing w:after="0" w:line="256" w:lineRule="auto"/>
        <w:tabs>
          <w:tab w:leader="none" w:pos="264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43" w:lineRule="exact"/>
        <w:rPr>
          <w:rFonts w:ascii="Arial" w:cs="Arial" w:eastAsia="Arial" w:hAnsi="Arial"/>
          <w:sz w:val="18"/>
          <w:szCs w:val="18"/>
          <w:color w:val="auto"/>
        </w:rPr>
      </w:pPr>
    </w:p>
    <w:p>
      <w:pPr>
        <w:jc w:val="both"/>
        <w:ind w:right="80" w:firstLine="2404"/>
        <w:spacing w:after="0" w:line="259" w:lineRule="auto"/>
        <w:tabs>
          <w:tab w:leader="none" w:pos="264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provided that Shares of Common Stock or Special Common Stock that otherwise qualify as “Other Available Shares” under this Paragraph 2(v),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an Optionee or such Optionee’s Family Member immediately before the consummation of the AT&amp;T Broadband Transaction that became Common Stock or Special Common Stock as a result of the AT&amp;T Broadband Transaction.</w:t>
      </w:r>
    </w:p>
    <w:p>
      <w:pPr>
        <w:spacing w:after="0" w:line="118" w:lineRule="exact"/>
        <w:rPr>
          <w:sz w:val="20"/>
          <w:szCs w:val="20"/>
          <w:color w:val="auto"/>
        </w:rPr>
      </w:pPr>
    </w:p>
    <w:p>
      <w:pPr>
        <w:ind w:right="400" w:firstLine="921"/>
        <w:spacing w:after="0" w:line="268" w:lineRule="auto"/>
        <w:tabs>
          <w:tab w:leader="none" w:pos="12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12" w:name="page213"/>
    <w:bookmarkEnd w:id="212"/>
    <w:p>
      <w:pPr>
        <w:ind w:left="1700" w:hanging="208"/>
        <w:spacing w:after="0"/>
        <w:tabs>
          <w:tab w:leader="none" w:pos="1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provided in this Paragraph 2(z), a share or shares Common Stock;</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For purposes of Paragraphs 2(v), 7(d) and Paragraph 15, the term “Share” or “Shares” also means a share or shares of Special Common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65" w:lineRule="exact"/>
        <w:rPr>
          <w:sz w:val="20"/>
          <w:szCs w:val="20"/>
          <w:color w:val="auto"/>
        </w:rPr>
      </w:pPr>
    </w:p>
    <w:p>
      <w:pPr>
        <w:ind w:right="240" w:firstLine="1492"/>
        <w:spacing w:after="0" w:line="259" w:lineRule="auto"/>
        <w:tabs>
          <w:tab w:leader="none" w:pos="179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140" w:lineRule="exact"/>
        <w:rPr>
          <w:rFonts w:ascii="Arial" w:cs="Arial" w:eastAsia="Arial" w:hAnsi="Arial"/>
          <w:sz w:val="18"/>
          <w:szCs w:val="18"/>
          <w:color w:val="auto"/>
        </w:rPr>
      </w:pPr>
    </w:p>
    <w:p>
      <w:pPr>
        <w:ind w:left="1240" w:hanging="319"/>
        <w:spacing w:after="0"/>
        <w:tabs>
          <w:tab w:leader="none" w:pos="12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Sponsor’s Class A Special Common Stock, par value $0.01.</w:t>
      </w:r>
    </w:p>
    <w:p>
      <w:pPr>
        <w:spacing w:after="0" w:line="194" w:lineRule="exact"/>
        <w:rPr>
          <w:rFonts w:ascii="Arial" w:cs="Arial" w:eastAsia="Arial" w:hAnsi="Arial"/>
          <w:sz w:val="16"/>
          <w:szCs w:val="16"/>
          <w:color w:val="auto"/>
        </w:rPr>
      </w:pPr>
    </w:p>
    <w:p>
      <w:pPr>
        <w:ind w:right="20" w:firstLine="921"/>
        <w:spacing w:after="0" w:line="268" w:lineRule="auto"/>
        <w:tabs>
          <w:tab w:leader="none" w:pos="124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right="200" w:firstLine="921"/>
        <w:spacing w:after="0" w:line="268" w:lineRule="auto"/>
        <w:tabs>
          <w:tab w:leader="none" w:pos="123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31" w:lineRule="exact"/>
        <w:rPr>
          <w:rFonts w:ascii="Arial" w:cs="Arial" w:eastAsia="Arial" w:hAnsi="Arial"/>
          <w:sz w:val="18"/>
          <w:szCs w:val="18"/>
          <w:color w:val="auto"/>
        </w:rPr>
      </w:pPr>
    </w:p>
    <w:p>
      <w:pPr>
        <w:ind w:firstLine="921"/>
        <w:spacing w:after="0" w:line="306" w:lineRule="auto"/>
        <w:tabs>
          <w:tab w:leader="none" w:pos="124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06" w:lineRule="exact"/>
        <w:rPr>
          <w:rFonts w:ascii="Arial" w:cs="Arial" w:eastAsia="Arial" w:hAnsi="Arial"/>
          <w:sz w:val="16"/>
          <w:szCs w:val="16"/>
          <w:color w:val="auto"/>
        </w:rPr>
      </w:pPr>
    </w:p>
    <w:p>
      <w:pPr>
        <w:ind w:left="1240" w:hanging="319"/>
        <w:spacing w:after="0"/>
        <w:tabs>
          <w:tab w:leader="none" w:pos="12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700" w:hanging="208"/>
        <w:spacing w:after="0"/>
        <w:tabs>
          <w:tab w:leader="none" w:pos="17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171" w:lineRule="exact"/>
        <w:rPr>
          <w:sz w:val="20"/>
          <w:szCs w:val="20"/>
          <w:color w:val="auto"/>
        </w:rPr>
      </w:pPr>
    </w:p>
    <w:p>
      <w:pPr>
        <w:ind w:left="1760" w:hanging="268"/>
        <w:spacing w:after="0"/>
        <w:tabs>
          <w:tab w:leader="none" w:pos="17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320" w:firstLine="921"/>
        <w:spacing w:after="0" w:line="268" w:lineRule="auto"/>
        <w:tabs>
          <w:tab w:leader="none" w:pos="118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3" w:name="page214"/>
    <w:bookmarkEnd w:id="213"/>
    <w:p>
      <w:pPr>
        <w:ind w:left="900" w:hanging="446"/>
        <w:spacing w:after="0"/>
        <w:tabs>
          <w:tab w:leader="none" w:pos="9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To Be Granted</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Types of Options and Other Rights Available for Grant. Rights that may be granted under the Plan are:</w:t>
      </w:r>
    </w:p>
    <w:p>
      <w:pPr>
        <w:spacing w:after="0" w:line="90" w:lineRule="exact"/>
        <w:rPr>
          <w:rFonts w:ascii="Arial" w:cs="Arial" w:eastAsia="Arial" w:hAnsi="Arial"/>
          <w:sz w:val="18"/>
          <w:szCs w:val="18"/>
          <w:color w:val="auto"/>
        </w:rPr>
      </w:pPr>
    </w:p>
    <w:p>
      <w:pPr>
        <w:ind w:right="260" w:firstLine="1492"/>
        <w:spacing w:after="0" w:line="268" w:lineRule="auto"/>
        <w:tabs>
          <w:tab w:leader="none" w:pos="1693"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31" w:lineRule="exact"/>
        <w:rPr>
          <w:rFonts w:ascii="Arial" w:cs="Arial" w:eastAsia="Arial" w:hAnsi="Arial"/>
          <w:sz w:val="18"/>
          <w:szCs w:val="18"/>
          <w:color w:val="auto"/>
        </w:rPr>
      </w:pPr>
    </w:p>
    <w:p>
      <w:pPr>
        <w:ind w:firstLine="1492"/>
        <w:spacing w:after="0" w:line="268" w:lineRule="auto"/>
        <w:tabs>
          <w:tab w:leader="none" w:pos="1742" w:val="left"/>
        </w:tabs>
        <w:numPr>
          <w:ilvl w:val="2"/>
          <w:numId w:val="143"/>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determined by the Committee; and</w:t>
      </w:r>
    </w:p>
    <w:p>
      <w:pPr>
        <w:spacing w:after="0" w:line="131" w:lineRule="exact"/>
        <w:rPr>
          <w:rFonts w:ascii="Arial" w:cs="Arial" w:eastAsia="Arial" w:hAnsi="Arial"/>
          <w:sz w:val="18"/>
          <w:szCs w:val="18"/>
          <w:color w:val="auto"/>
        </w:rPr>
      </w:pPr>
    </w:p>
    <w:p>
      <w:pPr>
        <w:jc w:val="both"/>
        <w:ind w:right="120" w:firstLine="1492"/>
        <w:spacing w:after="0" w:line="259" w:lineRule="auto"/>
        <w:tabs>
          <w:tab w:leader="none" w:pos="1791" w:val="left"/>
        </w:tabs>
        <w:numPr>
          <w:ilvl w:val="2"/>
          <w:numId w:val="143"/>
        </w:numPr>
        <w:rPr>
          <w:rFonts w:ascii="Arial" w:cs="Arial" w:eastAsia="Arial" w:hAnsi="Arial"/>
          <w:sz w:val="18"/>
          <w:szCs w:val="18"/>
          <w:color w:val="auto"/>
        </w:rPr>
      </w:pPr>
      <w:r>
        <w:rPr>
          <w:rFonts w:ascii="Arial" w:cs="Arial" w:eastAsia="Arial" w:hAnsi="Arial"/>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40" w:lineRule="exact"/>
        <w:rPr>
          <w:rFonts w:ascii="Arial" w:cs="Arial" w:eastAsia="Arial" w:hAnsi="Arial"/>
          <w:sz w:val="18"/>
          <w:szCs w:val="18"/>
          <w:color w:val="auto"/>
        </w:rPr>
      </w:pPr>
    </w:p>
    <w:p>
      <w:pPr>
        <w:ind w:right="340" w:firstLine="921"/>
        <w:spacing w:after="0" w:line="268" w:lineRule="auto"/>
        <w:tabs>
          <w:tab w:leader="none" w:pos="1161"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15,000,000 Shares.</w:t>
      </w:r>
    </w:p>
    <w:p>
      <w:pPr>
        <w:spacing w:after="0" w:line="166"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Subject to adjustment as provided in Paragraph 10, not more than 139 million Shares in the aggregate may be issued pursuant to the Plan upon exercise of Options. Shares delivered pursuant to the exercise of an Option may, at the Sponsor’s option, be either treasury Shares or Shares originally issued for such purpose. If (a) an Option covering Shares terminates or expires without having been exercised in full, (b) the Sponsor withholds Shares to satisfy its minimum tax withholding requirements as provided in Paragraph 15(b) and Paragraph 15(c) or (c) an Option covering Shares is exercised pursuant to the cashless exercise provisions of Paragraph 7(d)(iv), other Options may be granted covering the Shares as to which the Option terminated or expired, covering the Shares so withheld to satisfy the Sponsor’s minimum tax withholding requirements or covering the Shares that were subject to such Option but not delivered because of the application of such cashless exercise provisions, as applicable.</w:t>
      </w:r>
    </w:p>
    <w:p>
      <w:pPr>
        <w:spacing w:after="0" w:line="153"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96" w:lineRule="exact"/>
        <w:rPr>
          <w:rFonts w:ascii="Arial" w:cs="Arial" w:eastAsia="Arial" w:hAnsi="Arial"/>
          <w:sz w:val="18"/>
          <w:szCs w:val="18"/>
          <w:b w:val="1"/>
          <w:bCs w:val="1"/>
          <w:color w:val="auto"/>
        </w:rPr>
      </w:pPr>
    </w:p>
    <w:p>
      <w:pPr>
        <w:ind w:right="20" w:firstLine="921"/>
        <w:spacing w:after="0" w:line="259" w:lineRule="auto"/>
        <w:tabs>
          <w:tab w:leader="none" w:pos="1152"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80" w:firstLine="1492"/>
        <w:spacing w:after="0" w:line="256" w:lineRule="auto"/>
        <w:tabs>
          <w:tab w:leader="none" w:pos="1693"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Options with respect to any employee or officer of a Company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14" w:name="page215"/>
    <w:bookmarkEnd w:id="214"/>
    <w:p>
      <w:pPr>
        <w:ind w:right="220" w:firstLine="1492"/>
        <w:spacing w:after="0" w:line="294" w:lineRule="auto"/>
        <w:tabs>
          <w:tab w:leader="none" w:pos="1742"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 provided that an Option granted pursuant to this delegated authority may not have an exercise price per Share that is less than the Fair Market Value on the Date of Grant.</w:t>
      </w:r>
    </w:p>
    <w:p>
      <w:pPr>
        <w:spacing w:after="0" w:line="115" w:lineRule="exact"/>
        <w:rPr>
          <w:rFonts w:ascii="Arial" w:cs="Arial" w:eastAsia="Arial" w:hAnsi="Arial"/>
          <w:sz w:val="16"/>
          <w:szCs w:val="16"/>
          <w:color w:val="auto"/>
        </w:rPr>
      </w:pPr>
    </w:p>
    <w:p>
      <w:pPr>
        <w:ind w:right="140" w:firstLine="1492"/>
        <w:spacing w:after="0" w:line="256" w:lineRule="auto"/>
        <w:tabs>
          <w:tab w:leader="none" w:pos="1791"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 provided that an Option granted pursuant to this delegated authority may not have an exercise price per Share that is less than the Fair Market Value on the Date of Grant.</w:t>
      </w:r>
    </w:p>
    <w:p>
      <w:pPr>
        <w:spacing w:after="0" w:line="143" w:lineRule="exact"/>
        <w:rPr>
          <w:rFonts w:ascii="Arial" w:cs="Arial" w:eastAsia="Arial" w:hAnsi="Arial"/>
          <w:sz w:val="18"/>
          <w:szCs w:val="18"/>
          <w:color w:val="auto"/>
        </w:rPr>
      </w:pPr>
    </w:p>
    <w:p>
      <w:pPr>
        <w:ind w:left="1780" w:hanging="288"/>
        <w:spacing w:after="0"/>
        <w:tabs>
          <w:tab w:leader="none" w:pos="178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5(b) shall continue in effect until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earliest of:</w:t>
      </w:r>
    </w:p>
    <w:p>
      <w:pPr>
        <w:spacing w:after="0" w:line="83" w:lineRule="exact"/>
        <w:rPr>
          <w:rFonts w:ascii="Arial" w:cs="Arial" w:eastAsia="Arial" w:hAnsi="Arial"/>
          <w:sz w:val="16"/>
          <w:szCs w:val="16"/>
          <w:color w:val="auto"/>
        </w:rPr>
      </w:pPr>
    </w:p>
    <w:p>
      <w:pPr>
        <w:ind w:left="2200" w:hanging="252"/>
        <w:spacing w:after="0"/>
        <w:tabs>
          <w:tab w:leader="none" w:pos="22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71" w:lineRule="exact"/>
        <w:rPr>
          <w:rFonts w:ascii="Arial" w:cs="Arial" w:eastAsia="Arial" w:hAnsi="Arial"/>
          <w:sz w:val="18"/>
          <w:szCs w:val="18"/>
          <w:color w:val="auto"/>
        </w:rPr>
      </w:pPr>
    </w:p>
    <w:p>
      <w:pPr>
        <w:ind w:right="220" w:firstLine="1948"/>
        <w:spacing w:after="0" w:line="259" w:lineRule="auto"/>
        <w:tabs>
          <w:tab w:leader="none" w:pos="2189"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140" w:lineRule="exact"/>
        <w:rPr>
          <w:rFonts w:ascii="Arial" w:cs="Arial" w:eastAsia="Arial" w:hAnsi="Arial"/>
          <w:sz w:val="18"/>
          <w:szCs w:val="18"/>
          <w:color w:val="auto"/>
        </w:rPr>
      </w:pPr>
    </w:p>
    <w:p>
      <w:pPr>
        <w:ind w:left="2180" w:hanging="232"/>
        <w:spacing w:after="0"/>
        <w:tabs>
          <w:tab w:leader="none" w:pos="218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71" w:lineRule="exact"/>
        <w:rPr>
          <w:rFonts w:ascii="Arial" w:cs="Arial" w:eastAsia="Arial" w:hAnsi="Arial"/>
          <w:sz w:val="18"/>
          <w:szCs w:val="18"/>
          <w:color w:val="auto"/>
        </w:rPr>
      </w:pPr>
    </w:p>
    <w:p>
      <w:pPr>
        <w:ind w:right="400" w:firstLine="921"/>
        <w:spacing w:after="0" w:line="332" w:lineRule="auto"/>
        <w:tabs>
          <w:tab w:leader="none" w:pos="1152"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85" w:lineRule="exact"/>
        <w:rPr>
          <w:rFonts w:ascii="Arial" w:cs="Arial" w:eastAsia="Arial" w:hAnsi="Arial"/>
          <w:sz w:val="16"/>
          <w:szCs w:val="16"/>
          <w:color w:val="auto"/>
        </w:rPr>
      </w:pPr>
    </w:p>
    <w:p>
      <w:pPr>
        <w:jc w:val="both"/>
        <w:ind w:firstLine="921"/>
        <w:spacing w:after="0" w:line="298" w:lineRule="auto"/>
        <w:tabs>
          <w:tab w:leader="none" w:pos="1161"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5" w:name="page216"/>
    <w:bookmarkEnd w:id="215"/>
    <w:p>
      <w:pPr>
        <w:ind w:right="40" w:firstLine="921"/>
        <w:spacing w:after="0" w:line="255" w:lineRule="auto"/>
        <w:tabs>
          <w:tab w:leader="none" w:pos="1152"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77"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firstLine="921"/>
        <w:spacing w:after="0" w:line="294" w:lineRule="auto"/>
        <w:tabs>
          <w:tab w:leader="none" w:pos="115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15" w:lineRule="exact"/>
        <w:rPr>
          <w:rFonts w:ascii="Arial" w:cs="Arial" w:eastAsia="Arial" w:hAnsi="Arial"/>
          <w:sz w:val="16"/>
          <w:szCs w:val="16"/>
          <w:color w:val="auto"/>
        </w:rPr>
      </w:pPr>
    </w:p>
    <w:p>
      <w:pPr>
        <w:ind w:right="100" w:firstLine="921"/>
        <w:spacing w:after="0" w:line="298" w:lineRule="auto"/>
        <w:tabs>
          <w:tab w:leader="none" w:pos="116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59" w:lineRule="exact"/>
        <w:rPr>
          <w:sz w:val="20"/>
          <w:szCs w:val="20"/>
          <w:color w:val="auto"/>
        </w:rPr>
      </w:pPr>
    </w:p>
    <w:p>
      <w:pPr>
        <w:ind w:left="1160" w:hanging="239"/>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May 13, 2018.</w:t>
      </w:r>
    </w:p>
    <w:p>
      <w:pPr>
        <w:spacing w:after="0" w:line="171" w:lineRule="exact"/>
        <w:rPr>
          <w:rFonts w:ascii="Arial" w:cs="Arial" w:eastAsia="Arial" w:hAnsi="Arial"/>
          <w:sz w:val="18"/>
          <w:szCs w:val="18"/>
          <w:color w:val="auto"/>
        </w:rPr>
      </w:pPr>
    </w:p>
    <w:p>
      <w:pPr>
        <w:ind w:right="80" w:firstLine="921"/>
        <w:spacing w:after="0" w:line="298" w:lineRule="auto"/>
        <w:tabs>
          <w:tab w:leader="none" w:pos="1161"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Except as otherwise provided in Section 13(b), the option price per Share with respect to any Option shall be determined by the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with respect to any Incentive Stock Options, the option price per share shall not 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Transferability</w:t>
      </w:r>
      <w:r>
        <w:rPr>
          <w:rFonts w:ascii="Arial" w:cs="Arial" w:eastAsia="Arial" w:hAnsi="Arial"/>
          <w:sz w:val="16"/>
          <w:szCs w:val="16"/>
          <w:color w:val="auto"/>
        </w:rPr>
        <w:t>. No Option granted under this Paragraph 7 shall be transferable otherwise than by will or the laws of descent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distribution</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216" w:name="page217"/>
    <w:bookmarkEnd w:id="21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during the lifetime of the Optionee, shall be exercisable only by him or for his benefit by his attorney-in-fact or guardian;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 any such transfer is without consideration and (ii) each transferee is a Family Member with respect to the Optionee;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20" w:lineRule="exact"/>
        <w:rPr>
          <w:sz w:val="20"/>
          <w:szCs w:val="20"/>
          <w:color w:val="auto"/>
        </w:rPr>
      </w:pPr>
    </w:p>
    <w:p>
      <w:pPr>
        <w:ind w:right="80" w:firstLine="921"/>
        <w:spacing w:after="0" w:line="357" w:lineRule="auto"/>
        <w:tabs>
          <w:tab w:leader="none" w:pos="1161"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Payment Upon Exercise of Options</w:t>
      </w:r>
      <w:r>
        <w:rPr>
          <w:rFonts w:ascii="Arial" w:cs="Arial" w:eastAsia="Arial" w:hAnsi="Arial"/>
          <w:sz w:val="15"/>
          <w:szCs w:val="15"/>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ind w:left="1700" w:hanging="208"/>
        <w:spacing w:after="0"/>
        <w:tabs>
          <w:tab w:leader="none" w:pos="17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cash;</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171" w:lineRule="exact"/>
        <w:rPr>
          <w:rFonts w:ascii="Arial" w:cs="Arial" w:eastAsia="Arial" w:hAnsi="Arial"/>
          <w:sz w:val="18"/>
          <w:szCs w:val="18"/>
          <w:color w:val="auto"/>
        </w:rPr>
      </w:pPr>
    </w:p>
    <w:p>
      <w:pPr>
        <w:ind w:firstLine="1492"/>
        <w:spacing w:after="0" w:line="285" w:lineRule="auto"/>
        <w:tabs>
          <w:tab w:leader="none" w:pos="179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By surrendering or attesting to ownership of Shares with an aggregate Fair Market Value equal to the aggregate option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7" w:name="page218"/>
    <w:bookmarkEnd w:id="217"/>
    <w:p>
      <w:pPr>
        <w:ind w:right="20" w:firstLine="1492"/>
        <w:spacing w:after="0" w:line="290" w:lineRule="auto"/>
        <w:tabs>
          <w:tab w:leader="none" w:pos="1781"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Except as authorized by the Committee and agreed to by an Optionee,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143" w:lineRule="exact"/>
        <w:rPr>
          <w:sz w:val="20"/>
          <w:szCs w:val="20"/>
          <w:color w:val="auto"/>
        </w:rPr>
      </w:pPr>
    </w:p>
    <w:p>
      <w:pPr>
        <w:ind w:firstLine="921"/>
        <w:spacing w:after="0" w:line="291" w:lineRule="auto"/>
        <w:tabs>
          <w:tab w:leader="none" w:pos="1152"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20" w:lineRule="exact"/>
        <w:rPr>
          <w:rFonts w:ascii="Arial" w:cs="Arial" w:eastAsia="Arial" w:hAnsi="Arial"/>
          <w:sz w:val="16"/>
          <w:szCs w:val="16"/>
          <w:color w:val="auto"/>
        </w:rPr>
      </w:pPr>
    </w:p>
    <w:p>
      <w:pPr>
        <w:ind w:right="120" w:firstLine="921"/>
        <w:spacing w:after="0" w:line="290" w:lineRule="auto"/>
        <w:tabs>
          <w:tab w:leader="none" w:pos="1132"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18" w:name="page219"/>
    <w:bookmarkEnd w:id="218"/>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32" w:lineRule="exact"/>
        <w:rPr>
          <w:sz w:val="20"/>
          <w:szCs w:val="20"/>
          <w:color w:val="auto"/>
        </w:rPr>
      </w:pPr>
    </w:p>
    <w:p>
      <w:pPr>
        <w:ind w:firstLine="921"/>
        <w:spacing w:after="0" w:line="294" w:lineRule="auto"/>
        <w:tabs>
          <w:tab w:leader="none" w:pos="1161"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Periods of Exercise of Options</w:t>
      </w:r>
      <w:r>
        <w:rPr>
          <w:rFonts w:ascii="Arial" w:cs="Arial" w:eastAsia="Arial" w:hAnsi="Arial"/>
          <w:sz w:val="16"/>
          <w:szCs w:val="16"/>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34" w:lineRule="exact"/>
        <w:rPr>
          <w:rFonts w:ascii="Arial" w:cs="Arial" w:eastAsia="Arial" w:hAnsi="Arial"/>
          <w:sz w:val="16"/>
          <w:szCs w:val="16"/>
          <w:color w:val="auto"/>
        </w:rPr>
      </w:pPr>
    </w:p>
    <w:p>
      <w:pPr>
        <w:ind w:right="80" w:firstLine="1492"/>
        <w:spacing w:after="0" w:line="253" w:lineRule="auto"/>
        <w:tabs>
          <w:tab w:leader="none" w:pos="169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47" w:lineRule="exact"/>
        <w:rPr>
          <w:rFonts w:ascii="Arial" w:cs="Arial" w:eastAsia="Arial" w:hAnsi="Arial"/>
          <w:sz w:val="18"/>
          <w:szCs w:val="18"/>
          <w:color w:val="auto"/>
        </w:rPr>
      </w:pPr>
    </w:p>
    <w:p>
      <w:pPr>
        <w:ind w:right="20" w:firstLine="1492"/>
        <w:spacing w:after="0" w:line="255" w:lineRule="auto"/>
        <w:tabs>
          <w:tab w:leader="none" w:pos="174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42" w:lineRule="exact"/>
        <w:rPr>
          <w:rFonts w:ascii="Arial" w:cs="Arial" w:eastAsia="Arial" w:hAnsi="Arial"/>
          <w:sz w:val="18"/>
          <w:szCs w:val="18"/>
          <w:color w:val="auto"/>
        </w:rPr>
      </w:pPr>
    </w:p>
    <w:p>
      <w:pPr>
        <w:ind w:right="60" w:firstLine="1492"/>
        <w:spacing w:after="0" w:line="256" w:lineRule="auto"/>
        <w:tabs>
          <w:tab w:leader="none" w:pos="179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43" w:lineRule="exact"/>
        <w:rPr>
          <w:rFonts w:ascii="Arial" w:cs="Arial" w:eastAsia="Arial" w:hAnsi="Arial"/>
          <w:sz w:val="18"/>
          <w:szCs w:val="18"/>
          <w:color w:val="auto"/>
        </w:rPr>
      </w:pPr>
    </w:p>
    <w:p>
      <w:pPr>
        <w:ind w:right="320" w:firstLine="921"/>
        <w:spacing w:after="0" w:line="259" w:lineRule="auto"/>
        <w:tabs>
          <w:tab w:leader="none" w:pos="1161"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Sponsor shall not be obligated to deliver any certificates for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19" w:name="page220"/>
    <w:bookmarkEnd w:id="219"/>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w:t>
      </w:r>
    </w:p>
    <w:p>
      <w:pPr>
        <w:ind w:right="120" w:firstLine="8"/>
        <w:spacing w:after="0" w:line="323" w:lineRule="auto"/>
        <w:tabs>
          <w:tab w:leader="none" w:pos="25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92" w:lineRule="exact"/>
        <w:rPr>
          <w:rFonts w:ascii="Arial" w:cs="Arial" w:eastAsia="Arial" w:hAnsi="Arial"/>
          <w:sz w:val="16"/>
          <w:szCs w:val="16"/>
          <w:color w:val="auto"/>
        </w:rPr>
      </w:pPr>
    </w:p>
    <w:p>
      <w:pPr>
        <w:ind w:firstLine="921"/>
        <w:spacing w:after="0" w:line="332" w:lineRule="auto"/>
        <w:tabs>
          <w:tab w:leader="none" w:pos="1122"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4" w:lineRule="exact"/>
        <w:rPr>
          <w:rFonts w:ascii="Arial" w:cs="Arial" w:eastAsia="Arial" w:hAnsi="Arial"/>
          <w:sz w:val="16"/>
          <w:szCs w:val="16"/>
          <w:color w:val="auto"/>
        </w:rPr>
      </w:pPr>
    </w:p>
    <w:p>
      <w:pPr>
        <w:ind w:left="1700" w:hanging="208"/>
        <w:spacing w:after="0"/>
        <w:tabs>
          <w:tab w:leader="none" w:pos="17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154"/>
        </w:numPr>
        <w:rPr>
          <w:rFonts w:ascii="Arial" w:cs="Arial" w:eastAsia="Arial" w:hAnsi="Arial"/>
          <w:sz w:val="15"/>
          <w:szCs w:val="15"/>
          <w:color w:val="auto"/>
        </w:rPr>
      </w:pPr>
      <w:r>
        <w:rPr>
          <w:rFonts w:ascii="Arial" w:cs="Arial" w:eastAsia="Arial" w:hAnsi="Arial"/>
          <w:sz w:val="15"/>
          <w:szCs w:val="15"/>
          <w:color w:val="auto"/>
        </w:rPr>
        <w:t>Such Cash Right shall provide for the cash payment of such amount per Share as shall be determined by the Committee and stated in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option document.</w:t>
      </w:r>
    </w:p>
    <w:p>
      <w:pPr>
        <w:spacing w:after="0" w:line="164" w:lineRule="exact"/>
        <w:rPr>
          <w:rFonts w:ascii="Arial" w:cs="Arial" w:eastAsia="Arial" w:hAnsi="Arial"/>
          <w:sz w:val="15"/>
          <w:szCs w:val="15"/>
          <w:color w:val="auto"/>
        </w:rPr>
      </w:pPr>
    </w:p>
    <w:p>
      <w:pPr>
        <w:ind w:left="1800" w:hanging="308"/>
        <w:spacing w:after="0"/>
        <w:tabs>
          <w:tab w:leader="none" w:pos="1800" w:val="left"/>
        </w:tabs>
        <w:numPr>
          <w:ilvl w:val="2"/>
          <w:numId w:val="154"/>
        </w:numPr>
        <w:rPr>
          <w:rFonts w:ascii="Arial" w:cs="Arial" w:eastAsia="Arial" w:hAnsi="Arial"/>
          <w:sz w:val="16"/>
          <w:szCs w:val="16"/>
          <w:color w:val="auto"/>
        </w:rPr>
      </w:pPr>
      <w:r>
        <w:rPr>
          <w:rFonts w:ascii="Arial" w:cs="Arial" w:eastAsia="Arial" w:hAnsi="Arial"/>
          <w:sz w:val="16"/>
          <w:szCs w:val="16"/>
          <w:color w:val="auto"/>
        </w:rPr>
        <w:t>Such Cash Right shall be subject to the same restrictions on transferability as the Non-Qualified Option to which it is attached.</w:t>
      </w:r>
    </w:p>
    <w:p>
      <w:pPr>
        <w:spacing w:after="0" w:line="194" w:lineRule="exact"/>
        <w:rPr>
          <w:rFonts w:ascii="Arial" w:cs="Arial" w:eastAsia="Arial" w:hAnsi="Arial"/>
          <w:sz w:val="16"/>
          <w:szCs w:val="16"/>
          <w:color w:val="auto"/>
        </w:rPr>
      </w:pPr>
    </w:p>
    <w:p>
      <w:pPr>
        <w:ind w:right="160" w:firstLine="1492"/>
        <w:spacing w:after="0" w:line="268" w:lineRule="auto"/>
        <w:tabs>
          <w:tab w:leader="none" w:pos="1781" w:val="left"/>
        </w:tabs>
        <w:numPr>
          <w:ilvl w:val="2"/>
          <w:numId w:val="154"/>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50" w:lineRule="exact"/>
        <w:rPr>
          <w:rFonts w:ascii="Arial" w:cs="Arial" w:eastAsia="Arial" w:hAnsi="Arial"/>
          <w:sz w:val="18"/>
          <w:szCs w:val="18"/>
          <w:color w:val="auto"/>
        </w:rPr>
      </w:pPr>
    </w:p>
    <w:p>
      <w:pPr>
        <w:ind w:left="1740" w:hanging="248"/>
        <w:spacing w:after="0"/>
        <w:tabs>
          <w:tab w:leader="none" w:pos="174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154"/>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229"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20" w:name="page221"/>
    <w:bookmarkEnd w:id="220"/>
    <w:p>
      <w:pPr>
        <w:ind w:left="900" w:hanging="446"/>
        <w:spacing w:after="0"/>
        <w:tabs>
          <w:tab w:leader="none" w:pos="9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as Shareholders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78"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53"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rFonts w:ascii="Arial" w:cs="Arial" w:eastAsia="Arial" w:hAnsi="Arial"/>
          <w:sz w:val="18"/>
          <w:szCs w:val="18"/>
          <w:b w:val="1"/>
          <w:bCs w:val="1"/>
          <w:color w:val="auto"/>
        </w:rPr>
      </w:pPr>
    </w:p>
    <w:p>
      <w:pPr>
        <w:ind w:firstLine="921"/>
        <w:spacing w:after="0" w:line="291" w:lineRule="auto"/>
        <w:tabs>
          <w:tab w:leader="none" w:pos="115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20" w:lineRule="exact"/>
        <w:rPr>
          <w:rFonts w:ascii="Arial" w:cs="Arial" w:eastAsia="Arial" w:hAnsi="Arial"/>
          <w:sz w:val="16"/>
          <w:szCs w:val="16"/>
          <w:color w:val="auto"/>
        </w:rPr>
      </w:pPr>
    </w:p>
    <w:p>
      <w:pPr>
        <w:ind w:firstLine="921"/>
        <w:spacing w:after="0" w:line="268" w:lineRule="auto"/>
        <w:tabs>
          <w:tab w:leader="none" w:pos="116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66" w:lineRule="exact"/>
        <w:rPr>
          <w:rFonts w:ascii="Arial" w:cs="Arial" w:eastAsia="Arial" w:hAnsi="Arial"/>
          <w:sz w:val="18"/>
          <w:szCs w:val="18"/>
          <w:color w:val="auto"/>
        </w:rPr>
      </w:pPr>
    </w:p>
    <w:p>
      <w:pPr>
        <w:ind w:left="900" w:hanging="446"/>
        <w:spacing w:after="0"/>
        <w:tabs>
          <w:tab w:leader="none" w:pos="9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21" w:name="page222"/>
    <w:bookmarkEnd w:id="221"/>
    <w:p>
      <w:pPr>
        <w:ind w:left="860" w:hanging="446"/>
        <w:spacing w:after="0"/>
        <w:tabs>
          <w:tab w:leader="none" w:pos="8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p>
    <w:p>
      <w:pPr>
        <w:spacing w:after="0" w:line="96" w:lineRule="exact"/>
        <w:rPr>
          <w:rFonts w:ascii="Arial" w:cs="Arial" w:eastAsia="Arial" w:hAnsi="Arial"/>
          <w:sz w:val="18"/>
          <w:szCs w:val="18"/>
          <w:b w:val="1"/>
          <w:bCs w:val="1"/>
          <w:color w:val="auto"/>
        </w:rPr>
      </w:pPr>
    </w:p>
    <w:p>
      <w:pPr>
        <w:ind w:left="-40" w:right="20" w:firstLine="921"/>
        <w:spacing w:after="0" w:line="290" w:lineRule="auto"/>
        <w:tabs>
          <w:tab w:leader="none" w:pos="1112"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18" w:lineRule="exact"/>
        <w:rPr>
          <w:rFonts w:ascii="Arial" w:cs="Arial" w:eastAsia="Arial" w:hAnsi="Arial"/>
          <w:sz w:val="16"/>
          <w:szCs w:val="16"/>
          <w:color w:val="auto"/>
        </w:rPr>
      </w:pPr>
    </w:p>
    <w:p>
      <w:pPr>
        <w:ind w:left="-40" w:right="80" w:firstLine="921"/>
        <w:spacing w:after="0" w:line="256" w:lineRule="auto"/>
        <w:tabs>
          <w:tab w:leader="none" w:pos="1121"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Repricing of Options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77" w:lineRule="exact"/>
        <w:rPr>
          <w:rFonts w:ascii="Arial" w:cs="Arial" w:eastAsia="Arial" w:hAnsi="Arial"/>
          <w:sz w:val="18"/>
          <w:szCs w:val="18"/>
          <w:color w:val="auto"/>
        </w:rPr>
      </w:pPr>
    </w:p>
    <w:p>
      <w:pPr>
        <w:ind w:left="860" w:hanging="446"/>
        <w:spacing w:after="0"/>
        <w:tabs>
          <w:tab w:leader="none" w:pos="8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96" w:lineRule="exact"/>
        <w:rPr>
          <w:rFonts w:ascii="Arial" w:cs="Arial" w:eastAsia="Arial" w:hAnsi="Arial"/>
          <w:sz w:val="18"/>
          <w:szCs w:val="18"/>
          <w:b w:val="1"/>
          <w:bCs w:val="1"/>
          <w:color w:val="auto"/>
        </w:rPr>
      </w:pPr>
    </w:p>
    <w:p>
      <w:pPr>
        <w:ind w:left="-40" w:right="480" w:firstLine="921"/>
        <w:spacing w:after="0" w:line="259" w:lineRule="auto"/>
        <w:tabs>
          <w:tab w:leader="none" w:pos="1112"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40" w:lineRule="exact"/>
        <w:rPr>
          <w:rFonts w:ascii="Arial" w:cs="Arial" w:eastAsia="Arial" w:hAnsi="Arial"/>
          <w:sz w:val="18"/>
          <w:szCs w:val="18"/>
          <w:color w:val="auto"/>
        </w:rPr>
      </w:pPr>
    </w:p>
    <w:p>
      <w:pPr>
        <w:jc w:val="both"/>
        <w:ind w:left="-40" w:right="180" w:firstLine="921"/>
        <w:spacing w:after="0" w:line="259" w:lineRule="auto"/>
        <w:tabs>
          <w:tab w:leader="none" w:pos="1121"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59" w:lineRule="exact"/>
        <w:rPr>
          <w:rFonts w:ascii="Arial" w:cs="Arial" w:eastAsia="Arial" w:hAnsi="Arial"/>
          <w:sz w:val="18"/>
          <w:szCs w:val="18"/>
          <w:color w:val="auto"/>
        </w:rPr>
      </w:pPr>
    </w:p>
    <w:p>
      <w:pPr>
        <w:ind w:left="-40" w:right="180" w:firstLine="1492"/>
        <w:spacing w:after="0" w:line="332" w:lineRule="auto"/>
        <w:tabs>
          <w:tab w:leader="none" w:pos="1653" w:val="left"/>
        </w:tabs>
        <w:numPr>
          <w:ilvl w:val="2"/>
          <w:numId w:val="159"/>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85" w:lineRule="exact"/>
        <w:rPr>
          <w:rFonts w:ascii="Arial" w:cs="Arial" w:eastAsia="Arial" w:hAnsi="Arial"/>
          <w:sz w:val="16"/>
          <w:szCs w:val="16"/>
          <w:color w:val="auto"/>
        </w:rPr>
      </w:pPr>
    </w:p>
    <w:p>
      <w:pPr>
        <w:jc w:val="both"/>
        <w:ind w:left="-40" w:firstLine="1492"/>
        <w:spacing w:after="0" w:line="256" w:lineRule="auto"/>
        <w:tabs>
          <w:tab w:leader="none" w:pos="170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74" w:right="279" w:bottom="1440" w:gutter="0" w:footer="0" w:header="0"/>
        </w:sectPr>
      </w:pPr>
    </w:p>
    <w:bookmarkStart w:id="222" w:name="page223"/>
    <w:bookmarkEnd w:id="222"/>
    <w:p>
      <w:pPr>
        <w:ind w:left="1760" w:hanging="308"/>
        <w:spacing w:after="0"/>
        <w:tabs>
          <w:tab w:leader="none" w:pos="1760" w:val="left"/>
        </w:tabs>
        <w:numPr>
          <w:ilvl w:val="2"/>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certificate evidencing the Shares may bear a restrictive legend; and</w:t>
      </w:r>
    </w:p>
    <w:p>
      <w:pPr>
        <w:spacing w:after="0" w:line="171" w:lineRule="exact"/>
        <w:rPr>
          <w:rFonts w:ascii="Arial" w:cs="Arial" w:eastAsia="Arial" w:hAnsi="Arial"/>
          <w:sz w:val="18"/>
          <w:szCs w:val="18"/>
          <w:color w:val="auto"/>
        </w:rPr>
      </w:pPr>
    </w:p>
    <w:p>
      <w:pPr>
        <w:ind w:left="1740" w:hanging="288"/>
        <w:spacing w:after="0"/>
        <w:tabs>
          <w:tab w:leader="none" w:pos="174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the Shares subject to the Option may not be transferred without compliance with all applicable federal and state securities laws.</w:t>
      </w:r>
    </w:p>
    <w:p>
      <w:pPr>
        <w:spacing w:after="0" w:line="194" w:lineRule="exact"/>
        <w:rPr>
          <w:rFonts w:ascii="Arial" w:cs="Arial" w:eastAsia="Arial" w:hAnsi="Arial"/>
          <w:sz w:val="16"/>
          <w:szCs w:val="16"/>
          <w:color w:val="auto"/>
        </w:rPr>
      </w:pPr>
    </w:p>
    <w:p>
      <w:pPr>
        <w:ind w:left="-40" w:right="60" w:firstLine="921"/>
        <w:spacing w:after="0" w:line="255" w:lineRule="auto"/>
        <w:tabs>
          <w:tab w:leader="none" w:pos="1112"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77" w:lineRule="exact"/>
        <w:rPr>
          <w:rFonts w:ascii="Arial" w:cs="Arial" w:eastAsia="Arial" w:hAnsi="Arial"/>
          <w:sz w:val="18"/>
          <w:szCs w:val="18"/>
          <w:color w:val="auto"/>
        </w:rPr>
      </w:pPr>
    </w:p>
    <w:p>
      <w:pPr>
        <w:ind w:left="860" w:hanging="446"/>
        <w:spacing w:after="0"/>
        <w:tabs>
          <w:tab w:leader="none" w:pos="8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96" w:lineRule="exact"/>
        <w:rPr>
          <w:rFonts w:ascii="Arial" w:cs="Arial" w:eastAsia="Arial" w:hAnsi="Arial"/>
          <w:sz w:val="18"/>
          <w:szCs w:val="18"/>
          <w:b w:val="1"/>
          <w:bCs w:val="1"/>
          <w:color w:val="auto"/>
        </w:rPr>
      </w:pPr>
    </w:p>
    <w:p>
      <w:pPr>
        <w:ind w:left="-40" w:right="40" w:firstLine="921"/>
        <w:spacing w:after="0" w:line="290" w:lineRule="auto"/>
        <w:tabs>
          <w:tab w:leader="none" w:pos="110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18" w:lineRule="exact"/>
        <w:rPr>
          <w:rFonts w:ascii="Arial" w:cs="Arial" w:eastAsia="Arial" w:hAnsi="Arial"/>
          <w:sz w:val="16"/>
          <w:szCs w:val="16"/>
          <w:color w:val="auto"/>
        </w:rPr>
      </w:pPr>
    </w:p>
    <w:p>
      <w:pPr>
        <w:ind w:left="-40" w:firstLine="921"/>
        <w:spacing w:after="0" w:line="288" w:lineRule="auto"/>
        <w:tabs>
          <w:tab w:leader="none" w:pos="112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223" w:name="page224"/>
    <w:bookmarkEnd w:id="223"/>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 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118" w:lineRule="exact"/>
        <w:rPr>
          <w:sz w:val="20"/>
          <w:szCs w:val="20"/>
          <w:color w:val="auto"/>
        </w:rPr>
      </w:pPr>
    </w:p>
    <w:p>
      <w:pPr>
        <w:ind w:firstLine="921"/>
        <w:spacing w:after="0" w:line="286" w:lineRule="auto"/>
        <w:tabs>
          <w:tab w:leader="none" w:pos="115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 immediately preceding sentence shall not be available for subsequent grants under the Plan. The Committee may add such other requirements and limitations regarding elections pursuant to this Paragraph 15(c) as it deems appropriate.</w:t>
      </w:r>
    </w:p>
    <w:p>
      <w:pPr>
        <w:spacing w:after="0" w:line="161" w:lineRule="exact"/>
        <w:rPr>
          <w:rFonts w:ascii="Arial" w:cs="Arial" w:eastAsia="Arial" w:hAnsi="Arial"/>
          <w:sz w:val="16"/>
          <w:szCs w:val="16"/>
          <w:color w:val="auto"/>
        </w:rPr>
      </w:pPr>
    </w:p>
    <w:p>
      <w:pPr>
        <w:ind w:left="900" w:hanging="446"/>
        <w:spacing w:after="0"/>
        <w:tabs>
          <w:tab w:leader="none" w:pos="9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December 9, 2008. The Plan shall expire on May 13, 2018, unless sooner terminated by the Board.</w:t>
      </w:r>
    </w:p>
    <w:p>
      <w:pPr>
        <w:spacing w:after="0" w:line="166"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24" w:name="page225"/>
    <w:bookmarkEnd w:id="224"/>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as of the 9</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of December, 2008.</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COMCAST CORPORATION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27012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307"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ind w:right="893"/>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ind w:right="893"/>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ind w:right="893"/>
        <w:spacing w:after="0"/>
        <w:rPr>
          <w:sz w:val="20"/>
          <w:szCs w:val="20"/>
          <w:color w:val="auto"/>
        </w:rPr>
      </w:pPr>
      <w:r>
        <w:rPr>
          <w:rFonts w:ascii="Arial" w:cs="Arial" w:eastAsia="Arial" w:hAnsi="Arial"/>
          <w:sz w:val="18"/>
          <w:szCs w:val="18"/>
          <w:b w:val="1"/>
          <w:bCs w:val="1"/>
          <w:color w:val="auto"/>
        </w:rPr>
        <w:t>(As Amended And Restated, Effective December 9, 2008)</w:t>
      </w:r>
    </w:p>
    <w:p>
      <w:pPr>
        <w:spacing w:after="0" w:line="218" w:lineRule="exact"/>
        <w:rPr>
          <w:sz w:val="20"/>
          <w:szCs w:val="20"/>
          <w:color w:val="auto"/>
        </w:rPr>
      </w:pPr>
    </w:p>
    <w:p>
      <w:pPr>
        <w:ind w:left="567" w:hanging="567"/>
        <w:spacing w:after="0"/>
        <w:tabs>
          <w:tab w:leader="none" w:pos="56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90" w:lineRule="exact"/>
        <w:rPr>
          <w:rFonts w:ascii="Arial" w:cs="Arial" w:eastAsia="Arial" w:hAnsi="Arial"/>
          <w:sz w:val="18"/>
          <w:szCs w:val="18"/>
          <w:color w:val="auto"/>
        </w:rPr>
      </w:pPr>
    </w:p>
    <w:p>
      <w:pPr>
        <w:ind w:left="7" w:right="80" w:firstLine="421"/>
        <w:spacing w:after="0" w:line="298" w:lineRule="auto"/>
        <w:tabs>
          <w:tab w:leader="none" w:pos="666"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Amendment and Restatement of Plan</w:t>
      </w:r>
      <w:r>
        <w:rPr>
          <w:rFonts w:ascii="Arial" w:cs="Arial" w:eastAsia="Arial" w:hAnsi="Arial"/>
          <w:sz w:val="16"/>
          <w:szCs w:val="16"/>
          <w:color w:val="auto"/>
        </w:rPr>
        <w:t>. COMCAST CORPORATION, a Pennsylvania corporation, hereby amends and restates the Comcast Corporation 2002 Restricted Stock Plan (the “Plan”), effective December 9, 2008.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31" w:lineRule="exact"/>
        <w:rPr>
          <w:rFonts w:ascii="Arial" w:cs="Arial" w:eastAsia="Arial" w:hAnsi="Arial"/>
          <w:sz w:val="16"/>
          <w:szCs w:val="16"/>
          <w:color w:val="auto"/>
        </w:rPr>
      </w:pPr>
    </w:p>
    <w:p>
      <w:pPr>
        <w:ind w:left="7" w:right="40" w:firstLine="421"/>
        <w:spacing w:after="0" w:line="289" w:lineRule="auto"/>
        <w:tabs>
          <w:tab w:leader="none" w:pos="676"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2(ee) or Paragraph 8(i)(iii) of the Plan,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37" w:lineRule="exact"/>
        <w:rPr>
          <w:rFonts w:ascii="Arial" w:cs="Arial" w:eastAsia="Arial" w:hAnsi="Arial"/>
          <w:sz w:val="16"/>
          <w:szCs w:val="16"/>
          <w:color w:val="auto"/>
        </w:rPr>
      </w:pPr>
    </w:p>
    <w:p>
      <w:pPr>
        <w:ind w:left="7" w:right="80" w:firstLine="421"/>
        <w:spacing w:after="0" w:line="259" w:lineRule="auto"/>
        <w:tabs>
          <w:tab w:leader="none" w:pos="666"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59" w:lineRule="exact"/>
        <w:rPr>
          <w:rFonts w:ascii="Arial" w:cs="Arial" w:eastAsia="Arial" w:hAnsi="Arial"/>
          <w:sz w:val="18"/>
          <w:szCs w:val="18"/>
          <w:color w:val="auto"/>
        </w:rPr>
      </w:pPr>
    </w:p>
    <w:p>
      <w:pPr>
        <w:ind w:left="7" w:right="80" w:firstLine="421"/>
        <w:spacing w:after="0" w:line="294" w:lineRule="auto"/>
        <w:tabs>
          <w:tab w:leader="none" w:pos="676"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0507"/>
          </w:cols>
          <w:pgMar w:left="1153" w:top="125" w:right="239" w:bottom="1440" w:gutter="0" w:footer="0" w:header="0"/>
        </w:sectPr>
      </w:pPr>
    </w:p>
    <w:bookmarkStart w:id="226" w:name="page227"/>
    <w:bookmarkEnd w:id="226"/>
    <w:p>
      <w:pPr>
        <w:ind w:left="567" w:hanging="567"/>
        <w:spacing w:after="0"/>
        <w:tabs>
          <w:tab w:leader="none" w:pos="567"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p>
    <w:p>
      <w:pPr>
        <w:spacing w:after="0" w:line="90" w:lineRule="exact"/>
        <w:rPr>
          <w:rFonts w:ascii="Arial" w:cs="Arial" w:eastAsia="Arial" w:hAnsi="Arial"/>
          <w:sz w:val="18"/>
          <w:szCs w:val="18"/>
          <w:color w:val="auto"/>
        </w:rPr>
      </w:pPr>
    </w:p>
    <w:p>
      <w:pPr>
        <w:ind w:left="7" w:firstLine="421"/>
        <w:spacing w:after="0" w:line="259" w:lineRule="auto"/>
        <w:tabs>
          <w:tab w:leader="none" w:pos="66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Acceleration Election</w:t>
      </w:r>
      <w:r>
        <w:rPr>
          <w:rFonts w:ascii="Arial" w:cs="Arial" w:eastAsia="Arial" w:hAnsi="Arial"/>
          <w:sz w:val="18"/>
          <w:szCs w:val="18"/>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59" w:lineRule="exact"/>
        <w:rPr>
          <w:rFonts w:ascii="Arial" w:cs="Arial" w:eastAsia="Arial" w:hAnsi="Arial"/>
          <w:sz w:val="18"/>
          <w:szCs w:val="18"/>
          <w:color w:val="auto"/>
        </w:rPr>
      </w:pPr>
    </w:p>
    <w:p>
      <w:pPr>
        <w:ind w:left="7" w:right="180" w:firstLine="421"/>
        <w:spacing w:after="0" w:line="255" w:lineRule="auto"/>
        <w:tabs>
          <w:tab w:leader="none" w:pos="67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61" w:lineRule="exact"/>
        <w:rPr>
          <w:rFonts w:ascii="Arial" w:cs="Arial" w:eastAsia="Arial" w:hAnsi="Arial"/>
          <w:sz w:val="18"/>
          <w:szCs w:val="18"/>
          <w:color w:val="auto"/>
        </w:rPr>
      </w:pPr>
    </w:p>
    <w:p>
      <w:pPr>
        <w:ind w:left="667" w:hanging="239"/>
        <w:spacing w:after="0"/>
        <w:tabs>
          <w:tab w:leader="none" w:pos="66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90" w:lineRule="exact"/>
        <w:rPr>
          <w:rFonts w:ascii="Arial" w:cs="Arial" w:eastAsia="Arial" w:hAnsi="Arial"/>
          <w:sz w:val="18"/>
          <w:szCs w:val="18"/>
          <w:color w:val="auto"/>
        </w:rPr>
      </w:pPr>
    </w:p>
    <w:p>
      <w:pPr>
        <w:ind w:left="7" w:right="280" w:firstLine="421"/>
        <w:spacing w:after="0" w:line="298" w:lineRule="auto"/>
        <w:tabs>
          <w:tab w:leader="none" w:pos="676"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6"/>
          <w:szCs w:val="16"/>
          <w:color w:val="auto"/>
        </w:rPr>
      </w:pPr>
    </w:p>
    <w:p>
      <w:pPr>
        <w:ind w:left="7" w:right="120" w:firstLine="421"/>
        <w:spacing w:after="0" w:line="268" w:lineRule="auto"/>
        <w:tabs>
          <w:tab w:leader="none" w:pos="66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50" w:lineRule="exact"/>
        <w:rPr>
          <w:rFonts w:ascii="Arial" w:cs="Arial" w:eastAsia="Arial" w:hAnsi="Arial"/>
          <w:sz w:val="18"/>
          <w:szCs w:val="18"/>
          <w:color w:val="auto"/>
        </w:rPr>
      </w:pPr>
    </w:p>
    <w:p>
      <w:pPr>
        <w:ind w:left="647" w:hanging="219"/>
        <w:spacing w:after="0"/>
        <w:tabs>
          <w:tab w:leader="none" w:pos="64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63" w:lineRule="exact"/>
        <w:rPr>
          <w:rFonts w:ascii="Arial" w:cs="Arial" w:eastAsia="Arial" w:hAnsi="Arial"/>
          <w:sz w:val="18"/>
          <w:szCs w:val="18"/>
          <w:color w:val="auto"/>
        </w:rPr>
      </w:pPr>
    </w:p>
    <w:p>
      <w:pPr>
        <w:ind w:left="1467" w:right="120" w:hanging="441"/>
        <w:spacing w:after="0" w:line="250" w:lineRule="auto"/>
        <w:tabs>
          <w:tab w:leader="none" w:pos="1467" w:val="left"/>
        </w:tabs>
        <w:numPr>
          <w:ilvl w:val="2"/>
          <w:numId w:val="167"/>
        </w:numPr>
        <w:rPr>
          <w:rFonts w:ascii="Arial" w:cs="Arial" w:eastAsia="Arial" w:hAnsi="Arial"/>
          <w:sz w:val="17"/>
          <w:szCs w:val="17"/>
          <w:color w:val="auto"/>
        </w:rPr>
      </w:pPr>
      <w:r>
        <w:rPr>
          <w:rFonts w:ascii="Arial" w:cs="Arial" w:eastAsia="Arial" w:hAnsi="Arial"/>
          <w:sz w:val="17"/>
          <w:szCs w:val="17"/>
          <w:color w:val="auto"/>
        </w:rPr>
        <w:t>Except as otherwise provided in Paragraph 2(f)(ii)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53" w:lineRule="exact"/>
        <w:rPr>
          <w:rFonts w:ascii="Arial" w:cs="Arial" w:eastAsia="Arial" w:hAnsi="Arial"/>
          <w:sz w:val="17"/>
          <w:szCs w:val="17"/>
          <w:color w:val="auto"/>
        </w:rPr>
      </w:pPr>
    </w:p>
    <w:p>
      <w:pPr>
        <w:ind w:left="1467" w:right="780" w:hanging="441"/>
        <w:spacing w:after="0" w:line="268" w:lineRule="auto"/>
        <w:tabs>
          <w:tab w:leader="none" w:pos="1467" w:val="left"/>
        </w:tabs>
        <w:numPr>
          <w:ilvl w:val="2"/>
          <w:numId w:val="167"/>
        </w:numPr>
        <w:rPr>
          <w:rFonts w:ascii="Arial" w:cs="Arial" w:eastAsia="Arial" w:hAnsi="Arial"/>
          <w:sz w:val="18"/>
          <w:szCs w:val="18"/>
          <w:color w:val="auto"/>
        </w:rPr>
      </w:pPr>
      <w:r>
        <w:rPr>
          <w:rFonts w:ascii="Arial" w:cs="Arial" w:eastAsia="Arial" w:hAnsi="Arial"/>
          <w:sz w:val="18"/>
          <w:szCs w:val="18"/>
          <w:color w:val="auto"/>
        </w:rPr>
        <w:t>Effective for the period extending from a Grantee’s employment termination date to the date the Grantee’s Account is distributed in full, the Committee, in its sole and absolute discretion, may</w:t>
      </w:r>
    </w:p>
    <w:p>
      <w:pPr>
        <w:spacing w:after="0" w:line="11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7"/>
          </w:cols>
          <w:pgMar w:left="1153" w:top="280" w:right="239" w:bottom="1440" w:gutter="0" w:footer="0" w:header="0"/>
        </w:sectPr>
      </w:pPr>
    </w:p>
    <w:bookmarkStart w:id="227" w:name="page228"/>
    <w:bookmarkEnd w:id="227"/>
    <w:p>
      <w:pPr>
        <w:ind w:left="1200"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35" w:lineRule="exact"/>
        <w:rPr>
          <w:sz w:val="20"/>
          <w:szCs w:val="20"/>
          <w:color w:val="auto"/>
        </w:rPr>
      </w:pPr>
    </w:p>
    <w:p>
      <w:pPr>
        <w:ind w:left="-280" w:right="540" w:firstLine="421"/>
        <w:spacing w:after="0" w:line="268" w:lineRule="auto"/>
        <w:tabs>
          <w:tab w:leader="none" w:pos="38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50" w:lineRule="exact"/>
        <w:rPr>
          <w:rFonts w:ascii="Arial" w:cs="Arial" w:eastAsia="Arial" w:hAnsi="Arial"/>
          <w:sz w:val="18"/>
          <w:szCs w:val="18"/>
          <w:color w:val="auto"/>
        </w:rPr>
      </w:pPr>
    </w:p>
    <w:p>
      <w:pPr>
        <w:ind w:left="380" w:hanging="239"/>
        <w:spacing w:after="0"/>
        <w:tabs>
          <w:tab w:leader="none" w:pos="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90" w:lineRule="exact"/>
        <w:rPr>
          <w:rFonts w:ascii="Arial" w:cs="Arial" w:eastAsia="Arial" w:hAnsi="Arial"/>
          <w:sz w:val="18"/>
          <w:szCs w:val="18"/>
          <w:color w:val="auto"/>
        </w:rPr>
      </w:pPr>
    </w:p>
    <w:p>
      <w:pPr>
        <w:ind w:left="360" w:hanging="219"/>
        <w:spacing w:after="0"/>
        <w:tabs>
          <w:tab w:leader="none" w:pos="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360" w:hanging="219"/>
        <w:spacing w:after="0"/>
        <w:tabs>
          <w:tab w:leader="none" w:pos="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180" w:hanging="441"/>
        <w:spacing w:after="0" w:line="294" w:lineRule="auto"/>
        <w:tabs>
          <w:tab w:leader="none" w:pos="118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34" w:lineRule="exact"/>
        <w:rPr>
          <w:rFonts w:ascii="Arial" w:cs="Arial" w:eastAsia="Arial" w:hAnsi="Arial"/>
          <w:sz w:val="16"/>
          <w:szCs w:val="16"/>
          <w:color w:val="auto"/>
        </w:rPr>
      </w:pPr>
    </w:p>
    <w:p>
      <w:pPr>
        <w:ind w:left="1180" w:right="40" w:hanging="441"/>
        <w:spacing w:after="0" w:line="357" w:lineRule="auto"/>
        <w:tabs>
          <w:tab w:leader="none" w:pos="118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ind w:left="380" w:hanging="239"/>
        <w:spacing w:after="0"/>
        <w:tabs>
          <w:tab w:leader="none" w:pos="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left="-280" w:right="40" w:firstLine="421"/>
        <w:spacing w:after="0" w:line="256" w:lineRule="auto"/>
        <w:tabs>
          <w:tab w:leader="none" w:pos="3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62" w:lineRule="exact"/>
        <w:rPr>
          <w:rFonts w:ascii="Arial" w:cs="Arial" w:eastAsia="Arial" w:hAnsi="Arial"/>
          <w:sz w:val="18"/>
          <w:szCs w:val="18"/>
          <w:color w:val="auto"/>
        </w:rPr>
      </w:pPr>
    </w:p>
    <w:p>
      <w:pPr>
        <w:ind w:left="440" w:hanging="299"/>
        <w:spacing w:after="0"/>
        <w:tabs>
          <w:tab w:leader="none" w:pos="4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00"/>
          </w:cols>
          <w:pgMar w:left="1440" w:top="280" w:right="259" w:bottom="1440" w:gutter="0" w:footer="0" w:header="0"/>
        </w:sectPr>
      </w:pPr>
    </w:p>
    <w:bookmarkStart w:id="228" w:name="page229"/>
    <w:bookmarkEnd w:id="228"/>
    <w:p>
      <w:pPr>
        <w:ind w:left="380" w:hanging="239"/>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90" w:lineRule="exact"/>
        <w:rPr>
          <w:rFonts w:ascii="Arial" w:cs="Arial" w:eastAsia="Arial" w:hAnsi="Arial"/>
          <w:sz w:val="18"/>
          <w:szCs w:val="18"/>
          <w:color w:val="auto"/>
        </w:rPr>
      </w:pPr>
    </w:p>
    <w:p>
      <w:pPr>
        <w:ind w:left="-280" w:firstLine="421"/>
        <w:spacing w:after="0" w:line="268" w:lineRule="auto"/>
        <w:tabs>
          <w:tab w:leader="none" w:pos="38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50" w:lineRule="exact"/>
        <w:rPr>
          <w:rFonts w:ascii="Arial" w:cs="Arial" w:eastAsia="Arial" w:hAnsi="Arial"/>
          <w:sz w:val="18"/>
          <w:szCs w:val="18"/>
          <w:color w:val="auto"/>
        </w:rPr>
      </w:pPr>
    </w:p>
    <w:p>
      <w:pPr>
        <w:ind w:left="-280" w:right="20" w:firstLine="421"/>
        <w:spacing w:after="0" w:line="289" w:lineRule="auto"/>
        <w:tabs>
          <w:tab w:leader="none" w:pos="38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37" w:lineRule="exact"/>
        <w:rPr>
          <w:rFonts w:ascii="Arial" w:cs="Arial" w:eastAsia="Arial" w:hAnsi="Arial"/>
          <w:sz w:val="16"/>
          <w:szCs w:val="16"/>
          <w:color w:val="auto"/>
        </w:rPr>
      </w:pPr>
    </w:p>
    <w:p>
      <w:pPr>
        <w:ind w:left="380" w:hanging="239"/>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90" w:lineRule="exact"/>
        <w:rPr>
          <w:rFonts w:ascii="Arial" w:cs="Arial" w:eastAsia="Arial" w:hAnsi="Arial"/>
          <w:sz w:val="18"/>
          <w:szCs w:val="18"/>
          <w:color w:val="auto"/>
        </w:rPr>
      </w:pPr>
    </w:p>
    <w:p>
      <w:pPr>
        <w:ind w:left="360" w:hanging="219"/>
        <w:spacing w:after="0"/>
        <w:tabs>
          <w:tab w:leader="none" w:pos="3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180" w:hanging="441"/>
        <w:spacing w:after="0"/>
        <w:tabs>
          <w:tab w:leader="none" w:pos="11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180" w:hanging="441"/>
        <w:spacing w:after="0"/>
        <w:tabs>
          <w:tab w:leader="none" w:pos="11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90" w:lineRule="exact"/>
        <w:rPr>
          <w:rFonts w:ascii="Arial" w:cs="Arial" w:eastAsia="Arial" w:hAnsi="Arial"/>
          <w:sz w:val="18"/>
          <w:szCs w:val="18"/>
          <w:color w:val="auto"/>
        </w:rPr>
      </w:pPr>
    </w:p>
    <w:p>
      <w:pPr>
        <w:ind w:left="380" w:hanging="239"/>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180" w:right="320" w:hanging="441"/>
        <w:spacing w:after="0" w:line="332" w:lineRule="auto"/>
        <w:tabs>
          <w:tab w:leader="none" w:pos="11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4" w:lineRule="exact"/>
        <w:rPr>
          <w:rFonts w:ascii="Arial" w:cs="Arial" w:eastAsia="Arial" w:hAnsi="Arial"/>
          <w:sz w:val="16"/>
          <w:szCs w:val="16"/>
          <w:color w:val="auto"/>
        </w:rPr>
      </w:pPr>
    </w:p>
    <w:p>
      <w:pPr>
        <w:ind w:left="1180" w:right="80" w:hanging="441"/>
        <w:spacing w:after="0" w:line="332" w:lineRule="auto"/>
        <w:tabs>
          <w:tab w:leader="none" w:pos="11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4" w:lineRule="exact"/>
        <w:rPr>
          <w:rFonts w:ascii="Arial" w:cs="Arial" w:eastAsia="Arial" w:hAnsi="Arial"/>
          <w:sz w:val="16"/>
          <w:szCs w:val="16"/>
          <w:color w:val="auto"/>
        </w:rPr>
      </w:pPr>
    </w:p>
    <w:p>
      <w:pPr>
        <w:ind w:left="1180" w:hanging="441"/>
        <w:spacing w:after="0"/>
        <w:tabs>
          <w:tab w:leader="none" w:pos="11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180" w:right="160" w:hanging="441"/>
        <w:spacing w:after="0" w:line="268" w:lineRule="auto"/>
        <w:tabs>
          <w:tab w:leader="none" w:pos="11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00"/>
          </w:cols>
          <w:pgMar w:left="1440" w:top="280" w:right="259" w:bottom="1440" w:gutter="0" w:footer="0" w:header="0"/>
        </w:sectPr>
      </w:pPr>
    </w:p>
    <w:bookmarkStart w:id="229" w:name="page230"/>
    <w:bookmarkEnd w:id="229"/>
    <w:p>
      <w:pPr>
        <w:ind w:left="360" w:hanging="219"/>
        <w:spacing w:after="0"/>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90" w:lineRule="exact"/>
        <w:rPr>
          <w:rFonts w:ascii="Arial" w:cs="Arial" w:eastAsia="Arial" w:hAnsi="Arial"/>
          <w:sz w:val="18"/>
          <w:szCs w:val="18"/>
          <w:color w:val="auto"/>
        </w:rPr>
      </w:pPr>
    </w:p>
    <w:p>
      <w:pPr>
        <w:ind w:left="380" w:hanging="239"/>
        <w:spacing w:after="0"/>
        <w:tabs>
          <w:tab w:leader="none" w:pos="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180" w:hanging="441"/>
        <w:spacing w:after="0" w:line="259" w:lineRule="auto"/>
        <w:tabs>
          <w:tab w:leader="none" w:pos="11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59" w:lineRule="exact"/>
        <w:rPr>
          <w:rFonts w:ascii="Arial" w:cs="Arial" w:eastAsia="Arial" w:hAnsi="Arial"/>
          <w:sz w:val="18"/>
          <w:szCs w:val="18"/>
          <w:color w:val="auto"/>
        </w:rPr>
      </w:pPr>
    </w:p>
    <w:p>
      <w:pPr>
        <w:ind w:left="1180" w:right="100" w:hanging="441"/>
        <w:spacing w:after="0" w:line="256" w:lineRule="auto"/>
        <w:tabs>
          <w:tab w:leader="none" w:pos="11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62" w:lineRule="exact"/>
        <w:rPr>
          <w:rFonts w:ascii="Arial" w:cs="Arial" w:eastAsia="Arial" w:hAnsi="Arial"/>
          <w:sz w:val="18"/>
          <w:szCs w:val="18"/>
          <w:color w:val="auto"/>
        </w:rPr>
      </w:pPr>
    </w:p>
    <w:p>
      <w:pPr>
        <w:ind w:left="380" w:hanging="239"/>
        <w:spacing w:after="0"/>
        <w:tabs>
          <w:tab w:leader="none" w:pos="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180" w:hanging="441"/>
        <w:spacing w:after="0"/>
        <w:tabs>
          <w:tab w:leader="none" w:pos="11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180" w:hanging="441"/>
        <w:spacing w:after="0"/>
        <w:tabs>
          <w:tab w:leader="none" w:pos="11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duly-appointed legal guardian of an individual described in Paragraph 2(v)(i) acting on behalf of such individual.</w:t>
      </w:r>
    </w:p>
    <w:p>
      <w:pPr>
        <w:spacing w:after="0" w:line="113" w:lineRule="exact"/>
        <w:rPr>
          <w:rFonts w:ascii="Arial" w:cs="Arial" w:eastAsia="Arial" w:hAnsi="Arial"/>
          <w:sz w:val="16"/>
          <w:szCs w:val="16"/>
          <w:color w:val="auto"/>
        </w:rPr>
      </w:pPr>
    </w:p>
    <w:p>
      <w:pPr>
        <w:ind w:left="-280" w:firstLine="421"/>
        <w:spacing w:after="0" w:line="259" w:lineRule="auto"/>
        <w:tabs>
          <w:tab w:leader="none" w:pos="42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59" w:lineRule="exact"/>
        <w:rPr>
          <w:rFonts w:ascii="Arial" w:cs="Arial" w:eastAsia="Arial" w:hAnsi="Arial"/>
          <w:sz w:val="18"/>
          <w:szCs w:val="18"/>
          <w:color w:val="auto"/>
        </w:rPr>
      </w:pPr>
    </w:p>
    <w:p>
      <w:pPr>
        <w:ind w:left="380" w:hanging="239"/>
        <w:spacing w:after="0"/>
        <w:tabs>
          <w:tab w:leader="none" w:pos="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90" w:lineRule="exact"/>
        <w:rPr>
          <w:rFonts w:ascii="Arial" w:cs="Arial" w:eastAsia="Arial" w:hAnsi="Arial"/>
          <w:sz w:val="18"/>
          <w:szCs w:val="18"/>
          <w:color w:val="auto"/>
        </w:rPr>
      </w:pPr>
    </w:p>
    <w:p>
      <w:pPr>
        <w:ind w:left="380" w:hanging="239"/>
        <w:spacing w:after="0"/>
        <w:tabs>
          <w:tab w:leader="none" w:pos="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90" w:lineRule="exact"/>
        <w:rPr>
          <w:rFonts w:ascii="Arial" w:cs="Arial" w:eastAsia="Arial" w:hAnsi="Arial"/>
          <w:sz w:val="18"/>
          <w:szCs w:val="18"/>
          <w:color w:val="auto"/>
        </w:rPr>
      </w:pPr>
    </w:p>
    <w:p>
      <w:pPr>
        <w:ind w:left="380" w:hanging="239"/>
        <w:spacing w:after="0"/>
        <w:tabs>
          <w:tab w:leader="none" w:pos="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jc w:val="both"/>
        <w:ind w:left="1180" w:right="160" w:hanging="441"/>
        <w:spacing w:after="0" w:line="259" w:lineRule="auto"/>
        <w:tabs>
          <w:tab w:leader="none" w:pos="11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59" w:lineRule="exact"/>
        <w:rPr>
          <w:rFonts w:ascii="Arial" w:cs="Arial" w:eastAsia="Arial" w:hAnsi="Arial"/>
          <w:sz w:val="18"/>
          <w:szCs w:val="18"/>
          <w:color w:val="auto"/>
        </w:rPr>
      </w:pPr>
    </w:p>
    <w:p>
      <w:pPr>
        <w:ind w:left="1180" w:right="680" w:hanging="441"/>
        <w:spacing w:after="0" w:line="268" w:lineRule="auto"/>
        <w:tabs>
          <w:tab w:leader="none" w:pos="11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00"/>
          </w:cols>
          <w:pgMar w:left="1440" w:top="280" w:right="259" w:bottom="1440" w:gutter="0" w:footer="0" w:header="0"/>
        </w:sectPr>
      </w:pPr>
    </w:p>
    <w:bookmarkStart w:id="230" w:name="page231"/>
    <w:bookmarkEnd w:id="230"/>
    <w:p>
      <w:pPr>
        <w:ind w:left="1479"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the last quoted sale price of a Share on the Nasdaq National Market on the date of determination, or if such date is not a trading day, the next trading date.</w:t>
      </w:r>
    </w:p>
    <w:p>
      <w:pPr>
        <w:spacing w:after="0" w:line="51" w:lineRule="exact"/>
        <w:rPr>
          <w:sz w:val="20"/>
          <w:szCs w:val="20"/>
          <w:color w:val="auto"/>
        </w:rPr>
      </w:pPr>
    </w:p>
    <w:p>
      <w:pPr>
        <w:ind w:left="1459" w:right="280" w:hanging="441"/>
        <w:spacing w:after="0" w:line="268" w:lineRule="auto"/>
        <w:tabs>
          <w:tab w:leader="none" w:pos="1459" w:val="left"/>
        </w:tabs>
        <w:numPr>
          <w:ilvl w:val="2"/>
          <w:numId w:val="171"/>
        </w:numPr>
        <w:rPr>
          <w:rFonts w:ascii="Arial" w:cs="Arial" w:eastAsia="Arial" w:hAnsi="Arial"/>
          <w:sz w:val="18"/>
          <w:szCs w:val="18"/>
          <w:color w:val="auto"/>
        </w:rPr>
      </w:pPr>
      <w:r>
        <w:rPr>
          <w:rFonts w:ascii="Arial" w:cs="Arial" w:eastAsia="Arial" w:hAnsi="Arial"/>
          <w:sz w:val="18"/>
          <w:szCs w:val="18"/>
          <w:color w:val="auto"/>
        </w:rPr>
        <w:t>If Shares are not so listed nor trades of Shares so reported, Fair Market Value shall be determined by the Committee in good faith.</w:t>
      </w:r>
    </w:p>
    <w:p>
      <w:pPr>
        <w:spacing w:after="0" w:line="50" w:lineRule="exact"/>
        <w:rPr>
          <w:rFonts w:ascii="Arial" w:cs="Arial" w:eastAsia="Arial" w:hAnsi="Arial"/>
          <w:sz w:val="18"/>
          <w:szCs w:val="18"/>
          <w:color w:val="auto"/>
        </w:rPr>
      </w:pPr>
    </w:p>
    <w:p>
      <w:pPr>
        <w:ind w:left="-1" w:right="100" w:firstLine="421"/>
        <w:spacing w:after="0" w:line="332" w:lineRule="auto"/>
        <w:tabs>
          <w:tab w:leader="none" w:pos="736" w:val="left"/>
        </w:tabs>
        <w:numPr>
          <w:ilvl w:val="1"/>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4" w:lineRule="exact"/>
        <w:rPr>
          <w:rFonts w:ascii="Arial" w:cs="Arial" w:eastAsia="Arial" w:hAnsi="Arial"/>
          <w:sz w:val="16"/>
          <w:szCs w:val="16"/>
          <w:color w:val="auto"/>
        </w:rPr>
      </w:pPr>
    </w:p>
    <w:p>
      <w:pPr>
        <w:ind w:left="-1" w:right="120" w:firstLine="421"/>
        <w:spacing w:after="0" w:line="268" w:lineRule="auto"/>
        <w:tabs>
          <w:tab w:leader="none" w:pos="75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50" w:lineRule="exact"/>
        <w:rPr>
          <w:rFonts w:ascii="Arial" w:cs="Arial" w:eastAsia="Arial" w:hAnsi="Arial"/>
          <w:sz w:val="18"/>
          <w:szCs w:val="18"/>
          <w:color w:val="auto"/>
        </w:rPr>
      </w:pPr>
    </w:p>
    <w:p>
      <w:pPr>
        <w:ind w:left="739" w:hanging="319"/>
        <w:spacing w:after="0"/>
        <w:tabs>
          <w:tab w:leader="none" w:pos="73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90" w:lineRule="exact"/>
        <w:rPr>
          <w:rFonts w:ascii="Arial" w:cs="Arial" w:eastAsia="Arial" w:hAnsi="Arial"/>
          <w:sz w:val="18"/>
          <w:szCs w:val="18"/>
          <w:color w:val="auto"/>
        </w:rPr>
      </w:pPr>
    </w:p>
    <w:p>
      <w:pPr>
        <w:ind w:left="-1" w:right="20" w:firstLine="421"/>
        <w:spacing w:after="0" w:line="291" w:lineRule="auto"/>
        <w:tabs>
          <w:tab w:leader="none" w:pos="75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39" w:lineRule="exact"/>
        <w:rPr>
          <w:rFonts w:ascii="Arial" w:cs="Arial" w:eastAsia="Arial" w:hAnsi="Arial"/>
          <w:sz w:val="16"/>
          <w:szCs w:val="16"/>
          <w:color w:val="auto"/>
        </w:rPr>
      </w:pPr>
    </w:p>
    <w:p>
      <w:pPr>
        <w:ind w:left="-1" w:right="40" w:firstLine="421"/>
        <w:spacing w:after="0" w:line="290" w:lineRule="auto"/>
        <w:tabs>
          <w:tab w:leader="none" w:pos="736" w:val="left"/>
        </w:tabs>
        <w:numPr>
          <w:ilvl w:val="1"/>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Except as otherwise provided in Paragraph 8(l), and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37" w:lineRule="exact"/>
        <w:rPr>
          <w:rFonts w:ascii="Arial" w:cs="Arial" w:eastAsia="Arial" w:hAnsi="Arial"/>
          <w:sz w:val="16"/>
          <w:szCs w:val="16"/>
          <w:color w:val="auto"/>
        </w:rPr>
      </w:pPr>
    </w:p>
    <w:p>
      <w:pPr>
        <w:ind w:left="-1" w:firstLine="421"/>
        <w:spacing w:after="0" w:line="286" w:lineRule="auto"/>
        <w:tabs>
          <w:tab w:leader="none" w:pos="693" w:val="left"/>
        </w:tabs>
        <w:numPr>
          <w:ilvl w:val="1"/>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Election</w:t>
      </w:r>
      <w:r>
        <w:rPr>
          <w:rFonts w:ascii="Arial" w:cs="Arial" w:eastAsia="Arial" w:hAnsi="Arial"/>
          <w:sz w:val="16"/>
          <w:szCs w:val="16"/>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w:t>
      </w:r>
    </w:p>
    <w:p>
      <w:pPr>
        <w:ind w:left="259" w:hanging="259"/>
        <w:spacing w:after="0"/>
        <w:tabs>
          <w:tab w:leader="none" w:pos="25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designates the distribution date of such Shares.</w:t>
      </w:r>
    </w:p>
    <w:p>
      <w:pPr>
        <w:spacing w:after="0" w:line="83" w:lineRule="exact"/>
        <w:rPr>
          <w:rFonts w:ascii="Arial" w:cs="Arial" w:eastAsia="Arial" w:hAnsi="Arial"/>
          <w:sz w:val="18"/>
          <w:szCs w:val="18"/>
          <w:color w:val="auto"/>
        </w:rPr>
      </w:pPr>
    </w:p>
    <w:p>
      <w:pPr>
        <w:ind w:left="-1" w:right="80" w:firstLine="421"/>
        <w:spacing w:after="0" w:line="268" w:lineRule="auto"/>
        <w:tabs>
          <w:tab w:leader="none" w:pos="75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w:t>
      </w:r>
    </w:p>
    <w:p>
      <w:pPr>
        <w:spacing w:after="0" w:line="118"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59"/>
          </w:cols>
          <w:pgMar w:left="1161" w:top="280" w:right="279" w:bottom="1440" w:gutter="0" w:footer="0" w:header="0"/>
        </w:sectPr>
      </w:pPr>
    </w:p>
    <w:bookmarkStart w:id="231" w:name="page232"/>
    <w:bookmarkEnd w:id="23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Rate of Pay of $200,000 or more as of his employment commencement date; or (ii) has an Annual Rate of Pay that is increased to $200,000 or more and who, immediately preceding such increase, was not a Deferral Eligible Employee.</w:t>
      </w:r>
    </w:p>
    <w:p>
      <w:pPr>
        <w:spacing w:after="0" w:line="51" w:lineRule="exact"/>
        <w:rPr>
          <w:sz w:val="20"/>
          <w:szCs w:val="20"/>
          <w:color w:val="auto"/>
        </w:rPr>
      </w:pPr>
    </w:p>
    <w:p>
      <w:pPr>
        <w:ind w:right="80" w:firstLine="421"/>
        <w:spacing w:after="0" w:line="268" w:lineRule="auto"/>
        <w:tabs>
          <w:tab w:leader="none" w:pos="75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50" w:lineRule="exact"/>
        <w:rPr>
          <w:rFonts w:ascii="Arial" w:cs="Arial" w:eastAsia="Arial" w:hAnsi="Arial"/>
          <w:sz w:val="18"/>
          <w:szCs w:val="18"/>
          <w:color w:val="auto"/>
        </w:rPr>
      </w:pPr>
    </w:p>
    <w:p>
      <w:pPr>
        <w:ind w:right="140" w:firstLine="421"/>
        <w:spacing w:after="0" w:line="268" w:lineRule="auto"/>
        <w:tabs>
          <w:tab w:leader="none" w:pos="6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50" w:lineRule="exact"/>
        <w:rPr>
          <w:rFonts w:ascii="Arial" w:cs="Arial" w:eastAsia="Arial" w:hAnsi="Arial"/>
          <w:sz w:val="18"/>
          <w:szCs w:val="18"/>
          <w:color w:val="auto"/>
        </w:rPr>
      </w:pPr>
    </w:p>
    <w:p>
      <w:pPr>
        <w:ind w:left="680" w:hanging="259"/>
        <w:spacing w:after="0"/>
        <w:tabs>
          <w:tab w:leader="none" w:pos="6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60" w:right="160" w:hanging="441"/>
        <w:spacing w:after="0" w:line="259" w:lineRule="auto"/>
        <w:tabs>
          <w:tab w:leader="none" w:pos="14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59" w:lineRule="exact"/>
        <w:rPr>
          <w:rFonts w:ascii="Arial" w:cs="Arial" w:eastAsia="Arial" w:hAnsi="Arial"/>
          <w:sz w:val="18"/>
          <w:szCs w:val="18"/>
          <w:color w:val="auto"/>
        </w:rPr>
      </w:pPr>
    </w:p>
    <w:p>
      <w:pPr>
        <w:ind w:left="1460" w:hanging="441"/>
        <w:spacing w:after="0"/>
        <w:tabs>
          <w:tab w:leader="none" w:pos="14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2040" w:right="220" w:hanging="562"/>
        <w:spacing w:after="0" w:line="268" w:lineRule="auto"/>
        <w:tabs>
          <w:tab w:leader="none" w:pos="204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2(jj)(i); over</w:t>
      </w:r>
    </w:p>
    <w:p>
      <w:pPr>
        <w:spacing w:after="0" w:line="50" w:lineRule="exact"/>
        <w:rPr>
          <w:rFonts w:ascii="Arial" w:cs="Arial" w:eastAsia="Arial" w:hAnsi="Arial"/>
          <w:sz w:val="18"/>
          <w:szCs w:val="18"/>
          <w:color w:val="auto"/>
        </w:rPr>
      </w:pPr>
    </w:p>
    <w:p>
      <w:pPr>
        <w:ind w:left="2040" w:hanging="562"/>
        <w:spacing w:after="0"/>
        <w:tabs>
          <w:tab w:leader="none" w:pos="204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40" w:hanging="295"/>
        <w:spacing w:after="0"/>
        <w:tabs>
          <w:tab w:leader="none" w:pos="2140" w:val="left"/>
        </w:tabs>
        <w:numPr>
          <w:ilvl w:val="3"/>
          <w:numId w:val="174"/>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113" w:lineRule="exact"/>
        <w:rPr>
          <w:rFonts w:ascii="Arial" w:cs="Arial" w:eastAsia="Arial" w:hAnsi="Arial"/>
          <w:sz w:val="16"/>
          <w:szCs w:val="16"/>
          <w:color w:val="auto"/>
        </w:rPr>
      </w:pPr>
    </w:p>
    <w:p>
      <w:pPr>
        <w:ind w:left="1480" w:firstLine="365"/>
        <w:spacing w:after="0" w:line="259" w:lineRule="auto"/>
        <w:tabs>
          <w:tab w:leader="none" w:pos="2118" w:val="left"/>
        </w:tabs>
        <w:numPr>
          <w:ilvl w:val="3"/>
          <w:numId w:val="174"/>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59" w:lineRule="exact"/>
        <w:rPr>
          <w:rFonts w:ascii="Arial" w:cs="Arial" w:eastAsia="Arial" w:hAnsi="Arial"/>
          <w:sz w:val="18"/>
          <w:szCs w:val="18"/>
          <w:color w:val="auto"/>
        </w:rPr>
      </w:pPr>
    </w:p>
    <w:p>
      <w:pPr>
        <w:ind w:left="1480" w:right="200" w:firstLine="365"/>
        <w:spacing w:after="0" w:line="255" w:lineRule="auto"/>
        <w:tabs>
          <w:tab w:leader="none" w:pos="2118" w:val="left"/>
        </w:tabs>
        <w:numPr>
          <w:ilvl w:val="3"/>
          <w:numId w:val="174"/>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61" w:lineRule="exact"/>
        <w:rPr>
          <w:rFonts w:ascii="Arial" w:cs="Arial" w:eastAsia="Arial" w:hAnsi="Arial"/>
          <w:sz w:val="18"/>
          <w:szCs w:val="18"/>
          <w:color w:val="auto"/>
        </w:rPr>
      </w:pPr>
    </w:p>
    <w:p>
      <w:pPr>
        <w:ind w:left="2140" w:hanging="295"/>
        <w:spacing w:after="0"/>
        <w:tabs>
          <w:tab w:leader="none" w:pos="2140" w:val="left"/>
        </w:tabs>
        <w:numPr>
          <w:ilvl w:val="3"/>
          <w:numId w:val="174"/>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as to which evidence of</w:t>
      </w:r>
    </w:p>
    <w:p>
      <w:pPr>
        <w:spacing w:after="0" w:line="18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80" w:right="239" w:bottom="1440" w:gutter="0" w:footer="0" w:header="0"/>
        </w:sectPr>
      </w:pPr>
    </w:p>
    <w:bookmarkStart w:id="232" w:name="page233"/>
    <w:bookmarkEnd w:id="232"/>
    <w:p>
      <w:pPr>
        <w:ind w:left="240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37" w:lineRule="exact"/>
        <w:rPr>
          <w:sz w:val="20"/>
          <w:szCs w:val="20"/>
          <w:color w:val="auto"/>
        </w:rPr>
      </w:pPr>
    </w:p>
    <w:p>
      <w:pPr>
        <w:ind w:left="1680" w:hanging="339"/>
        <w:spacing w:after="0"/>
        <w:tabs>
          <w:tab w:leader="none" w:pos="1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90" w:lineRule="exact"/>
        <w:rPr>
          <w:rFonts w:ascii="Arial" w:cs="Arial" w:eastAsia="Arial" w:hAnsi="Arial"/>
          <w:sz w:val="18"/>
          <w:szCs w:val="18"/>
          <w:color w:val="auto"/>
        </w:rPr>
      </w:pPr>
    </w:p>
    <w:p>
      <w:pPr>
        <w:ind w:left="1780" w:hanging="439"/>
        <w:spacing w:after="0"/>
        <w:tabs>
          <w:tab w:leader="none" w:pos="17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Grantee may earn Performance-Based Compensation.</w:t>
      </w:r>
    </w:p>
    <w:p>
      <w:pPr>
        <w:spacing w:after="0" w:line="113" w:lineRule="exact"/>
        <w:rPr>
          <w:rFonts w:ascii="Arial" w:cs="Arial" w:eastAsia="Arial" w:hAnsi="Arial"/>
          <w:sz w:val="16"/>
          <w:szCs w:val="16"/>
          <w:color w:val="auto"/>
        </w:rPr>
      </w:pPr>
    </w:p>
    <w:p>
      <w:pPr>
        <w:ind w:left="1680" w:hanging="339"/>
        <w:spacing w:after="0"/>
        <w:tabs>
          <w:tab w:leader="none" w:pos="1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2002 Restricted Stock Plan, as set forth herein, and as amended from time to time.</w:t>
      </w:r>
    </w:p>
    <w:p>
      <w:pPr>
        <w:spacing w:after="0" w:line="113" w:lineRule="exact"/>
        <w:rPr>
          <w:rFonts w:ascii="Arial" w:cs="Arial" w:eastAsia="Arial" w:hAnsi="Arial"/>
          <w:sz w:val="16"/>
          <w:szCs w:val="16"/>
          <w:color w:val="auto"/>
        </w:rPr>
      </w:pPr>
    </w:p>
    <w:p>
      <w:pPr>
        <w:jc w:val="both"/>
        <w:ind w:left="920" w:firstLine="421"/>
        <w:spacing w:after="0" w:line="256" w:lineRule="auto"/>
        <w:tabs>
          <w:tab w:leader="none" w:pos="167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62" w:lineRule="exact"/>
        <w:rPr>
          <w:rFonts w:ascii="Arial" w:cs="Arial" w:eastAsia="Arial" w:hAnsi="Arial"/>
          <w:sz w:val="18"/>
          <w:szCs w:val="18"/>
          <w:color w:val="auto"/>
        </w:rPr>
      </w:pPr>
    </w:p>
    <w:p>
      <w:pPr>
        <w:ind w:left="1680" w:hanging="339"/>
        <w:spacing w:after="0"/>
        <w:tabs>
          <w:tab w:leader="none" w:pos="1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the Grantee, upon the Vesting Date set forth in an Award, to receive one Share.</w:t>
      </w:r>
    </w:p>
    <w:p>
      <w:pPr>
        <w:spacing w:after="0" w:line="113" w:lineRule="exact"/>
        <w:rPr>
          <w:rFonts w:ascii="Arial" w:cs="Arial" w:eastAsia="Arial" w:hAnsi="Arial"/>
          <w:sz w:val="16"/>
          <w:szCs w:val="16"/>
          <w:color w:val="auto"/>
        </w:rPr>
      </w:pPr>
    </w:p>
    <w:p>
      <w:pPr>
        <w:ind w:left="1640" w:hanging="299"/>
        <w:spacing w:after="0"/>
        <w:tabs>
          <w:tab w:leader="none" w:pos="16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33" w:name="page234"/>
    <w:bookmarkEnd w:id="233"/>
    <w:p>
      <w:pPr>
        <w:ind w:left="680" w:hanging="259"/>
        <w:spacing w:after="0"/>
        <w:tabs>
          <w:tab w:leader="none" w:pos="6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90" w:lineRule="exact"/>
        <w:rPr>
          <w:rFonts w:ascii="Arial" w:cs="Arial" w:eastAsia="Arial" w:hAnsi="Arial"/>
          <w:sz w:val="18"/>
          <w:szCs w:val="18"/>
          <w:color w:val="auto"/>
        </w:rPr>
      </w:pPr>
    </w:p>
    <w:p>
      <w:pPr>
        <w:ind w:left="760" w:hanging="339"/>
        <w:spacing w:after="0"/>
        <w:tabs>
          <w:tab w:leader="none" w:pos="7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1934 Act.</w:t>
      </w:r>
    </w:p>
    <w:p>
      <w:pPr>
        <w:spacing w:after="0" w:line="83" w:lineRule="exact"/>
        <w:rPr>
          <w:rFonts w:ascii="Arial" w:cs="Arial" w:eastAsia="Arial" w:hAnsi="Arial"/>
          <w:sz w:val="16"/>
          <w:szCs w:val="16"/>
          <w:color w:val="auto"/>
        </w:rPr>
      </w:pPr>
    </w:p>
    <w:p>
      <w:pPr>
        <w:ind w:left="760" w:hanging="339"/>
        <w:spacing w:after="0"/>
        <w:tabs>
          <w:tab w:leader="none" w:pos="7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1"/>
        <w:spacing w:after="0"/>
        <w:tabs>
          <w:tab w:leader="none" w:pos="14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90" w:lineRule="exact"/>
        <w:rPr>
          <w:rFonts w:ascii="Arial" w:cs="Arial" w:eastAsia="Arial" w:hAnsi="Arial"/>
          <w:sz w:val="18"/>
          <w:szCs w:val="18"/>
          <w:color w:val="auto"/>
        </w:rPr>
      </w:pPr>
    </w:p>
    <w:p>
      <w:pPr>
        <w:ind w:left="1460" w:hanging="441"/>
        <w:spacing w:after="0" w:line="259" w:lineRule="auto"/>
        <w:tabs>
          <w:tab w:leader="none" w:pos="14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59" w:lineRule="exact"/>
        <w:rPr>
          <w:rFonts w:ascii="Arial" w:cs="Arial" w:eastAsia="Arial" w:hAnsi="Arial"/>
          <w:sz w:val="18"/>
          <w:szCs w:val="18"/>
          <w:color w:val="auto"/>
        </w:rPr>
      </w:pPr>
    </w:p>
    <w:p>
      <w:pPr>
        <w:ind w:left="840" w:hanging="419"/>
        <w:spacing w:after="0"/>
        <w:tabs>
          <w:tab w:leader="none" w:pos="8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90" w:lineRule="exact"/>
        <w:rPr>
          <w:rFonts w:ascii="Arial" w:cs="Arial" w:eastAsia="Arial" w:hAnsi="Arial"/>
          <w:sz w:val="18"/>
          <w:szCs w:val="18"/>
          <w:color w:val="auto"/>
        </w:rPr>
      </w:pPr>
    </w:p>
    <w:p>
      <w:pPr>
        <w:ind w:right="20" w:firstLine="421"/>
        <w:spacing w:after="0" w:line="256" w:lineRule="auto"/>
        <w:tabs>
          <w:tab w:leader="none" w:pos="75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in accordance with Paragraph 8(k)(ii).</w:t>
      </w:r>
    </w:p>
    <w:p>
      <w:pPr>
        <w:spacing w:after="0" w:line="62" w:lineRule="exact"/>
        <w:rPr>
          <w:rFonts w:ascii="Arial" w:cs="Arial" w:eastAsia="Arial" w:hAnsi="Arial"/>
          <w:sz w:val="18"/>
          <w:szCs w:val="18"/>
          <w:color w:val="auto"/>
        </w:rPr>
      </w:pPr>
    </w:p>
    <w:p>
      <w:pPr>
        <w:ind w:right="180" w:firstLine="421"/>
        <w:spacing w:after="0" w:line="306" w:lineRule="auto"/>
        <w:tabs>
          <w:tab w:leader="none" w:pos="75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25" w:lineRule="exact"/>
        <w:rPr>
          <w:rFonts w:ascii="Arial" w:cs="Arial" w:eastAsia="Arial" w:hAnsi="Arial"/>
          <w:sz w:val="16"/>
          <w:szCs w:val="16"/>
          <w:color w:val="auto"/>
        </w:rPr>
      </w:pPr>
    </w:p>
    <w:p>
      <w:pPr>
        <w:ind w:right="200" w:firstLine="421"/>
        <w:spacing w:after="0" w:line="268" w:lineRule="auto"/>
        <w:tabs>
          <w:tab w:leader="none" w:pos="73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51" w:lineRule="exact"/>
        <w:rPr>
          <w:sz w:val="20"/>
          <w:szCs w:val="20"/>
          <w:color w:val="auto"/>
        </w:rPr>
      </w:pPr>
    </w:p>
    <w:p>
      <w:pPr>
        <w:ind w:right="40" w:firstLine="421"/>
        <w:spacing w:after="0" w:line="332" w:lineRule="auto"/>
        <w:tabs>
          <w:tab w:leader="none" w:pos="81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4" w:lineRule="exact"/>
        <w:rPr>
          <w:rFonts w:ascii="Arial" w:cs="Arial" w:eastAsia="Arial" w:hAnsi="Arial"/>
          <w:sz w:val="16"/>
          <w:szCs w:val="16"/>
          <w:color w:val="auto"/>
        </w:rPr>
      </w:pPr>
    </w:p>
    <w:p>
      <w:pPr>
        <w:ind w:left="840" w:hanging="419"/>
        <w:spacing w:after="0"/>
        <w:tabs>
          <w:tab w:leader="none" w:pos="8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60" w:hanging="441"/>
        <w:spacing w:after="0"/>
        <w:tabs>
          <w:tab w:leader="none" w:pos="14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60" w:hanging="441"/>
        <w:spacing w:after="0"/>
        <w:tabs>
          <w:tab w:leader="none" w:pos="14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1160" w:top="280" w:right="239" w:bottom="1440" w:gutter="0" w:footer="0" w:header="0"/>
        </w:sectPr>
      </w:pPr>
    </w:p>
    <w:bookmarkStart w:id="234" w:name="page235"/>
    <w:bookmarkEnd w:id="234"/>
    <w:p>
      <w:pPr>
        <w:ind w:left="7" w:right="560" w:firstLine="421"/>
        <w:spacing w:after="0" w:line="268" w:lineRule="auto"/>
        <w:tabs>
          <w:tab w:leader="none" w:pos="822" w:val="left"/>
        </w:tabs>
        <w:numPr>
          <w:ilvl w:val="1"/>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50" w:lineRule="exact"/>
        <w:rPr>
          <w:rFonts w:ascii="Arial" w:cs="Arial" w:eastAsia="Arial" w:hAnsi="Arial"/>
          <w:sz w:val="18"/>
          <w:szCs w:val="18"/>
          <w:color w:val="auto"/>
        </w:rPr>
      </w:pPr>
    </w:p>
    <w:p>
      <w:pPr>
        <w:ind w:left="7" w:right="200" w:firstLine="421"/>
        <w:spacing w:after="0" w:line="268" w:lineRule="auto"/>
        <w:tabs>
          <w:tab w:leader="none" w:pos="85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as applicable: (i) the date on which the restrictions imposed on a Share of Restricted Stock lapse or (ii) the date on which the Grantee vests in a Restricted Stock Unit.</w:t>
      </w:r>
    </w:p>
    <w:p>
      <w:pPr>
        <w:spacing w:after="0" w:line="50" w:lineRule="exact"/>
        <w:rPr>
          <w:rFonts w:ascii="Arial" w:cs="Arial" w:eastAsia="Arial" w:hAnsi="Arial"/>
          <w:sz w:val="18"/>
          <w:szCs w:val="18"/>
          <w:color w:val="auto"/>
        </w:rPr>
      </w:pPr>
    </w:p>
    <w:p>
      <w:pPr>
        <w:ind w:left="827" w:hanging="399"/>
        <w:spacing w:after="0"/>
        <w:tabs>
          <w:tab w:leader="none" w:pos="82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13" w:lineRule="exact"/>
        <w:rPr>
          <w:rFonts w:ascii="Arial" w:cs="Arial" w:eastAsia="Arial" w:hAnsi="Arial"/>
          <w:sz w:val="16"/>
          <w:szCs w:val="16"/>
          <w:color w:val="auto"/>
        </w:rPr>
      </w:pPr>
    </w:p>
    <w:p>
      <w:pPr>
        <w:ind w:left="767" w:hanging="339"/>
        <w:spacing w:after="0"/>
        <w:tabs>
          <w:tab w:leader="none" w:pos="76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92" w:lineRule="exact"/>
        <w:rPr>
          <w:rFonts w:ascii="Arial" w:cs="Arial" w:eastAsia="Arial" w:hAnsi="Arial"/>
          <w:sz w:val="18"/>
          <w:szCs w:val="18"/>
          <w:color w:val="auto"/>
        </w:rPr>
      </w:pPr>
    </w:p>
    <w:p>
      <w:pPr>
        <w:ind w:left="567" w:hanging="567"/>
        <w:spacing w:after="0"/>
        <w:tabs>
          <w:tab w:leader="none" w:pos="56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RIGHTS TO BE GRANTED</w:t>
      </w:r>
    </w:p>
    <w:p>
      <w:pPr>
        <w:spacing w:after="0" w:line="90"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Rights that may be granted under the Plan are:</w:t>
      </w:r>
    </w:p>
    <w:p>
      <w:pPr>
        <w:spacing w:after="0" w:line="90" w:lineRule="exact"/>
        <w:rPr>
          <w:rFonts w:ascii="Arial" w:cs="Arial" w:eastAsia="Arial" w:hAnsi="Arial"/>
          <w:sz w:val="18"/>
          <w:szCs w:val="18"/>
          <w:color w:val="auto"/>
        </w:rPr>
      </w:pPr>
    </w:p>
    <w:p>
      <w:pPr>
        <w:ind w:left="7" w:right="420" w:firstLine="421"/>
        <w:spacing w:after="0" w:line="268" w:lineRule="auto"/>
        <w:tabs>
          <w:tab w:leader="none" w:pos="66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50" w:lineRule="exact"/>
        <w:rPr>
          <w:rFonts w:ascii="Arial" w:cs="Arial" w:eastAsia="Arial" w:hAnsi="Arial"/>
          <w:sz w:val="18"/>
          <w:szCs w:val="18"/>
          <w:color w:val="auto"/>
        </w:rPr>
      </w:pPr>
    </w:p>
    <w:p>
      <w:pPr>
        <w:ind w:left="7" w:right="20" w:firstLine="421"/>
        <w:spacing w:after="0" w:line="259" w:lineRule="auto"/>
        <w:tabs>
          <w:tab w:leader="none" w:pos="67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1.5 million Shares.</w:t>
      </w:r>
    </w:p>
    <w:p>
      <w:pPr>
        <w:spacing w:after="0" w:line="261" w:lineRule="exact"/>
        <w:rPr>
          <w:rFonts w:ascii="Arial" w:cs="Arial" w:eastAsia="Arial" w:hAnsi="Arial"/>
          <w:sz w:val="18"/>
          <w:szCs w:val="18"/>
          <w:color w:val="auto"/>
        </w:rPr>
      </w:pPr>
    </w:p>
    <w:p>
      <w:pPr>
        <w:ind w:left="567" w:hanging="567"/>
        <w:spacing w:after="0"/>
        <w:tabs>
          <w:tab w:leader="none" w:pos="56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90" w:lineRule="exact"/>
        <w:rPr>
          <w:rFonts w:ascii="Arial" w:cs="Arial" w:eastAsia="Arial" w:hAnsi="Arial"/>
          <w:sz w:val="18"/>
          <w:szCs w:val="18"/>
          <w:color w:val="auto"/>
        </w:rPr>
      </w:pPr>
    </w:p>
    <w:p>
      <w:pPr>
        <w:ind w:left="7" w:right="20" w:firstLine="421"/>
        <w:spacing w:after="0" w:line="259" w:lineRule="auto"/>
        <w:tabs>
          <w:tab w:leader="none" w:pos="66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Not more than 66.5 million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59" w:lineRule="exact"/>
        <w:rPr>
          <w:rFonts w:ascii="Arial" w:cs="Arial" w:eastAsia="Arial" w:hAnsi="Arial"/>
          <w:sz w:val="18"/>
          <w:szCs w:val="18"/>
          <w:color w:val="auto"/>
        </w:rPr>
      </w:pPr>
    </w:p>
    <w:p>
      <w:pPr>
        <w:jc w:val="both"/>
        <w:ind w:left="7" w:firstLine="421"/>
        <w:spacing w:after="0" w:line="256" w:lineRule="auto"/>
        <w:tabs>
          <w:tab w:leader="none" w:pos="67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64" w:lineRule="exact"/>
        <w:rPr>
          <w:rFonts w:ascii="Arial" w:cs="Arial" w:eastAsia="Arial" w:hAnsi="Arial"/>
          <w:sz w:val="18"/>
          <w:szCs w:val="18"/>
          <w:color w:val="auto"/>
        </w:rPr>
      </w:pPr>
    </w:p>
    <w:p>
      <w:pPr>
        <w:ind w:left="567" w:hanging="567"/>
        <w:spacing w:after="0"/>
        <w:tabs>
          <w:tab w:leader="none" w:pos="56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90" w:lineRule="exact"/>
        <w:rPr>
          <w:rFonts w:ascii="Arial" w:cs="Arial" w:eastAsia="Arial" w:hAnsi="Arial"/>
          <w:sz w:val="18"/>
          <w:szCs w:val="18"/>
          <w:color w:val="auto"/>
        </w:rPr>
      </w:pPr>
    </w:p>
    <w:p>
      <w:pPr>
        <w:jc w:val="both"/>
        <w:ind w:left="7" w:right="220" w:firstLine="421"/>
        <w:spacing w:after="0" w:line="259" w:lineRule="auto"/>
        <w:tabs>
          <w:tab w:leader="none" w:pos="666"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27"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7"/>
          </w:cols>
          <w:pgMar w:left="1153" w:top="280" w:right="259" w:bottom="1440" w:gutter="0" w:footer="0" w:header="0"/>
        </w:sectPr>
      </w:pPr>
    </w:p>
    <w:bookmarkStart w:id="235" w:name="page236"/>
    <w:bookmarkEnd w:id="235"/>
    <w:p>
      <w:pPr>
        <w:ind w:left="1580" w:hanging="239"/>
        <w:spacing w:after="0"/>
        <w:tabs>
          <w:tab w:leader="none" w:pos="158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w:t>
      </w:r>
      <w:r>
        <w:rPr>
          <w:rFonts w:ascii="Arial" w:cs="Arial" w:eastAsia="Arial" w:hAnsi="Arial"/>
          <w:sz w:val="16"/>
          <w:szCs w:val="16"/>
          <w:color w:val="auto"/>
        </w:rPr>
        <w:t>. Subject to the express terms and conditions set forth in the Plan, the Committee shall have the power, from time to time, to:</w:t>
      </w:r>
    </w:p>
    <w:p>
      <w:pPr>
        <w:spacing w:after="0" w:line="113" w:lineRule="exact"/>
        <w:rPr>
          <w:rFonts w:ascii="Arial" w:cs="Arial" w:eastAsia="Arial" w:hAnsi="Arial"/>
          <w:sz w:val="16"/>
          <w:szCs w:val="16"/>
          <w:color w:val="auto"/>
        </w:rPr>
      </w:pPr>
    </w:p>
    <w:p>
      <w:pPr>
        <w:ind w:left="2380" w:hanging="441"/>
        <w:spacing w:after="0" w:line="298" w:lineRule="auto"/>
        <w:tabs>
          <w:tab w:leader="none" w:pos="23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31" w:lineRule="exact"/>
        <w:rPr>
          <w:rFonts w:ascii="Arial" w:cs="Arial" w:eastAsia="Arial" w:hAnsi="Arial"/>
          <w:sz w:val="16"/>
          <w:szCs w:val="16"/>
          <w:color w:val="auto"/>
        </w:rPr>
      </w:pPr>
    </w:p>
    <w:p>
      <w:pPr>
        <w:ind w:left="2380" w:right="1020" w:hanging="441"/>
        <w:spacing w:after="0" w:line="268" w:lineRule="auto"/>
        <w:tabs>
          <w:tab w:leader="none" w:pos="23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90" w:lineRule="exact"/>
        <w:rPr>
          <w:sz w:val="20"/>
          <w:szCs w:val="20"/>
          <w:color w:val="auto"/>
        </w:rPr>
      </w:pPr>
    </w:p>
    <w:p>
      <w:pPr>
        <w:ind w:left="920" w:right="80" w:firstLine="421"/>
        <w:spacing w:after="0" w:line="259" w:lineRule="auto"/>
        <w:tabs>
          <w:tab w:leader="none" w:pos="1579"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59" w:lineRule="exact"/>
        <w:rPr>
          <w:rFonts w:ascii="Arial" w:cs="Arial" w:eastAsia="Arial" w:hAnsi="Arial"/>
          <w:sz w:val="18"/>
          <w:szCs w:val="18"/>
          <w:color w:val="auto"/>
        </w:rPr>
      </w:pPr>
    </w:p>
    <w:p>
      <w:pPr>
        <w:ind w:left="920" w:right="60" w:firstLine="421"/>
        <w:spacing w:after="0" w:line="255" w:lineRule="auto"/>
        <w:tabs>
          <w:tab w:leader="none" w:pos="1588"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61" w:lineRule="exact"/>
        <w:rPr>
          <w:rFonts w:ascii="Arial" w:cs="Arial" w:eastAsia="Arial" w:hAnsi="Arial"/>
          <w:sz w:val="18"/>
          <w:szCs w:val="18"/>
          <w:color w:val="auto"/>
        </w:rPr>
      </w:pPr>
    </w:p>
    <w:p>
      <w:pPr>
        <w:ind w:left="920" w:right="120" w:firstLine="421"/>
        <w:spacing w:after="0" w:line="294" w:lineRule="auto"/>
        <w:tabs>
          <w:tab w:leader="none" w:pos="1579"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4" w:lineRule="exact"/>
        <w:rPr>
          <w:rFonts w:ascii="Arial" w:cs="Arial" w:eastAsia="Arial" w:hAnsi="Arial"/>
          <w:sz w:val="16"/>
          <w:szCs w:val="16"/>
          <w:color w:val="auto"/>
        </w:rPr>
      </w:pPr>
    </w:p>
    <w:p>
      <w:pPr>
        <w:ind w:left="1560" w:hanging="219"/>
        <w:spacing w:after="0"/>
        <w:tabs>
          <w:tab w:leader="none" w:pos="15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right="160" w:hanging="441"/>
        <w:spacing w:after="0" w:line="298" w:lineRule="auto"/>
        <w:tabs>
          <w:tab w:leader="none" w:pos="2380"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All authority with respect to the grant, amendment, interpretation and administration of grants and awards of restricted stock and restricted stock units with respect to any Eligible Employee who is either (x) a Named Executive Officer (</w:t>
      </w:r>
      <w:r>
        <w:rPr>
          <w:rFonts w:ascii="Arial" w:cs="Arial" w:eastAsia="Arial" w:hAnsi="Arial"/>
          <w:sz w:val="16"/>
          <w:szCs w:val="16"/>
          <w:i w:val="1"/>
          <w:iCs w:val="1"/>
          <w:color w:val="auto"/>
        </w:rPr>
        <w:t>i.e.</w:t>
      </w:r>
      <w:r>
        <w:rPr>
          <w:rFonts w:ascii="Arial" w:cs="Arial" w:eastAsia="Arial" w:hAnsi="Arial"/>
          <w:sz w:val="16"/>
          <w:szCs w:val="16"/>
          <w:color w:val="auto"/>
        </w:rPr>
        <w:t>, an officer who is required to be listed in the Company’s Proxy Statement Compensation Table) or (y) is a Section 16(b) Officer, is reserved to the Committee.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36" w:name="page237"/>
    <w:bookmarkEnd w:id="236"/>
    <w:p>
      <w:pPr>
        <w:ind w:left="2380" w:right="120" w:hanging="441"/>
        <w:spacing w:after="0" w:line="294" w:lineRule="auto"/>
        <w:tabs>
          <w:tab w:leader="none" w:pos="2380" w:val="left"/>
        </w:tabs>
        <w:numPr>
          <w:ilvl w:val="2"/>
          <w:numId w:val="1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34" w:lineRule="exact"/>
        <w:rPr>
          <w:rFonts w:ascii="Arial" w:cs="Arial" w:eastAsia="Arial" w:hAnsi="Arial"/>
          <w:sz w:val="16"/>
          <w:szCs w:val="16"/>
          <w:color w:val="auto"/>
        </w:rPr>
      </w:pPr>
    </w:p>
    <w:p>
      <w:pPr>
        <w:ind w:left="2380" w:right="220" w:hanging="441"/>
        <w:spacing w:after="0" w:line="256" w:lineRule="auto"/>
        <w:tabs>
          <w:tab w:leader="none" w:pos="2380" w:val="left"/>
        </w:tabs>
        <w:numPr>
          <w:ilvl w:val="2"/>
          <w:numId w:val="182"/>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 (ii).</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2380" w:right="80" w:hanging="441"/>
        <w:spacing w:after="0" w:line="306" w:lineRule="auto"/>
        <w:tabs>
          <w:tab w:leader="none" w:pos="2380" w:val="left"/>
        </w:tabs>
        <w:numPr>
          <w:ilvl w:val="2"/>
          <w:numId w:val="183"/>
        </w:numPr>
        <w:rPr>
          <w:rFonts w:ascii="Arial" w:cs="Arial" w:eastAsia="Arial" w:hAnsi="Arial"/>
          <w:sz w:val="16"/>
          <w:szCs w:val="16"/>
          <w:color w:val="auto"/>
        </w:rPr>
      </w:pPr>
      <w:r>
        <w:rPr>
          <w:rFonts w:ascii="Arial" w:cs="Arial" w:eastAsia="Arial" w:hAnsi="Arial"/>
          <w:sz w:val="16"/>
          <w:szCs w:val="16"/>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25" w:lineRule="exact"/>
        <w:rPr>
          <w:rFonts w:ascii="Arial" w:cs="Arial" w:eastAsia="Arial" w:hAnsi="Arial"/>
          <w:sz w:val="16"/>
          <w:szCs w:val="16"/>
          <w:color w:val="auto"/>
        </w:rPr>
      </w:pPr>
    </w:p>
    <w:p>
      <w:pPr>
        <w:ind w:left="2380" w:hanging="441"/>
        <w:spacing w:after="0"/>
        <w:tabs>
          <w:tab w:leader="none" w:pos="238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292" w:lineRule="exact"/>
        <w:rPr>
          <w:rFonts w:ascii="Arial" w:cs="Arial" w:eastAsia="Arial" w:hAnsi="Arial"/>
          <w:sz w:val="18"/>
          <w:szCs w:val="18"/>
          <w:color w:val="auto"/>
        </w:rPr>
      </w:pPr>
    </w:p>
    <w:p>
      <w:pPr>
        <w:ind w:left="1480" w:hanging="567"/>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Awards may be granted only to Eligible Employees and Non-Employee Directors.</w:t>
      </w:r>
    </w:p>
    <w:p>
      <w:pPr>
        <w:spacing w:after="0" w:line="292" w:lineRule="exact"/>
        <w:rPr>
          <w:rFonts w:ascii="Arial" w:cs="Arial" w:eastAsia="Arial" w:hAnsi="Arial"/>
          <w:sz w:val="18"/>
          <w:szCs w:val="18"/>
          <w:color w:val="auto"/>
        </w:rPr>
      </w:pPr>
    </w:p>
    <w:p>
      <w:pPr>
        <w:ind w:left="1480" w:hanging="567"/>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90" w:lineRule="exact"/>
        <w:rPr>
          <w:sz w:val="20"/>
          <w:szCs w:val="20"/>
          <w:color w:val="auto"/>
        </w:rPr>
      </w:pPr>
    </w:p>
    <w:p>
      <w:pPr>
        <w:ind w:right="360" w:firstLine="1484"/>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7" w:name="page238"/>
    <w:bookmarkEnd w:id="237"/>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and conditions of Awards shall be set forth in writing as determined from time to time by the Committee, consistent, however,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with the following:</w:t>
      </w:r>
    </w:p>
    <w:p>
      <w:pPr>
        <w:spacing w:after="0" w:line="84" w:lineRule="exact"/>
        <w:rPr>
          <w:sz w:val="20"/>
          <w:szCs w:val="20"/>
          <w:color w:val="auto"/>
        </w:rPr>
      </w:pPr>
    </w:p>
    <w:p>
      <w:pPr>
        <w:ind w:left="1580" w:hanging="239"/>
        <w:spacing w:after="0"/>
        <w:tabs>
          <w:tab w:leader="none" w:pos="15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13, 2018.</w:t>
      </w:r>
    </w:p>
    <w:p>
      <w:pPr>
        <w:spacing w:after="0" w:line="90" w:lineRule="exact"/>
        <w:rPr>
          <w:rFonts w:ascii="Arial" w:cs="Arial" w:eastAsia="Arial" w:hAnsi="Arial"/>
          <w:sz w:val="18"/>
          <w:szCs w:val="18"/>
          <w:color w:val="auto"/>
        </w:rPr>
      </w:pPr>
    </w:p>
    <w:p>
      <w:pPr>
        <w:ind w:left="920" w:right="340" w:firstLine="421"/>
        <w:spacing w:after="0" w:line="268" w:lineRule="auto"/>
        <w:tabs>
          <w:tab w:leader="none" w:pos="158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50" w:lineRule="exact"/>
        <w:rPr>
          <w:rFonts w:ascii="Arial" w:cs="Arial" w:eastAsia="Arial" w:hAnsi="Arial"/>
          <w:sz w:val="18"/>
          <w:szCs w:val="18"/>
          <w:color w:val="auto"/>
        </w:rPr>
      </w:pPr>
    </w:p>
    <w:p>
      <w:pPr>
        <w:ind w:left="920" w:firstLine="421"/>
        <w:spacing w:after="0" w:line="298" w:lineRule="auto"/>
        <w:tabs>
          <w:tab w:leader="none" w:pos="1579"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31" w:lineRule="exact"/>
        <w:rPr>
          <w:rFonts w:ascii="Arial" w:cs="Arial" w:eastAsia="Arial" w:hAnsi="Arial"/>
          <w:sz w:val="16"/>
          <w:szCs w:val="16"/>
          <w:color w:val="auto"/>
        </w:rPr>
      </w:pPr>
    </w:p>
    <w:p>
      <w:pPr>
        <w:ind w:left="920" w:right="420" w:firstLine="421"/>
        <w:spacing w:after="0" w:line="332" w:lineRule="auto"/>
        <w:tabs>
          <w:tab w:leader="none" w:pos="1588"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4" w:lineRule="exact"/>
        <w:rPr>
          <w:rFonts w:ascii="Arial" w:cs="Arial" w:eastAsia="Arial" w:hAnsi="Arial"/>
          <w:sz w:val="16"/>
          <w:szCs w:val="16"/>
          <w:color w:val="auto"/>
        </w:rPr>
      </w:pPr>
    </w:p>
    <w:p>
      <w:pPr>
        <w:ind w:left="920" w:right="20" w:firstLine="421"/>
        <w:spacing w:after="0" w:line="287" w:lineRule="auto"/>
        <w:tabs>
          <w:tab w:leader="none" w:pos="1579"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41" w:lineRule="exact"/>
        <w:rPr>
          <w:rFonts w:ascii="Arial" w:cs="Arial" w:eastAsia="Arial" w:hAnsi="Arial"/>
          <w:sz w:val="16"/>
          <w:szCs w:val="16"/>
          <w:color w:val="auto"/>
        </w:rPr>
      </w:pPr>
    </w:p>
    <w:p>
      <w:pPr>
        <w:ind w:left="920" w:right="200" w:firstLine="421"/>
        <w:spacing w:after="0" w:line="256" w:lineRule="auto"/>
        <w:tabs>
          <w:tab w:leader="none" w:pos="1559"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Rights of the Grantee</w:t>
      </w:r>
      <w:r>
        <w:rPr>
          <w:rFonts w:ascii="Arial" w:cs="Arial" w:eastAsia="Arial" w:hAnsi="Arial"/>
          <w:sz w:val="18"/>
          <w:szCs w:val="18"/>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38" w:name="page239"/>
    <w:bookmarkEnd w:id="238"/>
    <w:p>
      <w:pPr>
        <w:ind w:left="920" w:right="140" w:firstLine="421"/>
        <w:spacing w:after="0" w:line="256" w:lineRule="auto"/>
        <w:tabs>
          <w:tab w:leader="none" w:pos="1588" w:val="left"/>
        </w:tabs>
        <w:numPr>
          <w:ilvl w:val="2"/>
          <w:numId w:val="1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Grantee’s Employment</w:t>
      </w:r>
      <w:r>
        <w:rPr>
          <w:rFonts w:ascii="Arial" w:cs="Arial" w:eastAsia="Arial" w:hAnsi="Arial"/>
          <w:sz w:val="18"/>
          <w:szCs w:val="18"/>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2"/>
          <w:numId w:val="186"/>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w:t>
      </w:r>
    </w:p>
    <w:p>
      <w:pPr>
        <w:spacing w:after="0" w:line="38" w:lineRule="exact"/>
        <w:rPr>
          <w:rFonts w:ascii="Arial" w:cs="Arial" w:eastAsia="Arial" w:hAnsi="Arial"/>
          <w:sz w:val="16"/>
          <w:szCs w:val="16"/>
          <w:color w:val="auto"/>
        </w:rPr>
      </w:pPr>
    </w:p>
    <w:p>
      <w:pPr>
        <w:ind w:left="920" w:firstLine="1"/>
        <w:spacing w:after="0" w:line="287" w:lineRule="auto"/>
        <w:tabs>
          <w:tab w:leader="none" w:pos="113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245" w:lineRule="exact"/>
        <w:rPr>
          <w:rFonts w:ascii="Arial" w:cs="Arial" w:eastAsia="Arial" w:hAnsi="Arial"/>
          <w:sz w:val="16"/>
          <w:szCs w:val="16"/>
          <w:color w:val="auto"/>
        </w:rPr>
      </w:pPr>
    </w:p>
    <w:p>
      <w:pPr>
        <w:ind w:left="1480" w:hanging="567"/>
        <w:spacing w:after="0"/>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6"/>
          <w:szCs w:val="16"/>
          <w:color w:val="auto"/>
        </w:rPr>
        <w:t>A Grantee may elect to defer the receipt of Shares that would otherwise be issuable with respect to Restricted Stock or Restricted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Units as to which a Vesting Date has occurred, as provided by the Committee in the Award, consistent, however, with the following:</w:t>
      </w:r>
    </w:p>
    <w:p>
      <w:pPr>
        <w:spacing w:after="0" w:line="84" w:lineRule="exact"/>
        <w:rPr>
          <w:sz w:val="20"/>
          <w:szCs w:val="20"/>
          <w:color w:val="auto"/>
        </w:rPr>
      </w:pPr>
    </w:p>
    <w:p>
      <w:pPr>
        <w:ind w:left="1580" w:hanging="239"/>
        <w:spacing w:after="0"/>
        <w:tabs>
          <w:tab w:leader="none" w:pos="158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right="40" w:hanging="441"/>
        <w:spacing w:after="0" w:line="256" w:lineRule="auto"/>
        <w:tabs>
          <w:tab w:leader="none" w:pos="2380"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35" w:lineRule="exact"/>
        <w:rPr>
          <w:rFonts w:ascii="Arial" w:cs="Arial" w:eastAsia="Arial" w:hAnsi="Arial"/>
          <w:sz w:val="18"/>
          <w:szCs w:val="18"/>
          <w:color w:val="auto"/>
        </w:rPr>
      </w:pPr>
    </w:p>
    <w:p>
      <w:pPr>
        <w:ind w:left="2380" w:hanging="441"/>
        <w:spacing w:after="0" w:line="272" w:lineRule="auto"/>
        <w:tabs>
          <w:tab w:leader="none" w:pos="2380"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or Restricted Stock Units that are</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239" w:name="page240"/>
    <w:bookmarkEnd w:id="239"/>
    <w:p>
      <w:pPr>
        <w:ind w:left="1200"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Performance-Based Compensation shall be effective unless it is filed with the Administrator at least six months before the end of the Performance Period during which such Performance-Based Compensation may be earned.</w:t>
      </w:r>
    </w:p>
    <w:p>
      <w:pPr>
        <w:spacing w:after="0" w:line="4" w:lineRule="exact"/>
        <w:rPr>
          <w:sz w:val="20"/>
          <w:szCs w:val="20"/>
          <w:color w:val="auto"/>
        </w:rPr>
      </w:pPr>
    </w:p>
    <w:p>
      <w:pPr>
        <w:ind w:left="-280" w:right="40" w:firstLine="421"/>
        <w:spacing w:after="0" w:line="259" w:lineRule="auto"/>
        <w:tabs>
          <w:tab w:leader="none" w:pos="38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59" w:lineRule="exact"/>
        <w:rPr>
          <w:rFonts w:ascii="Arial" w:cs="Arial" w:eastAsia="Arial" w:hAnsi="Arial"/>
          <w:sz w:val="18"/>
          <w:szCs w:val="18"/>
          <w:color w:val="auto"/>
        </w:rPr>
      </w:pPr>
    </w:p>
    <w:p>
      <w:pPr>
        <w:ind w:left="-280" w:firstLine="421"/>
        <w:spacing w:after="0" w:line="291" w:lineRule="auto"/>
        <w:tabs>
          <w:tab w:leader="none" w:pos="379"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39" w:lineRule="exact"/>
        <w:rPr>
          <w:rFonts w:ascii="Arial" w:cs="Arial" w:eastAsia="Arial" w:hAnsi="Arial"/>
          <w:sz w:val="16"/>
          <w:szCs w:val="16"/>
          <w:color w:val="auto"/>
        </w:rPr>
      </w:pPr>
    </w:p>
    <w:p>
      <w:pPr>
        <w:ind w:left="-280" w:right="220" w:firstLine="421"/>
        <w:spacing w:after="0" w:line="268" w:lineRule="auto"/>
        <w:tabs>
          <w:tab w:leader="none" w:pos="38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180" w:hanging="441"/>
        <w:spacing w:after="0" w:line="291" w:lineRule="auto"/>
        <w:tabs>
          <w:tab w:leader="none" w:pos="118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39" w:lineRule="exact"/>
        <w:rPr>
          <w:rFonts w:ascii="Arial" w:cs="Arial" w:eastAsia="Arial" w:hAnsi="Arial"/>
          <w:sz w:val="16"/>
          <w:szCs w:val="16"/>
          <w:color w:val="auto"/>
        </w:rPr>
      </w:pPr>
    </w:p>
    <w:p>
      <w:pPr>
        <w:ind w:left="1180" w:right="20" w:hanging="441"/>
        <w:spacing w:after="0" w:line="318" w:lineRule="auto"/>
        <w:tabs>
          <w:tab w:leader="none" w:pos="118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w:t>
      </w:r>
    </w:p>
    <w:p>
      <w:pPr>
        <w:spacing w:after="0" w:line="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80"/>
          </w:cols>
          <w:pgMar w:left="1440" w:top="280" w:right="279" w:bottom="1440" w:gutter="0" w:footer="0" w:header="0"/>
        </w:sectPr>
      </w:pPr>
    </w:p>
    <w:bookmarkStart w:id="240" w:name="page241"/>
    <w:bookmarkEnd w:id="240"/>
    <w:p>
      <w:pPr>
        <w:ind w:left="1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26" w:lineRule="exact"/>
        <w:rPr>
          <w:sz w:val="20"/>
          <w:szCs w:val="20"/>
          <w:color w:val="auto"/>
        </w:rPr>
      </w:pPr>
    </w:p>
    <w:p>
      <w:pPr>
        <w:ind w:left="1180" w:right="100" w:hanging="441"/>
        <w:spacing w:after="0" w:line="255" w:lineRule="auto"/>
        <w:tabs>
          <w:tab w:leader="none" w:pos="11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 (iii) must be filed with the Committee as soon as practicable following the Deceased Grantee’s death, as determined by the Committee.</w:t>
      </w:r>
    </w:p>
    <w:p>
      <w:pPr>
        <w:spacing w:after="0" w:line="61" w:lineRule="exact"/>
        <w:rPr>
          <w:rFonts w:ascii="Arial" w:cs="Arial" w:eastAsia="Arial" w:hAnsi="Arial"/>
          <w:sz w:val="18"/>
          <w:szCs w:val="18"/>
          <w:color w:val="auto"/>
        </w:rPr>
      </w:pPr>
    </w:p>
    <w:p>
      <w:pPr>
        <w:ind w:left="1180" w:right="80" w:hanging="441"/>
        <w:spacing w:after="0" w:line="256" w:lineRule="auto"/>
        <w:tabs>
          <w:tab w:leader="none" w:pos="11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62" w:lineRule="exact"/>
        <w:rPr>
          <w:rFonts w:ascii="Arial" w:cs="Arial" w:eastAsia="Arial" w:hAnsi="Arial"/>
          <w:sz w:val="18"/>
          <w:szCs w:val="18"/>
          <w:color w:val="auto"/>
        </w:rPr>
      </w:pPr>
    </w:p>
    <w:p>
      <w:pPr>
        <w:ind w:left="-280" w:right="160" w:firstLine="421"/>
        <w:spacing w:after="0" w:line="255" w:lineRule="auto"/>
        <w:tabs>
          <w:tab w:leader="none" w:pos="379"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61" w:lineRule="exact"/>
        <w:rPr>
          <w:rFonts w:ascii="Arial" w:cs="Arial" w:eastAsia="Arial" w:hAnsi="Arial"/>
          <w:sz w:val="18"/>
          <w:szCs w:val="18"/>
          <w:color w:val="auto"/>
        </w:rPr>
      </w:pPr>
    </w:p>
    <w:p>
      <w:pPr>
        <w:ind w:left="-280" w:right="200" w:firstLine="421"/>
        <w:spacing w:after="0" w:line="259" w:lineRule="auto"/>
        <w:tabs>
          <w:tab w:leader="none" w:pos="359"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59" w:lineRule="exact"/>
        <w:rPr>
          <w:rFonts w:ascii="Arial" w:cs="Arial" w:eastAsia="Arial" w:hAnsi="Arial"/>
          <w:sz w:val="18"/>
          <w:szCs w:val="18"/>
          <w:color w:val="auto"/>
        </w:rPr>
      </w:pPr>
    </w:p>
    <w:p>
      <w:pPr>
        <w:ind w:left="-280" w:right="560" w:firstLine="421"/>
        <w:spacing w:after="0" w:line="268" w:lineRule="auto"/>
        <w:tabs>
          <w:tab w:leader="none" w:pos="38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1" w:lineRule="exact"/>
        <w:rPr>
          <w:sz w:val="20"/>
          <w:szCs w:val="20"/>
          <w:color w:val="auto"/>
        </w:rPr>
      </w:pPr>
    </w:p>
    <w:p>
      <w:pPr>
        <w:ind w:left="1760" w:right="20" w:hanging="562"/>
        <w:spacing w:after="0" w:line="268" w:lineRule="auto"/>
        <w:tabs>
          <w:tab w:leader="none" w:pos="17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1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00"/>
          </w:cols>
          <w:pgMar w:left="1440" w:top="280" w:right="259" w:bottom="1440" w:gutter="0" w:footer="0" w:header="0"/>
        </w:sectPr>
      </w:pPr>
    </w:p>
    <w:bookmarkStart w:id="241" w:name="page242"/>
    <w:bookmarkEnd w:id="241"/>
    <w:p>
      <w:pPr>
        <w:ind w:left="1760" w:right="480" w:hanging="562"/>
        <w:spacing w:after="0" w:line="268" w:lineRule="auto"/>
        <w:tabs>
          <w:tab w:leader="none" w:pos="1760" w:val="left"/>
        </w:tabs>
        <w:numPr>
          <w:ilvl w:val="2"/>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760" w:right="160" w:hanging="562"/>
        <w:spacing w:after="0" w:line="268" w:lineRule="auto"/>
        <w:tabs>
          <w:tab w:leader="none" w:pos="176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To pay employment taxes to the extent permitted by Treasury Regulation section 1.409A-3(j)(4)(vi) (or any successor provision of law).</w:t>
      </w:r>
    </w:p>
    <w:p>
      <w:pPr>
        <w:spacing w:after="0" w:line="50" w:lineRule="exact"/>
        <w:rPr>
          <w:rFonts w:ascii="Arial" w:cs="Arial" w:eastAsia="Arial" w:hAnsi="Arial"/>
          <w:sz w:val="18"/>
          <w:szCs w:val="18"/>
          <w:color w:val="auto"/>
        </w:rPr>
      </w:pPr>
    </w:p>
    <w:p>
      <w:pPr>
        <w:ind w:left="1760" w:right="500" w:hanging="562"/>
        <w:spacing w:after="0" w:line="332" w:lineRule="auto"/>
        <w:tabs>
          <w:tab w:leader="none" w:pos="176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In connection with the recognition of income as the result of a failure to comply with Section 409A, to the extent permitted by Treasury Regulation section 1.409A-3(j)(4)(vii) (or any successor provision of law).</w:t>
      </w:r>
    </w:p>
    <w:p>
      <w:pPr>
        <w:spacing w:after="0" w:line="4" w:lineRule="exact"/>
        <w:rPr>
          <w:rFonts w:ascii="Arial" w:cs="Arial" w:eastAsia="Arial" w:hAnsi="Arial"/>
          <w:sz w:val="16"/>
          <w:szCs w:val="16"/>
          <w:color w:val="auto"/>
        </w:rPr>
      </w:pPr>
    </w:p>
    <w:p>
      <w:pPr>
        <w:ind w:left="1760" w:right="260" w:hanging="562"/>
        <w:spacing w:after="0" w:line="268" w:lineRule="auto"/>
        <w:tabs>
          <w:tab w:leader="none" w:pos="176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50" w:lineRule="exact"/>
        <w:rPr>
          <w:rFonts w:ascii="Arial" w:cs="Arial" w:eastAsia="Arial" w:hAnsi="Arial"/>
          <w:sz w:val="18"/>
          <w:szCs w:val="18"/>
          <w:color w:val="auto"/>
        </w:rPr>
      </w:pPr>
    </w:p>
    <w:p>
      <w:pPr>
        <w:ind w:left="1760" w:right="160" w:hanging="562"/>
        <w:spacing w:after="0" w:line="259" w:lineRule="auto"/>
        <w:tabs>
          <w:tab w:leader="none" w:pos="176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59" w:lineRule="exact"/>
        <w:rPr>
          <w:rFonts w:ascii="Arial" w:cs="Arial" w:eastAsia="Arial" w:hAnsi="Arial"/>
          <w:sz w:val="18"/>
          <w:szCs w:val="18"/>
          <w:color w:val="auto"/>
        </w:rPr>
      </w:pPr>
    </w:p>
    <w:p>
      <w:pPr>
        <w:ind w:left="1760" w:right="780" w:hanging="562"/>
        <w:spacing w:after="0" w:line="268" w:lineRule="auto"/>
        <w:tabs>
          <w:tab w:leader="none" w:pos="176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50" w:lineRule="exact"/>
        <w:rPr>
          <w:rFonts w:ascii="Arial" w:cs="Arial" w:eastAsia="Arial" w:hAnsi="Arial"/>
          <w:sz w:val="18"/>
          <w:szCs w:val="18"/>
          <w:color w:val="auto"/>
        </w:rPr>
      </w:pPr>
    </w:p>
    <w:p>
      <w:pPr>
        <w:ind w:left="-280" w:firstLine="421"/>
        <w:spacing w:after="0" w:line="255" w:lineRule="auto"/>
        <w:tabs>
          <w:tab w:leader="none" w:pos="388"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8(h).</w:t>
      </w:r>
    </w:p>
    <w:p>
      <w:pPr>
        <w:spacing w:after="0" w:line="61" w:lineRule="exact"/>
        <w:rPr>
          <w:rFonts w:ascii="Arial" w:cs="Arial" w:eastAsia="Arial" w:hAnsi="Arial"/>
          <w:sz w:val="18"/>
          <w:szCs w:val="18"/>
          <w:color w:val="auto"/>
        </w:rPr>
      </w:pPr>
    </w:p>
    <w:p>
      <w:pPr>
        <w:ind w:left="-280" w:right="40" w:firstLine="421"/>
        <w:spacing w:after="0" w:line="268" w:lineRule="auto"/>
        <w:tabs>
          <w:tab w:leader="none" w:pos="349"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50" w:lineRule="exact"/>
        <w:rPr>
          <w:rFonts w:ascii="Arial" w:cs="Arial" w:eastAsia="Arial" w:hAnsi="Arial"/>
          <w:sz w:val="18"/>
          <w:szCs w:val="18"/>
          <w:color w:val="auto"/>
        </w:rPr>
      </w:pPr>
    </w:p>
    <w:p>
      <w:pPr>
        <w:ind w:left="1180" w:right="160" w:hanging="441"/>
        <w:spacing w:after="0" w:line="259" w:lineRule="auto"/>
        <w:tabs>
          <w:tab w:leader="none" w:pos="11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w:t>
      </w:r>
    </w:p>
    <w:p>
      <w:pPr>
        <w:spacing w:after="0" w:line="1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00"/>
          </w:cols>
          <w:pgMar w:left="1440" w:top="280" w:right="259" w:bottom="1440" w:gutter="0" w:footer="0" w:header="0"/>
        </w:sectPr>
      </w:pPr>
    </w:p>
    <w:bookmarkStart w:id="242" w:name="page243"/>
    <w:bookmarkEnd w:id="242"/>
    <w:p>
      <w:pPr>
        <w:ind w:left="120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59" w:lineRule="exact"/>
        <w:rPr>
          <w:sz w:val="20"/>
          <w:szCs w:val="20"/>
          <w:color w:val="auto"/>
        </w:rPr>
      </w:pPr>
    </w:p>
    <w:p>
      <w:pPr>
        <w:ind w:left="1180" w:right="120" w:hanging="441"/>
        <w:spacing w:after="0" w:line="314" w:lineRule="auto"/>
        <w:tabs>
          <w:tab w:leader="none" w:pos="1180" w:val="left"/>
        </w:tabs>
        <w:numPr>
          <w:ilvl w:val="1"/>
          <w:numId w:val="196"/>
        </w:numPr>
        <w:rPr>
          <w:rFonts w:ascii="Arial" w:cs="Arial" w:eastAsia="Arial" w:hAnsi="Arial"/>
          <w:sz w:val="15"/>
          <w:szCs w:val="15"/>
          <w:color w:val="auto"/>
        </w:rPr>
      </w:pPr>
      <w:r>
        <w:rPr>
          <w:rFonts w:ascii="Arial" w:cs="Arial" w:eastAsia="Arial" w:hAnsi="Arial"/>
          <w:sz w:val="15"/>
          <w:szCs w:val="15"/>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23" w:lineRule="exact"/>
        <w:rPr>
          <w:rFonts w:ascii="Arial" w:cs="Arial" w:eastAsia="Arial" w:hAnsi="Arial"/>
          <w:sz w:val="15"/>
          <w:szCs w:val="15"/>
          <w:color w:val="auto"/>
        </w:rPr>
      </w:pPr>
    </w:p>
    <w:p>
      <w:pPr>
        <w:ind w:left="1180" w:hanging="441"/>
        <w:spacing w:after="0" w:line="288" w:lineRule="auto"/>
        <w:tabs>
          <w:tab w:leader="none" w:pos="118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Pursuant to rules established under Section 409A relating to certain “Transition Elections,” to the extent provided by the Committee or its delegate, a Grantee may, on or before December 31, 2008, (A) with respect to all or any portion of his or her Grandfathered Amount under the Plan as in effect on December 31, 2004 that is scheduled to commence to be distributed under the Plan after December 31, 2008, and (B) with respect to any other amount credited to a Grantee’s Account that is scheduled to commence to be distributed under the Plan after December 31, 2008, make new payment elections as to the form and timing of payment of such amounts as may be permitted under this Plan, provided that (C) commencement of any distribution under such new payment election may not occur before January 1, 2009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38" w:lineRule="exact"/>
        <w:rPr>
          <w:rFonts w:ascii="Arial" w:cs="Arial" w:eastAsia="Arial" w:hAnsi="Arial"/>
          <w:sz w:val="16"/>
          <w:szCs w:val="16"/>
          <w:color w:val="auto"/>
        </w:rPr>
      </w:pPr>
    </w:p>
    <w:p>
      <w:pPr>
        <w:ind w:left="-280" w:right="140" w:firstLine="421"/>
        <w:spacing w:after="0" w:line="268" w:lineRule="auto"/>
        <w:tabs>
          <w:tab w:leader="none" w:pos="349"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50" w:lineRule="exact"/>
        <w:rPr>
          <w:rFonts w:ascii="Arial" w:cs="Arial" w:eastAsia="Arial" w:hAnsi="Arial"/>
          <w:sz w:val="18"/>
          <w:szCs w:val="18"/>
          <w:color w:val="auto"/>
        </w:rPr>
      </w:pPr>
    </w:p>
    <w:p>
      <w:pPr>
        <w:ind w:left="380" w:hanging="239"/>
        <w:spacing w:after="0"/>
        <w:tabs>
          <w:tab w:leader="none" w:pos="3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80" w:right="40" w:hanging="441"/>
        <w:spacing w:after="0" w:line="259" w:lineRule="auto"/>
        <w:tabs>
          <w:tab w:leader="none" w:pos="1180"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A Diversification Election shall be available: (A) at any time that a Registration Statement filed under the 1933 Act (a “Registration Statement”) is effective with respect to the Plan; and (B) with respect to a Special Diversification Election, if and to the</w:t>
      </w:r>
    </w:p>
    <w:p>
      <w:pPr>
        <w:spacing w:after="0" w:line="1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180"/>
          </w:cols>
          <w:pgMar w:left="1440" w:top="280" w:right="279" w:bottom="1440" w:gutter="0" w:footer="0" w:header="0"/>
        </w:sectPr>
      </w:pPr>
    </w:p>
    <w:bookmarkStart w:id="243" w:name="page244"/>
    <w:bookmarkEnd w:id="243"/>
    <w:p>
      <w:pPr>
        <w:ind w:left="120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that the opportunity to make such a Special Diversification Election has been approved by the Committee. No approval is required for a Diversification Election other than a Special Diversification Election.</w:t>
      </w:r>
    </w:p>
    <w:p>
      <w:pPr>
        <w:spacing w:after="0" w:line="51" w:lineRule="exact"/>
        <w:rPr>
          <w:sz w:val="20"/>
          <w:szCs w:val="20"/>
          <w:color w:val="auto"/>
        </w:rPr>
      </w:pPr>
    </w:p>
    <w:p>
      <w:pPr>
        <w:ind w:left="1180" w:right="60" w:hanging="441"/>
        <w:spacing w:after="0" w:line="256" w:lineRule="auto"/>
        <w:tabs>
          <w:tab w:leader="none" w:pos="1180"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62" w:lineRule="exact"/>
        <w:rPr>
          <w:rFonts w:ascii="Arial" w:cs="Arial" w:eastAsia="Arial" w:hAnsi="Arial"/>
          <w:sz w:val="18"/>
          <w:szCs w:val="18"/>
          <w:color w:val="auto"/>
        </w:rPr>
      </w:pPr>
    </w:p>
    <w:p>
      <w:pPr>
        <w:ind w:left="1180" w:hanging="441"/>
        <w:spacing w:after="0" w:line="288" w:lineRule="auto"/>
        <w:tabs>
          <w:tab w:leader="none" w:pos="1180"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38" w:lineRule="exact"/>
        <w:rPr>
          <w:rFonts w:ascii="Arial" w:cs="Arial" w:eastAsia="Arial" w:hAnsi="Arial"/>
          <w:sz w:val="16"/>
          <w:szCs w:val="16"/>
          <w:color w:val="auto"/>
        </w:rPr>
      </w:pPr>
    </w:p>
    <w:p>
      <w:pPr>
        <w:ind w:left="1180" w:right="60" w:hanging="441"/>
        <w:spacing w:after="0" w:line="294" w:lineRule="auto"/>
        <w:tabs>
          <w:tab w:leader="none" w:pos="1180"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34" w:lineRule="exact"/>
        <w:rPr>
          <w:rFonts w:ascii="Arial" w:cs="Arial" w:eastAsia="Arial" w:hAnsi="Arial"/>
          <w:sz w:val="16"/>
          <w:szCs w:val="16"/>
          <w:color w:val="auto"/>
        </w:rPr>
      </w:pPr>
    </w:p>
    <w:p>
      <w:pPr>
        <w:ind w:left="-280" w:right="20" w:firstLine="421"/>
        <w:spacing w:after="0" w:line="259" w:lineRule="auto"/>
        <w:tabs>
          <w:tab w:leader="none" w:pos="349"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Effect of Distributions within Five Years of Effective Date of Diversification Election</w:t>
      </w:r>
      <w:r>
        <w:rPr>
          <w:rFonts w:ascii="Arial" w:cs="Arial" w:eastAsia="Arial" w:hAnsi="Arial"/>
          <w:sz w:val="18"/>
          <w:szCs w:val="18"/>
          <w:color w:val="auto"/>
        </w:rPr>
        <w:t>. If, pursuant to Paragraphs 8(a) through 8(d), Shares distributable with respect to Deferred Stock Units credited to the Company Stock Fund that are attributable to an Award as to which a Diversification Election was made are</w:t>
      </w:r>
    </w:p>
    <w:p>
      <w:pPr>
        <w:spacing w:after="0" w:line="1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20"/>
          </w:cols>
          <w:pgMar w:left="1440" w:top="280" w:right="239" w:bottom="1440" w:gutter="0" w:footer="0" w:header="0"/>
        </w:sectPr>
      </w:pPr>
    </w:p>
    <w:bookmarkStart w:id="244" w:name="page245"/>
    <w:bookmarkEnd w:id="24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Time that Shares are Distributable</w:t>
            </w: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Distributable Percentage of Corresponding Income Fund Amount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w w:val="98"/>
              </w:rPr>
              <w:t>On or before the third anniversary of a Diversification Election</w:t>
            </w:r>
          </w:p>
        </w:tc>
        <w:tc>
          <w:tcPr>
            <w:tcW w:w="1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60%</w:t>
            </w:r>
          </w:p>
        </w:tc>
      </w:tr>
      <w:tr>
        <w:trPr>
          <w:trHeight w:val="309"/>
        </w:trPr>
        <w:tc>
          <w:tcPr>
            <w:tcW w:w="4860" w:type="dxa"/>
            <w:vAlign w:val="bottom"/>
            <w:gridSpan w:val="2"/>
          </w:tcPr>
          <w:p>
            <w:pPr>
              <w:spacing w:after="0"/>
              <w:rPr>
                <w:sz w:val="20"/>
                <w:szCs w:val="20"/>
                <w:color w:val="auto"/>
              </w:rPr>
            </w:pPr>
            <w:r>
              <w:rPr>
                <w:rFonts w:ascii="Arial" w:cs="Arial" w:eastAsia="Arial" w:hAnsi="Arial"/>
                <w:sz w:val="18"/>
                <w:szCs w:val="18"/>
                <w:color w:val="auto"/>
                <w:w w:val="95"/>
              </w:rPr>
              <w:t>After the third anniversary of a Diversification Election and on or</w:t>
            </w:r>
          </w:p>
        </w:tc>
        <w:tc>
          <w:tcPr>
            <w:tcW w:w="4720" w:type="dxa"/>
            <w:vAlign w:val="bottom"/>
            <w:gridSpan w:val="2"/>
          </w:tcPr>
          <w:p>
            <w:pPr>
              <w:ind w:left="120"/>
              <w:spacing w:after="0"/>
              <w:rPr>
                <w:sz w:val="20"/>
                <w:szCs w:val="20"/>
                <w:color w:val="auto"/>
              </w:rPr>
            </w:pPr>
            <w:r>
              <w:rPr>
                <w:rFonts w:ascii="Arial" w:cs="Arial" w:eastAsia="Arial" w:hAnsi="Arial"/>
                <w:sz w:val="18"/>
                <w:szCs w:val="18"/>
                <w:color w:val="auto"/>
              </w:rPr>
              <w:t>40%</w:t>
            </w: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before the fourth anniversary of a Diversification Election</w:t>
            </w:r>
          </w:p>
        </w:tc>
        <w:tc>
          <w:tcPr>
            <w:tcW w:w="12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318"/>
        </w:trPr>
        <w:tc>
          <w:tcPr>
            <w:tcW w:w="4860" w:type="dxa"/>
            <w:vAlign w:val="bottom"/>
            <w:gridSpan w:val="2"/>
          </w:tcPr>
          <w:p>
            <w:pPr>
              <w:spacing w:after="0"/>
              <w:rPr>
                <w:sz w:val="20"/>
                <w:szCs w:val="20"/>
                <w:color w:val="auto"/>
              </w:rPr>
            </w:pPr>
            <w:r>
              <w:rPr>
                <w:rFonts w:ascii="Arial" w:cs="Arial" w:eastAsia="Arial" w:hAnsi="Arial"/>
                <w:sz w:val="18"/>
                <w:szCs w:val="18"/>
                <w:color w:val="auto"/>
                <w:w w:val="93"/>
              </w:rPr>
              <w:t>After the fourth anniversary of a Diversification Election and on or</w:t>
            </w:r>
          </w:p>
        </w:tc>
        <w:tc>
          <w:tcPr>
            <w:tcW w:w="4720" w:type="dxa"/>
            <w:vAlign w:val="bottom"/>
            <w:gridSpan w:val="2"/>
          </w:tcPr>
          <w:p>
            <w:pPr>
              <w:ind w:left="120"/>
              <w:spacing w:after="0"/>
              <w:rPr>
                <w:sz w:val="20"/>
                <w:szCs w:val="20"/>
                <w:color w:val="auto"/>
              </w:rPr>
            </w:pPr>
            <w:r>
              <w:rPr>
                <w:rFonts w:ascii="Arial" w:cs="Arial" w:eastAsia="Arial" w:hAnsi="Arial"/>
                <w:sz w:val="18"/>
                <w:szCs w:val="18"/>
                <w:color w:val="auto"/>
              </w:rPr>
              <w:t>20%</w:t>
            </w: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before the fifth anniversary of a Diversification Election</w:t>
            </w:r>
          </w:p>
        </w:tc>
        <w:tc>
          <w:tcPr>
            <w:tcW w:w="12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4720" w:type="dxa"/>
            <w:vAlign w:val="bottom"/>
            <w:gridSpan w:val="2"/>
          </w:tcPr>
          <w:p>
            <w:pPr>
              <w:ind w:left="120"/>
              <w:spacing w:after="0"/>
              <w:rPr>
                <w:sz w:val="20"/>
                <w:szCs w:val="20"/>
                <w:color w:val="auto"/>
              </w:rPr>
            </w:pPr>
            <w:r>
              <w:rPr>
                <w:rFonts w:ascii="Arial" w:cs="Arial" w:eastAsia="Arial" w:hAnsi="Arial"/>
                <w:sz w:val="18"/>
                <w:szCs w:val="18"/>
                <w:color w:val="auto"/>
              </w:rPr>
              <w:t>0%</w:t>
            </w:r>
          </w:p>
        </w:tc>
      </w:tr>
    </w:tbl>
    <w:p>
      <w:pPr>
        <w:spacing w:after="0" w:line="156" w:lineRule="exact"/>
        <w:rPr>
          <w:sz w:val="20"/>
          <w:szCs w:val="20"/>
          <w:color w:val="auto"/>
        </w:rPr>
      </w:pPr>
    </w:p>
    <w:p>
      <w:pPr>
        <w:ind w:firstLine="421"/>
        <w:spacing w:after="0" w:line="254" w:lineRule="auto"/>
        <w:tabs>
          <w:tab w:leader="none" w:pos="717"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Grantees’ Status as General Creditors</w:t>
      </w:r>
      <w:r>
        <w:rPr>
          <w:rFonts w:ascii="Arial" w:cs="Arial" w:eastAsia="Arial" w:hAnsi="Arial"/>
          <w:sz w:val="18"/>
          <w:szCs w:val="18"/>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63" w:lineRule="exact"/>
        <w:rPr>
          <w:rFonts w:ascii="Arial" w:cs="Arial" w:eastAsia="Arial" w:hAnsi="Arial"/>
          <w:sz w:val="18"/>
          <w:szCs w:val="18"/>
          <w:color w:val="auto"/>
        </w:rPr>
      </w:pPr>
    </w:p>
    <w:p>
      <w:pPr>
        <w:ind w:right="200" w:firstLine="421"/>
        <w:spacing w:after="0" w:line="256" w:lineRule="auto"/>
        <w:tabs>
          <w:tab w:leader="none" w:pos="668"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Non-Assignability, Etc</w:t>
      </w:r>
      <w:r>
        <w:rPr>
          <w:rFonts w:ascii="Arial" w:cs="Arial" w:eastAsia="Arial" w:hAnsi="Arial"/>
          <w:sz w:val="18"/>
          <w:szCs w:val="18"/>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20"/>
          </w:cols>
          <w:pgMar w:left="1160" w:top="280" w:right="319" w:bottom="1440" w:gutter="0" w:footer="0" w:header="0"/>
        </w:sectPr>
      </w:pPr>
    </w:p>
    <w:bookmarkStart w:id="245" w:name="page246"/>
    <w:bookmarkEnd w:id="245"/>
    <w:p>
      <w:pPr>
        <w:ind w:left="7" w:firstLine="421"/>
        <w:spacing w:after="0" w:line="294" w:lineRule="auto"/>
        <w:tabs>
          <w:tab w:leader="none" w:pos="676"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37" w:lineRule="exact"/>
        <w:rPr>
          <w:rFonts w:ascii="Arial" w:cs="Arial" w:eastAsia="Arial" w:hAnsi="Arial"/>
          <w:sz w:val="16"/>
          <w:szCs w:val="16"/>
          <w:color w:val="auto"/>
        </w:rPr>
      </w:pPr>
    </w:p>
    <w:p>
      <w:pPr>
        <w:ind w:left="567" w:hanging="567"/>
        <w:spacing w:after="0"/>
        <w:tabs>
          <w:tab w:leader="none" w:pos="567"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SECURITIES LAWS; TAXES</w:t>
      </w:r>
    </w:p>
    <w:p>
      <w:pPr>
        <w:spacing w:after="0" w:line="90" w:lineRule="exact"/>
        <w:rPr>
          <w:rFonts w:ascii="Arial" w:cs="Arial" w:eastAsia="Arial" w:hAnsi="Arial"/>
          <w:sz w:val="18"/>
          <w:szCs w:val="18"/>
          <w:color w:val="auto"/>
        </w:rPr>
      </w:pPr>
    </w:p>
    <w:p>
      <w:pPr>
        <w:ind w:left="7" w:firstLine="421"/>
        <w:spacing w:after="0" w:line="255" w:lineRule="auto"/>
        <w:tabs>
          <w:tab w:leader="none" w:pos="666"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61" w:lineRule="exact"/>
        <w:rPr>
          <w:rFonts w:ascii="Arial" w:cs="Arial" w:eastAsia="Arial" w:hAnsi="Arial"/>
          <w:sz w:val="18"/>
          <w:szCs w:val="18"/>
          <w:color w:val="auto"/>
        </w:rPr>
      </w:pPr>
    </w:p>
    <w:p>
      <w:pPr>
        <w:jc w:val="both"/>
        <w:ind w:left="7" w:right="60" w:firstLine="421"/>
        <w:spacing w:after="0" w:line="298" w:lineRule="auto"/>
        <w:tabs>
          <w:tab w:leader="none" w:pos="676"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31" w:lineRule="exact"/>
        <w:rPr>
          <w:rFonts w:ascii="Arial" w:cs="Arial" w:eastAsia="Arial" w:hAnsi="Arial"/>
          <w:sz w:val="16"/>
          <w:szCs w:val="16"/>
          <w:color w:val="auto"/>
        </w:rPr>
      </w:pPr>
    </w:p>
    <w:p>
      <w:pPr>
        <w:ind w:left="667" w:hanging="239"/>
        <w:spacing w:after="0"/>
        <w:tabs>
          <w:tab w:leader="none" w:pos="667"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7" w:right="80" w:hanging="441"/>
        <w:spacing w:after="0" w:line="291" w:lineRule="auto"/>
        <w:tabs>
          <w:tab w:leader="none" w:pos="1467" w:val="left"/>
        </w:tabs>
        <w:numPr>
          <w:ilvl w:val="2"/>
          <w:numId w:val="202"/>
        </w:numPr>
        <w:rPr>
          <w:rFonts w:ascii="Arial" w:cs="Arial" w:eastAsia="Arial" w:hAnsi="Arial"/>
          <w:sz w:val="16"/>
          <w:szCs w:val="16"/>
          <w:color w:val="auto"/>
        </w:rPr>
      </w:pPr>
      <w:r>
        <w:rPr>
          <w:rFonts w:ascii="Arial" w:cs="Arial" w:eastAsia="Arial" w:hAnsi="Arial"/>
          <w:sz w:val="16"/>
          <w:szCs w:val="16"/>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39" w:lineRule="exact"/>
        <w:rPr>
          <w:rFonts w:ascii="Arial" w:cs="Arial" w:eastAsia="Arial" w:hAnsi="Arial"/>
          <w:sz w:val="16"/>
          <w:szCs w:val="16"/>
          <w:color w:val="auto"/>
        </w:rPr>
      </w:pPr>
    </w:p>
    <w:p>
      <w:pPr>
        <w:ind w:left="1467" w:hanging="441"/>
        <w:spacing w:after="0"/>
        <w:tabs>
          <w:tab w:leader="none" w:pos="1467" w:val="left"/>
        </w:tabs>
        <w:numPr>
          <w:ilvl w:val="2"/>
          <w:numId w:val="202"/>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the</w:t>
      </w:r>
    </w:p>
    <w:p>
      <w:pPr>
        <w:spacing w:after="0" w:line="181"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67"/>
          </w:cols>
          <w:pgMar w:left="1153" w:top="280" w:right="279" w:bottom="1440" w:gutter="0" w:footer="0" w:header="0"/>
        </w:sectPr>
      </w:pPr>
    </w:p>
    <w:bookmarkStart w:id="246" w:name="page247"/>
    <w:bookmarkEnd w:id="246"/>
    <w:p>
      <w:pPr>
        <w:ind w:left="24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243" w:lineRule="exact"/>
        <w:rPr>
          <w:sz w:val="20"/>
          <w:szCs w:val="20"/>
          <w:color w:val="auto"/>
        </w:rPr>
      </w:pPr>
    </w:p>
    <w:p>
      <w:pPr>
        <w:ind w:left="1480" w:hanging="567"/>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90" w:lineRule="exact"/>
        <w:rPr>
          <w:sz w:val="20"/>
          <w:szCs w:val="20"/>
          <w:color w:val="auto"/>
        </w:rPr>
      </w:pPr>
    </w:p>
    <w:p>
      <w:pPr>
        <w:ind w:right="40" w:firstLine="1484"/>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7" w:name="page248"/>
    <w:bookmarkEnd w:id="247"/>
    <w:p>
      <w:pPr>
        <w:ind w:left="1480" w:hanging="567"/>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TERMINATING EVENTS</w:t>
      </w:r>
    </w:p>
    <w:p>
      <w:pPr>
        <w:spacing w:after="0" w:line="90"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40" w:lineRule="exact"/>
        <w:rPr>
          <w:sz w:val="20"/>
          <w:szCs w:val="20"/>
          <w:color w:val="auto"/>
        </w:rPr>
      </w:pPr>
    </w:p>
    <w:p>
      <w:pPr>
        <w:ind w:left="1480" w:hanging="567"/>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90" w:lineRule="exact"/>
        <w:rPr>
          <w:sz w:val="20"/>
          <w:szCs w:val="20"/>
          <w:color w:val="auto"/>
        </w:rPr>
      </w:pPr>
    </w:p>
    <w:p>
      <w:pPr>
        <w:ind w:right="220" w:firstLine="1484"/>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51" w:lineRule="exact"/>
        <w:rPr>
          <w:sz w:val="20"/>
          <w:szCs w:val="20"/>
          <w:color w:val="auto"/>
        </w:rPr>
      </w:pPr>
    </w:p>
    <w:p>
      <w:pPr>
        <w:ind w:left="1580" w:hanging="239"/>
        <w:spacing w:after="0"/>
        <w:tabs>
          <w:tab w:leader="none" w:pos="15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90" w:lineRule="exact"/>
        <w:rPr>
          <w:rFonts w:ascii="Arial" w:cs="Arial" w:eastAsia="Arial" w:hAnsi="Arial"/>
          <w:sz w:val="18"/>
          <w:szCs w:val="18"/>
          <w:color w:val="auto"/>
        </w:rPr>
      </w:pPr>
    </w:p>
    <w:p>
      <w:pPr>
        <w:ind w:left="920" w:right="540" w:firstLine="421"/>
        <w:spacing w:after="0" w:line="268" w:lineRule="auto"/>
        <w:tabs>
          <w:tab w:leader="none" w:pos="157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85" w:lineRule="exact"/>
        <w:rPr>
          <w:sz w:val="20"/>
          <w:szCs w:val="20"/>
          <w:color w:val="auto"/>
        </w:rPr>
      </w:pPr>
    </w:p>
    <w:p>
      <w:pPr>
        <w:ind w:right="120" w:firstLine="1484"/>
        <w:spacing w:after="0" w:line="298"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48" w:name="page249"/>
    <w:bookmarkEnd w:id="24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 an extension of time for processing the review of the Applicant’s claim, the Committee may notify the Applicant in writing that an additional period of up to 60 days shall be required to process the Applicant’s request for review.</w:t>
      </w:r>
    </w:p>
    <w:p>
      <w:pPr>
        <w:spacing w:after="0" w:line="132" w:lineRule="exact"/>
        <w:rPr>
          <w:sz w:val="20"/>
          <w:szCs w:val="20"/>
          <w:color w:val="auto"/>
        </w:rPr>
      </w:pPr>
    </w:p>
    <w:p>
      <w:pPr>
        <w:ind w:right="60" w:firstLine="1484"/>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Comcast Corporation</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1701 John F. Kennedy Boulevard</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Attention: General Counsel</w:t>
      </w:r>
    </w:p>
    <w:p>
      <w:pPr>
        <w:spacing w:after="0" w:line="286" w:lineRule="exact"/>
        <w:rPr>
          <w:sz w:val="20"/>
          <w:szCs w:val="20"/>
          <w:color w:val="auto"/>
        </w:rPr>
      </w:pPr>
    </w:p>
    <w:p>
      <w:pPr>
        <w:ind w:left="1480" w:hanging="567"/>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REPAYMENT</w:t>
      </w:r>
    </w:p>
    <w:p>
      <w:pPr>
        <w:spacing w:after="0" w:line="90"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241" w:lineRule="exact"/>
        <w:rPr>
          <w:sz w:val="20"/>
          <w:szCs w:val="20"/>
          <w:color w:val="auto"/>
        </w:rPr>
      </w:pPr>
    </w:p>
    <w:p>
      <w:pPr>
        <w:ind w:left="1480" w:hanging="567"/>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90" w:lineRule="exact"/>
        <w:rPr>
          <w:sz w:val="20"/>
          <w:szCs w:val="20"/>
          <w:color w:val="auto"/>
        </w:rPr>
      </w:pPr>
    </w:p>
    <w:p>
      <w:pPr>
        <w:ind w:right="320" w:firstLine="1484"/>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54" w:lineRule="exact"/>
        <w:rPr>
          <w:sz w:val="20"/>
          <w:szCs w:val="20"/>
          <w:color w:val="auto"/>
        </w:rPr>
      </w:pPr>
    </w:p>
    <w:p>
      <w:pPr>
        <w:ind w:left="1480" w:hanging="567"/>
        <w:spacing w:after="0"/>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90"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This amendment and restatement of the Plan shall be effective December 9, 2008, except as otherwise specifically provided herein. The Plan shall expire on May 13, 2018, unless sooner terminated by the Board.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49" w:name="page250"/>
    <w:bookmarkEnd w:id="249"/>
    <w:p>
      <w:pPr>
        <w:ind w:left="567" w:hanging="567"/>
        <w:spacing w:after="0"/>
        <w:tabs>
          <w:tab w:leader="none" w:pos="567"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90" w:lineRule="exact"/>
        <w:rPr>
          <w:rFonts w:ascii="Arial" w:cs="Arial" w:eastAsia="Arial" w:hAnsi="Arial"/>
          <w:sz w:val="18"/>
          <w:szCs w:val="18"/>
          <w:color w:val="auto"/>
        </w:rPr>
      </w:pPr>
    </w:p>
    <w:p>
      <w:pPr>
        <w:ind w:left="587"/>
        <w:spacing w:after="0" w:line="456" w:lineRule="auto"/>
        <w:rPr>
          <w:rFonts w:ascii="Arial" w:cs="Arial" w:eastAsia="Arial" w:hAnsi="Arial"/>
          <w:sz w:val="18"/>
          <w:szCs w:val="18"/>
          <w:color w:val="auto"/>
        </w:rPr>
      </w:pPr>
      <w:r>
        <w:rPr>
          <w:rFonts w:ascii="Arial" w:cs="Arial" w:eastAsia="Arial" w:hAnsi="Arial"/>
          <w:sz w:val="18"/>
          <w:szCs w:val="18"/>
          <w:color w:val="auto"/>
        </w:rPr>
        <w:t>The Plan and all determinations made and actions taken pursuant to the Plan shall be governed in accordance with Pennsylvania law. Executed as of the 9th day of December, 2008.</w:t>
      </w:r>
    </w:p>
    <w:p>
      <w:pPr>
        <w:spacing w:after="0" w:line="10" w:lineRule="exact"/>
        <w:rPr>
          <w:sz w:val="20"/>
          <w:szCs w:val="20"/>
          <w:color w:val="auto"/>
        </w:rPr>
      </w:pPr>
    </w:p>
    <w:p>
      <w:pPr>
        <w:ind w:left="5947"/>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947"/>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10795</wp:posOffset>
            </wp:positionV>
            <wp:extent cx="265874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5947"/>
        <w:spacing w:after="0"/>
        <w:tabs>
          <w:tab w:leader="none" w:pos="6807"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10795</wp:posOffset>
            </wp:positionV>
            <wp:extent cx="23412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29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907"/>
          </w:cols>
          <w:pgMar w:left="1153" w:top="280" w:right="8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409A AMENDMENT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payments and benefits provided to the service provider pursuant to his or her employment, severance, or other similar agreement (“Agreement”) shall be interpreted and applied, to the extent permissible by applicable law, so as to avoid any sanctions under section 409A of the Internal Revenue Code of 1986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limiting the generality of the foregoing, effective December 31, 2008 the following provisions shall supersede any conflicting provisions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84" w:lineRule="exact"/>
        <w:rPr>
          <w:sz w:val="20"/>
          <w:szCs w:val="20"/>
          <w:color w:val="auto"/>
        </w:rPr>
      </w:pPr>
    </w:p>
    <w:p>
      <w:pPr>
        <w:ind w:left="460" w:right="60" w:firstLine="443"/>
        <w:spacing w:after="0" w:line="268" w:lineRule="auto"/>
        <w:tabs>
          <w:tab w:leader="none" w:pos="107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the service provider, pursuant to the provisions of his or her Agreement, is entitled to receive payment of a bonus, such bonus shall be paid in the calendar year following the calendar year to which that bonus relates.</w:t>
      </w:r>
    </w:p>
    <w:p>
      <w:pPr>
        <w:spacing w:after="0" w:line="50" w:lineRule="exact"/>
        <w:rPr>
          <w:rFonts w:ascii="Arial" w:cs="Arial" w:eastAsia="Arial" w:hAnsi="Arial"/>
          <w:sz w:val="18"/>
          <w:szCs w:val="18"/>
          <w:color w:val="auto"/>
        </w:rPr>
      </w:pPr>
    </w:p>
    <w:p>
      <w:pPr>
        <w:ind w:left="460" w:right="60" w:firstLine="443"/>
        <w:spacing w:after="0" w:line="290" w:lineRule="auto"/>
        <w:tabs>
          <w:tab w:leader="none" w:pos="107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Notwithstanding anything in the Agreement to the contrary or otherwise, except to the extent any expense, reimbursement or in-kind benefit provided pursuant to the Agreement does not constitute a “deferral of compensation” within the meaning of section 409 A of the Code, and its implementing regulations and guidance, (i) the amount of expenses eligible for reimbursement or in-kind benefits provided to the service provider during any calendar year will not affect the amount of expenses eligible for reimbursement or in-kind benefits provided to the service provider in any other calendar year, (ii) the reimbursements for expenses for which the service provider is entitled to be reimbursed shall be made on or before the last day of the calendar year following the calendar year in which the applicable expense is incurred and (iii) the right to payment or reimbursement or in-kind benefits under the Agreement may not be liquidated or exchanged for any other benefit.</w:t>
      </w:r>
    </w:p>
    <w:p>
      <w:pPr>
        <w:spacing w:after="0" w:line="37" w:lineRule="exact"/>
        <w:rPr>
          <w:rFonts w:ascii="Arial" w:cs="Arial" w:eastAsia="Arial" w:hAnsi="Arial"/>
          <w:sz w:val="16"/>
          <w:szCs w:val="16"/>
          <w:color w:val="auto"/>
        </w:rPr>
      </w:pPr>
    </w:p>
    <w:p>
      <w:pPr>
        <w:ind w:left="460" w:right="200" w:firstLine="443"/>
        <w:spacing w:after="0" w:line="268" w:lineRule="auto"/>
        <w:tabs>
          <w:tab w:leader="none" w:pos="107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 purposes of the application of Treas. Reg. § 1.409A-1(b)(4)(or any successor provision), each payment in a series of payments to the service provider will be deemed a separate payment.</w:t>
      </w:r>
    </w:p>
    <w:p>
      <w:pPr>
        <w:spacing w:after="0" w:line="50" w:lineRule="exact"/>
        <w:rPr>
          <w:rFonts w:ascii="Arial" w:cs="Arial" w:eastAsia="Arial" w:hAnsi="Arial"/>
          <w:sz w:val="18"/>
          <w:szCs w:val="18"/>
          <w:color w:val="auto"/>
        </w:rPr>
      </w:pPr>
    </w:p>
    <w:p>
      <w:pPr>
        <w:ind w:left="460" w:right="120" w:firstLine="443"/>
        <w:spacing w:after="0" w:line="267" w:lineRule="auto"/>
        <w:tabs>
          <w:tab w:leader="none" w:pos="107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Notwithstanding any other provision of the Agreement to the contrary, any payment or benefit provided to the service provider upon or following his or her termination of employment that represents a “deferral of compensation” within the meaning of section 409A of the Code shall only be paid or provided to the service provider upon his or her “separation from service” within the meaning of Treas. Reg. § 1.409A-1(h) (or any successor regulation). To the extent compliance with the requirements of Treas</w:t>
      </w:r>
      <w:r>
        <w:rPr>
          <w:rFonts w:ascii="Arial" w:cs="Arial" w:eastAsia="Arial" w:hAnsi="Arial"/>
          <w:sz w:val="20"/>
          <w:szCs w:val="20"/>
          <w:color w:val="auto"/>
          <w:vertAlign w:val="subscript"/>
        </w:rPr>
        <w:t>.</w:t>
      </w:r>
      <w:r>
        <w:rPr>
          <w:rFonts w:ascii="Arial" w:cs="Arial" w:eastAsia="Arial" w:hAnsi="Arial"/>
          <w:sz w:val="16"/>
          <w:szCs w:val="16"/>
          <w:color w:val="auto"/>
        </w:rPr>
        <w:t xml:space="preserve"> Reg</w:t>
      </w:r>
      <w:r>
        <w:rPr>
          <w:rFonts w:ascii="Arial" w:cs="Arial" w:eastAsia="Arial" w:hAnsi="Arial"/>
          <w:sz w:val="20"/>
          <w:szCs w:val="20"/>
          <w:color w:val="auto"/>
          <w:vertAlign w:val="subscript"/>
        </w:rPr>
        <w:t>-</w:t>
      </w:r>
      <w:r>
        <w:rPr>
          <w:rFonts w:ascii="Arial" w:cs="Arial" w:eastAsia="Arial" w:hAnsi="Arial"/>
          <w:sz w:val="16"/>
          <w:szCs w:val="16"/>
          <w:color w:val="auto"/>
        </w:rPr>
        <w:t>. § 1.409A-3(i)(2) (or any successor provision) is necessary to avoid the application of an</w:t>
      </w:r>
    </w:p>
    <w:p>
      <w:pPr>
        <w:spacing w:after="0" w:line="8" w:lineRule="exact"/>
        <w:rPr>
          <w:sz w:val="20"/>
          <w:szCs w:val="20"/>
          <w:color w:val="auto"/>
        </w:rPr>
      </w:pPr>
    </w:p>
    <w:p>
      <w:pPr>
        <w:ind w:left="460" w:right="20"/>
        <w:spacing w:after="0" w:line="276" w:lineRule="auto"/>
        <w:rPr>
          <w:sz w:val="20"/>
          <w:szCs w:val="20"/>
          <w:color w:val="auto"/>
        </w:rPr>
      </w:pPr>
      <w:r>
        <w:rPr>
          <w:rFonts w:ascii="Arial" w:cs="Arial" w:eastAsia="Arial" w:hAnsi="Arial"/>
          <w:sz w:val="16"/>
          <w:szCs w:val="16"/>
          <w:color w:val="auto"/>
        </w:rPr>
        <w:t>additional tax under section 409A of the Code to payments due to the service provider upon or following his or her “separation from service”, then notwithstanding any other provision of the Agreement (or any otherwise applicable plan, policy, agreement or arrangement), any such payments that are otherwise due within six months following the service provider’s “separation from service” will be deferred (without interest) and paid to the service provider in a lump sum immediately following that six month period. This provision shall not be construed as preventing payments to the service provider upon or following his or her “separation from service” equal to an amount up to 2 times the lesser of (a) the service provider’s annualized compensation for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25" w:right="239" w:bottom="1440" w:gutter="0" w:footer="0" w:header="0"/>
        </w:sectPr>
      </w:pPr>
    </w:p>
    <w:bookmarkStart w:id="251" w:name="page252"/>
    <w:bookmarkEnd w:id="25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year prior to his or her “separation from service”, and (b) the maximum amount that may be taken into account under a qualified plan pursuant to section 401(a)(17) of the Code, being paid to the service provider in the first six months following his or her “separation from service.”</w:t>
      </w:r>
    </w:p>
    <w:p>
      <w:pPr>
        <w:spacing w:after="0" w:line="4" w:lineRule="exact"/>
        <w:rPr>
          <w:sz w:val="20"/>
          <w:szCs w:val="20"/>
          <w:color w:val="auto"/>
        </w:rPr>
      </w:pPr>
    </w:p>
    <w:p>
      <w:pPr>
        <w:ind w:firstLine="443"/>
        <w:spacing w:after="0" w:line="259" w:lineRule="auto"/>
        <w:tabs>
          <w:tab w:leader="none" w:pos="61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the event that payments and benefits provided to the service provider are, pursuant to the terms of the Agreement, required to be reduced to avoid a loss of a deduction under section 280G of the Code, the Company in its sole discretion shall determine the order of such payments and benefits to be so reduced.</w:t>
      </w:r>
    </w:p>
    <w:p>
      <w:pPr>
        <w:spacing w:after="0" w:line="59" w:lineRule="exact"/>
        <w:rPr>
          <w:rFonts w:ascii="Arial" w:cs="Arial" w:eastAsia="Arial" w:hAnsi="Arial"/>
          <w:sz w:val="18"/>
          <w:szCs w:val="18"/>
          <w:color w:val="auto"/>
        </w:rPr>
      </w:pPr>
    </w:p>
    <w:p>
      <w:pPr>
        <w:ind w:left="620" w:hanging="177"/>
        <w:spacing w:after="0"/>
        <w:tabs>
          <w:tab w:leader="none" w:pos="6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Except as otherwise amended by the foregoing changes, the Agreement will remain in effect subject to its terms as set forth therein.</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700" w:top="280" w:right="39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10.39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This is a Restricted Stock Unit Award (the “Award”) dated «Grant_Date» from Comcast Corporation (the “Company”) to «Name»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13" w:lineRule="exact"/>
        <w:rPr>
          <w:sz w:val="20"/>
          <w:szCs w:val="20"/>
          <w:color w:val="auto"/>
        </w:rPr>
      </w:pPr>
    </w:p>
    <w:p>
      <w:pPr>
        <w:ind w:left="640" w:hanging="176"/>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are defined below or, if not defined below, have the meanings given to them in the Plan.</w:t>
      </w:r>
    </w:p>
    <w:p>
      <w:pPr>
        <w:spacing w:after="0" w:line="90" w:lineRule="exact"/>
        <w:rPr>
          <w:rFonts w:ascii="Arial" w:cs="Arial" w:eastAsia="Arial" w:hAnsi="Arial"/>
          <w:sz w:val="18"/>
          <w:szCs w:val="18"/>
          <w:color w:val="auto"/>
        </w:rPr>
      </w:pPr>
    </w:p>
    <w:p>
      <w:pPr>
        <w:ind w:left="460" w:right="180" w:firstLine="443"/>
        <w:spacing w:after="0" w:line="335" w:lineRule="auto"/>
        <w:tabs>
          <w:tab w:leader="none" w:pos="1137" w:val="left"/>
        </w:tabs>
        <w:numPr>
          <w:ilvl w:val="1"/>
          <w:numId w:val="2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Account</w:t>
      </w:r>
      <w:r>
        <w:rPr>
          <w:rFonts w:ascii="Arial" w:cs="Arial" w:eastAsia="Arial" w:hAnsi="Arial"/>
          <w:sz w:val="15"/>
          <w:szCs w:val="15"/>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7" w:lineRule="exact"/>
        <w:rPr>
          <w:rFonts w:ascii="Arial" w:cs="Arial" w:eastAsia="Arial" w:hAnsi="Arial"/>
          <w:sz w:val="15"/>
          <w:szCs w:val="15"/>
          <w:color w:val="auto"/>
        </w:rPr>
      </w:pPr>
    </w:p>
    <w:p>
      <w:pPr>
        <w:ind w:left="1160" w:hanging="257"/>
        <w:spacing w:after="0"/>
        <w:tabs>
          <w:tab w:leader="none" w:pos="11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460" w:right="60" w:firstLine="443"/>
        <w:spacing w:after="0" w:line="288" w:lineRule="auto"/>
        <w:tabs>
          <w:tab w:leader="none" w:pos="1147" w:val="left"/>
        </w:tabs>
        <w:numPr>
          <w:ilvl w:val="1"/>
          <w:numId w:val="2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Flow</w:t>
      </w:r>
      <w:r>
        <w:rPr>
          <w:rFonts w:ascii="Arial" w:cs="Arial" w:eastAsia="Arial" w:hAnsi="Arial"/>
          <w:sz w:val="16"/>
          <w:szCs w:val="16"/>
          <w:color w:val="auto"/>
        </w:rPr>
        <w:t>” means operating income before depreciation and amortization for the Company and those of its affiliates which are included with the Company in its consolidated financial statements, as determined by the Committee. In the event there is a significant acquisition or disposition of any assets, business division, company or other business operations of the Company that is reasonably expected to have an effect on Cash Flow, the Committee shall adjust the First Tier Goal and the Second Tier Goal to take into account the impact of such acquisition or disposition by increasing or decreasing such goals in the same proportion as Cash Flow of the Company would have been affected for the prior calendar year on a pro forma basis had such an acquisition or disposition occurred on the same date during the prior calendar year. Such adjustment shall be based upon the historical equivalent of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38" w:lineRule="exact"/>
        <w:rPr>
          <w:rFonts w:ascii="Arial" w:cs="Arial" w:eastAsia="Arial" w:hAnsi="Arial"/>
          <w:sz w:val="16"/>
          <w:szCs w:val="16"/>
          <w:color w:val="auto"/>
        </w:rPr>
      </w:pPr>
    </w:p>
    <w:p>
      <w:pPr>
        <w:ind w:left="1140" w:hanging="237"/>
        <w:spacing w:after="0"/>
        <w:tabs>
          <w:tab w:leader="none" w:pos="11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ectPr>
          <w:pgSz w:w="11900" w:h="16838" w:orient="portrait"/>
          <w:cols w:equalWidth="0" w:num="1">
            <w:col w:w="11420"/>
          </w:cols>
          <w:pgMar w:left="240" w:top="125" w:right="239" w:bottom="1440" w:gutter="0" w:footer="0" w:header="0"/>
        </w:sectPr>
      </w:pPr>
    </w:p>
    <w:bookmarkStart w:id="253" w:name="page254"/>
    <w:bookmarkEnd w:id="253"/>
    <w:p>
      <w:pPr>
        <w:ind w:left="700" w:hanging="257"/>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 Grantee’s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behalf.</w:t>
      </w:r>
    </w:p>
    <w:p>
      <w:pPr>
        <w:spacing w:after="0" w:line="83" w:lineRule="exact"/>
        <w:rPr>
          <w:rFonts w:ascii="Arial" w:cs="Arial" w:eastAsia="Arial" w:hAnsi="Arial"/>
          <w:sz w:val="16"/>
          <w:szCs w:val="16"/>
          <w:color w:val="auto"/>
        </w:rPr>
      </w:pPr>
    </w:p>
    <w:p>
      <w:pPr>
        <w:ind w:left="660" w:hanging="217"/>
        <w:spacing w:after="0"/>
        <w:tabs>
          <w:tab w:leader="none" w:pos="6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 Date.</w:t>
      </w:r>
    </w:p>
    <w:p>
      <w:pPr>
        <w:spacing w:after="0" w:line="113" w:lineRule="exact"/>
        <w:rPr>
          <w:rFonts w:ascii="Arial" w:cs="Arial" w:eastAsia="Arial" w:hAnsi="Arial"/>
          <w:sz w:val="16"/>
          <w:szCs w:val="16"/>
          <w:color w:val="auto"/>
        </w:rPr>
      </w:pPr>
    </w:p>
    <w:p>
      <w:pPr>
        <w:ind w:right="80" w:firstLine="443"/>
        <w:spacing w:after="0" w:line="268" w:lineRule="auto"/>
        <w:tabs>
          <w:tab w:leader="none" w:pos="68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Goal</w:t>
      </w:r>
      <w:r>
        <w:rPr>
          <w:rFonts w:ascii="Arial" w:cs="Arial" w:eastAsia="Arial" w:hAnsi="Arial"/>
          <w:sz w:val="18"/>
          <w:szCs w:val="18"/>
          <w:color w:val="auto"/>
        </w:rPr>
        <w:t>” means the objective performance goal established by the Committee for each of [Year 1], [Year 2], [Year 3], [Year 4] and [Year 5] on or before March 29 of each such calendar year and designated by the Committee as the First Tier Goal.</w:t>
      </w:r>
    </w:p>
    <w:p>
      <w:pPr>
        <w:spacing w:after="0" w:line="50" w:lineRule="exact"/>
        <w:rPr>
          <w:rFonts w:ascii="Arial" w:cs="Arial" w:eastAsia="Arial" w:hAnsi="Arial"/>
          <w:sz w:val="18"/>
          <w:szCs w:val="18"/>
          <w:color w:val="auto"/>
        </w:rPr>
      </w:pPr>
    </w:p>
    <w:p>
      <w:pPr>
        <w:ind w:right="720" w:firstLine="443"/>
        <w:spacing w:after="0" w:line="268" w:lineRule="auto"/>
        <w:tabs>
          <w:tab w:leader="none" w:pos="64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Period</w:t>
      </w:r>
      <w:r>
        <w:rPr>
          <w:rFonts w:ascii="Arial" w:cs="Arial" w:eastAsia="Arial" w:hAnsi="Arial"/>
          <w:sz w:val="15"/>
          <w:szCs w:val="15"/>
          <w:color w:val="auto"/>
        </w:rPr>
        <w:t>” means, with respect to each Restricted Stock Unit, the period beginning on the Date of Grant and ending on the Vesting Date.</w:t>
      </w:r>
    </w:p>
    <w:p>
      <w:pPr>
        <w:spacing w:after="0" w:line="124" w:lineRule="exact"/>
        <w:rPr>
          <w:rFonts w:ascii="Arial" w:cs="Arial" w:eastAsia="Arial" w:hAnsi="Arial"/>
          <w:sz w:val="15"/>
          <w:szCs w:val="15"/>
          <w:color w:val="auto"/>
        </w:rPr>
      </w:pPr>
    </w:p>
    <w:p>
      <w:pPr>
        <w:ind w:left="700" w:hanging="257"/>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Grantee, upon the Vesting Date set forth in an Award, to receive one Share.</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90" w:lineRule="exact"/>
        <w:rPr>
          <w:rFonts w:ascii="Arial" w:cs="Arial" w:eastAsia="Arial" w:hAnsi="Arial"/>
          <w:sz w:val="18"/>
          <w:szCs w:val="18"/>
          <w:color w:val="auto"/>
        </w:rPr>
      </w:pPr>
    </w:p>
    <w:p>
      <w:pPr>
        <w:ind w:right="340" w:firstLine="443"/>
        <w:spacing w:after="0" w:line="332" w:lineRule="auto"/>
        <w:tabs>
          <w:tab w:leader="none" w:pos="65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Tier Goal</w:t>
      </w:r>
      <w:r>
        <w:rPr>
          <w:rFonts w:ascii="Arial" w:cs="Arial" w:eastAsia="Arial" w:hAnsi="Arial"/>
          <w:sz w:val="16"/>
          <w:szCs w:val="16"/>
          <w:color w:val="auto"/>
        </w:rPr>
        <w:t>” means the objective performance goal established by the Committee for each of [Year 1], [Year 2], [Year 3], [Year 4] and [Year 5] on or before March 29 of each such calendar year and designated by the Committee as the Second Tier Goal.</w:t>
      </w:r>
    </w:p>
    <w:p>
      <w:pPr>
        <w:spacing w:after="0" w:line="4" w:lineRule="exact"/>
        <w:rPr>
          <w:rFonts w:ascii="Arial" w:cs="Arial" w:eastAsia="Arial" w:hAnsi="Arial"/>
          <w:sz w:val="16"/>
          <w:szCs w:val="16"/>
          <w:color w:val="auto"/>
        </w:rPr>
      </w:pPr>
    </w:p>
    <w:p>
      <w:pPr>
        <w:ind w:left="680" w:hanging="237"/>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254" w:name="page255"/>
    <w:bookmarkEnd w:id="254"/>
    <w:p>
      <w:pPr>
        <w:ind w:left="1020" w:hanging="217"/>
        <w:spacing w:after="0"/>
        <w:tabs>
          <w:tab w:leader="none" w:pos="10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the date(s) on which Grantee vests in all or a portion of the Restricted Stock Units, as provided in Paragraph 3.</w:t>
      </w:r>
    </w:p>
    <w:p>
      <w:pPr>
        <w:spacing w:after="0" w:line="113" w:lineRule="exact"/>
        <w:rPr>
          <w:rFonts w:ascii="Arial" w:cs="Arial" w:eastAsia="Arial" w:hAnsi="Arial"/>
          <w:sz w:val="16"/>
          <w:szCs w:val="16"/>
          <w:color w:val="auto"/>
        </w:rPr>
      </w:pPr>
    </w:p>
    <w:p>
      <w:pPr>
        <w:ind w:left="1060" w:hanging="257"/>
        <w:spacing w:after="0"/>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90" w:lineRule="exact"/>
        <w:rPr>
          <w:rFonts w:ascii="Arial" w:cs="Arial" w:eastAsia="Arial" w:hAnsi="Arial"/>
          <w:sz w:val="18"/>
          <w:szCs w:val="18"/>
          <w:color w:val="auto"/>
        </w:rPr>
      </w:pPr>
    </w:p>
    <w:p>
      <w:pPr>
        <w:ind w:left="1060" w:hanging="257"/>
        <w:spacing w:after="0"/>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1] RSUs</w:t>
      </w:r>
      <w:r>
        <w:rPr>
          <w:rFonts w:ascii="Arial" w:cs="Arial" w:eastAsia="Arial" w:hAnsi="Arial"/>
          <w:sz w:val="18"/>
          <w:szCs w:val="18"/>
          <w:color w:val="auto"/>
        </w:rPr>
        <w:t>” means «Rvest_Year_1» of the Restricted Stock Units described in Paragraph 2.</w:t>
      </w:r>
    </w:p>
    <w:p>
      <w:pPr>
        <w:spacing w:after="0" w:line="90" w:lineRule="exact"/>
        <w:rPr>
          <w:rFonts w:ascii="Arial" w:cs="Arial" w:eastAsia="Arial" w:hAnsi="Arial"/>
          <w:sz w:val="18"/>
          <w:szCs w:val="18"/>
          <w:color w:val="auto"/>
        </w:rPr>
      </w:pPr>
    </w:p>
    <w:p>
      <w:pPr>
        <w:ind w:left="360" w:right="120" w:firstLine="443"/>
        <w:spacing w:after="0" w:line="268" w:lineRule="auto"/>
        <w:tabs>
          <w:tab w:leader="none" w:pos="108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2] RSUs</w:t>
      </w:r>
      <w:r>
        <w:rPr>
          <w:rFonts w:ascii="Arial" w:cs="Arial" w:eastAsia="Arial" w:hAnsi="Arial"/>
          <w:sz w:val="18"/>
          <w:szCs w:val="18"/>
          <w:color w:val="auto"/>
        </w:rPr>
        <w:t>” means «Rvest_Year_2» of the Restricted Stock Units described in Paragraph 2, plus any [Year 1] RSUs that fail to vest under Paragraph 3(b)(1).</w:t>
      </w:r>
    </w:p>
    <w:p>
      <w:pPr>
        <w:spacing w:after="0" w:line="50" w:lineRule="exact"/>
        <w:rPr>
          <w:rFonts w:ascii="Arial" w:cs="Arial" w:eastAsia="Arial" w:hAnsi="Arial"/>
          <w:sz w:val="18"/>
          <w:szCs w:val="18"/>
          <w:color w:val="auto"/>
        </w:rPr>
      </w:pPr>
    </w:p>
    <w:p>
      <w:pPr>
        <w:ind w:left="360" w:right="160" w:firstLine="443"/>
        <w:spacing w:after="0" w:line="268" w:lineRule="auto"/>
        <w:tabs>
          <w:tab w:leader="none" w:pos="10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3] RSUs</w:t>
      </w:r>
      <w:r>
        <w:rPr>
          <w:rFonts w:ascii="Arial" w:cs="Arial" w:eastAsia="Arial" w:hAnsi="Arial"/>
          <w:sz w:val="18"/>
          <w:szCs w:val="18"/>
          <w:color w:val="auto"/>
        </w:rPr>
        <w:t>” means «Rvest_Year_3» of the Restricted Stock Units described in Paragraph 2, plus any [Year 2] RSUs that fail to vest under Paragraph 3(b)(2) (including Restricted Stock Units that failed to vest before [Year 3]).</w:t>
      </w:r>
    </w:p>
    <w:p>
      <w:pPr>
        <w:spacing w:after="0" w:line="50" w:lineRule="exact"/>
        <w:rPr>
          <w:rFonts w:ascii="Arial" w:cs="Arial" w:eastAsia="Arial" w:hAnsi="Arial"/>
          <w:sz w:val="18"/>
          <w:szCs w:val="18"/>
          <w:color w:val="auto"/>
        </w:rPr>
      </w:pPr>
    </w:p>
    <w:p>
      <w:pPr>
        <w:ind w:left="360" w:right="160" w:firstLine="443"/>
        <w:spacing w:after="0" w:line="268" w:lineRule="auto"/>
        <w:tabs>
          <w:tab w:leader="none" w:pos="10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4] RSUs</w:t>
      </w:r>
      <w:r>
        <w:rPr>
          <w:rFonts w:ascii="Arial" w:cs="Arial" w:eastAsia="Arial" w:hAnsi="Arial"/>
          <w:sz w:val="18"/>
          <w:szCs w:val="18"/>
          <w:color w:val="auto"/>
        </w:rPr>
        <w:t>” means «Rvest_Year_4» of the Restricted Stock Units described in Paragraph 2, plus any [Year 3] RSUs that fail to vest under Paragraph 3(b)(3) (including Restricted Stock Units that failed to vest before [Year 4]).</w:t>
      </w:r>
    </w:p>
    <w:p>
      <w:pPr>
        <w:spacing w:after="0" w:line="50" w:lineRule="exact"/>
        <w:rPr>
          <w:rFonts w:ascii="Arial" w:cs="Arial" w:eastAsia="Arial" w:hAnsi="Arial"/>
          <w:sz w:val="18"/>
          <w:szCs w:val="18"/>
          <w:color w:val="auto"/>
        </w:rPr>
      </w:pPr>
    </w:p>
    <w:p>
      <w:pPr>
        <w:ind w:left="360" w:right="180" w:firstLine="443"/>
        <w:spacing w:after="0" w:line="268" w:lineRule="auto"/>
        <w:tabs>
          <w:tab w:leader="none" w:pos="103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5] RSUs</w:t>
      </w:r>
      <w:r>
        <w:rPr>
          <w:rFonts w:ascii="Arial" w:cs="Arial" w:eastAsia="Arial" w:hAnsi="Arial"/>
          <w:sz w:val="18"/>
          <w:szCs w:val="18"/>
          <w:color w:val="auto"/>
        </w:rPr>
        <w:t>” means «Rvest_Year_5» of the Restricted Stock Units described in Paragraph 2, plus any [Year 4] RSUs that fail to vest under Paragraph 3(b)(4) (including Restricted Stock Units that failed to vest before [Year 5]).</w:t>
      </w:r>
    </w:p>
    <w:p>
      <w:pPr>
        <w:spacing w:after="0" w:line="132" w:lineRule="exact"/>
        <w:rPr>
          <w:sz w:val="20"/>
          <w:szCs w:val="20"/>
          <w:color w:val="auto"/>
        </w:rPr>
      </w:pPr>
    </w:p>
    <w:p>
      <w:pPr>
        <w:ind w:left="-100" w:right="920" w:firstLine="464"/>
        <w:spacing w:after="0" w:line="268" w:lineRule="auto"/>
        <w:tabs>
          <w:tab w:leader="none" w:pos="53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«Total_RSU» Restricted Stock Units.</w:t>
      </w:r>
    </w:p>
    <w:p>
      <w:pPr>
        <w:spacing w:after="0" w:line="131" w:lineRule="exact"/>
        <w:rPr>
          <w:rFonts w:ascii="Arial" w:cs="Arial" w:eastAsia="Arial" w:hAnsi="Arial"/>
          <w:sz w:val="18"/>
          <w:szCs w:val="18"/>
          <w:color w:val="auto"/>
        </w:rPr>
      </w:pPr>
    </w:p>
    <w:p>
      <w:pPr>
        <w:ind w:left="540" w:hanging="176"/>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60" w:firstLine="443"/>
        <w:spacing w:after="0" w:line="298" w:lineRule="auto"/>
        <w:tabs>
          <w:tab w:leader="none" w:pos="1037" w:val="left"/>
        </w:tabs>
        <w:numPr>
          <w:ilvl w:val="1"/>
          <w:numId w:val="216"/>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Grantee shall vest in the Restricted Stock Units on the Vesting Dates set forth in Paragraph 3(b),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and provided further that the applicable performance conditions as set forth in Paragraph 3(b) have been satisfied.</w:t>
      </w:r>
    </w:p>
    <w:p>
      <w:pPr>
        <w:spacing w:after="0" w:line="31" w:lineRule="exact"/>
        <w:rPr>
          <w:rFonts w:ascii="Arial" w:cs="Arial" w:eastAsia="Arial" w:hAnsi="Arial"/>
          <w:sz w:val="16"/>
          <w:szCs w:val="16"/>
          <w:color w:val="auto"/>
        </w:rPr>
      </w:pPr>
    </w:p>
    <w:p>
      <w:pPr>
        <w:ind w:left="1060" w:hanging="257"/>
        <w:spacing w:after="0"/>
        <w:tabs>
          <w:tab w:leader="none" w:pos="106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Subject to Paragraphs 3(a) and 3(c), a Vesting Date for Restricted Stock Units subject to the Award shall occur in accordance with the following</w:t>
      </w:r>
    </w:p>
    <w:p>
      <w:pPr>
        <w:spacing w:after="0" w:line="38"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schedule:</w:t>
      </w:r>
    </w:p>
    <w:p>
      <w:pPr>
        <w:spacing w:after="0" w:line="83" w:lineRule="exact"/>
        <w:rPr>
          <w:rFonts w:ascii="Arial" w:cs="Arial" w:eastAsia="Arial" w:hAnsi="Arial"/>
          <w:sz w:val="16"/>
          <w:szCs w:val="16"/>
          <w:color w:val="auto"/>
        </w:rPr>
      </w:pPr>
    </w:p>
    <w:p>
      <w:pPr>
        <w:ind w:left="1480" w:hanging="239"/>
        <w:spacing w:after="0"/>
        <w:tabs>
          <w:tab w:leader="none" w:pos="1480"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[Year 1]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00" w:hanging="211"/>
        <w:spacing w:after="0"/>
        <w:tabs>
          <w:tab w:leader="none" w:pos="2000" w:val="left"/>
        </w:tabs>
        <w:numPr>
          <w:ilvl w:val="3"/>
          <w:numId w:val="216"/>
        </w:numPr>
        <w:rPr>
          <w:rFonts w:ascii="Arial" w:cs="Arial" w:eastAsia="Arial" w:hAnsi="Arial"/>
          <w:sz w:val="18"/>
          <w:szCs w:val="18"/>
          <w:color w:val="auto"/>
        </w:rPr>
      </w:pPr>
      <w:r>
        <w:rPr>
          <w:rFonts w:ascii="Arial" w:cs="Arial" w:eastAsia="Arial" w:hAnsi="Arial"/>
          <w:sz w:val="18"/>
          <w:szCs w:val="18"/>
          <w:color w:val="auto"/>
        </w:rPr>
        <w:t>As to two-thirds of the [Year 1] RSUs, April 28, [Year 2], provided that the First Tier Goal is satisfied for [Year 1].</w:t>
      </w:r>
    </w:p>
    <w:p>
      <w:pPr>
        <w:spacing w:after="0" w:line="90" w:lineRule="exact"/>
        <w:rPr>
          <w:rFonts w:ascii="Arial" w:cs="Arial" w:eastAsia="Arial" w:hAnsi="Arial"/>
          <w:sz w:val="18"/>
          <w:szCs w:val="18"/>
          <w:color w:val="auto"/>
        </w:rPr>
      </w:pPr>
    </w:p>
    <w:p>
      <w:pPr>
        <w:ind w:left="2000" w:hanging="211"/>
        <w:spacing w:after="0"/>
        <w:tabs>
          <w:tab w:leader="none" w:pos="2000" w:val="left"/>
        </w:tabs>
        <w:numPr>
          <w:ilvl w:val="3"/>
          <w:numId w:val="216"/>
        </w:numPr>
        <w:rPr>
          <w:rFonts w:ascii="Arial" w:cs="Arial" w:eastAsia="Arial" w:hAnsi="Arial"/>
          <w:sz w:val="16"/>
          <w:szCs w:val="16"/>
          <w:color w:val="auto"/>
        </w:rPr>
      </w:pPr>
      <w:r>
        <w:rPr>
          <w:rFonts w:ascii="Arial" w:cs="Arial" w:eastAsia="Arial" w:hAnsi="Arial"/>
          <w:sz w:val="16"/>
          <w:szCs w:val="16"/>
          <w:color w:val="auto"/>
        </w:rPr>
        <w:t>As to an additional one-third of the [Year 1] RSUs, April 28, [Year 2], provided that the Second Tier Goal is satisfied for [Year 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40" w:top="280" w:right="319" w:bottom="1440" w:gutter="0" w:footer="0" w:header="0"/>
        </w:sectPr>
      </w:pPr>
    </w:p>
    <w:bookmarkStart w:id="255" w:name="page256"/>
    <w:bookmarkEnd w:id="255"/>
    <w:p>
      <w:pPr>
        <w:ind w:left="1120" w:hanging="239"/>
        <w:spacing w:after="0"/>
        <w:tabs>
          <w:tab w:leader="none" w:pos="11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2]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40" w:hanging="211"/>
        <w:spacing w:after="0"/>
        <w:tabs>
          <w:tab w:leader="none" w:pos="164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As to two-thirds of the [Year 2] RSUs, March 28, [Year 3], provided that the First Tier Goal is satisfied for either [Year 1] or [Year</w:t>
      </w:r>
    </w:p>
    <w:p>
      <w:pPr>
        <w:spacing w:after="0" w:line="38"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83" w:lineRule="exact"/>
        <w:rPr>
          <w:rFonts w:ascii="Arial" w:cs="Arial" w:eastAsia="Arial" w:hAnsi="Arial"/>
          <w:sz w:val="16"/>
          <w:szCs w:val="16"/>
          <w:color w:val="auto"/>
        </w:rPr>
      </w:pPr>
    </w:p>
    <w:p>
      <w:pPr>
        <w:ind w:left="1040" w:right="300" w:firstLine="389"/>
        <w:spacing w:after="0" w:line="268" w:lineRule="auto"/>
        <w:tabs>
          <w:tab w:leader="none" w:pos="164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to an additional one-third of the [Year 2] RSUs, March 28, [Year 3], provided that the Second Tier Goal is satisfied for either [Year 1] or [Year 2].</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[Year 3]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40" w:right="60" w:firstLine="389"/>
        <w:spacing w:after="0" w:line="268" w:lineRule="auto"/>
        <w:tabs>
          <w:tab w:leader="none" w:pos="165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to two-thirds of the [Year 3] RSUs, March 28, [Year 4], provided that the First Tier Goal is satisfied for any of [Year 1], [Year 2] or [Year 3].</w:t>
      </w:r>
    </w:p>
    <w:p>
      <w:pPr>
        <w:spacing w:after="0" w:line="50" w:lineRule="exact"/>
        <w:rPr>
          <w:rFonts w:ascii="Arial" w:cs="Arial" w:eastAsia="Arial" w:hAnsi="Arial"/>
          <w:sz w:val="18"/>
          <w:szCs w:val="18"/>
          <w:color w:val="auto"/>
        </w:rPr>
      </w:pPr>
    </w:p>
    <w:p>
      <w:pPr>
        <w:ind w:left="1040" w:right="260" w:firstLine="389"/>
        <w:spacing w:after="0" w:line="268" w:lineRule="auto"/>
        <w:tabs>
          <w:tab w:leader="none" w:pos="164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to an additional one-third of the [Year 3] RSUs, March 28, [Year 4], provided that the Second Tier Goal is satisfied for any of [Year 1], [Year 2] or [Year 3].</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[Year 4]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40" w:firstLine="389"/>
        <w:spacing w:after="0" w:line="268" w:lineRule="auto"/>
        <w:tabs>
          <w:tab w:leader="none" w:pos="165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to two-thirds of the [Year 4] RSUs, March 28, [Year 5], provided that the First Tier Goal is satisfied for any of [Year 1], [Year 2], [Year 3] or [Year 4].</w:t>
      </w:r>
    </w:p>
    <w:p>
      <w:pPr>
        <w:spacing w:after="0" w:line="50" w:lineRule="exact"/>
        <w:rPr>
          <w:rFonts w:ascii="Arial" w:cs="Arial" w:eastAsia="Arial" w:hAnsi="Arial"/>
          <w:sz w:val="18"/>
          <w:szCs w:val="18"/>
          <w:color w:val="auto"/>
        </w:rPr>
      </w:pPr>
    </w:p>
    <w:p>
      <w:pPr>
        <w:ind w:left="1040" w:right="100" w:firstLine="389"/>
        <w:spacing w:after="0" w:line="268" w:lineRule="auto"/>
        <w:tabs>
          <w:tab w:leader="none" w:pos="164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to an additional one-third of the [Year 4] RSUs, March 28, [Year 5], provided that the Second Tier Goal is satisfied for [Year 1], [Year 2], [Year 3] or [Year 4].</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[Year 5]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40" w:right="60" w:firstLine="389"/>
        <w:spacing w:after="0" w:line="268" w:lineRule="auto"/>
        <w:tabs>
          <w:tab w:leader="none" w:pos="165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to two-thirds of the [Year 5] RSUs, March 28, [Year 6], provided that the First Tier Goal is satisfied for [Year 1], [Year 2], [Year 3], [Year 4] or [Year 5].</w:t>
      </w:r>
    </w:p>
    <w:p>
      <w:pPr>
        <w:spacing w:after="0" w:line="50" w:lineRule="exact"/>
        <w:rPr>
          <w:rFonts w:ascii="Arial" w:cs="Arial" w:eastAsia="Arial" w:hAnsi="Arial"/>
          <w:sz w:val="18"/>
          <w:szCs w:val="18"/>
          <w:color w:val="auto"/>
        </w:rPr>
      </w:pPr>
    </w:p>
    <w:p>
      <w:pPr>
        <w:ind w:left="1040" w:right="100" w:firstLine="389"/>
        <w:spacing w:after="0" w:line="268" w:lineRule="auto"/>
        <w:tabs>
          <w:tab w:leader="none" w:pos="164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to an additional one-third of the [Year 5] RSUs, March 28, [Year 6], provided that the Second Tier Goal is satisfied for [Year 1], [Year 2], [Year 3], [Year 4] or [Year 5].</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anything herein to the contrary, to the extent a Vesting Date for any [Year 5] RSUs has not occurred on or prior to March 28, [Year 6], such [Year 5] RSUs which have not vested and become nonforfeitable shall immediately and automatically, without any action on the part of the Grantee or the Company, be forfeited by the Grantee and deemed canceled.</w:t>
      </w:r>
    </w:p>
    <w:p>
      <w:pPr>
        <w:spacing w:after="0" w:line="59" w:lineRule="exact"/>
        <w:rPr>
          <w:sz w:val="20"/>
          <w:szCs w:val="20"/>
          <w:color w:val="auto"/>
        </w:rPr>
      </w:pPr>
    </w:p>
    <w:p>
      <w:pPr>
        <w:ind w:right="80" w:firstLine="443"/>
        <w:spacing w:after="0" w:line="256" w:lineRule="auto"/>
        <w:tabs>
          <w:tab w:leader="none" w:pos="67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Notwithstanding Paragraphs 3(a) and 3(b) to the contrary, if Grantee terminates employment with the Company or a Subsidiary Company during the Restricted Period due to his death or due to Grantee becoming a Disabled Grantee within the meaning of Paragraph 1(i)(1), the Vesting Date for the Restricted Stock Units shall be accelerated so that a Vesting Date will be deemed to occur with respect to the Restricted Stock Units on the date of such termination of employment.</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256" w:name="page257"/>
    <w:bookmarkEnd w:id="256"/>
    <w:p>
      <w:pPr>
        <w:ind w:left="180" w:hanging="176"/>
        <w:spacing w:after="0"/>
        <w:tabs>
          <w:tab w:leader="none" w:pos="18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Forfeiture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80" w:firstLine="443"/>
        <w:spacing w:after="0" w:line="306" w:lineRule="auto"/>
        <w:tabs>
          <w:tab w:leader="none" w:pos="67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if Grantee terminates employment with the Company and all Subsidiaries during the Restricted Period, other than due to death or Disability, Grantee shall forfeit the Restricted Stock Units as of such termination of employment. Upon a forfeiture of the Restricted Stock Units as provided in this Paragraph 4, the Restricted Stock Units shall be deemed canceled.</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1"/>
          <w:numId w:val="219"/>
        </w:numPr>
        <w:rPr>
          <w:rFonts w:ascii="Arial" w:cs="Arial" w:eastAsia="Arial" w:hAnsi="Arial"/>
          <w:sz w:val="15"/>
          <w:szCs w:val="15"/>
          <w:color w:val="auto"/>
        </w:rPr>
      </w:pPr>
      <w:r>
        <w:rPr>
          <w:rFonts w:ascii="Arial" w:cs="Arial" w:eastAsia="Arial" w:hAnsi="Arial"/>
          <w:sz w:val="15"/>
          <w:szCs w:val="15"/>
          <w:color w:val="auto"/>
        </w:rPr>
        <w:t>The provisions of this Paragraph 4 shall not apply to Shares issued in respect of Restricted Stock Units as to which a Vesting Date has occurred.</w:t>
      </w:r>
    </w:p>
    <w:p>
      <w:pPr>
        <w:spacing w:after="0" w:line="205" w:lineRule="exact"/>
        <w:rPr>
          <w:rFonts w:ascii="Arial" w:cs="Arial" w:eastAsia="Arial" w:hAnsi="Arial"/>
          <w:sz w:val="15"/>
          <w:szCs w:val="15"/>
          <w:color w:val="auto"/>
        </w:rPr>
      </w:pPr>
    </w:p>
    <w:p>
      <w:pPr>
        <w:ind w:left="180" w:hanging="176"/>
        <w:spacing w:after="0"/>
        <w:tabs>
          <w:tab w:leader="none" w:pos="18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Grantee may elect to defer the receipt of Shares issuable with respect to Restricted Stock Units, consistent, however, with the following:</w:t>
      </w:r>
    </w:p>
    <w:p>
      <w:pPr>
        <w:spacing w:after="0" w:line="113" w:lineRule="exact"/>
        <w:rPr>
          <w:sz w:val="20"/>
          <w:szCs w:val="20"/>
          <w:color w:val="auto"/>
        </w:rPr>
      </w:pPr>
    </w:p>
    <w:p>
      <w:pPr>
        <w:ind w:left="680" w:hanging="237"/>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40" w:firstLine="421"/>
        <w:spacing w:after="0" w:line="259" w:lineRule="auto"/>
        <w:tabs>
          <w:tab w:leader="none" w:pos="1128"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59" w:lineRule="exact"/>
        <w:rPr>
          <w:rFonts w:ascii="Arial" w:cs="Arial" w:eastAsia="Arial" w:hAnsi="Arial"/>
          <w:sz w:val="18"/>
          <w:szCs w:val="18"/>
          <w:color w:val="auto"/>
        </w:rPr>
      </w:pPr>
    </w:p>
    <w:p>
      <w:pPr>
        <w:ind w:left="460" w:right="360" w:firstLine="421"/>
        <w:spacing w:after="0" w:line="268" w:lineRule="auto"/>
        <w:tabs>
          <w:tab w:leader="none" w:pos="1128"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June 30, [Year 1].</w:t>
      </w:r>
    </w:p>
    <w:p>
      <w:pPr>
        <w:spacing w:after="0" w:line="50" w:lineRule="exact"/>
        <w:rPr>
          <w:rFonts w:ascii="Arial" w:cs="Arial" w:eastAsia="Arial" w:hAnsi="Arial"/>
          <w:sz w:val="18"/>
          <w:szCs w:val="18"/>
          <w:color w:val="auto"/>
        </w:rPr>
      </w:pPr>
    </w:p>
    <w:p>
      <w:pPr>
        <w:ind w:left="460" w:firstLine="421"/>
        <w:spacing w:after="0" w:line="298" w:lineRule="auto"/>
        <w:tabs>
          <w:tab w:leader="none" w:pos="1128"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 beginning after the Vesting Date, nor later than January 2 of the eleventh calendar year beginning after the Vesting Date.</w:t>
      </w:r>
    </w:p>
    <w:p>
      <w:pPr>
        <w:spacing w:after="0" w:line="31" w:lineRule="exact"/>
        <w:rPr>
          <w:rFonts w:ascii="Arial" w:cs="Arial" w:eastAsia="Arial" w:hAnsi="Arial"/>
          <w:sz w:val="16"/>
          <w:szCs w:val="16"/>
          <w:color w:val="auto"/>
        </w:rPr>
      </w:pPr>
    </w:p>
    <w:p>
      <w:pPr>
        <w:ind w:left="460" w:right="520" w:firstLine="421"/>
        <w:spacing w:after="0" w:line="268" w:lineRule="auto"/>
        <w:tabs>
          <w:tab w:leader="none" w:pos="1128"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50" w:lineRule="exact"/>
        <w:rPr>
          <w:rFonts w:ascii="Arial" w:cs="Arial" w:eastAsia="Arial" w:hAnsi="Arial"/>
          <w:sz w:val="18"/>
          <w:szCs w:val="18"/>
          <w:color w:val="auto"/>
        </w:rPr>
      </w:pPr>
    </w:p>
    <w:p>
      <w:pPr>
        <w:ind w:right="280" w:firstLine="443"/>
        <w:spacing w:after="0" w:line="268" w:lineRule="auto"/>
        <w:tabs>
          <w:tab w:leader="none" w:pos="687"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Subsequent Elections/Acceleration Elections</w:t>
      </w:r>
      <w:r>
        <w:rPr>
          <w:rFonts w:ascii="Arial" w:cs="Arial" w:eastAsia="Arial" w:hAnsi="Arial"/>
          <w:sz w:val="18"/>
          <w:szCs w:val="18"/>
          <w:color w:val="auto"/>
        </w:rPr>
        <w:t>. No Subsequent Election shall be effective until 12 months after the date on which a Subsequent Election is filed with the Committee.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257" w:name="page258"/>
    <w:bookmarkEnd w:id="257"/>
    <w:p>
      <w:pPr>
        <w:ind w:left="460" w:right="20" w:firstLine="421"/>
        <w:spacing w:after="0" w:line="298" w:lineRule="auto"/>
        <w:tabs>
          <w:tab w:leader="none" w:pos="1128" w:val="left"/>
        </w:tabs>
        <w:numPr>
          <w:ilvl w:val="1"/>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31" w:lineRule="exact"/>
        <w:rPr>
          <w:rFonts w:ascii="Arial" w:cs="Arial" w:eastAsia="Arial" w:hAnsi="Arial"/>
          <w:sz w:val="16"/>
          <w:szCs w:val="16"/>
          <w:color w:val="auto"/>
        </w:rPr>
      </w:pPr>
    </w:p>
    <w:p>
      <w:pPr>
        <w:ind w:left="460" w:right="140" w:firstLine="421"/>
        <w:spacing w:after="0" w:line="298" w:lineRule="auto"/>
        <w:tabs>
          <w:tab w:leader="none" w:pos="112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31" w:lineRule="exact"/>
        <w:rPr>
          <w:rFonts w:ascii="Arial" w:cs="Arial" w:eastAsia="Arial" w:hAnsi="Arial"/>
          <w:sz w:val="16"/>
          <w:szCs w:val="16"/>
          <w:color w:val="auto"/>
        </w:rPr>
      </w:pPr>
    </w:p>
    <w:p>
      <w:pPr>
        <w:jc w:val="both"/>
        <w:ind w:left="460" w:firstLine="421"/>
        <w:spacing w:after="0" w:line="306" w:lineRule="auto"/>
        <w:tabs>
          <w:tab w:leader="none" w:pos="112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In lieu of a Subsequent Election described in Paragraph 5(b)(2), the estate or beneficiary to whom the right to delivery of Shares shall have passed may, as soon as practicable following the Grantee’s death, make an Acceleration Election to accelerate the delivery date of such Shares from the date delivery of such Shares would otherwise be made to a date that is as soon as practicable following the Grantee’s death.</w:t>
      </w:r>
    </w:p>
    <w:p>
      <w:pPr>
        <w:spacing w:after="0" w:line="25" w:lineRule="exact"/>
        <w:rPr>
          <w:rFonts w:ascii="Arial" w:cs="Arial" w:eastAsia="Arial" w:hAnsi="Arial"/>
          <w:sz w:val="16"/>
          <w:szCs w:val="16"/>
          <w:color w:val="auto"/>
        </w:rPr>
      </w:pPr>
    </w:p>
    <w:p>
      <w:pPr>
        <w:ind w:left="460" w:right="20" w:firstLine="421"/>
        <w:spacing w:after="0" w:line="335" w:lineRule="auto"/>
        <w:tabs>
          <w:tab w:leader="none" w:pos="1128" w:val="left"/>
        </w:tabs>
        <w:numPr>
          <w:ilvl w:val="1"/>
          <w:numId w:val="221"/>
        </w:numPr>
        <w:rPr>
          <w:rFonts w:ascii="Arial" w:cs="Arial" w:eastAsia="Arial" w:hAnsi="Arial"/>
          <w:sz w:val="15"/>
          <w:szCs w:val="15"/>
          <w:color w:val="auto"/>
        </w:rPr>
      </w:pPr>
      <w:r>
        <w:rPr>
          <w:rFonts w:ascii="Arial" w:cs="Arial" w:eastAsia="Arial" w:hAnsi="Arial"/>
          <w:sz w:val="15"/>
          <w:szCs w:val="15"/>
          <w:color w:val="auto"/>
        </w:rPr>
        <w:t>If Grantee becomes a Disabled Grantee before the Shares subject to an Initial Election under Paragraph 5(a) are to be delivered, Grantee may, as soon as practicable following the date on which Grantee becomes a Disabled Grantee, elect to accelerate the distribution date of such Shares from the date payment would otherwise be made to a date that is as soon as practicable following the date the Disabled Grantee became disabled.</w:t>
      </w:r>
    </w:p>
    <w:p>
      <w:pPr>
        <w:spacing w:after="0" w:line="7" w:lineRule="exact"/>
        <w:rPr>
          <w:rFonts w:ascii="Arial" w:cs="Arial" w:eastAsia="Arial" w:hAnsi="Arial"/>
          <w:sz w:val="15"/>
          <w:szCs w:val="15"/>
          <w:color w:val="auto"/>
        </w:rPr>
      </w:pPr>
    </w:p>
    <w:p>
      <w:pPr>
        <w:ind w:left="460" w:right="100" w:firstLine="421"/>
        <w:spacing w:after="0" w:line="256" w:lineRule="auto"/>
        <w:tabs>
          <w:tab w:leader="none" w:pos="112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62" w:lineRule="exact"/>
        <w:rPr>
          <w:rFonts w:ascii="Arial" w:cs="Arial" w:eastAsia="Arial" w:hAnsi="Arial"/>
          <w:sz w:val="18"/>
          <w:szCs w:val="18"/>
          <w:color w:val="auto"/>
        </w:rPr>
      </w:pPr>
    </w:p>
    <w:p>
      <w:pPr>
        <w:ind w:right="220" w:firstLine="443"/>
        <w:spacing w:after="0" w:line="268" w:lineRule="auto"/>
        <w:tabs>
          <w:tab w:leader="none" w:pos="677"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50" w:lineRule="exact"/>
        <w:rPr>
          <w:rFonts w:ascii="Arial" w:cs="Arial" w:eastAsia="Arial" w:hAnsi="Arial"/>
          <w:sz w:val="18"/>
          <w:szCs w:val="18"/>
          <w:color w:val="auto"/>
        </w:rPr>
      </w:pPr>
    </w:p>
    <w:p>
      <w:pPr>
        <w:ind w:right="100" w:firstLine="443"/>
        <w:spacing w:after="0" w:line="255" w:lineRule="auto"/>
        <w:tabs>
          <w:tab w:leader="none" w:pos="687"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80" w:right="299" w:bottom="1440" w:gutter="0" w:footer="0" w:header="0"/>
        </w:sectPr>
      </w:pPr>
    </w:p>
    <w:bookmarkStart w:id="258" w:name="page259"/>
    <w:bookmarkEnd w:id="258"/>
    <w:p>
      <w:pPr>
        <w:ind w:left="440" w:right="80" w:firstLine="443"/>
        <w:spacing w:after="0" w:line="254" w:lineRule="auto"/>
        <w:tabs>
          <w:tab w:leader="none" w:pos="1117"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63" w:lineRule="exact"/>
        <w:rPr>
          <w:rFonts w:ascii="Arial" w:cs="Arial" w:eastAsia="Arial" w:hAnsi="Arial"/>
          <w:sz w:val="18"/>
          <w:szCs w:val="18"/>
          <w:color w:val="auto"/>
        </w:rPr>
      </w:pPr>
    </w:p>
    <w:p>
      <w:pPr>
        <w:jc w:val="both"/>
        <w:ind w:left="440" w:firstLine="443"/>
        <w:spacing w:after="0" w:line="306" w:lineRule="auto"/>
        <w:tabs>
          <w:tab w:leader="none" w:pos="1097"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xml:space="preserve">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left="-20" w:right="440" w:firstLine="464"/>
        <w:spacing w:after="0" w:line="259" w:lineRule="auto"/>
        <w:tabs>
          <w:tab w:leader="none" w:pos="612"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40" w:lineRule="exact"/>
        <w:rPr>
          <w:rFonts w:ascii="Arial" w:cs="Arial" w:eastAsia="Arial" w:hAnsi="Arial"/>
          <w:sz w:val="18"/>
          <w:szCs w:val="18"/>
          <w:color w:val="auto"/>
        </w:rPr>
      </w:pPr>
    </w:p>
    <w:p>
      <w:pPr>
        <w:ind w:left="-20" w:firstLine="464"/>
        <w:spacing w:after="0" w:line="259" w:lineRule="auto"/>
        <w:tabs>
          <w:tab w:leader="none" w:pos="612"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40" w:lineRule="exact"/>
        <w:rPr>
          <w:rFonts w:ascii="Arial" w:cs="Arial" w:eastAsia="Arial" w:hAnsi="Arial"/>
          <w:sz w:val="18"/>
          <w:szCs w:val="18"/>
          <w:color w:val="auto"/>
        </w:rPr>
      </w:pPr>
    </w:p>
    <w:p>
      <w:pPr>
        <w:ind w:left="620" w:hanging="176"/>
        <w:spacing w:after="0"/>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firstLine="443"/>
        <w:spacing w:after="0" w:line="287" w:lineRule="auto"/>
        <w:tabs>
          <w:tab w:leader="none" w:pos="1117"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Except as otherwise provided in Paragraph 5, the Company shall notify Grantee that a Vesting Date with respect to Restricted Stock Units has occurred. Within ten (10) business days of a Vesting Date, the Company shall, without payment from Grantee,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7, provided that Shares will not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41" w:lineRule="exact"/>
        <w:rPr>
          <w:rFonts w:ascii="Arial" w:cs="Arial" w:eastAsia="Arial" w:hAnsi="Arial"/>
          <w:sz w:val="16"/>
          <w:szCs w:val="16"/>
          <w:color w:val="auto"/>
        </w:rPr>
      </w:pPr>
    </w:p>
    <w:p>
      <w:pPr>
        <w:ind w:left="440" w:right="40" w:firstLine="443"/>
        <w:spacing w:after="0" w:line="335" w:lineRule="auto"/>
        <w:tabs>
          <w:tab w:leader="none" w:pos="1127" w:val="left"/>
        </w:tabs>
        <w:numPr>
          <w:ilvl w:val="1"/>
          <w:numId w:val="224"/>
        </w:numPr>
        <w:rPr>
          <w:rFonts w:ascii="Arial" w:cs="Arial" w:eastAsia="Arial" w:hAnsi="Arial"/>
          <w:sz w:val="15"/>
          <w:szCs w:val="15"/>
          <w:color w:val="auto"/>
        </w:rPr>
      </w:pPr>
      <w:r>
        <w:rPr>
          <w:rFonts w:ascii="Arial" w:cs="Arial" w:eastAsia="Arial" w:hAnsi="Arial"/>
          <w:sz w:val="15"/>
          <w:szCs w:val="15"/>
          <w:u w:val="single" w:color="auto"/>
          <w:color w:val="auto"/>
        </w:rPr>
        <w:t>Repayment</w:t>
      </w:r>
      <w:r>
        <w:rPr>
          <w:rFonts w:ascii="Arial" w:cs="Arial" w:eastAsia="Arial" w:hAnsi="Arial"/>
          <w:sz w:val="15"/>
          <w:szCs w:val="15"/>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259" w:name="page260"/>
    <w:bookmarkEnd w:id="259"/>
    <w:p>
      <w:pPr>
        <w:ind w:left="420"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8(b) has been deferred pursuant to Paragraph 5 (or any other plan, program or arrangement that permits the deferral of receipt of an Award), such Award (and any earnings credited with respect thereto) shall be forfeited in lieu of repayment.</w:t>
      </w:r>
    </w:p>
    <w:p>
      <w:pPr>
        <w:spacing w:after="0" w:line="116" w:lineRule="exact"/>
        <w:rPr>
          <w:sz w:val="20"/>
          <w:szCs w:val="20"/>
          <w:color w:val="auto"/>
        </w:rPr>
      </w:pPr>
    </w:p>
    <w:p>
      <w:pPr>
        <w:ind w:left="-40" w:firstLine="464"/>
        <w:spacing w:after="0" w:line="268" w:lineRule="auto"/>
        <w:tabs>
          <w:tab w:leader="none" w:pos="59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340" w:firstLine="443"/>
        <w:spacing w:after="0" w:line="306" w:lineRule="auto"/>
        <w:tabs>
          <w:tab w:leader="none" w:pos="109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25" w:lineRule="exact"/>
        <w:rPr>
          <w:rFonts w:ascii="Arial" w:cs="Arial" w:eastAsia="Arial" w:hAnsi="Arial"/>
          <w:sz w:val="16"/>
          <w:szCs w:val="16"/>
          <w:color w:val="auto"/>
        </w:rPr>
      </w:pPr>
    </w:p>
    <w:p>
      <w:pPr>
        <w:ind w:left="420" w:firstLine="443"/>
        <w:spacing w:after="0" w:line="268" w:lineRule="auto"/>
        <w:tabs>
          <w:tab w:leader="none" w:pos="110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50" w:lineRule="exact"/>
        <w:rPr>
          <w:rFonts w:ascii="Arial" w:cs="Arial" w:eastAsia="Arial" w:hAnsi="Arial"/>
          <w:sz w:val="18"/>
          <w:szCs w:val="18"/>
          <w:color w:val="auto"/>
        </w:rPr>
      </w:pPr>
    </w:p>
    <w:p>
      <w:pPr>
        <w:ind w:left="420" w:right="200" w:firstLine="443"/>
        <w:spacing w:after="0" w:line="268" w:lineRule="auto"/>
        <w:tabs>
          <w:tab w:leader="none" w:pos="109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2540</wp:posOffset>
            </wp:positionV>
            <wp:extent cx="23755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5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2540</wp:posOffset>
            </wp:positionV>
            <wp:extent cx="23755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80" w:right="27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FORM OF COMCAST CORPORATION</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NON-QUALIFIED OPTION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This is a Non-Qualified Stock Option Award dated «Grant_Date» (“Award”) from Comcast Corporation (the “Sponsor”) to «Name» (the “Optionee”).</w:t>
      </w:r>
    </w:p>
    <w:p>
      <w:pPr>
        <w:spacing w:after="0" w:line="194" w:lineRule="exact"/>
        <w:rPr>
          <w:sz w:val="20"/>
          <w:szCs w:val="20"/>
          <w:color w:val="auto"/>
        </w:rPr>
      </w:pPr>
    </w:p>
    <w:p>
      <w:pPr>
        <w:ind w:left="180" w:hanging="176"/>
        <w:spacing w:after="0"/>
        <w:tabs>
          <w:tab w:leader="none" w:pos="18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w:t>
      </w:r>
    </w:p>
    <w:p>
      <w:pPr>
        <w:spacing w:after="0" w:line="90" w:lineRule="exact"/>
        <w:rPr>
          <w:rFonts w:ascii="Arial" w:cs="Arial" w:eastAsia="Arial" w:hAnsi="Arial"/>
          <w:sz w:val="18"/>
          <w:szCs w:val="18"/>
          <w:color w:val="auto"/>
        </w:rPr>
      </w:pPr>
    </w:p>
    <w:p>
      <w:pPr>
        <w:jc w:val="both"/>
        <w:ind w:right="120" w:firstLine="443"/>
        <w:spacing w:after="0" w:line="298" w:lineRule="auto"/>
        <w:tabs>
          <w:tab w:leader="none" w:pos="67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sz w:val="20"/>
          <w:szCs w:val="20"/>
          <w:color w:val="auto"/>
        </w:rPr>
      </w:pPr>
    </w:p>
    <w:p>
      <w:pPr>
        <w:ind w:firstLine="4"/>
        <w:spacing w:after="0" w:line="254" w:lineRule="auto"/>
        <w:tabs>
          <w:tab w:leader="none" w:pos="29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misrepresentation; (vii) dishonesty;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pacing w:after="0" w:line="62" w:lineRule="exact"/>
        <w:rPr>
          <w:rFonts w:ascii="Arial" w:cs="Arial" w:eastAsia="Arial" w:hAnsi="Arial"/>
          <w:sz w:val="18"/>
          <w:szCs w:val="18"/>
          <w:color w:val="auto"/>
        </w:rPr>
      </w:pPr>
    </w:p>
    <w:p>
      <w:pPr>
        <w:ind w:right="100" w:firstLine="443"/>
        <w:spacing w:after="0" w:line="298" w:lineRule="auto"/>
        <w:tabs>
          <w:tab w:leader="none" w:pos="687"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31" w:lineRule="exact"/>
        <w:rPr>
          <w:rFonts w:ascii="Arial" w:cs="Arial" w:eastAsia="Arial" w:hAnsi="Arial"/>
          <w:sz w:val="16"/>
          <w:szCs w:val="16"/>
          <w:color w:val="auto"/>
        </w:rPr>
      </w:pPr>
    </w:p>
    <w:p>
      <w:pPr>
        <w:ind w:left="680" w:hanging="237"/>
        <w:spacing w:after="0"/>
        <w:tabs>
          <w:tab w:leader="none" w:pos="68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means the closing of the acquisition and sale of the Shares as described in, and subject to the provisions of, Paragraph 9 hereof.</w:t>
      </w:r>
    </w:p>
    <w:p>
      <w:pPr>
        <w:spacing w:after="0" w:line="113" w:lineRule="exact"/>
        <w:rPr>
          <w:rFonts w:ascii="Arial" w:cs="Arial" w:eastAsia="Arial" w:hAnsi="Arial"/>
          <w:sz w:val="16"/>
          <w:szCs w:val="16"/>
          <w:color w:val="auto"/>
        </w:rPr>
      </w:pPr>
    </w:p>
    <w:p>
      <w:pPr>
        <w:ind w:left="660" w:hanging="217"/>
        <w:spacing w:after="0"/>
        <w:tabs>
          <w:tab w:leader="none" w:pos="6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those members of the Board who have been designated pursuant to the Plan to act in that capacity.</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 per share.</w:t>
      </w:r>
    </w:p>
    <w:p>
      <w:pPr>
        <w:sectPr>
          <w:pgSz w:w="11900" w:h="16838" w:orient="portrait"/>
          <w:cols w:equalWidth="0" w:num="1">
            <w:col w:w="10960"/>
          </w:cols>
          <w:pgMar w:left="700" w:top="125" w:right="239" w:bottom="1440" w:gutter="0" w:footer="0" w:header="0"/>
        </w:sectPr>
      </w:pPr>
    </w:p>
    <w:bookmarkStart w:id="261" w:name="page262"/>
    <w:bookmarkEnd w:id="261"/>
    <w:p>
      <w:pPr>
        <w:ind w:left="660" w:hanging="217"/>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each of its Subsidiaries.</w:t>
      </w:r>
    </w:p>
    <w:p>
      <w:pPr>
        <w:spacing w:after="0" w:line="90" w:lineRule="exact"/>
        <w:rPr>
          <w:rFonts w:ascii="Arial" w:cs="Arial" w:eastAsia="Arial" w:hAnsi="Arial"/>
          <w:sz w:val="18"/>
          <w:szCs w:val="18"/>
          <w:color w:val="auto"/>
        </w:rPr>
      </w:pPr>
    </w:p>
    <w:p>
      <w:pPr>
        <w:ind w:firstLine="443"/>
        <w:spacing w:after="0" w:line="268" w:lineRule="auto"/>
        <w:tabs>
          <w:tab w:leader="none" w:pos="68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Exercise</w:t>
      </w:r>
      <w:r>
        <w:rPr>
          <w:rFonts w:ascii="Arial" w:cs="Arial" w:eastAsia="Arial" w:hAnsi="Arial"/>
          <w:sz w:val="18"/>
          <w:szCs w:val="18"/>
          <w:color w:val="auto"/>
        </w:rPr>
        <w:t>” means the date on which the notice required by Paragraph 6 hereof is hand-delivered, placed in the United States mail postage prepaid, or delivered to a telegraph or telex facility.</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hereof, the date on which the Sponsor awarded the Option.</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earliest of the following:</w:t>
      </w:r>
    </w:p>
    <w:p>
      <w:pPr>
        <w:spacing w:after="0" w:line="90" w:lineRule="exact"/>
        <w:rPr>
          <w:rFonts w:ascii="Arial" w:cs="Arial" w:eastAsia="Arial" w:hAnsi="Arial"/>
          <w:sz w:val="18"/>
          <w:szCs w:val="18"/>
          <w:color w:val="auto"/>
        </w:rPr>
      </w:pPr>
    </w:p>
    <w:p>
      <w:pPr>
        <w:ind w:left="460" w:right="180" w:firstLine="421"/>
        <w:spacing w:after="0" w:line="306" w:lineRule="auto"/>
        <w:tabs>
          <w:tab w:leader="none" w:pos="1128" w:val="left"/>
        </w:tabs>
        <w:numPr>
          <w:ilvl w:val="1"/>
          <w:numId w:val="228"/>
        </w:numPr>
        <w:rPr>
          <w:rFonts w:ascii="Arial" w:cs="Arial" w:eastAsia="Arial" w:hAnsi="Arial"/>
          <w:sz w:val="16"/>
          <w:szCs w:val="16"/>
          <w:color w:val="auto"/>
        </w:rPr>
      </w:pPr>
      <w:r>
        <w:rPr>
          <w:rFonts w:ascii="Arial" w:cs="Arial" w:eastAsia="Arial" w:hAnsi="Arial"/>
          <w:sz w:val="16"/>
          <w:szCs w:val="16"/>
          <w:color w:val="auto"/>
        </w:rPr>
        <w:t>If the Optionee’s Termination of Employment with the Company is due to any reason other than death, Disability, Retirement, Discharge Without Cause (as defined in the Optionee’s employment agreement with the Company), With Good Reason (as defined in the Optionee’s Employment Agreement) or Cause, the date 90 days following such Termination of Employment;</w:t>
      </w:r>
    </w:p>
    <w:p>
      <w:pPr>
        <w:spacing w:after="0" w:line="25" w:lineRule="exact"/>
        <w:rPr>
          <w:rFonts w:ascii="Arial" w:cs="Arial" w:eastAsia="Arial" w:hAnsi="Arial"/>
          <w:sz w:val="16"/>
          <w:szCs w:val="16"/>
          <w:color w:val="auto"/>
        </w:rPr>
      </w:pPr>
    </w:p>
    <w:p>
      <w:pPr>
        <w:ind w:left="460" w:right="140" w:firstLine="421"/>
        <w:spacing w:after="0" w:line="332" w:lineRule="auto"/>
        <w:tabs>
          <w:tab w:leader="none" w:pos="1128" w:val="left"/>
        </w:tabs>
        <w:numPr>
          <w:ilvl w:val="1"/>
          <w:numId w:val="228"/>
        </w:numPr>
        <w:rPr>
          <w:rFonts w:ascii="Arial" w:cs="Arial" w:eastAsia="Arial" w:hAnsi="Arial"/>
          <w:sz w:val="16"/>
          <w:szCs w:val="16"/>
          <w:color w:val="auto"/>
        </w:rPr>
      </w:pPr>
      <w:r>
        <w:rPr>
          <w:rFonts w:ascii="Arial" w:cs="Arial" w:eastAsia="Arial" w:hAnsi="Arial"/>
          <w:sz w:val="16"/>
          <w:szCs w:val="16"/>
          <w:color w:val="auto"/>
        </w:rPr>
        <w:t>If the Optionee’s Termination of Employment with the Company occurs after qualifying for Retirement, the date 39 months after the date of the Optionee’s Termination of Employment, subject to cancellation by the Committee pursuant to Paragraph 3(b);</w:t>
      </w:r>
    </w:p>
    <w:p>
      <w:pPr>
        <w:spacing w:after="0" w:line="4" w:lineRule="exact"/>
        <w:rPr>
          <w:rFonts w:ascii="Arial" w:cs="Arial" w:eastAsia="Arial" w:hAnsi="Arial"/>
          <w:sz w:val="16"/>
          <w:szCs w:val="16"/>
          <w:color w:val="auto"/>
        </w:rPr>
      </w:pPr>
    </w:p>
    <w:p>
      <w:pPr>
        <w:ind w:left="460" w:right="360" w:firstLine="421"/>
        <w:spacing w:after="0" w:line="259" w:lineRule="auto"/>
        <w:tabs>
          <w:tab w:leader="none" w:pos="112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If the Optionee’s Termination of Employment with the Company is due to Discharge Without Cause (as defined in the Optionee’s employment agreement) or With Good Reason (as defined in the Optionee’s employment agreement), the date that is 90 days following the first anniversary of the Termination of Employment;</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If the Optionee’s Termination of Employment with the Company is for Cause, the date of such Termination of Employment; or</w:t>
      </w:r>
    </w:p>
    <w:p>
      <w:pPr>
        <w:spacing w:after="0" w:line="113" w:lineRule="exact"/>
        <w:rPr>
          <w:rFonts w:ascii="Arial" w:cs="Arial" w:eastAsia="Arial" w:hAnsi="Arial"/>
          <w:sz w:val="16"/>
          <w:szCs w:val="16"/>
          <w:color w:val="auto"/>
        </w:rPr>
      </w:pPr>
    </w:p>
    <w:p>
      <w:pPr>
        <w:ind w:left="1120" w:hanging="239"/>
        <w:spacing w:after="0"/>
        <w:tabs>
          <w:tab w:leader="none" w:pos="11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day before the tenth anniversary of the Date of Grant.</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a Share, as determined pursuant to the Plan.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option hereby granted.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«Strike_Price» per Share, as calculated pursuant to the Plan.</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 incorporated herein by reference.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262" w:name="page263"/>
    <w:bookmarkEnd w:id="262"/>
    <w:p>
      <w:pPr>
        <w:ind w:left="660" w:hanging="217"/>
        <w:spacing w:after="0"/>
        <w:tabs>
          <w:tab w:leader="none" w:pos="6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Retirement</w:t>
      </w:r>
      <w:r>
        <w:rPr>
          <w:rFonts w:ascii="Arial" w:cs="Arial" w:eastAsia="Arial" w:hAnsi="Arial"/>
          <w:sz w:val="16"/>
          <w:szCs w:val="16"/>
          <w:color w:val="auto"/>
        </w:rPr>
        <w:t>” An Optionee will be qualified for Retirement after reaching age 62 and completing 10 or more years of service with the Company.</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the «Total_Options» shares of Common Stock, which are the subject of the Option hereby granted.</w:t>
      </w:r>
    </w:p>
    <w:p>
      <w:pPr>
        <w:spacing w:after="0" w:line="90" w:lineRule="exact"/>
        <w:rPr>
          <w:rFonts w:ascii="Arial" w:cs="Arial" w:eastAsia="Arial" w:hAnsi="Arial"/>
          <w:sz w:val="18"/>
          <w:szCs w:val="18"/>
          <w:color w:val="auto"/>
        </w:rPr>
      </w:pPr>
    </w:p>
    <w:p>
      <w:pPr>
        <w:ind w:right="120" w:firstLine="443"/>
        <w:spacing w:after="0" w:line="268" w:lineRule="auto"/>
        <w:tabs>
          <w:tab w:leader="none" w:pos="6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business entity that, at the time in question, is a subsidiary of the Sponsor within the meaning of section 424(f)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83" w:lineRule="exact"/>
        <w:rPr>
          <w:rFonts w:ascii="Arial" w:cs="Arial" w:eastAsia="Arial" w:hAnsi="Arial"/>
          <w:sz w:val="16"/>
          <w:szCs w:val="16"/>
          <w:color w:val="auto"/>
        </w:rPr>
      </w:pPr>
    </w:p>
    <w:p>
      <w:pPr>
        <w:ind w:firstLine="443"/>
        <w:spacing w:after="0" w:line="256" w:lineRule="auto"/>
        <w:tabs>
          <w:tab w:leader="none" w:pos="6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employer corporation is the Sponsor or a Subsidiary.</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right="40" w:firstLine="443"/>
        <w:spacing w:after="0" w:line="290" w:lineRule="auto"/>
        <w:tabs>
          <w:tab w:leader="none" w:pos="67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37" w:lineRule="exact"/>
        <w:rPr>
          <w:sz w:val="20"/>
          <w:szCs w:val="20"/>
          <w:color w:val="auto"/>
        </w:rPr>
      </w:pPr>
    </w:p>
    <w:p>
      <w:pPr>
        <w:ind w:right="300" w:firstLine="443"/>
        <w:spacing w:after="0" w:line="332" w:lineRule="auto"/>
        <w:tabs>
          <w:tab w:leader="none" w:pos="75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a Company, together with such Person’s Affiliates, provided that the term “Third Party” shall not include the Sponsor or an Affiliate of the Sponsor.</w:t>
      </w:r>
    </w:p>
    <w:p>
      <w:pPr>
        <w:spacing w:after="0" w:line="4" w:lineRule="exact"/>
        <w:rPr>
          <w:rFonts w:ascii="Arial" w:cs="Arial" w:eastAsia="Arial" w:hAnsi="Arial"/>
          <w:sz w:val="16"/>
          <w:szCs w:val="16"/>
          <w:color w:val="auto"/>
        </w:rPr>
      </w:pPr>
    </w:p>
    <w:p>
      <w:pPr>
        <w:ind w:left="780" w:hanging="337"/>
        <w:spacing w:after="0"/>
        <w:tabs>
          <w:tab w:leader="none" w:pos="7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90" w:lineRule="exact"/>
        <w:rPr>
          <w:rFonts w:ascii="Arial" w:cs="Arial" w:eastAsia="Arial" w:hAnsi="Arial"/>
          <w:sz w:val="18"/>
          <w:szCs w:val="18"/>
          <w:color w:val="auto"/>
        </w:rPr>
      </w:pPr>
    </w:p>
    <w:p>
      <w:pPr>
        <w:ind w:left="760" w:hanging="317"/>
        <w:spacing w:after="0"/>
        <w:tabs>
          <w:tab w:leader="none" w:pos="7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263" w:name="page264"/>
    <w:bookmarkEnd w:id="263"/>
    <w:p>
      <w:pPr>
        <w:ind w:left="-460" w:right="200" w:firstLine="464"/>
        <w:spacing w:after="0" w:line="268" w:lineRule="auto"/>
        <w:tabs>
          <w:tab w:leader="none" w:pos="17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of Option</w:t>
      </w:r>
      <w:r>
        <w:rPr>
          <w:rFonts w:ascii="Arial" w:cs="Arial" w:eastAsia="Arial" w:hAnsi="Arial"/>
          <w:sz w:val="18"/>
          <w:szCs w:val="18"/>
          <w:color w:val="auto"/>
        </w:rPr>
        <w:t>. Subject to the terms and conditions set forth herein and in the Plan, the Sponsor hereby grants to the Optionee the Option to purchase any or all of the Shares.</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Time of Exercise of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443"/>
        <w:spacing w:after="0" w:line="268" w:lineRule="auto"/>
        <w:tabs>
          <w:tab w:leader="none" w:pos="67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Except as provided in Paragraphs 3(b) or 4, the Option may be exercised after such time or times as set forth below, and shall remain exercisable until the Expiration Date, when the right to exercise shall terminate absolutely:</w:t>
      </w:r>
    </w:p>
    <w:p>
      <w:pPr>
        <w:sectPr>
          <w:pgSz w:w="11900" w:h="16838" w:orient="portrait"/>
          <w:cols w:equalWidth="0" w:num="1">
            <w:col w:w="10940"/>
          </w:cols>
          <w:pgMar w:left="700" w:top="280" w:right="25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«OVest_Year_2»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of the Shares subject to the Option may be exercised following the second anniversary of the Date of Grant.</w:t>
      </w:r>
    </w:p>
    <w:p>
      <w:pPr>
        <w:spacing w:after="0" w:line="152" w:lineRule="exact"/>
        <w:rPr>
          <w:sz w:val="20"/>
          <w:szCs w:val="20"/>
          <w:color w:val="auto"/>
        </w:rPr>
      </w:pPr>
    </w:p>
    <w:p>
      <w:pPr>
        <w:sectPr>
          <w:pgSz w:w="11900" w:h="16838" w:orient="portrait"/>
          <w:cols w:equalWidth="0" w:num="2">
            <w:col w:w="1200" w:space="600"/>
            <w:col w:w="9140"/>
          </w:cols>
          <w:pgMar w:left="70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«OVest_Year_3»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 the Shares subject to the Option may be exercised following the third anniversary of the Date of Grant.</w:t>
      </w:r>
    </w:p>
    <w:p>
      <w:pPr>
        <w:spacing w:after="0" w:line="140" w:lineRule="exact"/>
        <w:rPr>
          <w:sz w:val="20"/>
          <w:szCs w:val="20"/>
          <w:color w:val="auto"/>
        </w:rPr>
      </w:pPr>
    </w:p>
    <w:p>
      <w:pPr>
        <w:sectPr>
          <w:pgSz w:w="11900" w:h="16838" w:orient="portrait"/>
          <w:cols w:equalWidth="0" w:num="2">
            <w:col w:w="1200" w:space="600"/>
            <w:col w:w="9140"/>
          </w:cols>
          <w:pgMar w:left="70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«OVest_Year_4»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 the Shares subject to the Option may be exercised following the fourth anniversary of the Date of Grant.</w:t>
      </w:r>
    </w:p>
    <w:p>
      <w:pPr>
        <w:spacing w:after="0" w:line="140" w:lineRule="exact"/>
        <w:rPr>
          <w:sz w:val="20"/>
          <w:szCs w:val="20"/>
          <w:color w:val="auto"/>
        </w:rPr>
      </w:pPr>
    </w:p>
    <w:p>
      <w:pPr>
        <w:sectPr>
          <w:pgSz w:w="11900" w:h="16838" w:orient="portrait"/>
          <w:cols w:equalWidth="0" w:num="2">
            <w:col w:w="1200" w:space="600"/>
            <w:col w:w="9140"/>
          </w:cols>
          <w:pgMar w:left="70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«OVest_Year_5»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 the Shares subject to the Option may be exercised following the fifth anniversary of the Date of Grant.</w:t>
      </w:r>
    </w:p>
    <w:p>
      <w:pPr>
        <w:spacing w:after="0" w:line="140" w:lineRule="exact"/>
        <w:rPr>
          <w:sz w:val="20"/>
          <w:szCs w:val="20"/>
          <w:color w:val="auto"/>
        </w:rPr>
      </w:pPr>
    </w:p>
    <w:p>
      <w:pPr>
        <w:sectPr>
          <w:pgSz w:w="11900" w:h="16838" w:orient="portrait"/>
          <w:cols w:equalWidth="0" w:num="2">
            <w:col w:w="1200" w:space="600"/>
            <w:col w:w="9140"/>
          </w:cols>
          <w:pgMar w:left="70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«OVest_Year_6»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the Shares subject to the Option may be exercised following the sixth anniversary of the Date of Grant.</w:t>
      </w:r>
    </w:p>
    <w:p>
      <w:pPr>
        <w:spacing w:after="0" w:line="152" w:lineRule="exact"/>
        <w:rPr>
          <w:sz w:val="20"/>
          <w:szCs w:val="20"/>
          <w:color w:val="auto"/>
        </w:rPr>
      </w:pPr>
    </w:p>
    <w:p>
      <w:pPr>
        <w:sectPr>
          <w:pgSz w:w="11900" w:h="16838" w:orient="portrait"/>
          <w:cols w:equalWidth="0" w:num="2">
            <w:col w:w="1200" w:space="600"/>
            <w:col w:w="9140"/>
          </w:cols>
          <w:pgMar w:left="70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«OVest_Year_7»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the Shares subject to the Option may be exercised following the seventh anniversary of the Date of Grant.</w:t>
      </w:r>
    </w:p>
    <w:p>
      <w:pPr>
        <w:spacing w:after="0" w:line="152" w:lineRule="exact"/>
        <w:rPr>
          <w:sz w:val="20"/>
          <w:szCs w:val="20"/>
          <w:color w:val="auto"/>
        </w:rPr>
      </w:pPr>
    </w:p>
    <w:p>
      <w:pPr>
        <w:sectPr>
          <w:pgSz w:w="11900" w:h="16838" w:orient="portrait"/>
          <w:cols w:equalWidth="0" w:num="2">
            <w:col w:w="1200" w:space="600"/>
            <w:col w:w="9140"/>
          </w:cols>
          <w:pgMar w:left="70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«OVest_Year_8»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the Shares subject to the Option may be exercised following the eighth anniversary of the Date of Grant.</w:t>
      </w:r>
    </w:p>
    <w:p>
      <w:pPr>
        <w:spacing w:after="0" w:line="152" w:lineRule="exact"/>
        <w:rPr>
          <w:sz w:val="20"/>
          <w:szCs w:val="20"/>
          <w:color w:val="auto"/>
        </w:rPr>
      </w:pPr>
    </w:p>
    <w:p>
      <w:pPr>
        <w:sectPr>
          <w:pgSz w:w="11900" w:h="16838" w:orient="portrait"/>
          <w:cols w:equalWidth="0" w:num="2">
            <w:col w:w="1200" w:space="600"/>
            <w:col w:w="9140"/>
          </w:cols>
          <w:pgMar w:left="70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«OVest_Year_9»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the Shares subject to the Option may be exercised following the ninth anniversary of the Date of Grant.</w:t>
      </w:r>
    </w:p>
    <w:p>
      <w:pPr>
        <w:spacing w:after="0" w:line="152" w:lineRule="exact"/>
        <w:rPr>
          <w:sz w:val="20"/>
          <w:szCs w:val="20"/>
          <w:color w:val="auto"/>
        </w:rPr>
      </w:pPr>
    </w:p>
    <w:p>
      <w:pPr>
        <w:sectPr>
          <w:pgSz w:w="11900" w:h="16838" w:orient="portrait"/>
          <w:cols w:equalWidth="0" w:num="2">
            <w:col w:w="1200" w:space="600"/>
            <w:col w:w="9140"/>
          </w:cols>
          <w:pgMar w:left="70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«OVest_Year_95»</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Arial" w:cs="Arial" w:eastAsia="Arial" w:hAnsi="Arial"/>
          <w:sz w:val="15"/>
          <w:szCs w:val="15"/>
          <w:color w:val="auto"/>
        </w:rPr>
        <w:t>of the Shares subject to the Option may be exercised following the nine and one-half year anniversary of the Date of Grant.</w:t>
      </w:r>
    </w:p>
    <w:p>
      <w:pPr>
        <w:spacing w:after="0" w:line="200" w:lineRule="exact"/>
        <w:rPr>
          <w:sz w:val="20"/>
          <w:szCs w:val="20"/>
          <w:color w:val="auto"/>
        </w:rPr>
      </w:pPr>
    </w:p>
    <w:p>
      <w:pPr>
        <w:sectPr>
          <w:pgSz w:w="11900" w:h="16838" w:orient="portrait"/>
          <w:cols w:equalWidth="0" w:num="2">
            <w:col w:w="1280" w:space="520"/>
            <w:col w:w="9140"/>
          </w:cols>
          <w:pgMar w:left="700" w:top="280" w:right="259" w:bottom="1440" w:gutter="0" w:footer="0" w:header="0"/>
          <w:type w:val="continuous"/>
        </w:sectPr>
      </w:pPr>
    </w:p>
    <w:p>
      <w:pPr>
        <w:spacing w:after="0" w:line="6" w:lineRule="exact"/>
        <w:rPr>
          <w:sz w:val="20"/>
          <w:szCs w:val="20"/>
          <w:color w:val="auto"/>
        </w:rPr>
      </w:pPr>
    </w:p>
    <w:p>
      <w:pPr>
        <w:ind w:firstLine="443"/>
        <w:spacing w:after="0" w:line="290" w:lineRule="auto"/>
        <w:tabs>
          <w:tab w:leader="none" w:pos="68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No Shares subject to the Option shall first become exercisable following the Optionee’s Termination of Employment for any reason other than death or Disability, after qualifying for Retirement or due to Discharge Without Cause (as defined in the Optionee’s employment agreement) or With Good Reason (as defined in the Optionee’s employment agreement). All Shares subject to the Option shall vest and become exercisable upon the Optionee’s Termination of Employment because of death or Disability. Furthermore, the Option shall continue to vest and become exercisable in accordance with Paragraph 3(a) for a period of three years following the Optionee’s Termination of Employment after qualifying for Retirement; provided, however, that the Option will be subject to cancellation by the Committee, in its sole discretion, if the Optionee breaches either of the following non-solicitation or non-competition obligations during the 39-month period following such Termination of Employment:</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type w:val="continuous"/>
        </w:sectPr>
      </w:pPr>
    </w:p>
    <w:bookmarkStart w:id="264" w:name="page265"/>
    <w:bookmarkEnd w:id="264"/>
    <w:p>
      <w:pPr>
        <w:ind w:left="460" w:right="300" w:firstLine="421"/>
        <w:spacing w:after="0" w:line="259" w:lineRule="auto"/>
        <w:tabs>
          <w:tab w:leader="none" w:pos="1128" w:val="left"/>
        </w:tabs>
        <w:numPr>
          <w:ilvl w:val="2"/>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59" w:lineRule="exact"/>
        <w:rPr>
          <w:rFonts w:ascii="Arial" w:cs="Arial" w:eastAsia="Arial" w:hAnsi="Arial"/>
          <w:sz w:val="18"/>
          <w:szCs w:val="18"/>
          <w:color w:val="auto"/>
        </w:rPr>
      </w:pPr>
    </w:p>
    <w:p>
      <w:pPr>
        <w:ind w:left="460" w:firstLine="421"/>
        <w:spacing w:after="0" w:line="289" w:lineRule="auto"/>
        <w:tabs>
          <w:tab w:leader="none" w:pos="1128" w:val="left"/>
        </w:tabs>
        <w:numPr>
          <w:ilvl w:val="2"/>
          <w:numId w:val="233"/>
        </w:numPr>
        <w:rPr>
          <w:rFonts w:ascii="Arial" w:cs="Arial" w:eastAsia="Arial" w:hAnsi="Arial"/>
          <w:sz w:val="16"/>
          <w:szCs w:val="16"/>
          <w:color w:val="auto"/>
        </w:rPr>
      </w:pPr>
      <w:r>
        <w:rPr>
          <w:rFonts w:ascii="Arial" w:cs="Arial" w:eastAsia="Arial" w:hAnsi="Arial"/>
          <w:sz w:val="16"/>
          <w:szCs w:val="16"/>
          <w:color w:val="auto"/>
        </w:rPr>
        <w:t>The Optionee shall not, directly or indirectly,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 with such business, with any of the business activities carried on by the Company or any business unit of the Company, or being planned by the Company or business unit with the Optionee’s knowledge at the time of the Optionee’s Termination of Employment. This restriction shall apply in any geographical area of the United States in which the Company carries out business activities. Nothing herein shall prevent the Optionee from owning for investment up to five percent (5%) of any class of equity security of an entity whose securities are traded on a national securities exchange or market.</w:t>
      </w:r>
    </w:p>
    <w:p>
      <w:pPr>
        <w:spacing w:after="0" w:line="37" w:lineRule="exact"/>
        <w:rPr>
          <w:rFonts w:ascii="Arial" w:cs="Arial" w:eastAsia="Arial" w:hAnsi="Arial"/>
          <w:sz w:val="16"/>
          <w:szCs w:val="16"/>
          <w:color w:val="auto"/>
        </w:rPr>
      </w:pPr>
    </w:p>
    <w:p>
      <w:pPr>
        <w:ind w:right="80" w:firstLine="443"/>
        <w:spacing w:after="0" w:line="259" w:lineRule="auto"/>
        <w:tabs>
          <w:tab w:leader="none" w:pos="67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Option shall continue to vest and become exercisable for a period of one year following the Optionee’s Termination of Employment due to a Discharge Without Cause (as defined in the Optionee’s employment agreement) or With Good Reason (as defined in the Optionee’s employment agreement).</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Terminating Event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443"/>
        <w:spacing w:after="0" w:line="289" w:lineRule="auto"/>
        <w:tabs>
          <w:tab w:leader="none" w:pos="67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37" w:lineRule="exact"/>
        <w:rPr>
          <w:rFonts w:ascii="Arial" w:cs="Arial" w:eastAsia="Arial" w:hAnsi="Arial"/>
          <w:sz w:val="16"/>
          <w:szCs w:val="16"/>
          <w:color w:val="auto"/>
        </w:rPr>
      </w:pPr>
    </w:p>
    <w:p>
      <w:pPr>
        <w:ind w:right="120" w:firstLine="443"/>
        <w:spacing w:after="0" w:line="268" w:lineRule="auto"/>
        <w:tabs>
          <w:tab w:leader="none" w:pos="68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265" w:name="page266"/>
    <w:bookmarkEnd w:id="265"/>
    <w:p>
      <w:pPr>
        <w:ind w:firstLine="464"/>
        <w:spacing w:after="0" w:line="312" w:lineRule="auto"/>
        <w:tabs>
          <w:tab w:leader="none" w:pos="632" w:val="left"/>
        </w:tabs>
        <w:numPr>
          <w:ilvl w:val="0"/>
          <w:numId w:val="23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for Shares</w:t>
      </w:r>
      <w:r>
        <w:rPr>
          <w:rFonts w:ascii="Arial" w:cs="Arial" w:eastAsia="Arial" w:hAnsi="Arial"/>
          <w:sz w:val="15"/>
          <w:szCs w:val="15"/>
          <w:color w:val="auto"/>
        </w:rPr>
        <w:t xml:space="preserve">. Full payment for Shares purchased upon the exercise of an Option shall be made via cashless exercise, such that subject to the other terms and conditions of the Award and the Plan,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14 of the Award and Paragraph 15(b) of the Plan) for such exercise,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in connection with a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w:t>
      </w:r>
    </w:p>
    <w:p>
      <w:pPr>
        <w:spacing w:after="0" w:line="105" w:lineRule="exact"/>
        <w:rPr>
          <w:rFonts w:ascii="Arial" w:cs="Arial" w:eastAsia="Arial" w:hAnsi="Arial"/>
          <w:sz w:val="15"/>
          <w:szCs w:val="15"/>
          <w:color w:val="auto"/>
        </w:rPr>
      </w:pPr>
    </w:p>
    <w:p>
      <w:pPr>
        <w:ind w:right="360" w:firstLine="464"/>
        <w:spacing w:after="0" w:line="370" w:lineRule="auto"/>
        <w:tabs>
          <w:tab w:leader="none" w:pos="632" w:val="left"/>
        </w:tabs>
        <w:numPr>
          <w:ilvl w:val="0"/>
          <w:numId w:val="236"/>
        </w:numPr>
        <w:rPr>
          <w:rFonts w:ascii="Arial" w:cs="Arial" w:eastAsia="Arial" w:hAnsi="Arial"/>
          <w:sz w:val="15"/>
          <w:szCs w:val="15"/>
          <w:color w:val="auto"/>
        </w:rPr>
      </w:pPr>
      <w:r>
        <w:rPr>
          <w:rFonts w:ascii="Arial" w:cs="Arial" w:eastAsia="Arial" w:hAnsi="Arial"/>
          <w:sz w:val="15"/>
          <w:szCs w:val="15"/>
          <w:u w:val="single" w:color="auto"/>
          <w:color w:val="auto"/>
        </w:rPr>
        <w:t>Manner of Exercise</w:t>
      </w:r>
      <w:r>
        <w:rPr>
          <w:rFonts w:ascii="Arial" w:cs="Arial" w:eastAsia="Arial" w:hAnsi="Arial"/>
          <w:sz w:val="15"/>
          <w:szCs w:val="15"/>
          <w:color w:val="auto"/>
        </w:rPr>
        <w:t>. The Option shall be exercised by giving written notice of exercise in accordance with the manner prescribed by the Committee. Such notice shall be deemed to have been given when hand-delivered, telecopied or mailed, first class postage prepaid, and shall be irrevocable once given.</w:t>
      </w:r>
    </w:p>
    <w:p>
      <w:pPr>
        <w:spacing w:after="0" w:line="62" w:lineRule="exact"/>
        <w:rPr>
          <w:rFonts w:ascii="Arial" w:cs="Arial" w:eastAsia="Arial" w:hAnsi="Arial"/>
          <w:sz w:val="15"/>
          <w:szCs w:val="15"/>
          <w:color w:val="auto"/>
        </w:rPr>
      </w:pPr>
    </w:p>
    <w:p>
      <w:pPr>
        <w:ind w:right="60" w:firstLine="464"/>
        <w:spacing w:after="0" w:line="255" w:lineRule="auto"/>
        <w:tabs>
          <w:tab w:leader="none" w:pos="63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142" w:lineRule="exact"/>
        <w:rPr>
          <w:rFonts w:ascii="Arial" w:cs="Arial" w:eastAsia="Arial" w:hAnsi="Arial"/>
          <w:sz w:val="18"/>
          <w:szCs w:val="18"/>
          <w:color w:val="auto"/>
        </w:rPr>
      </w:pPr>
    </w:p>
    <w:p>
      <w:pPr>
        <w:ind w:right="40" w:firstLine="464"/>
        <w:spacing w:after="0" w:line="312" w:lineRule="auto"/>
        <w:tabs>
          <w:tab w:leader="none" w:pos="632" w:val="left"/>
        </w:tabs>
        <w:numPr>
          <w:ilvl w:val="0"/>
          <w:numId w:val="236"/>
        </w:numPr>
        <w:rPr>
          <w:rFonts w:ascii="Arial" w:cs="Arial" w:eastAsia="Arial" w:hAnsi="Arial"/>
          <w:sz w:val="15"/>
          <w:szCs w:val="15"/>
          <w:color w:val="auto"/>
        </w:rPr>
      </w:pPr>
      <w:r>
        <w:rPr>
          <w:rFonts w:ascii="Arial" w:cs="Arial" w:eastAsia="Arial" w:hAnsi="Arial"/>
          <w:sz w:val="15"/>
          <w:szCs w:val="15"/>
          <w:u w:val="single" w:color="auto"/>
          <w:color w:val="auto"/>
        </w:rPr>
        <w:t>Securities Laws</w:t>
      </w:r>
      <w:r>
        <w:rPr>
          <w:rFonts w:ascii="Arial" w:cs="Arial" w:eastAsia="Arial" w:hAnsi="Arial"/>
          <w:sz w:val="15"/>
          <w:szCs w:val="15"/>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105" w:lineRule="exact"/>
        <w:rPr>
          <w:rFonts w:ascii="Arial" w:cs="Arial" w:eastAsia="Arial" w:hAnsi="Arial"/>
          <w:sz w:val="15"/>
          <w:szCs w:val="15"/>
          <w:color w:val="auto"/>
        </w:rPr>
      </w:pPr>
    </w:p>
    <w:p>
      <w:pPr>
        <w:jc w:val="both"/>
        <w:ind w:right="100" w:firstLine="464"/>
        <w:spacing w:after="0" w:line="259" w:lineRule="auto"/>
        <w:tabs>
          <w:tab w:leader="none" w:pos="63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Issuance of Certificate at Closing</w:t>
      </w:r>
      <w:r>
        <w:rPr>
          <w:rFonts w:ascii="Arial" w:cs="Arial" w:eastAsia="Arial" w:hAnsi="Arial"/>
          <w:sz w:val="18"/>
          <w:szCs w:val="18"/>
          <w:color w:val="auto"/>
        </w:rPr>
        <w:t>.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66" w:name="page267"/>
    <w:bookmarkEnd w:id="266"/>
    <w:p>
      <w:pPr>
        <w:ind w:left="-20" w:firstLine="464"/>
        <w:spacing w:after="0" w:line="298" w:lineRule="auto"/>
        <w:tabs>
          <w:tab w:leader="none" w:pos="700"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Prior to Exercise</w:t>
      </w:r>
      <w:r>
        <w:rPr>
          <w:rFonts w:ascii="Arial" w:cs="Arial" w:eastAsia="Arial" w:hAnsi="Arial"/>
          <w:sz w:val="16"/>
          <w:szCs w:val="16"/>
          <w:color w:val="auto"/>
        </w:rPr>
        <w:t>. The Optionee shall not have any right as a stockholder with respect to any Shares subject to his Options until the Option shall have been exercised in accordance with the terms of the Plan and the Award and the Company shall have delivered the Shares.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Shares.</w:t>
      </w:r>
    </w:p>
    <w:p>
      <w:pPr>
        <w:spacing w:after="0" w:line="112" w:lineRule="exact"/>
        <w:rPr>
          <w:rFonts w:ascii="Arial" w:cs="Arial" w:eastAsia="Arial" w:hAnsi="Arial"/>
          <w:sz w:val="16"/>
          <w:szCs w:val="16"/>
          <w:color w:val="auto"/>
        </w:rPr>
      </w:pPr>
    </w:p>
    <w:p>
      <w:pPr>
        <w:ind w:left="-20" w:right="80" w:firstLine="464"/>
        <w:spacing w:after="0" w:line="298" w:lineRule="auto"/>
        <w:tabs>
          <w:tab w:leader="none" w:pos="693"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Status of Option; Interpretation</w:t>
      </w:r>
      <w:r>
        <w:rPr>
          <w:rFonts w:ascii="Arial" w:cs="Arial" w:eastAsia="Arial" w:hAnsi="Arial"/>
          <w:sz w:val="16"/>
          <w:szCs w:val="16"/>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112" w:lineRule="exact"/>
        <w:rPr>
          <w:rFonts w:ascii="Arial" w:cs="Arial" w:eastAsia="Arial" w:hAnsi="Arial"/>
          <w:sz w:val="16"/>
          <w:szCs w:val="16"/>
          <w:color w:val="auto"/>
        </w:rPr>
      </w:pPr>
    </w:p>
    <w:p>
      <w:pPr>
        <w:ind w:left="-20" w:right="200" w:firstLine="464"/>
        <w:spacing w:after="0" w:line="268" w:lineRule="auto"/>
        <w:tabs>
          <w:tab w:leader="none" w:pos="7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Option Not to Affect Employment</w:t>
      </w:r>
      <w:r>
        <w:rPr>
          <w:rFonts w:ascii="Arial" w:cs="Arial" w:eastAsia="Arial" w:hAnsi="Arial"/>
          <w:sz w:val="18"/>
          <w:szCs w:val="18"/>
          <w:color w:val="auto"/>
        </w:rPr>
        <w:t>. The Option granted hereunder shall not confer upon the Optionee any right to continue in service as an employee, officer or director of the Sponsor or any subsidiary of the Sponsor.</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40" w:right="200" w:firstLine="443"/>
        <w:spacing w:after="0" w:line="259" w:lineRule="auto"/>
        <w:tabs>
          <w:tab w:leader="none" w:pos="1117"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This Award may be executed in one or more counterparts all of which taken together will constitute one and the same instrument.</w:t>
      </w:r>
    </w:p>
    <w:p>
      <w:pPr>
        <w:spacing w:after="0" w:line="113" w:lineRule="exact"/>
        <w:rPr>
          <w:rFonts w:ascii="Arial" w:cs="Arial" w:eastAsia="Arial" w:hAnsi="Arial"/>
          <w:sz w:val="16"/>
          <w:szCs w:val="16"/>
          <w:color w:val="auto"/>
        </w:rPr>
      </w:pPr>
    </w:p>
    <w:p>
      <w:pPr>
        <w:ind w:left="440" w:right="240" w:firstLine="443"/>
        <w:spacing w:after="0" w:line="268" w:lineRule="auto"/>
        <w:tabs>
          <w:tab w:leader="none" w:pos="1117"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50" w:lineRule="exact"/>
        <w:rPr>
          <w:rFonts w:ascii="Arial" w:cs="Arial" w:eastAsia="Arial" w:hAnsi="Arial"/>
          <w:sz w:val="18"/>
          <w:szCs w:val="18"/>
          <w:color w:val="auto"/>
        </w:rPr>
      </w:pPr>
    </w:p>
    <w:p>
      <w:pPr>
        <w:ind w:left="440" w:right="40" w:firstLine="443"/>
        <w:spacing w:after="0" w:line="289" w:lineRule="auto"/>
        <w:tabs>
          <w:tab w:leader="none" w:pos="112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267" w:name="page268"/>
    <w:bookmarkEnd w:id="267"/>
    <w:p>
      <w:pPr>
        <w:ind w:firstLine="464"/>
        <w:spacing w:after="0" w:line="255" w:lineRule="auto"/>
        <w:tabs>
          <w:tab w:leader="none" w:pos="72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Withholding of Taxes</w:t>
      </w:r>
      <w:r>
        <w:rPr>
          <w:rFonts w:ascii="Arial" w:cs="Arial" w:eastAsia="Arial" w:hAnsi="Arial"/>
          <w:sz w:val="18"/>
          <w:szCs w:val="18"/>
          <w:color w:val="auto"/>
        </w:rPr>
        <w:t>. Whenever the Sponsor proposes or is required to deliver or transfer Shares in connection with the exercise of the Option, the Sponsor shall have the right to (a) withhold Shares subject to the Optionee’s exercise of the Option as provided in Paragraph 5 of the Award and Paragraph 15(b) of the Plan, (b) require the Optionee to remit to the Sponsor an amount sufficient to satisfy any federal, state and/or local withholding tax requirements prior to the delivery or transfer of any certificate or certificates for such Shares or (c) take whatever action it deems necessary to protect its interests with respect to tax liabilities.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Sponsor has granted this Award on the day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2540</wp:posOffset>
            </wp:positionV>
            <wp:extent cx="23755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2540</wp:posOffset>
            </wp:positionV>
            <wp:extent cx="23755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16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This is a Restricted Stock Unit Award (the “Award”) dated [</w:t>
      </w:r>
      <w:r>
        <w:rPr>
          <w:rFonts w:ascii="Arial" w:cs="Arial" w:eastAsia="Arial" w:hAnsi="Arial"/>
          <w:sz w:val="18"/>
          <w:szCs w:val="18"/>
          <w:u w:val="single" w:color="auto"/>
          <w:color w:val="auto"/>
        </w:rPr>
        <w:t>INSERT DATE OF GRANT</w:t>
      </w:r>
      <w:r>
        <w:rPr>
          <w:rFonts w:ascii="Arial" w:cs="Arial" w:eastAsia="Arial" w:hAnsi="Arial"/>
          <w:sz w:val="18"/>
          <w:szCs w:val="18"/>
          <w:color w:val="auto"/>
        </w:rPr>
        <w:t>] from Comcast Corporation (the “Company”) to [</w:t>
      </w:r>
      <w:r>
        <w:rPr>
          <w:rFonts w:ascii="Arial" w:cs="Arial" w:eastAsia="Arial" w:hAnsi="Arial"/>
          <w:sz w:val="18"/>
          <w:szCs w:val="18"/>
          <w:u w:val="single" w:color="auto"/>
          <w:color w:val="auto"/>
        </w:rPr>
        <w:t>INSERT</w:t>
      </w:r>
      <w:r>
        <w:rPr>
          <w:rFonts w:ascii="Arial" w:cs="Arial" w:eastAsia="Arial" w:hAnsi="Arial"/>
          <w:sz w:val="18"/>
          <w:szCs w:val="18"/>
          <w:color w:val="auto"/>
        </w:rPr>
        <w:t xml:space="preserve"> </w:t>
      </w:r>
      <w:r>
        <w:rPr>
          <w:rFonts w:ascii="Arial" w:cs="Arial" w:eastAsia="Arial" w:hAnsi="Arial"/>
          <w:sz w:val="18"/>
          <w:szCs w:val="18"/>
          <w:u w:val="single" w:color="auto"/>
          <w:color w:val="auto"/>
        </w:rPr>
        <w:t>NAME OF GRANTEE</w:t>
      </w:r>
      <w:r>
        <w:rPr>
          <w:rFonts w:ascii="Arial" w:cs="Arial" w:eastAsia="Arial" w:hAnsi="Arial"/>
          <w:sz w:val="18"/>
          <w:szCs w:val="18"/>
          <w:color w:val="auto"/>
        </w:rPr>
        <w:t>]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43" w:lineRule="exact"/>
        <w:rPr>
          <w:sz w:val="20"/>
          <w:szCs w:val="20"/>
          <w:color w:val="auto"/>
        </w:rPr>
      </w:pPr>
    </w:p>
    <w:p>
      <w:pPr>
        <w:ind w:left="1100" w:hanging="179"/>
        <w:spacing w:after="0"/>
        <w:tabs>
          <w:tab w:leader="none" w:pos="1100"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 Plan.</w:t>
      </w:r>
    </w:p>
    <w:p>
      <w:pPr>
        <w:spacing w:after="0" w:line="194" w:lineRule="exact"/>
        <w:rPr>
          <w:rFonts w:ascii="Arial" w:cs="Arial" w:eastAsia="Arial" w:hAnsi="Arial"/>
          <w:sz w:val="16"/>
          <w:szCs w:val="16"/>
          <w:color w:val="auto"/>
        </w:rPr>
      </w:pPr>
    </w:p>
    <w:p>
      <w:pPr>
        <w:ind w:right="120" w:firstLine="1492"/>
        <w:spacing w:after="0" w:line="306" w:lineRule="auto"/>
        <w:tabs>
          <w:tab w:leader="none" w:pos="1722" w:val="left"/>
        </w:tabs>
        <w:numPr>
          <w:ilvl w:val="1"/>
          <w:numId w:val="2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171" w:lineRule="exact"/>
        <w:rPr>
          <w:rFonts w:ascii="Arial" w:cs="Arial" w:eastAsia="Arial" w:hAnsi="Arial"/>
          <w:sz w:val="18"/>
          <w:szCs w:val="18"/>
          <w:color w:val="auto"/>
        </w:rPr>
      </w:pPr>
    </w:p>
    <w:p>
      <w:pPr>
        <w:ind w:left="1720" w:hanging="228"/>
        <w:spacing w:after="0"/>
        <w:tabs>
          <w:tab w:leader="none" w:pos="17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239"/>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Grantee’s behalf.</w:t>
      </w:r>
    </w:p>
    <w:p>
      <w:pPr>
        <w:sectPr>
          <w:pgSz w:w="11900" w:h="16838" w:orient="portrait"/>
          <w:cols w:equalWidth="0" w:num="1">
            <w:col w:w="11420"/>
          </w:cols>
          <w:pgMar w:left="240" w:top="125" w:right="239" w:bottom="1440" w:gutter="0" w:footer="0" w:header="0"/>
        </w:sectPr>
      </w:pPr>
    </w:p>
    <w:bookmarkStart w:id="269" w:name="page270"/>
    <w:bookmarkEnd w:id="269"/>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(j) “</w:t>
      </w:r>
      <w:r>
        <w:rPr>
          <w:rFonts w:ascii="Arial" w:cs="Arial" w:eastAsia="Arial" w:hAnsi="Arial"/>
          <w:sz w:val="18"/>
          <w:szCs w:val="18"/>
          <w:u w:val="single" w:color="auto"/>
          <w:color w:val="auto"/>
        </w:rPr>
        <w:t>First Tier Goal</w:t>
      </w:r>
      <w:r>
        <w:rPr>
          <w:rFonts w:ascii="Arial" w:cs="Arial" w:eastAsia="Arial" w:hAnsi="Arial"/>
          <w:sz w:val="18"/>
          <w:szCs w:val="18"/>
          <w:color w:val="auto"/>
        </w:rPr>
        <w:t>” means, for a calendar year beginning in or after [Year 1] and before [Year 6], Free Cash Flow that is [ ] percent of Free Cash Flow for the immediately preceding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6387465</wp:posOffset>
            </wp:positionH>
            <wp:positionV relativeFrom="paragraph">
              <wp:posOffset>-175895</wp:posOffset>
            </wp:positionV>
            <wp:extent cx="1117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2" w:lineRule="exact"/>
        <w:rPr>
          <w:sz w:val="20"/>
          <w:szCs w:val="20"/>
          <w:color w:val="auto"/>
        </w:rPr>
      </w:pPr>
    </w:p>
    <w:p>
      <w:pPr>
        <w:ind w:firstLine="1492"/>
        <w:spacing w:after="0" w:line="285" w:lineRule="auto"/>
        <w:tabs>
          <w:tab w:leader="none" w:pos="173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Free Cash Flow</w:t>
      </w:r>
      <w:r>
        <w:rPr>
          <w:rFonts w:ascii="Arial" w:cs="Arial" w:eastAsia="Arial" w:hAnsi="Arial"/>
          <w:sz w:val="16"/>
          <w:szCs w:val="16"/>
          <w:color w:val="auto"/>
        </w:rPr>
        <w:t>” means the Company’s “Net Cash Provided by Operating Activities” (as stated in the Company’s Consolidated Statement of Cash Flows) reduced by capital expenditures and cash paid for intangible assets, adjusted for any amounts related to certain nonoperating items, net of estimated tax benefits (including, but not limited to income taxes on investment sales and nonrecurring payments related to income taxes and litigation contingencies of acquired companies), provided that adjustments to “Net Cash Provided by Operating Activities” applied to determine “Free Cash Flow” for each year shall be determined consistently with the Company’s reconciliations of “Free Cash Flow” to the Company’s “Net Cash Provided by Operating Activities” for the Company’s calendar years ending December 31, 2006, December 31, 2007 and December 31, 2008 as reflected on Forms 8-K filed by the Company on February 1, 2007, February 14, 2008 and February 18, 2009, respectively, such that the “Free Cash Flow” for each year beginning after 2008 and ending before [Year 6] shall be determined on the same basis as for the Company’s calendar years ending December 31, 2006, December 31, 2007 and December 31, 2008 and that the comparison of “Free Cash Flow” for a year to “Free Cash Flow” for the immediately preceding year is determined to ensure comparability between amounts in the prior calendar year and the year to which the performance condition applies and without regard to extraordinary items or items unrelated to the Company’s operations. In the event there is a significant acquisition or disposition of any assets, business division, company or other business operations of the Company that is reasonably expected to have an effect on Free Cash Flow, the Committee shall adjust the First Tier Goal and the Second Tier Goal to take into account the impact of such acquisition or disposition by increasing or decreasing such goals in the same proportion as Free Cash Flow of the Company would have been affected for the prior calendar year on a pro forma basis had such an acquisition or disposition occurred on the same date during the prior calendar year. Such adjustment shall be based upon the historical equivalent of Free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121" w:lineRule="exact"/>
        <w:rPr>
          <w:rFonts w:ascii="Arial" w:cs="Arial" w:eastAsia="Arial" w:hAnsi="Arial"/>
          <w:sz w:val="16"/>
          <w:szCs w:val="16"/>
          <w:color w:val="auto"/>
        </w:rPr>
      </w:pPr>
    </w:p>
    <w:p>
      <w:pPr>
        <w:ind w:right="140" w:firstLine="1492"/>
        <w:spacing w:after="0" w:line="268" w:lineRule="auto"/>
        <w:tabs>
          <w:tab w:leader="none" w:pos="169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270" w:name="page271"/>
    <w:bookmarkEnd w:id="270"/>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 “</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 ending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Vesting Date.</w:t>
      </w:r>
    </w:p>
    <w:p>
      <w:pPr>
        <w:spacing w:after="0" w:line="165" w:lineRule="exact"/>
        <w:rPr>
          <w:sz w:val="20"/>
          <w:szCs w:val="20"/>
          <w:color w:val="auto"/>
        </w:rPr>
      </w:pPr>
    </w:p>
    <w:p>
      <w:pPr>
        <w:ind w:left="1740" w:hanging="248"/>
        <w:spacing w:after="0"/>
        <w:tabs>
          <w:tab w:leader="none" w:pos="17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Grantee, upon the Vesting Date set forth in an Award, to receive one Share.</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171"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(r) “</w:t>
      </w:r>
      <w:r>
        <w:rPr>
          <w:rFonts w:ascii="Arial" w:cs="Arial" w:eastAsia="Arial" w:hAnsi="Arial"/>
          <w:sz w:val="18"/>
          <w:szCs w:val="18"/>
          <w:u w:val="single" w:color="auto"/>
          <w:color w:val="auto"/>
        </w:rPr>
        <w:t>Second Tier Goal</w:t>
      </w:r>
      <w:r>
        <w:rPr>
          <w:rFonts w:ascii="Arial" w:cs="Arial" w:eastAsia="Arial" w:hAnsi="Arial"/>
          <w:sz w:val="18"/>
          <w:szCs w:val="18"/>
          <w:color w:val="auto"/>
        </w:rPr>
        <w:t>” means, for a calendar year beginning in or after [Year 1] and before [Year 6], Free Cash Flow that is [ ] percent of Free Cash Flow for the immediately preceding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-175895</wp:posOffset>
            </wp:positionV>
            <wp:extent cx="1117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2" w:lineRule="exact"/>
        <w:rPr>
          <w:sz w:val="20"/>
          <w:szCs w:val="20"/>
          <w:color w:val="auto"/>
        </w:rPr>
      </w:pPr>
    </w:p>
    <w:p>
      <w:pPr>
        <w:ind w:left="1720" w:hanging="228"/>
        <w:spacing w:after="0"/>
        <w:tabs>
          <w:tab w:leader="none" w:pos="17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the date(s) on which Grantee vests in all or a portion of the Restricted Stock Units, as provided in Paragraph 3.</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1] RSUs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  ]%</w:t>
      </w:r>
      <w:r>
        <w:rPr>
          <w:rFonts w:ascii="Arial" w:cs="Arial" w:eastAsia="Arial" w:hAnsi="Arial"/>
          <w:sz w:val="18"/>
          <w:szCs w:val="18"/>
          <w:color w:val="auto"/>
        </w:rPr>
        <w:t xml:space="preserve"> of the Restricted Stock Units described in Paragraph 2.</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[Year 2] RSUs</w:t>
      </w:r>
      <w:r>
        <w:rPr>
          <w:rFonts w:ascii="Arial" w:cs="Arial" w:eastAsia="Arial" w:hAnsi="Arial"/>
          <w:sz w:val="16"/>
          <w:szCs w:val="16"/>
          <w:color w:val="auto"/>
        </w:rPr>
        <w:t xml:space="preserve">” means </w:t>
      </w:r>
      <w:r>
        <w:rPr>
          <w:rFonts w:ascii="Arial" w:cs="Arial" w:eastAsia="Arial" w:hAnsi="Arial"/>
          <w:sz w:val="16"/>
          <w:szCs w:val="16"/>
          <w:u w:val="single" w:color="auto"/>
          <w:color w:val="auto"/>
        </w:rPr>
        <w:t>[  ]%</w:t>
      </w:r>
      <w:r>
        <w:rPr>
          <w:rFonts w:ascii="Arial" w:cs="Arial" w:eastAsia="Arial" w:hAnsi="Arial"/>
          <w:sz w:val="16"/>
          <w:szCs w:val="16"/>
          <w:color w:val="auto"/>
        </w:rPr>
        <w:t xml:space="preserve"> of the Restricted Stock Units described in Paragraph 2, plus any [Year 1] RSUs that fail to vest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Paragraph 3(b)(1).</w:t>
      </w:r>
    </w:p>
    <w:p>
      <w:pPr>
        <w:spacing w:after="0" w:line="165" w:lineRule="exact"/>
        <w:rPr>
          <w:sz w:val="20"/>
          <w:szCs w:val="20"/>
          <w:color w:val="auto"/>
        </w:rPr>
      </w:pPr>
    </w:p>
    <w:p>
      <w:pPr>
        <w:ind w:right="200" w:firstLine="1492"/>
        <w:spacing w:after="0" w:line="268" w:lineRule="auto"/>
        <w:tabs>
          <w:tab w:leader="none" w:pos="17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3] RSUs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 ]%</w:t>
      </w:r>
      <w:r>
        <w:rPr>
          <w:rFonts w:ascii="Arial" w:cs="Arial" w:eastAsia="Arial" w:hAnsi="Arial"/>
          <w:sz w:val="18"/>
          <w:szCs w:val="18"/>
          <w:color w:val="auto"/>
        </w:rPr>
        <w:t xml:space="preserve"> of the Restricted Stock Units described in Paragraph 2, plus any [Year 2] RSUs that fail to vest under Paragraph 3(b)(2) (including Restricted Stock Units that failed to vest before [Year 3]).</w:t>
      </w:r>
    </w:p>
    <w:p>
      <w:pPr>
        <w:spacing w:after="0" w:line="131" w:lineRule="exact"/>
        <w:rPr>
          <w:rFonts w:ascii="Arial" w:cs="Arial" w:eastAsia="Arial" w:hAnsi="Arial"/>
          <w:sz w:val="18"/>
          <w:szCs w:val="18"/>
          <w:color w:val="auto"/>
        </w:rPr>
      </w:pPr>
    </w:p>
    <w:p>
      <w:pPr>
        <w:ind w:right="200" w:firstLine="1492"/>
        <w:spacing w:after="0" w:line="268" w:lineRule="auto"/>
        <w:tabs>
          <w:tab w:leader="none" w:pos="17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4] RSUs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 ]%</w:t>
      </w:r>
      <w:r>
        <w:rPr>
          <w:rFonts w:ascii="Arial" w:cs="Arial" w:eastAsia="Arial" w:hAnsi="Arial"/>
          <w:sz w:val="18"/>
          <w:szCs w:val="18"/>
          <w:color w:val="auto"/>
        </w:rPr>
        <w:t xml:space="preserve"> of the Restricted Stock Units described in Paragraph 2, plus any [Year 3] RSUs that fail to vest under Paragraph 3(b)(3) (including Restricted Stock Units that failed to vest before [Year 4]).</w:t>
      </w:r>
    </w:p>
    <w:p>
      <w:pPr>
        <w:spacing w:after="0" w:line="131" w:lineRule="exact"/>
        <w:rPr>
          <w:rFonts w:ascii="Arial" w:cs="Arial" w:eastAsia="Arial" w:hAnsi="Arial"/>
          <w:sz w:val="18"/>
          <w:szCs w:val="18"/>
          <w:color w:val="auto"/>
        </w:rPr>
      </w:pPr>
    </w:p>
    <w:p>
      <w:pPr>
        <w:ind w:right="220" w:firstLine="1492"/>
        <w:spacing w:after="0" w:line="268" w:lineRule="auto"/>
        <w:tabs>
          <w:tab w:leader="none" w:pos="172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5] RSUs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 ]%</w:t>
      </w:r>
      <w:r>
        <w:rPr>
          <w:rFonts w:ascii="Arial" w:cs="Arial" w:eastAsia="Arial" w:hAnsi="Arial"/>
          <w:sz w:val="18"/>
          <w:szCs w:val="18"/>
          <w:color w:val="auto"/>
        </w:rPr>
        <w:t xml:space="preserve"> of the Restricted Stock Units described in Paragraph 2, plus any [Year 4] RSUs that fail to vest under Paragraph 3(b)(4) (including Restricted Stock Units that failed to vest before [Year 5]).</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Subject to the terms and conditions set forth herein and in the Plan, the Company hereby grants to Grantee</w:t>
      </w:r>
    </w:p>
    <w:p>
      <w:pPr>
        <w:spacing w:after="0" w:line="38" w:lineRule="exact"/>
        <w:rPr>
          <w:sz w:val="20"/>
          <w:szCs w:val="20"/>
          <w:color w:val="auto"/>
        </w:rPr>
      </w:pPr>
    </w:p>
    <w:p>
      <w:pPr>
        <w:ind w:left="5560" w:right="5380" w:hanging="5559"/>
        <w:spacing w:after="0" w:line="50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INSERT TOTAL NO OF RSUs SUBJECT TO GRANT</w:t>
      </w:r>
      <w:r>
        <w:rPr>
          <w:rFonts w:ascii="Arial" w:cs="Arial" w:eastAsia="Arial" w:hAnsi="Arial"/>
          <w:sz w:val="12"/>
          <w:szCs w:val="12"/>
          <w:color w:val="auto"/>
        </w:rPr>
        <w:t>] Restricted Stock Units. - 3 -</w:t>
      </w:r>
    </w:p>
    <w:p>
      <w:pPr>
        <w:sectPr>
          <w:pgSz w:w="11900" w:h="16838" w:orient="portrait"/>
          <w:cols w:equalWidth="0" w:num="1">
            <w:col w:w="11240"/>
          </w:cols>
          <w:pgMar w:left="240" w:top="280" w:right="419" w:bottom="1440" w:gutter="0" w:footer="0" w:header="0"/>
        </w:sectPr>
      </w:pPr>
    </w:p>
    <w:bookmarkStart w:id="271" w:name="page272"/>
    <w:bookmarkEnd w:id="271"/>
    <w:p>
      <w:pPr>
        <w:ind w:left="1100" w:hanging="179"/>
        <w:spacing w:after="0"/>
        <w:tabs>
          <w:tab w:leader="none" w:pos="110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60" w:firstLine="1492"/>
        <w:spacing w:after="0" w:line="298" w:lineRule="auto"/>
        <w:tabs>
          <w:tab w:leader="none" w:pos="1722" w:val="left"/>
        </w:tabs>
        <w:numPr>
          <w:ilvl w:val="1"/>
          <w:numId w:val="245"/>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Grantee shall vest in the Restricted Stock Units on the Vesting Dates set forth in Paragraph 3(b),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and provided further that the applicable performance conditions as set forth in Paragraph 3(b) have been satisfied.</w:t>
      </w:r>
    </w:p>
    <w:p>
      <w:pPr>
        <w:spacing w:after="0" w:line="112" w:lineRule="exact"/>
        <w:rPr>
          <w:rFonts w:ascii="Arial" w:cs="Arial" w:eastAsia="Arial" w:hAnsi="Arial"/>
          <w:sz w:val="16"/>
          <w:szCs w:val="16"/>
          <w:color w:val="auto"/>
        </w:rPr>
      </w:pPr>
    </w:p>
    <w:p>
      <w:pPr>
        <w:ind w:left="1740" w:hanging="248"/>
        <w:spacing w:after="0"/>
        <w:tabs>
          <w:tab w:leader="none" w:pos="174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Subject to Paragraphs 3(a) and 3(c), a Vesting Date for Restricted Stock Units subject to the Award shall occur in accordance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schedule:</w:t>
      </w:r>
    </w:p>
    <w:p>
      <w:pPr>
        <w:spacing w:after="0" w:line="245" w:lineRule="exact"/>
        <w:rPr>
          <w:rFonts w:ascii="Arial" w:cs="Arial" w:eastAsia="Arial" w:hAnsi="Arial"/>
          <w:sz w:val="16"/>
          <w:szCs w:val="16"/>
          <w:color w:val="auto"/>
        </w:rPr>
      </w:pPr>
    </w:p>
    <w:p>
      <w:pPr>
        <w:ind w:left="2200" w:hanging="252"/>
        <w:spacing w:after="0"/>
        <w:tabs>
          <w:tab w:leader="none" w:pos="2200" w:val="left"/>
        </w:tabs>
        <w:numPr>
          <w:ilvl w:val="2"/>
          <w:numId w:val="245"/>
        </w:numPr>
        <w:rPr>
          <w:rFonts w:ascii="Arial" w:cs="Arial" w:eastAsia="Arial" w:hAnsi="Arial"/>
          <w:sz w:val="18"/>
          <w:szCs w:val="18"/>
          <w:color w:val="auto"/>
        </w:rPr>
      </w:pPr>
      <w:r>
        <w:rPr>
          <w:rFonts w:ascii="Arial" w:cs="Arial" w:eastAsia="Arial" w:hAnsi="Arial"/>
          <w:sz w:val="18"/>
          <w:szCs w:val="18"/>
          <w:u w:val="single" w:color="auto"/>
          <w:color w:val="auto"/>
        </w:rPr>
        <w:t>[Year 1]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620" w:hanging="216"/>
        <w:spacing w:after="0"/>
        <w:tabs>
          <w:tab w:leader="none" w:pos="2620" w:val="left"/>
        </w:tabs>
        <w:numPr>
          <w:ilvl w:val="3"/>
          <w:numId w:val="245"/>
        </w:numPr>
        <w:rPr>
          <w:rFonts w:ascii="Arial" w:cs="Arial" w:eastAsia="Arial" w:hAnsi="Arial"/>
          <w:sz w:val="16"/>
          <w:szCs w:val="16"/>
          <w:color w:val="auto"/>
        </w:rPr>
      </w:pPr>
      <w:r>
        <w:rPr>
          <w:rFonts w:ascii="Arial" w:cs="Arial" w:eastAsia="Arial" w:hAnsi="Arial"/>
          <w:sz w:val="16"/>
          <w:szCs w:val="16"/>
          <w:color w:val="auto"/>
        </w:rPr>
        <w:t>As to [Insert Fraction] of the [Year 1] RSUs, [Month] [Day], [Year 2], provided that the First Tier Goal is satisfied for [Year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w:t>
      </w:r>
    </w:p>
    <w:p>
      <w:pPr>
        <w:spacing w:after="0" w:line="164" w:lineRule="exact"/>
        <w:rPr>
          <w:rFonts w:ascii="Arial" w:cs="Arial" w:eastAsia="Arial" w:hAnsi="Arial"/>
          <w:sz w:val="16"/>
          <w:szCs w:val="16"/>
          <w:color w:val="auto"/>
        </w:rPr>
      </w:pPr>
    </w:p>
    <w:p>
      <w:pPr>
        <w:ind w:left="2600" w:hanging="196"/>
        <w:spacing w:after="0"/>
        <w:tabs>
          <w:tab w:leader="none" w:pos="2600" w:val="left"/>
        </w:tabs>
        <w:numPr>
          <w:ilvl w:val="3"/>
          <w:numId w:val="245"/>
        </w:numPr>
        <w:rPr>
          <w:rFonts w:ascii="Arial" w:cs="Arial" w:eastAsia="Arial" w:hAnsi="Arial"/>
          <w:sz w:val="16"/>
          <w:szCs w:val="16"/>
          <w:color w:val="auto"/>
        </w:rPr>
      </w:pPr>
      <w:r>
        <w:rPr>
          <w:rFonts w:ascii="Arial" w:cs="Arial" w:eastAsia="Arial" w:hAnsi="Arial"/>
          <w:sz w:val="16"/>
          <w:szCs w:val="16"/>
          <w:color w:val="auto"/>
        </w:rPr>
        <w:t>As to an [Insert Fraction] of the [Year 1] RSUs, [Month] [Day], [Year 2], provided that the Second Tier Goal is satisfied for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 1].</w:t>
      </w:r>
    </w:p>
    <w:p>
      <w:pPr>
        <w:spacing w:after="0" w:line="245" w:lineRule="exact"/>
        <w:rPr>
          <w:rFonts w:ascii="Arial" w:cs="Arial" w:eastAsia="Arial" w:hAnsi="Arial"/>
          <w:sz w:val="16"/>
          <w:szCs w:val="16"/>
          <w:color w:val="auto"/>
        </w:rPr>
      </w:pPr>
    </w:p>
    <w:p>
      <w:pPr>
        <w:ind w:left="2200" w:hanging="252"/>
        <w:spacing w:after="0"/>
        <w:tabs>
          <w:tab w:leader="none" w:pos="2200" w:val="left"/>
        </w:tabs>
        <w:numPr>
          <w:ilvl w:val="2"/>
          <w:numId w:val="245"/>
        </w:numPr>
        <w:rPr>
          <w:rFonts w:ascii="Arial" w:cs="Arial" w:eastAsia="Arial" w:hAnsi="Arial"/>
          <w:sz w:val="18"/>
          <w:szCs w:val="18"/>
          <w:color w:val="auto"/>
        </w:rPr>
      </w:pPr>
      <w:r>
        <w:rPr>
          <w:rFonts w:ascii="Arial" w:cs="Arial" w:eastAsia="Arial" w:hAnsi="Arial"/>
          <w:sz w:val="18"/>
          <w:szCs w:val="18"/>
          <w:u w:val="single" w:color="auto"/>
          <w:color w:val="auto"/>
        </w:rPr>
        <w:t>[Year 2]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620" w:hanging="216"/>
        <w:spacing w:after="0"/>
        <w:tabs>
          <w:tab w:leader="none" w:pos="2620" w:val="left"/>
        </w:tabs>
        <w:numPr>
          <w:ilvl w:val="3"/>
          <w:numId w:val="245"/>
        </w:numPr>
        <w:rPr>
          <w:rFonts w:ascii="Arial" w:cs="Arial" w:eastAsia="Arial" w:hAnsi="Arial"/>
          <w:sz w:val="16"/>
          <w:szCs w:val="16"/>
          <w:color w:val="auto"/>
        </w:rPr>
      </w:pPr>
      <w:r>
        <w:rPr>
          <w:rFonts w:ascii="Arial" w:cs="Arial" w:eastAsia="Arial" w:hAnsi="Arial"/>
          <w:sz w:val="16"/>
          <w:szCs w:val="16"/>
          <w:color w:val="auto"/>
        </w:rPr>
        <w:t>As to [Insert Fraction] of the [Year 2] RSUs, [Month] [Day], [Year 3], provided that the First Tier Goal is satisfied for either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 1] or [Year 2].</w:t>
      </w:r>
    </w:p>
    <w:p>
      <w:pPr>
        <w:spacing w:after="0" w:line="164" w:lineRule="exact"/>
        <w:rPr>
          <w:rFonts w:ascii="Arial" w:cs="Arial" w:eastAsia="Arial" w:hAnsi="Arial"/>
          <w:sz w:val="16"/>
          <w:szCs w:val="16"/>
          <w:color w:val="auto"/>
        </w:rPr>
      </w:pPr>
    </w:p>
    <w:p>
      <w:pPr>
        <w:ind w:left="2600" w:hanging="196"/>
        <w:spacing w:after="0"/>
        <w:tabs>
          <w:tab w:leader="none" w:pos="2600" w:val="left"/>
        </w:tabs>
        <w:numPr>
          <w:ilvl w:val="3"/>
          <w:numId w:val="245"/>
        </w:numPr>
        <w:rPr>
          <w:rFonts w:ascii="Arial" w:cs="Arial" w:eastAsia="Arial" w:hAnsi="Arial"/>
          <w:sz w:val="16"/>
          <w:szCs w:val="16"/>
          <w:color w:val="auto"/>
        </w:rPr>
      </w:pPr>
      <w:r>
        <w:rPr>
          <w:rFonts w:ascii="Arial" w:cs="Arial" w:eastAsia="Arial" w:hAnsi="Arial"/>
          <w:sz w:val="16"/>
          <w:szCs w:val="16"/>
          <w:color w:val="auto"/>
        </w:rPr>
        <w:t>As to [Insert Fraction] of the [Year 2] RSUs, [Month] [Day], [Year 3], provided that the Second Tier Goal is satisfied for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either [Year 1] or [Year 2].</w:t>
      </w:r>
    </w:p>
    <w:p>
      <w:pPr>
        <w:spacing w:after="0" w:line="245" w:lineRule="exact"/>
        <w:rPr>
          <w:rFonts w:ascii="Arial" w:cs="Arial" w:eastAsia="Arial" w:hAnsi="Arial"/>
          <w:sz w:val="16"/>
          <w:szCs w:val="16"/>
          <w:color w:val="auto"/>
        </w:rPr>
      </w:pPr>
    </w:p>
    <w:p>
      <w:pPr>
        <w:ind w:left="2200" w:hanging="252"/>
        <w:spacing w:after="0"/>
        <w:tabs>
          <w:tab w:leader="none" w:pos="2200" w:val="left"/>
        </w:tabs>
        <w:numPr>
          <w:ilvl w:val="2"/>
          <w:numId w:val="245"/>
        </w:numPr>
        <w:rPr>
          <w:rFonts w:ascii="Arial" w:cs="Arial" w:eastAsia="Arial" w:hAnsi="Arial"/>
          <w:sz w:val="18"/>
          <w:szCs w:val="18"/>
          <w:color w:val="auto"/>
        </w:rPr>
      </w:pPr>
      <w:r>
        <w:rPr>
          <w:rFonts w:ascii="Arial" w:cs="Arial" w:eastAsia="Arial" w:hAnsi="Arial"/>
          <w:sz w:val="18"/>
          <w:szCs w:val="18"/>
          <w:u w:val="single" w:color="auto"/>
          <w:color w:val="auto"/>
        </w:rPr>
        <w:t>[Year 3]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620" w:hanging="216"/>
        <w:spacing w:after="0"/>
        <w:tabs>
          <w:tab w:leader="none" w:pos="2620" w:val="left"/>
        </w:tabs>
        <w:numPr>
          <w:ilvl w:val="3"/>
          <w:numId w:val="245"/>
        </w:numPr>
        <w:rPr>
          <w:rFonts w:ascii="Arial" w:cs="Arial" w:eastAsia="Arial" w:hAnsi="Arial"/>
          <w:sz w:val="16"/>
          <w:szCs w:val="16"/>
          <w:color w:val="auto"/>
        </w:rPr>
      </w:pPr>
      <w:r>
        <w:rPr>
          <w:rFonts w:ascii="Arial" w:cs="Arial" w:eastAsia="Arial" w:hAnsi="Arial"/>
          <w:sz w:val="16"/>
          <w:szCs w:val="16"/>
          <w:color w:val="auto"/>
        </w:rPr>
        <w:t>As to [Insert Fraction] of the [Year 3] RSUs, [Month] [Day], [Year 4], provided that the First Tier Goal is satisfied for any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 1], [Year 2] or [Year 3].</w:t>
      </w:r>
    </w:p>
    <w:p>
      <w:pPr>
        <w:spacing w:after="0" w:line="164" w:lineRule="exact"/>
        <w:rPr>
          <w:rFonts w:ascii="Arial" w:cs="Arial" w:eastAsia="Arial" w:hAnsi="Arial"/>
          <w:sz w:val="16"/>
          <w:szCs w:val="16"/>
          <w:color w:val="auto"/>
        </w:rPr>
      </w:pPr>
    </w:p>
    <w:p>
      <w:pPr>
        <w:ind w:left="2600" w:hanging="196"/>
        <w:spacing w:after="0"/>
        <w:tabs>
          <w:tab w:leader="none" w:pos="2600" w:val="left"/>
        </w:tabs>
        <w:numPr>
          <w:ilvl w:val="3"/>
          <w:numId w:val="245"/>
        </w:numPr>
        <w:rPr>
          <w:rFonts w:ascii="Arial" w:cs="Arial" w:eastAsia="Arial" w:hAnsi="Arial"/>
          <w:sz w:val="16"/>
          <w:szCs w:val="16"/>
          <w:color w:val="auto"/>
        </w:rPr>
      </w:pPr>
      <w:r>
        <w:rPr>
          <w:rFonts w:ascii="Arial" w:cs="Arial" w:eastAsia="Arial" w:hAnsi="Arial"/>
          <w:sz w:val="16"/>
          <w:szCs w:val="16"/>
          <w:color w:val="auto"/>
        </w:rPr>
        <w:t>As to [Insert Fraction] of the [Year 3] RSUs, [Month] [Day], [Year 4], provided that the Second Tier Goal is satisfied for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[Year 1], [Year 2] or [Year 3].</w:t>
      </w:r>
    </w:p>
    <w:p>
      <w:pPr>
        <w:spacing w:after="0" w:line="245" w:lineRule="exact"/>
        <w:rPr>
          <w:rFonts w:ascii="Arial" w:cs="Arial" w:eastAsia="Arial" w:hAnsi="Arial"/>
          <w:sz w:val="16"/>
          <w:szCs w:val="16"/>
          <w:color w:val="auto"/>
        </w:rPr>
      </w:pPr>
    </w:p>
    <w:p>
      <w:pPr>
        <w:ind w:left="2200" w:hanging="252"/>
        <w:spacing w:after="0"/>
        <w:tabs>
          <w:tab w:leader="none" w:pos="2200" w:val="left"/>
        </w:tabs>
        <w:numPr>
          <w:ilvl w:val="2"/>
          <w:numId w:val="245"/>
        </w:numPr>
        <w:rPr>
          <w:rFonts w:ascii="Arial" w:cs="Arial" w:eastAsia="Arial" w:hAnsi="Arial"/>
          <w:sz w:val="18"/>
          <w:szCs w:val="18"/>
          <w:color w:val="auto"/>
        </w:rPr>
      </w:pPr>
      <w:r>
        <w:rPr>
          <w:rFonts w:ascii="Arial" w:cs="Arial" w:eastAsia="Arial" w:hAnsi="Arial"/>
          <w:sz w:val="18"/>
          <w:szCs w:val="18"/>
          <w:u w:val="single" w:color="auto"/>
          <w:color w:val="auto"/>
        </w:rPr>
        <w:t>[Year 4]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2404"/>
        <w:spacing w:after="0" w:line="268" w:lineRule="auto"/>
        <w:tabs>
          <w:tab w:leader="none" w:pos="2611" w:val="left"/>
        </w:tabs>
        <w:numPr>
          <w:ilvl w:val="3"/>
          <w:numId w:val="245"/>
        </w:numPr>
        <w:rPr>
          <w:rFonts w:ascii="Arial" w:cs="Arial" w:eastAsia="Arial" w:hAnsi="Arial"/>
          <w:sz w:val="18"/>
          <w:szCs w:val="18"/>
          <w:color w:val="auto"/>
        </w:rPr>
      </w:pPr>
      <w:r>
        <w:rPr>
          <w:rFonts w:ascii="Arial" w:cs="Arial" w:eastAsia="Arial" w:hAnsi="Arial"/>
          <w:sz w:val="18"/>
          <w:szCs w:val="18"/>
          <w:color w:val="auto"/>
        </w:rPr>
        <w:t>As to [Insert Fraction] of the [Year 4] RSUs, [Month] [Day], [Year 5], provided that the First Tier Goal is satisfied for any of [Year 1], [Year 2], [Year 3] or [Year 4].</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4"/>
          <w:numId w:val="24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80"/>
          </w:cols>
          <w:pgMar w:left="240" w:top="280" w:right="279" w:bottom="1440" w:gutter="0" w:footer="0" w:header="0"/>
        </w:sectPr>
      </w:pPr>
    </w:p>
    <w:bookmarkStart w:id="272" w:name="page273"/>
    <w:bookmarkEnd w:id="272"/>
    <w:p>
      <w:pPr>
        <w:ind w:right="40" w:firstLine="239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As to [Insert Fraction] of the [Year 4] RSUs, [Month] [Day], [Year 5], provided that the Second Tier Goal is satisfied for any of [Year 1], [Year 2], [Year 3] or [Year 4].</w:t>
      </w:r>
    </w:p>
    <w:p>
      <w:pPr>
        <w:spacing w:after="0" w:line="213" w:lineRule="exact"/>
        <w:rPr>
          <w:sz w:val="20"/>
          <w:szCs w:val="20"/>
          <w:color w:val="auto"/>
        </w:rPr>
      </w:pPr>
    </w:p>
    <w:p>
      <w:pPr>
        <w:ind w:left="2200" w:hanging="252"/>
        <w:spacing w:after="0"/>
        <w:tabs>
          <w:tab w:leader="none" w:pos="220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[Year 5] RSUs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2404"/>
        <w:spacing w:after="0" w:line="268" w:lineRule="auto"/>
        <w:tabs>
          <w:tab w:leader="none" w:pos="2611"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As to [Insert Fraction] of the [Year 5] RSUs, [Month] [Day], [Year 6], provided that the First Tier Goal is satisfied for any of [Year 1], [Year 2], [Year 3], [Year 4] or [Year 5].</w:t>
      </w:r>
    </w:p>
    <w:p>
      <w:pPr>
        <w:spacing w:after="0" w:line="131" w:lineRule="exact"/>
        <w:rPr>
          <w:rFonts w:ascii="Arial" w:cs="Arial" w:eastAsia="Arial" w:hAnsi="Arial"/>
          <w:sz w:val="18"/>
          <w:szCs w:val="18"/>
          <w:color w:val="auto"/>
        </w:rPr>
      </w:pPr>
    </w:p>
    <w:p>
      <w:pPr>
        <w:ind w:right="40" w:firstLine="2404"/>
        <w:spacing w:after="0" w:line="268" w:lineRule="auto"/>
        <w:tabs>
          <w:tab w:leader="none" w:pos="2601"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As to [Insert Fraction] of the [Year 5] RSUs, [Month] [Day], [Year 6], provided that the Second Tier Goal is satisfied for any of [Year 1], [Year 2], [Year 3], [Year 4] or [Year 5].</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Notwithstanding anything herein to the contrary, to the extent a Vesting Date for any [Year 5] RSUs has not occurred on or prior to [Month] [Day], [Year 6], such [Year 5] RSUs which have not vested and become nonforfeitable shall immediately and automatically, without any action on the part of the Grantee or the Company, be forfeited by the Grantee and deemed canceled.</w:t>
      </w:r>
    </w:p>
    <w:p>
      <w:pPr>
        <w:spacing w:after="0" w:line="140" w:lineRule="exact"/>
        <w:rPr>
          <w:sz w:val="20"/>
          <w:szCs w:val="20"/>
          <w:color w:val="auto"/>
        </w:rPr>
      </w:pPr>
    </w:p>
    <w:p>
      <w:pPr>
        <w:ind w:firstLine="1492"/>
        <w:spacing w:after="0" w:line="256" w:lineRule="auto"/>
        <w:tabs>
          <w:tab w:leader="none" w:pos="172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Notwithstanding Paragraphs 3(a) and 3(b) to the contrary, if Grantee terminates employment with the Company or a Subsidiary Company during the Restricted Period due to his death or due to Grantee becoming a Disabled Grantee within the meaning of Paragraph 1(h)(1), the Vesting Date for the Restricted Stock Units shall be accelerated so that a Vesting Date will be deemed to occur with respect to the Restricted Stock Units on the date of such termination of employment.</w:t>
      </w:r>
    </w:p>
    <w:p>
      <w:pPr>
        <w:spacing w:after="0" w:line="224" w:lineRule="exact"/>
        <w:rPr>
          <w:rFonts w:ascii="Arial" w:cs="Arial" w:eastAsia="Arial" w:hAnsi="Arial"/>
          <w:sz w:val="18"/>
          <w:szCs w:val="18"/>
          <w:color w:val="auto"/>
        </w:rPr>
      </w:pPr>
    </w:p>
    <w:p>
      <w:pPr>
        <w:ind w:left="1100" w:hanging="179"/>
        <w:spacing w:after="0"/>
        <w:tabs>
          <w:tab w:leader="none" w:pos="110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40" w:firstLine="1492"/>
        <w:spacing w:after="0" w:line="306" w:lineRule="auto"/>
        <w:tabs>
          <w:tab w:leader="none" w:pos="1722" w:val="left"/>
        </w:tabs>
        <w:numPr>
          <w:ilvl w:val="1"/>
          <w:numId w:val="248"/>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if Grantee terminates employment with the Company and all Subsidiaries during the Restricted Period, other than due to death or Disability, Grantee shall forfeit the Restricted Stock Units as of such termination of employment. Upon a forfeiture of the Restricted Stock Units as provided in this Paragraph 4, the Restricted Stock Units shall be deemed canceled.</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provisions of this Paragraph 4 shall not apply to Shares issued in respect of Restricted Stock Units as to which a Vesting Date has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occurred.</w:t>
      </w:r>
    </w:p>
    <w:p>
      <w:pPr>
        <w:spacing w:after="0" w:line="245" w:lineRule="exact"/>
        <w:rPr>
          <w:rFonts w:ascii="Arial" w:cs="Arial" w:eastAsia="Arial" w:hAnsi="Arial"/>
          <w:sz w:val="16"/>
          <w:szCs w:val="16"/>
          <w:color w:val="auto"/>
        </w:rPr>
      </w:pPr>
    </w:p>
    <w:p>
      <w:pPr>
        <w:ind w:left="1100" w:hanging="179"/>
        <w:spacing w:after="0"/>
        <w:tabs>
          <w:tab w:leader="none" w:pos="110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252" w:lineRule="exact"/>
        <w:rPr>
          <w:sz w:val="20"/>
          <w:szCs w:val="20"/>
          <w:color w:val="auto"/>
        </w:rPr>
      </w:pPr>
    </w:p>
    <w:p>
      <w:pPr>
        <w:ind w:left="1740" w:hanging="248"/>
        <w:spacing w:after="0"/>
        <w:tabs>
          <w:tab w:leader="none" w:pos="174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1948"/>
        <w:spacing w:after="0" w:line="259" w:lineRule="auto"/>
        <w:tabs>
          <w:tab w:leader="none" w:pos="2189"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80" w:right="259" w:bottom="1440" w:gutter="0" w:footer="0" w:header="0"/>
        </w:sectPr>
      </w:pPr>
    </w:p>
    <w:bookmarkStart w:id="273" w:name="page274"/>
    <w:bookmarkEnd w:id="273"/>
    <w:p>
      <w:pPr>
        <w:ind w:left="-1200" w:right="300" w:firstLine="1948"/>
        <w:spacing w:after="0" w:line="268" w:lineRule="auto"/>
        <w:tabs>
          <w:tab w:leader="none" w:pos="989"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[Month] [Day], [Year 1].</w:t>
      </w:r>
    </w:p>
    <w:p>
      <w:pPr>
        <w:spacing w:after="0" w:line="131" w:lineRule="exact"/>
        <w:rPr>
          <w:rFonts w:ascii="Arial" w:cs="Arial" w:eastAsia="Arial" w:hAnsi="Arial"/>
          <w:sz w:val="18"/>
          <w:szCs w:val="18"/>
          <w:color w:val="auto"/>
        </w:rPr>
      </w:pPr>
    </w:p>
    <w:p>
      <w:pPr>
        <w:ind w:left="-1200" w:right="180" w:firstLine="1948"/>
        <w:spacing w:after="0" w:line="298" w:lineRule="auto"/>
        <w:tabs>
          <w:tab w:leader="none" w:pos="989"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 beginning after the Vesting Date, nor later than January 2 of the eleventh calendar year beginning after the Vesting Date.</w:t>
      </w:r>
    </w:p>
    <w:p>
      <w:pPr>
        <w:spacing w:after="0" w:line="112" w:lineRule="exact"/>
        <w:rPr>
          <w:rFonts w:ascii="Arial" w:cs="Arial" w:eastAsia="Arial" w:hAnsi="Arial"/>
          <w:sz w:val="16"/>
          <w:szCs w:val="16"/>
          <w:color w:val="auto"/>
        </w:rPr>
      </w:pPr>
    </w:p>
    <w:p>
      <w:pPr>
        <w:ind w:left="-1200" w:right="120" w:firstLine="1948"/>
        <w:spacing w:after="0" w:line="268" w:lineRule="auto"/>
        <w:tabs>
          <w:tab w:leader="none" w:pos="989"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31" w:lineRule="exact"/>
        <w:rPr>
          <w:rFonts w:ascii="Arial" w:cs="Arial" w:eastAsia="Arial" w:hAnsi="Arial"/>
          <w:sz w:val="18"/>
          <w:szCs w:val="18"/>
          <w:color w:val="auto"/>
        </w:rPr>
      </w:pPr>
    </w:p>
    <w:p>
      <w:pPr>
        <w:ind w:left="-1200" w:right="560" w:firstLine="1492"/>
        <w:spacing w:after="0" w:line="268" w:lineRule="auto"/>
        <w:tabs>
          <w:tab w:leader="none" w:pos="53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Subsequent Elections/Acceleration Elections</w:t>
      </w:r>
      <w:r>
        <w:rPr>
          <w:rFonts w:ascii="Arial" w:cs="Arial" w:eastAsia="Arial" w:hAnsi="Arial"/>
          <w:sz w:val="18"/>
          <w:szCs w:val="18"/>
          <w:color w:val="auto"/>
        </w:rPr>
        <w:t>. No Subsequent Election shall be effective until 12 months after the date on which a Subsequent Election is filed with the Committee.</w:t>
      </w:r>
    </w:p>
    <w:p>
      <w:pPr>
        <w:spacing w:after="0" w:line="131" w:lineRule="exact"/>
        <w:rPr>
          <w:rFonts w:ascii="Arial" w:cs="Arial" w:eastAsia="Arial" w:hAnsi="Arial"/>
          <w:sz w:val="18"/>
          <w:szCs w:val="18"/>
          <w:color w:val="auto"/>
        </w:rPr>
      </w:pPr>
    </w:p>
    <w:p>
      <w:pPr>
        <w:jc w:val="both"/>
        <w:ind w:left="-1200" w:right="160" w:firstLine="1948"/>
        <w:spacing w:after="0" w:line="298" w:lineRule="auto"/>
        <w:tabs>
          <w:tab w:leader="none" w:pos="98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12" w:lineRule="exact"/>
        <w:rPr>
          <w:rFonts w:ascii="Arial" w:cs="Arial" w:eastAsia="Arial" w:hAnsi="Arial"/>
          <w:sz w:val="16"/>
          <w:szCs w:val="16"/>
          <w:color w:val="auto"/>
        </w:rPr>
      </w:pPr>
    </w:p>
    <w:p>
      <w:pPr>
        <w:ind w:left="-1200" w:right="40" w:firstLine="1948"/>
        <w:spacing w:after="0" w:line="298" w:lineRule="auto"/>
        <w:tabs>
          <w:tab w:leader="none" w:pos="98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12" w:lineRule="exact"/>
        <w:rPr>
          <w:rFonts w:ascii="Arial" w:cs="Arial" w:eastAsia="Arial" w:hAnsi="Arial"/>
          <w:sz w:val="16"/>
          <w:szCs w:val="16"/>
          <w:color w:val="auto"/>
        </w:rPr>
      </w:pPr>
    </w:p>
    <w:p>
      <w:pPr>
        <w:ind w:left="-1200" w:firstLine="1948"/>
        <w:spacing w:after="0" w:line="306" w:lineRule="auto"/>
        <w:tabs>
          <w:tab w:leader="none" w:pos="98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In lieu of a Subsequent Election described in Paragraph 5(b)(2), the estate or beneficiary to whom the right to delivery of Shares shall have passed may, as soon as practicable following the Grantee’s death, make an Acceleration Election to accelerate the delivery date of such Shares from the date delivery of such Shares would otherwise be made to a date that is as soon as practicable following the Grantee’s death.</w:t>
      </w:r>
    </w:p>
    <w:p>
      <w:pPr>
        <w:spacing w:after="0" w:line="93" w:lineRule="exact"/>
        <w:rPr>
          <w:rFonts w:ascii="Arial" w:cs="Arial" w:eastAsia="Arial" w:hAnsi="Arial"/>
          <w:sz w:val="16"/>
          <w:szCs w:val="16"/>
          <w:color w:val="auto"/>
        </w:rPr>
      </w:pPr>
    </w:p>
    <w:p>
      <w:pPr>
        <w:ind w:left="4480" w:hanging="112"/>
        <w:spacing w:after="0"/>
        <w:tabs>
          <w:tab w:leader="none" w:pos="4480" w:val="left"/>
        </w:tabs>
        <w:numPr>
          <w:ilvl w:val="2"/>
          <w:numId w:val="25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200"/>
          </w:cols>
          <w:pgMar w:left="1440" w:top="280" w:right="259" w:bottom="1440" w:gutter="0" w:footer="0" w:header="0"/>
        </w:sectPr>
      </w:pPr>
    </w:p>
    <w:bookmarkStart w:id="274" w:name="page275"/>
    <w:bookmarkEnd w:id="274"/>
    <w:p>
      <w:pPr>
        <w:ind w:left="-921" w:right="140" w:firstLine="2404"/>
        <w:spacing w:after="0" w:line="335" w:lineRule="auto"/>
        <w:tabs>
          <w:tab w:leader="none" w:pos="1724" w:val="left"/>
        </w:tabs>
        <w:numPr>
          <w:ilvl w:val="2"/>
          <w:numId w:val="25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Grantee becomes a Disabled Grantee before the Shares subject to an Initial Election under Paragraph 5(a) are to be delivered, Grantee may, as soon as practicable following the date on which Grantee becomes a Disabled Grantee, elect to accelerate the distribution date of such Shares from the date payment would otherwise be made to a date that is as soon as practicable following the date the Disabled Grantee became disabled.</w:t>
      </w:r>
    </w:p>
    <w:p>
      <w:pPr>
        <w:spacing w:after="0" w:line="88" w:lineRule="exact"/>
        <w:rPr>
          <w:rFonts w:ascii="Arial" w:cs="Arial" w:eastAsia="Arial" w:hAnsi="Arial"/>
          <w:sz w:val="15"/>
          <w:szCs w:val="15"/>
          <w:color w:val="auto"/>
        </w:rPr>
      </w:pPr>
    </w:p>
    <w:p>
      <w:pPr>
        <w:jc w:val="both"/>
        <w:ind w:left="-921" w:right="100" w:firstLine="2404"/>
        <w:spacing w:after="0" w:line="335" w:lineRule="auto"/>
        <w:tabs>
          <w:tab w:leader="none" w:pos="1724" w:val="left"/>
        </w:tabs>
        <w:numPr>
          <w:ilvl w:val="2"/>
          <w:numId w:val="252"/>
        </w:numPr>
        <w:rPr>
          <w:rFonts w:ascii="Arial" w:cs="Arial" w:eastAsia="Arial" w:hAnsi="Arial"/>
          <w:sz w:val="15"/>
          <w:szCs w:val="15"/>
          <w:color w:val="auto"/>
        </w:rPr>
      </w:pPr>
      <w:r>
        <w:rPr>
          <w:rFonts w:ascii="Arial" w:cs="Arial" w:eastAsia="Arial" w:hAnsi="Arial"/>
          <w:sz w:val="15"/>
          <w:szCs w:val="15"/>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88" w:lineRule="exact"/>
        <w:rPr>
          <w:rFonts w:ascii="Arial" w:cs="Arial" w:eastAsia="Arial" w:hAnsi="Arial"/>
          <w:sz w:val="15"/>
          <w:szCs w:val="15"/>
          <w:color w:val="auto"/>
        </w:rPr>
      </w:pPr>
    </w:p>
    <w:p>
      <w:pPr>
        <w:ind w:left="-921" w:right="160" w:firstLine="1948"/>
        <w:spacing w:after="0" w:line="268" w:lineRule="auto"/>
        <w:tabs>
          <w:tab w:leader="none" w:pos="1258"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31" w:lineRule="exact"/>
        <w:rPr>
          <w:rFonts w:ascii="Arial" w:cs="Arial" w:eastAsia="Arial" w:hAnsi="Arial"/>
          <w:sz w:val="18"/>
          <w:szCs w:val="18"/>
          <w:color w:val="auto"/>
        </w:rPr>
      </w:pPr>
    </w:p>
    <w:p>
      <w:pPr>
        <w:ind w:left="-921" w:right="40" w:firstLine="1948"/>
        <w:spacing w:after="0" w:line="255" w:lineRule="auto"/>
        <w:tabs>
          <w:tab w:leader="none" w:pos="1268"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42" w:lineRule="exact"/>
        <w:rPr>
          <w:rFonts w:ascii="Arial" w:cs="Arial" w:eastAsia="Arial" w:hAnsi="Arial"/>
          <w:sz w:val="18"/>
          <w:szCs w:val="18"/>
          <w:color w:val="auto"/>
        </w:rPr>
      </w:pPr>
    </w:p>
    <w:p>
      <w:pPr>
        <w:ind w:left="-921" w:firstLine="1948"/>
        <w:spacing w:after="0" w:line="254" w:lineRule="auto"/>
        <w:tabs>
          <w:tab w:leader="none" w:pos="1258"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44" w:lineRule="exact"/>
        <w:rPr>
          <w:rFonts w:ascii="Arial" w:cs="Arial" w:eastAsia="Arial" w:hAnsi="Arial"/>
          <w:sz w:val="18"/>
          <w:szCs w:val="18"/>
          <w:color w:val="auto"/>
        </w:rPr>
      </w:pPr>
    </w:p>
    <w:p>
      <w:pPr>
        <w:ind w:left="-921" w:right="20" w:firstLine="1948"/>
        <w:spacing w:after="0" w:line="306" w:lineRule="auto"/>
        <w:tabs>
          <w:tab w:leader="none" w:pos="1238"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left="-921" w:right="120" w:firstLine="921"/>
        <w:spacing w:after="0" w:line="259" w:lineRule="auto"/>
        <w:tabs>
          <w:tab w:leader="none" w:pos="167"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26" w:lineRule="exact"/>
        <w:rPr>
          <w:rFonts w:ascii="Arial" w:cs="Arial" w:eastAsia="Arial" w:hAnsi="Arial"/>
          <w:sz w:val="18"/>
          <w:szCs w:val="18"/>
          <w:color w:val="auto"/>
        </w:rPr>
      </w:pPr>
    </w:p>
    <w:p>
      <w:pPr>
        <w:ind w:left="4759" w:hanging="112"/>
        <w:spacing w:after="0"/>
        <w:tabs>
          <w:tab w:leader="none" w:pos="4759" w:val="left"/>
        </w:tabs>
        <w:numPr>
          <w:ilvl w:val="3"/>
          <w:numId w:val="25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479"/>
          </w:cols>
          <w:pgMar w:left="1161" w:top="280" w:right="259" w:bottom="1440" w:gutter="0" w:footer="0" w:header="0"/>
        </w:sectPr>
      </w:pPr>
    </w:p>
    <w:bookmarkStart w:id="275" w:name="page276"/>
    <w:bookmarkEnd w:id="275"/>
    <w:p>
      <w:pPr>
        <w:ind w:left="-921" w:firstLine="921"/>
        <w:spacing w:after="0" w:line="259" w:lineRule="auto"/>
        <w:tabs>
          <w:tab w:leader="none" w:pos="167"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221" w:lineRule="exact"/>
        <w:rPr>
          <w:rFonts w:ascii="Arial" w:cs="Arial" w:eastAsia="Arial" w:hAnsi="Arial"/>
          <w:sz w:val="18"/>
          <w:szCs w:val="18"/>
          <w:color w:val="auto"/>
        </w:rPr>
      </w:pPr>
    </w:p>
    <w:p>
      <w:pPr>
        <w:ind w:left="179" w:hanging="179"/>
        <w:spacing w:after="0"/>
        <w:tabs>
          <w:tab w:leader="none" w:pos="179"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1" w:right="60" w:firstLine="1492"/>
        <w:spacing w:after="0" w:line="309" w:lineRule="auto"/>
        <w:tabs>
          <w:tab w:leader="none" w:pos="801" w:val="left"/>
        </w:tabs>
        <w:numPr>
          <w:ilvl w:val="1"/>
          <w:numId w:val="255"/>
        </w:numPr>
        <w:rPr>
          <w:rFonts w:ascii="Arial" w:cs="Arial" w:eastAsia="Arial" w:hAnsi="Arial"/>
          <w:sz w:val="15"/>
          <w:szCs w:val="15"/>
          <w:color w:val="auto"/>
        </w:rPr>
      </w:pPr>
      <w:r>
        <w:rPr>
          <w:rFonts w:ascii="Arial" w:cs="Arial" w:eastAsia="Arial" w:hAnsi="Arial"/>
          <w:sz w:val="15"/>
          <w:szCs w:val="15"/>
          <w:u w:val="single" w:color="auto"/>
          <w:color w:val="auto"/>
        </w:rPr>
        <w:t>Delivery of Shares</w:t>
      </w:r>
      <w:r>
        <w:rPr>
          <w:rFonts w:ascii="Arial" w:cs="Arial" w:eastAsia="Arial" w:hAnsi="Arial"/>
          <w:sz w:val="15"/>
          <w:szCs w:val="15"/>
          <w:color w:val="auto"/>
        </w:rPr>
        <w:t>. Except as otherwise provided in Paragraph 5, the Company shall notify Grantee that a Vesting Date with respect to Restricted Stock Units has occurred. Within ten (10) business days of a Vesting Date, the Company shall, without payment from Grantee,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7, provided that Shares will not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08" w:lineRule="exact"/>
        <w:rPr>
          <w:rFonts w:ascii="Arial" w:cs="Arial" w:eastAsia="Arial" w:hAnsi="Arial"/>
          <w:sz w:val="15"/>
          <w:szCs w:val="15"/>
          <w:color w:val="auto"/>
        </w:rPr>
      </w:pPr>
    </w:p>
    <w:p>
      <w:pPr>
        <w:ind w:left="-921" w:right="40" w:firstLine="1492"/>
        <w:spacing w:after="0" w:line="289" w:lineRule="auto"/>
        <w:tabs>
          <w:tab w:leader="none" w:pos="811"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8(b) has been deferred pursuant to Paragraph 5 (or any other plan, program or arrangement that permits the deferral of receipt of an Award), such Award (and any earnings credited with respect thereto) shall be forfeited in lieu of repayment.</w:t>
      </w:r>
    </w:p>
    <w:p>
      <w:pPr>
        <w:spacing w:after="0" w:line="118" w:lineRule="exact"/>
        <w:rPr>
          <w:rFonts w:ascii="Arial" w:cs="Arial" w:eastAsia="Arial" w:hAnsi="Arial"/>
          <w:sz w:val="16"/>
          <w:szCs w:val="16"/>
          <w:color w:val="auto"/>
        </w:rPr>
      </w:pPr>
    </w:p>
    <w:p>
      <w:pPr>
        <w:ind w:left="-921" w:right="280" w:firstLine="921"/>
        <w:spacing w:after="0" w:line="268" w:lineRule="auto"/>
        <w:tabs>
          <w:tab w:leader="none" w:pos="167"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18" w:lineRule="exact"/>
        <w:rPr>
          <w:rFonts w:ascii="Arial" w:cs="Arial" w:eastAsia="Arial" w:hAnsi="Arial"/>
          <w:sz w:val="18"/>
          <w:szCs w:val="18"/>
          <w:color w:val="auto"/>
        </w:rPr>
      </w:pPr>
    </w:p>
    <w:p>
      <w:pPr>
        <w:ind w:left="4759" w:hanging="112"/>
        <w:spacing w:after="0"/>
        <w:tabs>
          <w:tab w:leader="none" w:pos="4759" w:val="left"/>
        </w:tabs>
        <w:numPr>
          <w:ilvl w:val="2"/>
          <w:numId w:val="255"/>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479"/>
          </w:cols>
          <w:pgMar w:left="1161" w:top="280" w:right="259" w:bottom="1440" w:gutter="0" w:footer="0" w:header="0"/>
        </w:sectPr>
      </w:pPr>
    </w:p>
    <w:bookmarkStart w:id="276" w:name="page277"/>
    <w:bookmarkEnd w:id="276"/>
    <w:p>
      <w:pPr>
        <w:ind w:left="1172" w:hanging="259"/>
        <w:spacing w:after="0"/>
        <w:tabs>
          <w:tab w:leader="none" w:pos="1172"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32" w:hanging="248"/>
        <w:spacing w:after="0"/>
        <w:tabs>
          <w:tab w:leader="none" w:pos="1732" w:val="left"/>
        </w:tabs>
        <w:numPr>
          <w:ilvl w:val="2"/>
          <w:numId w:val="256"/>
        </w:numPr>
        <w:rPr>
          <w:rFonts w:ascii="Arial" w:cs="Arial" w:eastAsia="Arial" w:hAnsi="Arial"/>
          <w:sz w:val="15"/>
          <w:szCs w:val="15"/>
          <w:color w:val="auto"/>
        </w:rPr>
      </w:pPr>
      <w:r>
        <w:rPr>
          <w:rFonts w:ascii="Arial" w:cs="Arial" w:eastAsia="Arial" w:hAnsi="Arial"/>
          <w:sz w:val="15"/>
          <w:szCs w:val="15"/>
          <w:color w:val="auto"/>
        </w:rPr>
        <w:t>The Award granted hereunder is subject to the approval of the Plan by the shareholders of the Company to the extent that such approval</w:t>
      </w:r>
    </w:p>
    <w:p>
      <w:pPr>
        <w:spacing w:after="0" w:line="49" w:lineRule="exact"/>
        <w:rPr>
          <w:rFonts w:ascii="Arial" w:cs="Arial" w:eastAsia="Arial" w:hAnsi="Arial"/>
          <w:sz w:val="15"/>
          <w:szCs w:val="15"/>
          <w:color w:val="auto"/>
        </w:rPr>
      </w:pPr>
    </w:p>
    <w:p>
      <w:pPr>
        <w:ind w:left="-8" w:right="420" w:firstLine="8"/>
        <w:spacing w:after="0" w:line="323" w:lineRule="auto"/>
        <w:tabs>
          <w:tab w:leader="none" w:pos="20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92" w:lineRule="exact"/>
        <w:rPr>
          <w:rFonts w:ascii="Arial" w:cs="Arial" w:eastAsia="Arial" w:hAnsi="Arial"/>
          <w:sz w:val="16"/>
          <w:szCs w:val="16"/>
          <w:color w:val="auto"/>
        </w:rPr>
      </w:pPr>
    </w:p>
    <w:p>
      <w:pPr>
        <w:ind w:left="-8" w:right="560" w:firstLine="1492"/>
        <w:spacing w:after="0" w:line="268" w:lineRule="auto"/>
        <w:tabs>
          <w:tab w:leader="none" w:pos="1724"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31" w:lineRule="exact"/>
        <w:rPr>
          <w:rFonts w:ascii="Arial" w:cs="Arial" w:eastAsia="Arial" w:hAnsi="Arial"/>
          <w:sz w:val="18"/>
          <w:szCs w:val="18"/>
          <w:color w:val="auto"/>
        </w:rPr>
      </w:pPr>
    </w:p>
    <w:p>
      <w:pPr>
        <w:ind w:left="-8" w:right="80" w:firstLine="1492"/>
        <w:spacing w:after="0" w:line="268" w:lineRule="auto"/>
        <w:tabs>
          <w:tab w:leader="none" w:pos="1714"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10795</wp:posOffset>
            </wp:positionV>
            <wp:extent cx="23412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86"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-5715</wp:posOffset>
            </wp:positionV>
            <wp:extent cx="23412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3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52"/>
          </w:cols>
          <w:pgMar w:left="248" w:top="280" w:right="39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87"/>
              </w:rPr>
              <w:t>Years Ended December 31</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Arial" w:cs="Arial" w:eastAsia="Arial" w:hAnsi="Arial"/>
                <w:sz w:val="12"/>
                <w:szCs w:val="12"/>
                <w:b w:val="1"/>
                <w:bCs w:val="1"/>
                <w:color w:val="auto"/>
              </w:rPr>
              <w:t>2006</w:t>
            </w:r>
            <w:r>
              <w:rPr>
                <w:rFonts w:ascii="Arial" w:cs="Arial" w:eastAsia="Arial" w:hAnsi="Arial"/>
                <w:sz w:val="19"/>
                <w:szCs w:val="19"/>
                <w:b w:val="1"/>
                <w:bCs w:val="1"/>
                <w:color w:val="auto"/>
                <w:vertAlign w:val="superscript"/>
              </w:rPr>
              <w:t>(2)</w:t>
            </w:r>
          </w:p>
        </w:tc>
        <w:tc>
          <w:tcPr>
            <w:tcW w:w="180" w:type="dxa"/>
            <w:vAlign w:val="bottom"/>
          </w:tcPr>
          <w:p>
            <w:pPr>
              <w:spacing w:after="0"/>
              <w:rPr>
                <w:sz w:val="14"/>
                <w:szCs w:val="14"/>
                <w:color w:val="auto"/>
              </w:rPr>
            </w:pPr>
          </w:p>
        </w:tc>
        <w:tc>
          <w:tcPr>
            <w:tcW w:w="600" w:type="dxa"/>
            <w:vAlign w:val="bottom"/>
            <w:gridSpan w:val="2"/>
          </w:tcPr>
          <w:p>
            <w:pPr>
              <w:jc w:val="right"/>
              <w:spacing w:after="0" w:line="169" w:lineRule="exact"/>
              <w:rPr>
                <w:sz w:val="20"/>
                <w:szCs w:val="20"/>
                <w:color w:val="auto"/>
              </w:rPr>
            </w:pPr>
            <w:r>
              <w:rPr>
                <w:rFonts w:ascii="Arial" w:cs="Arial" w:eastAsia="Arial" w:hAnsi="Arial"/>
                <w:sz w:val="12"/>
                <w:szCs w:val="12"/>
                <w:b w:val="1"/>
                <w:bCs w:val="1"/>
                <w:color w:val="auto"/>
              </w:rPr>
              <w:t>2005</w:t>
            </w:r>
            <w:r>
              <w:rPr>
                <w:rFonts w:ascii="Arial" w:cs="Arial" w:eastAsia="Arial" w:hAnsi="Arial"/>
                <w:sz w:val="19"/>
                <w:szCs w:val="19"/>
                <w:b w:val="1"/>
                <w:bCs w:val="1"/>
                <w:color w:val="auto"/>
                <w:vertAlign w:val="superscript"/>
              </w:rPr>
              <w:t>(2)</w:t>
            </w:r>
          </w:p>
        </w:tc>
        <w:tc>
          <w:tcPr>
            <w:tcW w:w="28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2"/>
                <w:szCs w:val="12"/>
                <w:b w:val="1"/>
                <w:bCs w:val="1"/>
                <w:color w:val="auto"/>
              </w:rPr>
              <w:t>2004</w:t>
            </w:r>
            <w:r>
              <w:rPr>
                <w:rFonts w:ascii="Arial" w:cs="Arial" w:eastAsia="Arial" w:hAnsi="Arial"/>
                <w:sz w:val="19"/>
                <w:szCs w:val="19"/>
                <w:b w:val="1"/>
                <w:bCs w:val="1"/>
                <w:color w:val="auto"/>
                <w:vertAlign w:val="superscript"/>
              </w:rPr>
              <w:t>(2)</w:t>
            </w:r>
          </w:p>
        </w:tc>
        <w:tc>
          <w:tcPr>
            <w:tcW w:w="200" w:type="dxa"/>
            <w:vAlign w:val="bottom"/>
          </w:tcPr>
          <w:p>
            <w:pPr>
              <w:spacing w:after="0"/>
              <w:rPr>
                <w:sz w:val="14"/>
                <w:szCs w:val="14"/>
                <w:color w:val="auto"/>
              </w:rPr>
            </w:pPr>
          </w:p>
        </w:tc>
        <w:tc>
          <w:tcPr>
            <w:tcW w:w="640" w:type="dxa"/>
            <w:vAlign w:val="bottom"/>
            <w:gridSpan w:val="3"/>
          </w:tcPr>
          <w:p>
            <w:pPr>
              <w:jc w:val="right"/>
              <w:spacing w:after="0" w:line="169" w:lineRule="exact"/>
              <w:rPr>
                <w:sz w:val="20"/>
                <w:szCs w:val="20"/>
                <w:color w:val="auto"/>
              </w:rPr>
            </w:pPr>
            <w:r>
              <w:rPr>
                <w:rFonts w:ascii="Arial" w:cs="Arial" w:eastAsia="Arial" w:hAnsi="Arial"/>
                <w:sz w:val="19"/>
                <w:szCs w:val="19"/>
                <w:b w:val="1"/>
                <w:bCs w:val="1"/>
                <w:color w:val="auto"/>
                <w:vertAlign w:val="subscript"/>
              </w:rPr>
              <w:t>2003</w:t>
            </w:r>
            <w:r>
              <w:rPr>
                <w:rFonts w:ascii="Arial" w:cs="Arial" w:eastAsia="Arial" w:hAnsi="Arial"/>
                <w:sz w:val="9"/>
                <w:szCs w:val="9"/>
                <w:b w:val="1"/>
                <w:bCs w:val="1"/>
                <w:color w:val="auto"/>
              </w:rPr>
              <w:t>(2)(3)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bottom w:val="single" w:sz="8" w:color="CCEEFF"/>
            </w:tcBorders>
            <w:vMerge w:val="restart"/>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Computation of Earnings</w:t>
            </w:r>
          </w:p>
        </w:tc>
        <w:tc>
          <w:tcPr>
            <w:tcW w:w="1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8"/>
              </w:rPr>
              <w:t>(1)</w:t>
            </w:r>
          </w:p>
        </w:tc>
        <w:tc>
          <w:tcPr>
            <w:tcW w:w="220" w:type="dxa"/>
            <w:vAlign w:val="bottom"/>
            <w:tcBorders>
              <w:bottom w:val="single" w:sz="8" w:color="CCEEFF"/>
            </w:tcBorders>
            <w:vMerge w:val="restart"/>
            <w:shd w:val="clear" w:color="auto" w:fill="CCEEFF"/>
          </w:tcPr>
          <w:p>
            <w:pPr>
              <w:jc w:val="right"/>
              <w:ind w:right="142"/>
              <w:spacing w:after="0"/>
              <w:rPr>
                <w:sz w:val="20"/>
                <w:szCs w:val="20"/>
                <w:color w:val="auto"/>
              </w:rPr>
            </w:pPr>
            <w:r>
              <w:rPr>
                <w:rFonts w:ascii="Arial" w:cs="Arial" w:eastAsia="Arial" w:hAnsi="Arial"/>
                <w:sz w:val="8"/>
                <w:szCs w:val="8"/>
                <w:b w:val="1"/>
                <w:bCs w:val="1"/>
                <w:u w:val="single" w:color="auto"/>
                <w:color w:val="auto"/>
                <w:w w:val="73"/>
              </w:rPr>
              <w:t>:</w:t>
            </w: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4500" w:type="dxa"/>
            <w:vAlign w:val="bottom"/>
            <w:tcBorders>
              <w:bottom w:val="single" w:sz="8" w:color="CCEEFF"/>
            </w:tcBorders>
            <w:vMerge w:val="restart"/>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190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450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w w:val="96"/>
              </w:rPr>
              <w:t>Pretax income from continuing operations before adjustment for noncontrolling interest in</w:t>
            </w: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5"/>
          </w:tcPr>
          <w:p>
            <w:pPr>
              <w:jc w:val="right"/>
              <w:ind w:right="2018"/>
              <w:spacing w:after="0"/>
              <w:rPr>
                <w:sz w:val="20"/>
                <w:szCs w:val="20"/>
                <w:color w:val="auto"/>
              </w:rPr>
            </w:pPr>
            <w:r>
              <w:rPr>
                <w:rFonts w:ascii="Arial" w:cs="Arial" w:eastAsia="Arial" w:hAnsi="Arial"/>
                <w:sz w:val="18"/>
                <w:szCs w:val="18"/>
                <w:color w:val="auto"/>
                <w:w w:val="91"/>
              </w:rPr>
              <w:t>consolidated subsidiaries or income or loss from equity investees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$4,097</w:t>
            </w:r>
          </w:p>
        </w:tc>
        <w:tc>
          <w:tcPr>
            <w:tcW w:w="18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$4,412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$3,659</w:t>
            </w:r>
          </w:p>
        </w:tc>
        <w:tc>
          <w:tcPr>
            <w:tcW w:w="18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$1,762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$1,824</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tcPr>
          <w:p>
            <w:pPr>
              <w:spacing w:after="0"/>
              <w:rPr>
                <w:sz w:val="20"/>
                <w:szCs w:val="20"/>
                <w:color w:val="auto"/>
              </w:rPr>
            </w:pPr>
            <w:r>
              <w:rPr>
                <w:rFonts w:ascii="Arial" w:cs="Arial" w:eastAsia="Arial" w:hAnsi="Arial"/>
                <w:sz w:val="18"/>
                <w:szCs w:val="18"/>
                <w:color w:val="auto"/>
              </w:rPr>
              <w:t>Distributed income of equity investees</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Noncontrolling interest in pretax income of subsidiaries that have not incurred fixed charges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gridSpan w:val="6"/>
          </w:tcPr>
          <w:p>
            <w:pPr>
              <w:spacing w:after="0"/>
              <w:rPr>
                <w:sz w:val="20"/>
                <w:szCs w:val="20"/>
                <w:color w:val="auto"/>
              </w:rPr>
            </w:pPr>
            <w:r>
              <w:rPr>
                <w:rFonts w:ascii="Arial" w:cs="Arial" w:eastAsia="Arial" w:hAnsi="Arial"/>
                <w:sz w:val="18"/>
                <w:szCs w:val="18"/>
                <w:b w:val="1"/>
                <w:bCs w:val="1"/>
                <w:color w:val="auto"/>
              </w:rPr>
              <w:t>Total Earnings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6,702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6,893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5,882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3,601</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3,755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60" w:type="dxa"/>
            <w:vAlign w:val="bottom"/>
            <w:tcBorders>
              <w:bottom w:val="single" w:sz="8" w:color="CCEEFF"/>
            </w:tcBorders>
            <w:gridSpan w:val="3"/>
            <w:vMerge w:val="restart"/>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Computation of Fixed charges</w:t>
            </w:r>
          </w:p>
        </w:tc>
        <w:tc>
          <w:tcPr>
            <w:tcW w:w="1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74"/>
              </w:rPr>
              <w:t>(1)</w:t>
            </w:r>
          </w:p>
        </w:tc>
        <w:tc>
          <w:tcPr>
            <w:tcW w:w="4500" w:type="dxa"/>
            <w:vAlign w:val="bottom"/>
            <w:tcBorders>
              <w:bottom w:val="single" w:sz="8" w:color="CCEEFF"/>
            </w:tcBorders>
            <w:vMerge w:val="restart"/>
            <w:shd w:val="clear" w:color="auto" w:fill="CCEEFF"/>
          </w:tcPr>
          <w:p>
            <w:pPr>
              <w:jc w:val="right"/>
              <w:ind w:right="4358"/>
              <w:spacing w:after="0" w:line="170" w:lineRule="exact"/>
              <w:rPr>
                <w:sz w:val="20"/>
                <w:szCs w:val="20"/>
                <w:color w:val="auto"/>
              </w:rPr>
            </w:pPr>
            <w:r>
              <w:rPr>
                <w:rFonts w:ascii="Arial" w:cs="Arial" w:eastAsia="Arial" w:hAnsi="Arial"/>
                <w:sz w:val="16"/>
                <w:szCs w:val="16"/>
                <w:b w:val="1"/>
                <w:bCs w:val="1"/>
                <w:u w:val="single" w:color="auto"/>
                <w:color w:val="auto"/>
                <w:w w:val="74"/>
              </w:rPr>
              <w:t>:</w:t>
            </w:r>
          </w:p>
        </w:tc>
        <w:tc>
          <w:tcPr>
            <w:tcW w:w="5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2260" w:type="dxa"/>
            <w:vAlign w:val="bottom"/>
            <w:tcBorders>
              <w:bottom w:val="single" w:sz="8" w:color="auto"/>
            </w:tcBorders>
            <w:gridSpan w:val="3"/>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50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Interest expense</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$2,384</w:t>
            </w: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$2,255</w:t>
            </w:r>
          </w:p>
        </w:tc>
        <w:tc>
          <w:tcPr>
            <w:tcW w:w="6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$2,033</w:t>
            </w: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3"/>
          </w:tcPr>
          <w:p>
            <w:pPr>
              <w:jc w:val="right"/>
              <w:ind w:right="280"/>
              <w:spacing w:after="0"/>
              <w:rPr>
                <w:sz w:val="20"/>
                <w:szCs w:val="20"/>
                <w:color w:val="auto"/>
              </w:rPr>
            </w:pPr>
            <w:r>
              <w:rPr>
                <w:rFonts w:ascii="Arial" w:cs="Arial" w:eastAsia="Arial" w:hAnsi="Arial"/>
                <w:sz w:val="18"/>
                <w:szCs w:val="18"/>
                <w:color w:val="auto"/>
              </w:rPr>
              <w:t>$1,835</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$1,899</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3"/>
              </w:rPr>
              <w:t>2,137</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70</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900" w:type="dxa"/>
            <w:vAlign w:val="bottom"/>
            <w:gridSpan w:val="6"/>
          </w:tcPr>
          <w:p>
            <w:pPr>
              <w:spacing w:after="0"/>
              <w:rPr>
                <w:sz w:val="20"/>
                <w:szCs w:val="20"/>
                <w:color w:val="auto"/>
              </w:rPr>
            </w:pPr>
            <w:r>
              <w:rPr>
                <w:rFonts w:ascii="Arial" w:cs="Arial" w:eastAsia="Arial" w:hAnsi="Arial"/>
                <w:sz w:val="18"/>
                <w:szCs w:val="18"/>
                <w:b w:val="1"/>
                <w:bCs w:val="1"/>
                <w:color w:val="auto"/>
              </w:rPr>
              <w:t>Total Fixed Charges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2,163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1,872</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5"/>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2"/>
                <w:szCs w:val="22"/>
                <w:b w:val="1"/>
                <w:bCs w:val="1"/>
                <w:color w:val="auto"/>
                <w:vertAlign w:val="superscript"/>
              </w:rPr>
              <w:t>(1)</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2.59x</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2.85x</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1.92x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88" w:lineRule="auto"/>
        <w:tabs>
          <w:tab w:leader="none" w:pos="4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38" w:lineRule="exact"/>
        <w:rPr>
          <w:rFonts w:ascii="Arial" w:cs="Arial" w:eastAsia="Arial" w:hAnsi="Arial"/>
          <w:sz w:val="16"/>
          <w:szCs w:val="16"/>
          <w:color w:val="auto"/>
        </w:rPr>
      </w:pPr>
    </w:p>
    <w:p>
      <w:pPr>
        <w:ind w:left="460" w:right="260" w:hanging="452"/>
        <w:spacing w:after="0" w:line="298" w:lineRule="auto"/>
        <w:tabs>
          <w:tab w:leader="none" w:pos="4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to reflect the impact of discontinued operations. Prior to this adjustment, the ratio of earnings to fixed charges for the years ended December 31, 2005 and 2004 was 2.01x and 1.97x, respectively.</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 the year ended December 31, 2003, we had a $88 million deficiency of earnings to fixed charges.</w:t>
      </w:r>
    </w:p>
    <w:p>
      <w:pPr>
        <w:sectPr>
          <w:pgSz w:w="11900" w:h="16838" w:orient="portrait"/>
          <w:cols w:equalWidth="0" w:num="1">
            <w:col w:w="11420"/>
          </w:cols>
          <w:pgMar w:left="240" w:top="125" w:right="2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 OF RATIO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COMBINED FIXED CHARGES AND PREFERRED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87"/>
              </w:rPr>
              <w:t>Years Ended December 31</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Arial" w:cs="Arial" w:eastAsia="Arial" w:hAnsi="Arial"/>
                <w:sz w:val="12"/>
                <w:szCs w:val="12"/>
                <w:b w:val="1"/>
                <w:bCs w:val="1"/>
                <w:color w:val="auto"/>
              </w:rPr>
              <w:t>2006</w:t>
            </w:r>
            <w:r>
              <w:rPr>
                <w:rFonts w:ascii="Arial" w:cs="Arial" w:eastAsia="Arial" w:hAnsi="Arial"/>
                <w:sz w:val="19"/>
                <w:szCs w:val="19"/>
                <w:b w:val="1"/>
                <w:bCs w:val="1"/>
                <w:color w:val="auto"/>
                <w:vertAlign w:val="superscript"/>
              </w:rPr>
              <w:t>(2)</w:t>
            </w:r>
          </w:p>
        </w:tc>
        <w:tc>
          <w:tcPr>
            <w:tcW w:w="180" w:type="dxa"/>
            <w:vAlign w:val="bottom"/>
          </w:tcPr>
          <w:p>
            <w:pPr>
              <w:spacing w:after="0"/>
              <w:rPr>
                <w:sz w:val="14"/>
                <w:szCs w:val="14"/>
                <w:color w:val="auto"/>
              </w:rPr>
            </w:pPr>
          </w:p>
        </w:tc>
        <w:tc>
          <w:tcPr>
            <w:tcW w:w="600" w:type="dxa"/>
            <w:vAlign w:val="bottom"/>
            <w:gridSpan w:val="2"/>
          </w:tcPr>
          <w:p>
            <w:pPr>
              <w:jc w:val="right"/>
              <w:spacing w:after="0" w:line="169" w:lineRule="exact"/>
              <w:rPr>
                <w:sz w:val="20"/>
                <w:szCs w:val="20"/>
                <w:color w:val="auto"/>
              </w:rPr>
            </w:pPr>
            <w:r>
              <w:rPr>
                <w:rFonts w:ascii="Arial" w:cs="Arial" w:eastAsia="Arial" w:hAnsi="Arial"/>
                <w:sz w:val="12"/>
                <w:szCs w:val="12"/>
                <w:b w:val="1"/>
                <w:bCs w:val="1"/>
                <w:color w:val="auto"/>
              </w:rPr>
              <w:t>2005</w:t>
            </w:r>
            <w:r>
              <w:rPr>
                <w:rFonts w:ascii="Arial" w:cs="Arial" w:eastAsia="Arial" w:hAnsi="Arial"/>
                <w:sz w:val="19"/>
                <w:szCs w:val="19"/>
                <w:b w:val="1"/>
                <w:bCs w:val="1"/>
                <w:color w:val="auto"/>
                <w:vertAlign w:val="superscript"/>
              </w:rPr>
              <w:t>(2)</w:t>
            </w:r>
          </w:p>
        </w:tc>
        <w:tc>
          <w:tcPr>
            <w:tcW w:w="28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2"/>
                <w:szCs w:val="12"/>
                <w:b w:val="1"/>
                <w:bCs w:val="1"/>
                <w:color w:val="auto"/>
              </w:rPr>
              <w:t>2004</w:t>
            </w:r>
            <w:r>
              <w:rPr>
                <w:rFonts w:ascii="Arial" w:cs="Arial" w:eastAsia="Arial" w:hAnsi="Arial"/>
                <w:sz w:val="19"/>
                <w:szCs w:val="19"/>
                <w:b w:val="1"/>
                <w:bCs w:val="1"/>
                <w:color w:val="auto"/>
                <w:vertAlign w:val="superscript"/>
              </w:rPr>
              <w:t>(2)</w:t>
            </w:r>
          </w:p>
        </w:tc>
        <w:tc>
          <w:tcPr>
            <w:tcW w:w="200" w:type="dxa"/>
            <w:vAlign w:val="bottom"/>
          </w:tcPr>
          <w:p>
            <w:pPr>
              <w:spacing w:after="0"/>
              <w:rPr>
                <w:sz w:val="14"/>
                <w:szCs w:val="14"/>
                <w:color w:val="auto"/>
              </w:rPr>
            </w:pPr>
          </w:p>
        </w:tc>
        <w:tc>
          <w:tcPr>
            <w:tcW w:w="640" w:type="dxa"/>
            <w:vAlign w:val="bottom"/>
            <w:gridSpan w:val="3"/>
          </w:tcPr>
          <w:p>
            <w:pPr>
              <w:jc w:val="right"/>
              <w:spacing w:after="0" w:line="169" w:lineRule="exact"/>
              <w:rPr>
                <w:sz w:val="20"/>
                <w:szCs w:val="20"/>
                <w:color w:val="auto"/>
              </w:rPr>
            </w:pPr>
            <w:r>
              <w:rPr>
                <w:rFonts w:ascii="Arial" w:cs="Arial" w:eastAsia="Arial" w:hAnsi="Arial"/>
                <w:sz w:val="19"/>
                <w:szCs w:val="19"/>
                <w:b w:val="1"/>
                <w:bCs w:val="1"/>
                <w:color w:val="auto"/>
                <w:vertAlign w:val="subscript"/>
              </w:rPr>
              <w:t>2003</w:t>
            </w:r>
            <w:r>
              <w:rPr>
                <w:rFonts w:ascii="Arial" w:cs="Arial" w:eastAsia="Arial" w:hAnsi="Arial"/>
                <w:sz w:val="9"/>
                <w:szCs w:val="9"/>
                <w:b w:val="1"/>
                <w:bCs w:val="1"/>
                <w:color w:val="auto"/>
              </w:rPr>
              <w:t>(2)(3)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bottom w:val="single" w:sz="8" w:color="CCEEFF"/>
            </w:tcBorders>
            <w:vMerge w:val="restart"/>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Computation of Earnings</w:t>
            </w:r>
          </w:p>
        </w:tc>
        <w:tc>
          <w:tcPr>
            <w:tcW w:w="1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8"/>
              </w:rPr>
              <w:t>(1)</w:t>
            </w:r>
          </w:p>
        </w:tc>
        <w:tc>
          <w:tcPr>
            <w:tcW w:w="220" w:type="dxa"/>
            <w:vAlign w:val="bottom"/>
            <w:tcBorders>
              <w:bottom w:val="single" w:sz="8" w:color="CCEEFF"/>
            </w:tcBorders>
            <w:vMerge w:val="restart"/>
            <w:shd w:val="clear" w:color="auto" w:fill="CCEEFF"/>
          </w:tcPr>
          <w:p>
            <w:pPr>
              <w:jc w:val="right"/>
              <w:ind w:right="142"/>
              <w:spacing w:after="0"/>
              <w:rPr>
                <w:sz w:val="20"/>
                <w:szCs w:val="20"/>
                <w:color w:val="auto"/>
              </w:rPr>
            </w:pPr>
            <w:r>
              <w:rPr>
                <w:rFonts w:ascii="Arial" w:cs="Arial" w:eastAsia="Arial" w:hAnsi="Arial"/>
                <w:sz w:val="8"/>
                <w:szCs w:val="8"/>
                <w:b w:val="1"/>
                <w:bCs w:val="1"/>
                <w:u w:val="single" w:color="auto"/>
                <w:color w:val="auto"/>
                <w:w w:val="73"/>
              </w:rPr>
              <w:t>:</w:t>
            </w: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4500" w:type="dxa"/>
            <w:vAlign w:val="bottom"/>
            <w:tcBorders>
              <w:bottom w:val="single" w:sz="8" w:color="CCEEFF"/>
            </w:tcBorders>
            <w:vMerge w:val="restart"/>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190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450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w w:val="96"/>
              </w:rPr>
              <w:t>Pretax income from continuing operations before adjustment for noncontrolling interest in</w:t>
            </w: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5"/>
          </w:tcPr>
          <w:p>
            <w:pPr>
              <w:ind w:left="200"/>
              <w:spacing w:after="0"/>
              <w:rPr>
                <w:sz w:val="20"/>
                <w:szCs w:val="20"/>
                <w:color w:val="auto"/>
              </w:rPr>
            </w:pPr>
            <w:r>
              <w:rPr>
                <w:rFonts w:ascii="Arial" w:cs="Arial" w:eastAsia="Arial" w:hAnsi="Arial"/>
                <w:sz w:val="18"/>
                <w:szCs w:val="18"/>
                <w:color w:val="auto"/>
              </w:rPr>
              <w:t>consolidated subsidiaries or income or loss from equity investees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$4,097</w:t>
            </w:r>
          </w:p>
        </w:tc>
        <w:tc>
          <w:tcPr>
            <w:tcW w:w="18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$4,412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$3,659</w:t>
            </w:r>
          </w:p>
        </w:tc>
        <w:tc>
          <w:tcPr>
            <w:tcW w:w="18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$1,762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$1,824</w:t>
            </w: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tcPr>
          <w:p>
            <w:pPr>
              <w:spacing w:after="0"/>
              <w:rPr>
                <w:sz w:val="20"/>
                <w:szCs w:val="20"/>
                <w:color w:val="auto"/>
              </w:rPr>
            </w:pPr>
            <w:r>
              <w:rPr>
                <w:rFonts w:ascii="Arial" w:cs="Arial" w:eastAsia="Arial" w:hAnsi="Arial"/>
                <w:sz w:val="18"/>
                <w:szCs w:val="18"/>
                <w:color w:val="auto"/>
              </w:rPr>
              <w:t>Distributed income of equity investees</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Noncontrolling interest in pretax income of subsidiaries that have not incurred fixed charges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6,696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6,881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5,873</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3,753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7"/>
              </w:rPr>
              <w:t>Computation of Fixed charges</w:t>
            </w: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74"/>
              </w:rPr>
              <w:t>(1)</w:t>
            </w:r>
          </w:p>
        </w:tc>
        <w:tc>
          <w:tcPr>
            <w:tcW w:w="4500" w:type="dxa"/>
            <w:vAlign w:val="bottom"/>
            <w:vMerge w:val="restart"/>
          </w:tcPr>
          <w:p>
            <w:pPr>
              <w:jc w:val="right"/>
              <w:ind w:right="4358"/>
              <w:spacing w:after="0"/>
              <w:rPr>
                <w:sz w:val="20"/>
                <w:szCs w:val="20"/>
                <w:color w:val="auto"/>
              </w:rPr>
            </w:pPr>
            <w:r>
              <w:rPr>
                <w:rFonts w:ascii="Arial" w:cs="Arial" w:eastAsia="Arial" w:hAnsi="Arial"/>
                <w:sz w:val="16"/>
                <w:szCs w:val="16"/>
                <w:b w:val="1"/>
                <w:bCs w:val="1"/>
                <w:u w:val="single" w:color="auto"/>
                <w:color w:val="auto"/>
                <w:w w:val="74"/>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280" w:type="dxa"/>
            <w:vAlign w:val="bottom"/>
            <w:gridSpan w:val="4"/>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45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2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2,589</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2,163</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1,937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Ratio of earnings to combined fixed charges and preferred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6"/>
            <w:vMerge w:val="continue"/>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6880" w:type="dxa"/>
            <w:vAlign w:val="bottom"/>
            <w:gridSpan w:val="5"/>
          </w:tcPr>
          <w:p>
            <w:pPr>
              <w:ind w:left="200"/>
              <w:spacing w:after="0"/>
              <w:rPr>
                <w:sz w:val="20"/>
                <w:szCs w:val="20"/>
                <w:color w:val="auto"/>
              </w:rPr>
            </w:pPr>
            <w:r>
              <w:rPr>
                <w:rFonts w:ascii="Arial" w:cs="Arial" w:eastAsia="Arial" w:hAnsi="Arial"/>
                <w:sz w:val="18"/>
                <w:szCs w:val="18"/>
                <w:b w:val="1"/>
                <w:bCs w:val="1"/>
                <w:color w:val="auto"/>
              </w:rPr>
              <w:t>dividends</w:t>
            </w:r>
            <w:r>
              <w:rPr>
                <w:rFonts w:ascii="Arial" w:cs="Arial" w:eastAsia="Arial" w:hAnsi="Arial"/>
                <w:sz w:val="22"/>
                <w:szCs w:val="22"/>
                <w:b w:val="1"/>
                <w:bCs w:val="1"/>
                <w:color w:val="auto"/>
                <w:vertAlign w:val="superscript"/>
              </w:rPr>
              <w:t>(1)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2.59x</w:t>
            </w:r>
          </w:p>
        </w:tc>
        <w:tc>
          <w:tcPr>
            <w:tcW w:w="1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2.84x</w:t>
            </w:r>
          </w:p>
        </w:tc>
        <w:tc>
          <w:tcPr>
            <w:tcW w:w="1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2.72x</w:t>
            </w: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1.92x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1.94x</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ind w:left="460" w:hanging="452"/>
        <w:spacing w:after="0" w:line="301" w:lineRule="auto"/>
        <w:tabs>
          <w:tab w:leader="none" w:pos="46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For purposes of calculating the ratio of earnings to combined fixed charges and preferred dividends,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and</w:t>
      </w:r>
    </w:p>
    <w:p>
      <w:pPr>
        <w:spacing w:after="0" w:line="3" w:lineRule="exact"/>
        <w:rPr>
          <w:rFonts w:ascii="Arial" w:cs="Arial" w:eastAsia="Arial" w:hAnsi="Arial"/>
          <w:sz w:val="15"/>
          <w:szCs w:val="15"/>
          <w:color w:val="auto"/>
        </w:rPr>
      </w:pPr>
    </w:p>
    <w:p>
      <w:pPr>
        <w:ind w:left="460" w:right="200"/>
        <w:spacing w:after="0" w:line="255" w:lineRule="auto"/>
        <w:rPr>
          <w:rFonts w:ascii="Arial" w:cs="Arial" w:eastAsia="Arial" w:hAnsi="Arial"/>
          <w:sz w:val="15"/>
          <w:szCs w:val="15"/>
          <w:color w:val="auto"/>
        </w:rPr>
      </w:pPr>
      <w:r>
        <w:rPr>
          <w:rFonts w:ascii="Arial" w:cs="Arial" w:eastAsia="Arial" w:hAnsi="Arial"/>
          <w:sz w:val="18"/>
          <w:szCs w:val="18"/>
          <w:color w:val="auto"/>
        </w:rPr>
        <w:t>(y) an estimate of the interest within rental expense.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63" w:lineRule="exact"/>
        <w:rPr>
          <w:rFonts w:ascii="Arial" w:cs="Arial" w:eastAsia="Arial" w:hAnsi="Arial"/>
          <w:sz w:val="15"/>
          <w:szCs w:val="15"/>
          <w:color w:val="auto"/>
        </w:rPr>
      </w:pPr>
    </w:p>
    <w:p>
      <w:pPr>
        <w:ind w:left="460" w:right="40" w:hanging="452"/>
        <w:spacing w:after="0" w:line="255" w:lineRule="auto"/>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combined fixed charges and preferred dividends to reflect the impact of discontinued operations. Prior to this adjustment, the ratio of earnings to combined fixed charges and preferred dividends for the years ended December 31, 2005 and 2004 was 2.01x and 1.97x, respectively.</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For the year ended December 31, 2003, we had a $86 million deficiency of earnings to combined fixed charges and preferred dividends.</w:t>
      </w:r>
    </w:p>
    <w:p>
      <w:pPr>
        <w:sectPr>
          <w:pgSz w:w="11900" w:h="16838" w:orient="portrait"/>
          <w:cols w:equalWidth="0" w:num="1">
            <w:col w:w="11420"/>
          </w:cols>
          <w:pgMar w:left="240" w:top="274" w:right="23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28"/>
        </w:trPr>
        <w:tc>
          <w:tcPr>
            <w:tcW w:w="9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ind w:left="1040"/>
              <w:spacing w:after="0"/>
              <w:rPr>
                <w:sz w:val="20"/>
                <w:szCs w:val="20"/>
                <w:color w:val="auto"/>
              </w:rPr>
            </w:pPr>
            <w:r>
              <w:rPr>
                <w:rFonts w:ascii="Arial" w:cs="Arial" w:eastAsia="Arial" w:hAnsi="Arial"/>
                <w:sz w:val="18"/>
                <w:szCs w:val="18"/>
                <w:b w:val="1"/>
                <w:bCs w:val="1"/>
                <w:color w:val="auto"/>
                <w:w w:val="91"/>
              </w:rPr>
              <w:t>Exhibit 21</w:t>
            </w:r>
          </w:p>
        </w:tc>
      </w:tr>
      <w:tr>
        <w:trPr>
          <w:trHeight w:val="366"/>
        </w:trPr>
        <w:tc>
          <w:tcPr>
            <w:tcW w:w="9360" w:type="dxa"/>
            <w:vAlign w:val="bottom"/>
          </w:tcPr>
          <w:p>
            <w:pPr>
              <w:spacing w:after="0"/>
              <w:rPr>
                <w:sz w:val="20"/>
                <w:szCs w:val="20"/>
                <w:color w:val="auto"/>
              </w:rPr>
            </w:pPr>
            <w:r>
              <w:rPr>
                <w:rFonts w:ascii="Arial" w:cs="Arial" w:eastAsia="Arial" w:hAnsi="Arial"/>
                <w:sz w:val="14"/>
                <w:szCs w:val="14"/>
                <w:b w:val="1"/>
                <w:bCs w:val="1"/>
                <w:color w:val="auto"/>
              </w:rPr>
              <w:t>Entity Name</w:t>
            </w:r>
          </w:p>
        </w:tc>
        <w:tc>
          <w:tcPr>
            <w:tcW w:w="240" w:type="dxa"/>
            <w:vAlign w:val="bottom"/>
          </w:tcPr>
          <w:p>
            <w:pPr>
              <w:spacing w:after="0"/>
              <w:rPr>
                <w:sz w:val="24"/>
                <w:szCs w:val="24"/>
                <w:color w:val="auto"/>
              </w:rPr>
            </w:pPr>
          </w:p>
        </w:tc>
        <w:tc>
          <w:tcPr>
            <w:tcW w:w="1840" w:type="dxa"/>
            <w:vAlign w:val="bottom"/>
            <w:gridSpan w:val="2"/>
          </w:tcPr>
          <w:p>
            <w:pPr>
              <w:ind w:left="360"/>
              <w:spacing w:after="0"/>
              <w:rPr>
                <w:sz w:val="20"/>
                <w:szCs w:val="20"/>
                <w:color w:val="auto"/>
              </w:rPr>
            </w:pPr>
            <w:r>
              <w:rPr>
                <w:rFonts w:ascii="Arial" w:cs="Arial" w:eastAsia="Arial" w:hAnsi="Arial"/>
                <w:sz w:val="14"/>
                <w:szCs w:val="14"/>
                <w:b w:val="1"/>
                <w:bCs w:val="1"/>
                <w:color w:val="auto"/>
              </w:rPr>
              <w:t>Organization State</w:t>
            </w:r>
          </w:p>
        </w:tc>
      </w:tr>
      <w:tr>
        <w:trPr>
          <w:trHeight w:val="201"/>
        </w:trPr>
        <w:tc>
          <w:tcPr>
            <w:tcW w:w="9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ABB MOG-WM, Inc.</w:t>
            </w:r>
          </w:p>
        </w:tc>
        <w:tc>
          <w:tcPr>
            <w:tcW w:w="24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w:t>
            </w:r>
          </w:p>
        </w:tc>
        <w:tc>
          <w:tcPr>
            <w:tcW w:w="20" w:type="dxa"/>
            <w:vAlign w:val="bottom"/>
          </w:tcPr>
          <w:p>
            <w:pPr>
              <w:spacing w:after="0"/>
              <w:rPr>
                <w:sz w:val="17"/>
                <w:szCs w:val="17"/>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ABB RFL,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ABB TS Assets,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Alabama T.V. Cable,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AL</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American Microwave &amp; Communications,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Atlantic American Cablevision of Florida,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FL</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Atlantic American Cablevision,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Atlantic American Holdings,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FL</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Atlantic Cablevision of Florida,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Beatrice Cable TV Company</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NE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Brigand Pictures,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Danmark ApS</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Europe SPRL</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France S.A.S.</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Hellas S.A.</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Holdings, B.V.</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Italy SPA</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Magyarorszag Kft</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Suisse A.S.</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BroadNet UK Ltd.</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 Spectrum Investment,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Cable Accounting,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Cable Programming Ventures,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Cable Sports Southeast,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Cable Television Advertising Group,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WY</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Cable Television of Gary,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Cablevision Associates of Gary Joint Venture</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Cablevision Investment of Detroit,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Cablevision of Arcadia/Sierra Madre,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CATV Facility Co.,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CCC-NJFT,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CO</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CCF Management Services,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Century-TCI California Communications, L.P.</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Century-TCI Holdings,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CIC Development Corp.</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Classic Services,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Clinton Cable TV Investors,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MI</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Clinton TV Cable Company, LLC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CMC Technologies India Private Limited</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Coastal Cable TV, Inc.</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Colorado Terrace Tower II Corporation</w:t>
            </w:r>
          </w:p>
        </w:tc>
        <w:tc>
          <w:tcPr>
            <w:tcW w:w="2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CO</w:t>
            </w: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COM Indiana, LLC</w:t>
            </w:r>
          </w:p>
        </w:tc>
        <w:tc>
          <w:tcPr>
            <w:tcW w:w="24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w:t>
            </w:r>
          </w:p>
        </w:tc>
      </w:tr>
    </w:tbl>
    <w:p>
      <w:pPr>
        <w:sectPr>
          <w:pgSz w:w="11900" w:h="16838" w:orient="portrait"/>
          <w:cols w:equalWidth="0" w:num="1">
            <w:col w:w="11420"/>
          </w:cols>
          <w:pgMar w:left="240" w:top="125"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 Indianapolis,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 Inkster,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 MH,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 South,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 Sports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38GHZ,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A/TW Note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Business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Cablevision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CSC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CSC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HCI,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Holdings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Network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NOC,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ABB Note Consolidation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ABB Note Consolidation,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Clinton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Georgia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Kiowa,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Mississippi/Iowa,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Payette,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Optionee Payroll,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Overseas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Overseas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Overseas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USC,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ASBC,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Brazil,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BroadNet Payroll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BTN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Business Communications of Virginia,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Business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 GP,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Cable of Indiana,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Cable of Indiana/Michigan/Texas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of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SC Investment,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Cablevision of Baltimore City GP,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Cablevision of Garden State,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Cablevision of Philadelphia Area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Cablevision of Southeast 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CCH Subsidiary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CHC Subsidiary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Children’s Network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CICG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CICG,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CIM STS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COLI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Commercial Services Financing,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Commercial Services Group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Commercial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Concurrent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Corporate Investments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Corporate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Political Action Committee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Political Action Committee of Maryland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Political Action Committee of Massachusetts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Political Action Committee-USA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Crystalvision,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CTV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CVC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DC Radio,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Encore,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Entertainment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Entertainment Networks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Financial Agency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Florida Programming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Funding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Garden State,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Gateway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Greater Boston Advertising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Hockey,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Horror Entertainment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Houston Advertising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ICCP,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ICG,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In Demand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Interactive Capital,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Interactive Media,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Interactive Programming Ventures,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of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of Oregon,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Services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IPG/JV,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JR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LCP,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Levittown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Life Insurance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LMC E!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Metatv,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MH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Michigan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Midwest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Cable News,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MO Communications Holding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MO Delta,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Digital Radio,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Europe,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8880" w:space="720"/>
            <w:col w:w="619"/>
          </w:cols>
          <w:pgMar w:left="240" w:top="280" w:right="1440"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MO Express Midwest,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Florida,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New England,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Federal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Foreign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FS Leasing 1995,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Funding,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MO Information Technology Systems,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Interactive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International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International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Burnsville/Eagan,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North Valley,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Quad Cities,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the North Suburbs,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Racing,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Real Estate,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Telecommunications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MVNO I,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MVNO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Nashville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National Communications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Netherlands,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 Media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 Mexico/Pennsylvania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Alabama,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Alameda,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Arizona,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Arkansas,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Comcast of Arkansas/Florida/Louisiana/Minnesota/Mississippi/Tennessee,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Comcast of Avalon,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Baltimore City,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Baltimore City,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Bellevue,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Boston,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Brockton,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Bryant,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Burlington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VI,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VIII,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California/Colorado/Florida/Oregon,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California/Colorado/Illinois/Indiana/Michigan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California/Colorado/Illinois/Indiana/Michigan,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California/Colorado/Washington I,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California/Colorado/Washington,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California/Connecticut/Michigan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California/Idaho,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California/Illinois,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California/Maryland/Pennsylvania/Virginia/West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California/Massachusetts/Michigan/Utah,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California/Pennsylvania/Utah/Washington,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Carolina,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Celebration,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Central New Jersey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Central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Chesterfield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 CT,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 MI,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Coconut Creek,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XI,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XII,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Colorado/Florida,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Colorado/Pennsylvania/West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Connecticut/Georgia/Massachusetts/New Hampshire/New York/North Carolina/ Virginia/Vermont,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Contra Costa,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Cupertino,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Danbury,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Davis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Delmarva,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Detroit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ectPr>
          <w:pgSz w:w="11900" w:h="16838" w:orient="portrait"/>
          <w:cols w:equalWidth="0" w:num="2">
            <w:col w:w="8880" w:space="720"/>
            <w:col w:w="619"/>
          </w:cols>
          <w:pgMar w:left="240" w:top="280" w:right="1440"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Detroit,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Comcast of East San Fernando Valley,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Eastern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Eastern Shore,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Elkton,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Everett,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Flint,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Florida/Illinois/Michigan,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Florida/Pennsylvania,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Florida/Washington,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Fort Wayne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Fresno,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Garden State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 I,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Georgia/Massachusetts,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Georgia/Michigan,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Georgia/South Carolina II,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of Georgia/South Carolina,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Gloucester County,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Greater Florida/Georgia,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Grosse Pointe,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Groton,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Harford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Hopewell Valley,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Houston,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Howard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Illinois X,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Illinois/Ohio/Oregon,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Indiana/Kentucky/Utah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Indiana/Michigan,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Indiana/Michigan/Pennsylvania,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Indianapolis,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Indianapolis,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Inkster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Jersey City,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Kentucky/Tennessee/Virginia,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Laurel,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Lawrence,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Levittown,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Little Rock,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Lompoc,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Long Beach Island,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Louisiana/Mississippi/Texas,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Lower Merion,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Macomb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Macomb,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Maine/New Hampshire,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Margate,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Marianna,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Marin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Marin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III,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Massachusetts/New Hampshire,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Mercer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Meridian,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ectPr>
          <w:pgSz w:w="11900" w:h="16838" w:orient="portrait"/>
          <w:cols w:equalWidth="0" w:num="2">
            <w:col w:w="8880" w:space="720"/>
            <w:col w:w="619"/>
          </w:cols>
          <w:pgMar w:left="240" w:top="280" w:right="1440"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Miami,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Michigan/Mississippi/Tennessee,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Middletown,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Milton,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Minnesota/Wisconsin,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Mississippi Call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Missouri,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Monmouth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Mt. Clemens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Mt. Clemens,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Muncie,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Muncie,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Muskegon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Nashville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Nashville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Needham,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Castle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Hampshire,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Haven,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Jersey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Mexico,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Mexico/Pennsylvania,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York,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 Broward,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California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California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Indiana,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Northwest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Novato,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Ocean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Ohio,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Oregon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ectPr>
          <w:pgSz w:w="11900" w:h="16838" w:orient="portrait"/>
          <w:cols w:equalWidth="0" w:num="2">
            <w:col w:w="8880" w:space="720"/>
            <w:col w:w="619"/>
          </w:cols>
          <w:pgMar w:left="240" w:top="280" w:right="1440"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Oregon II,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of Panama City,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Parkland,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Pennsylvania/Maryland,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Pennsylvania/Washington/West Virginia,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Perry,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Philadelphia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Philadelphia,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Plainfield,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Potomac,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Puget Sound,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Quincy,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Richmond,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San Joaquin,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San Leandro,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Santa Cruz,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Santa Maria,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Shelby,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Sierra Valleys,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Dade,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Florida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Florida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Southeast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Mississippi,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New England,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Tennessee,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Spokane,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St. Paul,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Sterling Heights,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Tacoma,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Tallahassee,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Taylor,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of Tennessee,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District,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Gulf Plains,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Meadowlands,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Tualatin Valley,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Tupelo,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Twin Cities,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Utah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Utah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Utica,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Warren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Warren,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Wasatch,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Washington/Oregon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Washington/Oregon SMATV I,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of Washington/Oregon SMATV II,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 Florida,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Western Colorado,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Wildwood,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Willow Grove,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Wisconsin,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Palm Beach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Arizona,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Arkansas,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Phone of California,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Central Indiana,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D.C.,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Delaware,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Georgia,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Illinois,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Kansas,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Kentucky,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Louisiana,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Massachusetts,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Mississippi,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New Hampshire,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Mexico,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York,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North Carolina,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Northern Maryland,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Northern Virginia,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Oregon,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South Carolina,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Tennessee,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Utah,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Vermont,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Washington,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Wisconsin,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PM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Primestar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Programming Development,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Programming Management,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PSM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QCOM TV Partners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QIH,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QVC,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Real Estate Holdings of Alabama,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Regional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RL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SC Investment,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SCH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Shared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Holding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Management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NY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Bay Area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Chicago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LP,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Northwest,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West,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Spotlight Cebridge Texas Cable Advertising,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Spotlight Charter Cable Advertising,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Spotlight Conroe-Huntsville Cable Advertising,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Spotlight JV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Spotlight,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DVR,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LIB,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MOT,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PAN,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PM,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8880" w:space="720"/>
            <w:col w:w="619"/>
          </w:cols>
          <w:pgMar w:left="240" w:top="280" w:right="1440"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STB Software TW,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Studio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TCP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TCP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Delaware,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Georgia,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Indiana,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Pennsylvania,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Services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TKI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II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Visible World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ME04,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ME05,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ME16,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ME19,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ME26,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ME28,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Merger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Wireless Investment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Wireless Investment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Wireless Investment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Wireless Investment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Wireless Investment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Comcast/Mediacom Minneapolis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Charleston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Detroit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Enterprise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Franklin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Ft. Myers-Naples Cable Advertising,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Hilton Head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Idaho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Jacksonville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Littleton/Plymouth Cable Advertising,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94" w:name="page295"/>
    <w:bookmarkEnd w:id="2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Comcast/Time Warner New Hampshire Cable Advertising,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Saranac Lake Cable Advertising,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Comcast-Spectacor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ComCon Entertainment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Command Cable of Eastern Illinois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Community Realty,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Community Telecable of Seattle,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Conditional Access Licensing,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Australia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Cablevision Asia Pacific,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Programming Australia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Telecommunications Corp. of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Teleport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Ballpark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Baysox Club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Keys Club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London,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Shorebirds Club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Soccer,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CVC Keep Well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DailyCandy,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DigiVentures,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Europe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Television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Television,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Networks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Elbert County Cable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Resources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Exclamation Music,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Exclamation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FAB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Fandango Marketing,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Fandango,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Television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Flyers Skate Zone,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Games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 Flags Cable 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 Flags Cablevision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FPS Rink,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FPS Rink,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South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Netherland Antilles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ectPr>
          <w:pgSz w:w="11900" w:h="16838" w:orient="portrait"/>
          <w:cols w:equalWidth="0" w:num="2">
            <w:col w:w="8880" w:space="720"/>
            <w:col w:w="1360"/>
          </w:cols>
          <w:pgMar w:left="240" w:top="280" w:right="69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G4 Holding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G4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G4 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Garden State Telecommunications,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Gateway/Jones Communications,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Genacast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Facility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Facility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Holdings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Golfcolorado.com,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Golfnow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Golfnow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Greater Boston Cable Advertising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Guide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GuideWorks,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Hawkeye Communications of Clinton,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Headend In The Sky,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Heritage Cablevision of Massachusetts,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Heritage Cablevision of South East Massachusetts,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Home Sports 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IEC License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Demand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Incuborn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Technology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Intermedia Cable Investors,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Cable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Cable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Panorama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Programming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Spacelink Cable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Telecommunications of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Last Minute Tee Times,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LCNI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Atlantic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Group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Investment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Clearview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700"/>
          </w:cols>
          <w:pgMar w:left="240" w:top="280" w:right="13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Lenfest Clearview,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Lenfest Delaware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MCN,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Oaks,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York,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Ventures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LVO Cable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H Lightnet,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MarketLink Indianapolis Cable Advertising,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MediaOne Brasil Comércio e Participações Ltda.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Mile Hi Cable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MOC Holdco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MOC Holdco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Cable 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States General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States Limited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 Clemens Cable TV Investors,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MTCB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 Sports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Cable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Digital Television Center,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NDTC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England Microwave,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Northwest Illinois Cable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Northwest Illinois TV Cable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Fanfare,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I,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Ovations Food Services of Oklahoma City,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Ovations Food Services of Washington,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Ontario Food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Ontario Food Services,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Owner Trusts UT 1-3, 7-12, 15-27, 29, 33, 34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Pacific Northwest Interconnect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Regional Programming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Beach Group Cable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Parnassos Communications,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Ontario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Ontario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Parnassos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Patron Solutions,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Patron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Pattison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Pattison Realty,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76ers,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76ers,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Enterprises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Phantoms,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Phantoms,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Plaxo,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Preview Magazine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Prime Telecom Potomac,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QCOM TV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NE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NE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Pacific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Pacific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Satellite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Saturn Cable TV,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34,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36,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37,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38,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48,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55,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Selkirk Communications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Shorebirds,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Southwest Washington Cable,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Spectacor Adjoining Real Estate New Arena, L.P.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Spectrum Arena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SportsChannel New England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SportsChannel Pacific Associates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Spot Buy Spot,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Tele-Communications,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Stage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Storer Administration,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Strata Marketing,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StreamSage,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Susquehanna Cable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Nova Scotia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860"/>
          </w:cols>
          <w:pgMar w:left="240" w:top="280" w:right="119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Susquehanna Cable Investment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Taurus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Adelphia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Atlantic,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Bay,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TCI Cablevision of California Century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Kentucky,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Massachusetts,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Nebraska,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North Central Kentucky,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Sierra Vista,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South Dakota,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St. Bernard,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Vermont,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California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Central,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Command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VI,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VII,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VIII,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XI,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Evangola,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Falcon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Missouri,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TCI FCLP Northern California,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TCI FCLP Northwest,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Oregon,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Redding,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Wenatchee,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Gilbert Uplink,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Great Lakes,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Hits At Home,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ICM VI,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IL-Holdings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IL-Holdings,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Internet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Internet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IP-VI,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Lake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Lake,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Lenfest,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Magma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Materials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Microwave,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Midcontinent,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TCI National Digital Television Center—Hong Kong,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TCI New York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Northeast,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Bloomington/Normal,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Council Bluffs,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Greenwich,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Indiana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Indiana Insgt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Kokomo,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Lee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Lexington,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Maine,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Missouri,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North Central Kentucky,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North Dakota,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Overland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Paterson,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Radcliff,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TCI of South Dakota,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TCI of Southern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Springfield,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Watertown,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Ohio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Pacific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Pennsylvania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TCI Programming Holding Company 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TCI Realty,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South Carolina IP-I,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Southeast,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Spartanburg IP-IV,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Starz,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Technology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Telecom,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Texas Cable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Texas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Cable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Houston,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Houston,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Jefferson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Metro Dade,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Southeast Texas,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Wyoming,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USC,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Ventures Five,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Washington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West,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TCI/CA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TCI/CI Merger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Data Transport,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of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of 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of South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Partners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X*PRESS,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8880" w:space="720"/>
            <w:col w:w="619"/>
          </w:cols>
          <w:pgMar w:left="240" w:top="280" w:right="1440"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TCID-Commercial Music,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TCP Security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Tele-Communications of Colorado,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Tele-Link Telecomunicações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Group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of 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of Powder River,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of Wyoming,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Tempo DBS,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Tempo Development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TEMPO Television,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TGC,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TGW Telecomunicações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Comcast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Comcast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thePlatform for 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thePlatform,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Trans-Muskingum,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Tribune-United Cable of Oakland County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TVWorks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TVWorks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TVWorks,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 S West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UACC Midwest Insgt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UA-Columbia Cablevision of Massachusetts,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UATC Merger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UCTC LP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UCTC of Los Angeles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Artists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Artists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Cable Investment of Baltimore,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Corporation of Michigan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Baldwin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Illinois Valley,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Los Angeles,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of Oakland County,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of Sarpy County,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Scottsdale,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Services of Colorado,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of Oakland,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WEST Deutschland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Brunswick, Canada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8880" w:space="720"/>
            <w:col w:w="1740"/>
          </w:cols>
          <w:pgMar w:left="240" w:top="280" w:right="31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UTI Purchase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Valertex,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Vehix,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VERSUS,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Tele-Communications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Waltham Tele-Communications,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Watch What You Play Music,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Western Range Insurance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Satellite 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Cable Holding,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Realty,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York Cable Television,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619"/>
          </w:cols>
          <w:pgMar w:left="240" w:top="280" w:right="1440" w:bottom="1440" w:gutter="0" w:footer="0" w:header="0"/>
        </w:sectPr>
      </w:pPr>
    </w:p>
    <w:bookmarkStart w:id="303" w:name="page304"/>
    <w:bookmarkEnd w:id="303"/>
    <w:p>
      <w:pPr>
        <w:spacing w:after="0"/>
        <w:tabs>
          <w:tab w:leader="none" w:pos="104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23.1</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consent to the incorporation by reference in Registration Statements of Comcast Corporation on Form S-8 (Nos. 333-101645, 333-101295, 333-104385, 333-121082, 333-123059, 333-130844, 333-130845, and 333-130847), Form S-3 (Nos. 333-132750, 333-101861, 333-119161 and 333-104034), and Form S-4 (Nos. 333-101264 and 333-102883) of our reports dated February 20, 2009, relating to the consolidated financial statements and financial statement schedule of Comcast Corporation (which reports express unqualified opinions and include an explanatory paragraph relating to the adoption of new accounting pronouncements in 2008 and 2007), and the effectiveness of Comcast Corporation’s internal control over financial reporting, appearing in the Annual Report on Form 10-K of Comcast Corporation for the year ended December 31,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ectPr>
          <w:pgSz w:w="11900" w:h="16838" w:orient="portrait"/>
          <w:cols w:equalWidth="0" w:num="1">
            <w:col w:w="11420"/>
          </w:cols>
          <w:pgMar w:left="240" w:top="121" w:right="239" w:bottom="1440" w:gutter="0" w:footer="0" w:header="0"/>
        </w:sectPr>
      </w:pPr>
    </w:p>
    <w:bookmarkStart w:id="304" w:name="page305"/>
    <w:bookmarkEnd w:id="304"/>
    <w:p>
      <w:pPr>
        <w:spacing w:after="0"/>
        <w:tabs>
          <w:tab w:leader="none" w:pos="10580" w:val="left"/>
        </w:tabs>
        <w:rPr>
          <w:sz w:val="20"/>
          <w:szCs w:val="20"/>
          <w:color w:val="auto"/>
        </w:rPr>
      </w:pPr>
      <w:r>
        <w:rPr>
          <w:rFonts w:ascii="Arial" w:cs="Arial" w:eastAsia="Arial" w:hAnsi="Arial"/>
          <w:sz w:val="19"/>
          <w:szCs w:val="19"/>
          <w:color w:val="auto"/>
        </w:rPr>
        <w:t>Certifications</w:t>
      </w:r>
      <w:r>
        <w:rPr>
          <w:sz w:val="20"/>
          <w:szCs w:val="20"/>
          <w:color w:val="auto"/>
        </w:rPr>
        <w:tab/>
      </w:r>
      <w:r>
        <w:rPr>
          <w:rFonts w:ascii="Arial" w:cs="Arial" w:eastAsia="Arial" w:hAnsi="Arial"/>
          <w:sz w:val="26"/>
          <w:szCs w:val="26"/>
          <w:b w:val="1"/>
          <w:bCs w:val="1"/>
          <w:color w:val="auto"/>
          <w:vertAlign w:val="superscript"/>
        </w:rPr>
        <w:t>Exhibit 31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98" w:lineRule="exact"/>
        <w:rPr>
          <w:sz w:val="20"/>
          <w:szCs w:val="20"/>
          <w:color w:val="auto"/>
        </w:rPr>
      </w:pPr>
    </w:p>
    <w:p>
      <w:pPr>
        <w:ind w:left="260" w:hanging="252"/>
        <w:spacing w:after="0"/>
        <w:tabs>
          <w:tab w:leader="none" w:pos="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98"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8" w:lineRule="exact"/>
        <w:rPr>
          <w:rFonts w:ascii="Arial" w:cs="Arial" w:eastAsia="Arial" w:hAnsi="Arial"/>
          <w:sz w:val="16"/>
          <w:szCs w:val="16"/>
          <w:color w:val="auto"/>
        </w:rPr>
      </w:pPr>
    </w:p>
    <w:p>
      <w:pPr>
        <w:jc w:val="both"/>
        <w:ind w:left="560" w:hanging="336"/>
        <w:spacing w:after="0" w:line="238" w:lineRule="auto"/>
        <w:tabs>
          <w:tab w:leader="none" w:pos="5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38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1260" w:type="dxa"/>
            <w:vAlign w:val="bottom"/>
          </w:tcPr>
          <w:p>
            <w:pPr>
              <w:spacing w:after="0"/>
              <w:rPr>
                <w:sz w:val="18"/>
                <w:szCs w:val="18"/>
                <w:color w:val="auto"/>
              </w:rPr>
            </w:pPr>
          </w:p>
        </w:tc>
      </w:tr>
      <w:tr>
        <w:trPr>
          <w:trHeight w:val="21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1300"/>
              <w:spacing w:after="0"/>
              <w:rPr>
                <w:sz w:val="20"/>
                <w:szCs w:val="20"/>
                <w:color w:val="auto"/>
              </w:rPr>
            </w:pPr>
            <w:r>
              <w:rPr>
                <w:rFonts w:ascii="Arial" w:cs="Arial" w:eastAsia="Arial" w:hAnsi="Arial"/>
                <w:sz w:val="18"/>
                <w:szCs w:val="18"/>
                <w:color w:val="auto"/>
              </w:rPr>
              <w:t>Brian L. Roberts</w:t>
            </w:r>
          </w:p>
        </w:tc>
        <w:tc>
          <w:tcPr>
            <w:tcW w:w="1260" w:type="dxa"/>
            <w:vAlign w:val="bottom"/>
          </w:tcPr>
          <w:p>
            <w:pPr>
              <w:spacing w:after="0"/>
              <w:rPr>
                <w:sz w:val="18"/>
                <w:szCs w:val="18"/>
                <w:color w:val="auto"/>
              </w:rPr>
            </w:pPr>
          </w:p>
        </w:tc>
      </w:tr>
      <w:tr>
        <w:trPr>
          <w:trHeight w:val="211"/>
        </w:trPr>
        <w:tc>
          <w:tcPr>
            <w:tcW w:w="700" w:type="dxa"/>
            <w:vAlign w:val="bottom"/>
          </w:tcPr>
          <w:p>
            <w:pPr>
              <w:spacing w:after="0"/>
              <w:rPr>
                <w:sz w:val="18"/>
                <w:szCs w:val="18"/>
                <w:color w:val="auto"/>
              </w:rPr>
            </w:pPr>
          </w:p>
        </w:tc>
        <w:tc>
          <w:tcPr>
            <w:tcW w:w="3880" w:type="dxa"/>
            <w:vAlign w:val="bottom"/>
          </w:tcPr>
          <w:p>
            <w:pPr>
              <w:ind w:left="1040"/>
              <w:spacing w:after="0"/>
              <w:rPr>
                <w:sz w:val="20"/>
                <w:szCs w:val="20"/>
                <w:color w:val="auto"/>
              </w:rPr>
            </w:pPr>
            <w:r>
              <w:rPr>
                <w:rFonts w:ascii="Arial" w:cs="Arial" w:eastAsia="Arial" w:hAnsi="Arial"/>
                <w:sz w:val="18"/>
                <w:szCs w:val="18"/>
                <w:color w:val="auto"/>
              </w:rPr>
              <w:t>Chief Executive Officer</w:t>
            </w:r>
          </w:p>
        </w:tc>
        <w:tc>
          <w:tcPr>
            <w:tcW w:w="1260" w:type="dxa"/>
            <w:vAlign w:val="bottom"/>
          </w:tcPr>
          <w:p>
            <w:pPr>
              <w:spacing w:after="0"/>
              <w:rPr>
                <w:sz w:val="18"/>
                <w:szCs w:val="18"/>
                <w:color w:val="auto"/>
              </w:rPr>
            </w:pPr>
          </w:p>
        </w:tc>
      </w:tr>
      <w:tr>
        <w:trPr>
          <w:trHeight w:val="299"/>
        </w:trPr>
        <w:tc>
          <w:tcPr>
            <w:tcW w:w="4580" w:type="dxa"/>
            <w:vAlign w:val="bottom"/>
            <w:gridSpan w:val="2"/>
          </w:tcPr>
          <w:p>
            <w:pPr>
              <w:spacing w:after="0"/>
              <w:rPr>
                <w:sz w:val="20"/>
                <w:szCs w:val="20"/>
                <w:color w:val="auto"/>
              </w:rPr>
            </w:pPr>
            <w:r>
              <w:rPr>
                <w:rFonts w:ascii="Arial" w:cs="Arial" w:eastAsia="Arial" w:hAnsi="Arial"/>
                <w:sz w:val="14"/>
                <w:szCs w:val="14"/>
                <w:color w:val="auto"/>
              </w:rPr>
              <w:t>Comcast 2008 Annual Report on Form 10-K</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bl>
    <w:p>
      <w:pPr>
        <w:sectPr>
          <w:pgSz w:w="11900" w:h="16838" w:orient="portrait"/>
          <w:cols w:equalWidth="0" w:num="1">
            <w:col w:w="11420"/>
          </w:cols>
          <w:pgMar w:left="240" w:top="120" w:right="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 Michael J. Angelakis, certify that:</w:t>
      </w:r>
    </w:p>
    <w:p>
      <w:pPr>
        <w:spacing w:after="0" w:line="198" w:lineRule="exact"/>
        <w:rPr>
          <w:sz w:val="20"/>
          <w:szCs w:val="20"/>
          <w:color w:val="auto"/>
        </w:rPr>
      </w:pPr>
    </w:p>
    <w:p>
      <w:pPr>
        <w:ind w:left="260" w:hanging="252"/>
        <w:spacing w:after="0"/>
        <w:tabs>
          <w:tab w:leader="none" w:pos="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98"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8" w:lineRule="exact"/>
        <w:rPr>
          <w:rFonts w:ascii="Arial" w:cs="Arial" w:eastAsia="Arial" w:hAnsi="Arial"/>
          <w:sz w:val="16"/>
          <w:szCs w:val="16"/>
          <w:color w:val="auto"/>
        </w:rPr>
      </w:pPr>
    </w:p>
    <w:p>
      <w:pPr>
        <w:jc w:val="both"/>
        <w:ind w:left="560" w:hanging="336"/>
        <w:spacing w:after="0" w:line="238" w:lineRule="auto"/>
        <w:tabs>
          <w:tab w:leader="none" w:pos="5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38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r>
      <w:tr>
        <w:trPr>
          <w:trHeight w:val="21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r>
      <w:tr>
        <w:trPr>
          <w:trHeight w:val="211"/>
        </w:trPr>
        <w:tc>
          <w:tcPr>
            <w:tcW w:w="70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Chief Financial Officer</w:t>
            </w:r>
          </w:p>
        </w:tc>
      </w:tr>
    </w:tbl>
    <w:p>
      <w:pPr>
        <w:spacing w:after="0" w:line="12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91</w:t>
      </w:r>
      <w:r>
        <w:rPr>
          <w:sz w:val="20"/>
          <w:szCs w:val="20"/>
          <w:color w:val="auto"/>
        </w:rPr>
        <w:tab/>
      </w:r>
      <w:r>
        <w:rPr>
          <w:rFonts w:ascii="Arial" w:cs="Arial" w:eastAsia="Arial" w:hAnsi="Arial"/>
          <w:sz w:val="14"/>
          <w:szCs w:val="14"/>
          <w:color w:val="auto"/>
        </w:rPr>
        <w:t>Comcast 2008 Annual Report on Form 10-K</w:t>
      </w:r>
    </w:p>
    <w:p>
      <w:pPr>
        <w:sectPr>
          <w:pgSz w:w="11900" w:h="16838" w:orient="portrait"/>
          <w:cols w:equalWidth="0" w:num="1">
            <w:col w:w="11420"/>
          </w:cols>
          <w:pgMar w:left="240" w:top="439" w:right="239" w:bottom="1440" w:gutter="0" w:footer="0" w:header="0"/>
        </w:sectPr>
      </w:pPr>
    </w:p>
    <w:bookmarkStart w:id="306" w:name="page307"/>
    <w:bookmarkEnd w:id="306"/>
    <w:p>
      <w:pPr>
        <w:spacing w:after="0"/>
        <w:tabs>
          <w:tab w:leader="none" w:pos="1058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6"/>
          <w:szCs w:val="26"/>
          <w:b w:val="1"/>
          <w:bCs w:val="1"/>
          <w:color w:val="auto"/>
          <w:vertAlign w:val="superscript"/>
        </w:rPr>
        <w:t>Exhibit 32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195" w:lineRule="exact"/>
        <w:rPr>
          <w:sz w:val="20"/>
          <w:szCs w:val="20"/>
          <w:color w:val="auto"/>
        </w:rPr>
      </w:pPr>
    </w:p>
    <w:p>
      <w:pPr>
        <w:ind w:left="260" w:hanging="252"/>
        <w:spacing w:after="0"/>
        <w:tabs>
          <w:tab w:leader="none" w:pos="2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98"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8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3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jc w:val="center"/>
              <w:spacing w:after="0"/>
              <w:rPr>
                <w:sz w:val="20"/>
                <w:szCs w:val="20"/>
                <w:color w:val="auto"/>
              </w:rPr>
            </w:pPr>
            <w:r>
              <w:rPr>
                <w:rFonts w:ascii="Arial" w:cs="Arial" w:eastAsia="Arial" w:hAnsi="Arial"/>
                <w:sz w:val="18"/>
                <w:szCs w:val="18"/>
                <w:color w:val="auto"/>
                <w:w w:val="98"/>
              </w:rPr>
              <w:t>Brian L. Roberts</w:t>
            </w:r>
          </w:p>
        </w:tc>
      </w:tr>
      <w:tr>
        <w:trPr>
          <w:trHeight w:val="211"/>
        </w:trPr>
        <w:tc>
          <w:tcPr>
            <w:tcW w:w="6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Chief Executive Officer</w:t>
            </w:r>
          </w:p>
        </w:tc>
      </w:tr>
      <w:tr>
        <w:trPr>
          <w:trHeight w:val="407"/>
        </w:trPr>
        <w:tc>
          <w:tcPr>
            <w:tcW w:w="640" w:type="dxa"/>
            <w:vAlign w:val="bottom"/>
          </w:tcPr>
          <w:p>
            <w:pPr>
              <w:spacing w:after="0"/>
              <w:rPr>
                <w:sz w:val="24"/>
                <w:szCs w:val="24"/>
                <w:color w:val="auto"/>
              </w:rPr>
            </w:pPr>
          </w:p>
        </w:tc>
        <w:tc>
          <w:tcPr>
            <w:tcW w:w="3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r>
      <w:tr>
        <w:trPr>
          <w:trHeight w:val="211"/>
        </w:trPr>
        <w:tc>
          <w:tcPr>
            <w:tcW w:w="6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Chief Financial Officer</w:t>
            </w: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2008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1)"/>
      <w:numFmt w:val="lowerLetter"/>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1)"/>
      <w:numFmt w:val="lowerLetter"/>
      <w:start w:val="1"/>
    </w:lvl>
  </w:abstractNum>
  <w:abstractNum w:abstractNumId="8">
    <w:nsid w:val="E3E47A8"/>
    <w:multiLevelType w:val="hybridMultilevel"/>
    <w:lvl w:ilvl="0">
      <w:lvlJc w:val="left"/>
      <w:lvlText w:val="(%1)"/>
      <w:numFmt w:val="lowerLetter"/>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1)"/>
      <w:numFmt w:val="lowerLetter"/>
      <w:start w:val="1"/>
    </w:lvl>
  </w:abstractNum>
  <w:abstractNum w:abstractNumId="14">
    <w:nsid w:val="634C574C"/>
    <w:multiLevelType w:val="hybridMultilevel"/>
    <w:lvl w:ilvl="0">
      <w:lvlJc w:val="left"/>
      <w:lvlText w:val="(%1)"/>
      <w:numFmt w:val="lowerLetter"/>
      <w:start w:val="1"/>
    </w:lvl>
  </w:abstractNum>
  <w:abstractNum w:abstractNumId="15">
    <w:nsid w:val="24E99DD7"/>
    <w:multiLevelType w:val="hybridMultilevel"/>
    <w:lvl w:ilvl="0">
      <w:lvlJc w:val="left"/>
      <w:lvlText w:val="•"/>
      <w:numFmt w:val="bullet"/>
      <w:start w:val="1"/>
    </w:lvl>
  </w:abstractNum>
  <w:abstractNum w:abstractNumId="16">
    <w:nsid w:val="2A31B62D"/>
    <w:multiLevelType w:val="hybridMultilevel"/>
    <w:lvl w:ilvl="0">
      <w:lvlJc w:val="left"/>
      <w:lvlText w:val="(%1)"/>
      <w:numFmt w:val="lowerRoman"/>
      <w:start w:val="3"/>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
      <w:numFmt w:val="bullet"/>
      <w:start w:val="1"/>
    </w:lvl>
  </w:abstractNum>
  <w:abstractNum w:abstractNumId="20">
    <w:nsid w:val="69E7F3E5"/>
    <w:multiLevelType w:val="hybridMultilevel"/>
    <w:lvl w:ilvl="0">
      <w:lvlJc w:val="left"/>
      <w:lvlText w:val="•"/>
      <w:numFmt w:val="bullet"/>
      <w:start w:val="1"/>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1)"/>
      <w:numFmt w:val="lowerLetter"/>
      <w:start w:val="2"/>
    </w:lvl>
    <w:lvl w:ilvl="1">
      <w:lvlJc w:val="left"/>
      <w:lvlText w:val="Ÿ"/>
      <w:numFmt w:val="bullet"/>
      <w:start w:val="1"/>
    </w:lvl>
  </w:abstractNum>
  <w:abstractNum w:abstractNumId="24">
    <w:nsid w:val="7AB49DAF"/>
    <w:multiLevelType w:val="hybridMultilevel"/>
    <w:lvl w:ilvl="0">
      <w:lvlJc w:val="left"/>
      <w:lvlText w:val="(%1)"/>
      <w:numFmt w:val="lowerLetter"/>
      <w:start w:val="1"/>
    </w:lvl>
  </w:abstractNum>
  <w:abstractNum w:abstractNumId="25">
    <w:nsid w:val="759F82CD"/>
    <w:multiLevelType w:val="hybridMultilevel"/>
    <w:lvl w:ilvl="0">
      <w:lvlJc w:val="left"/>
      <w:lvlText w:val="%1"/>
      <w:numFmt w:val="decimal"/>
      <w:start w:val="3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1)"/>
      <w:numFmt w:val="lowerLetter"/>
      <w:start w:val="1"/>
    </w:lvl>
  </w:abstractNum>
  <w:abstractNum w:abstractNumId="28">
    <w:nsid w:val="F819E7F"/>
    <w:multiLevelType w:val="hybridMultilevel"/>
    <w:lvl w:ilvl="0">
      <w:lvlJc w:val="left"/>
      <w:lvlText w:val="(%1)"/>
      <w:numFmt w:val="lowerLetter"/>
      <w:start w:val="1"/>
    </w:lvl>
  </w:abstractNum>
  <w:abstractNum w:abstractNumId="29">
    <w:nsid w:val="57C7D42D"/>
    <w:multiLevelType w:val="hybridMultilevel"/>
    <w:lvl w:ilvl="0">
      <w:lvlJc w:val="left"/>
      <w:lvlText w:val="(%1)"/>
      <w:numFmt w:val="lowerLetter"/>
      <w:start w:val="2"/>
    </w:lvl>
  </w:abstractNum>
  <w:abstractNum w:abstractNumId="30">
    <w:nsid w:val="312167AD"/>
    <w:multiLevelType w:val="hybridMultilevel"/>
    <w:lvl w:ilvl="0">
      <w:lvlJc w:val="left"/>
      <w:lvlText w:val="(%1)"/>
      <w:numFmt w:val="lowerLetter"/>
      <w:start w:val="1"/>
    </w:lvl>
  </w:abstractNum>
  <w:abstractNum w:abstractNumId="31">
    <w:nsid w:val="631B64D4"/>
    <w:multiLevelType w:val="hybridMultilevel"/>
    <w:lvl w:ilvl="0">
      <w:lvlJc w:val="left"/>
      <w:lvlText w:val="(%1)"/>
      <w:numFmt w:val="lowerLetter"/>
      <w:start w:val="3"/>
    </w:lvl>
  </w:abstractNum>
  <w:abstractNum w:abstractNumId="32">
    <w:nsid w:val="78B5E776"/>
    <w:multiLevelType w:val="hybridMultilevel"/>
    <w:lvl w:ilvl="0">
      <w:lvlJc w:val="left"/>
      <w:lvlText w:val="(%1)"/>
      <w:numFmt w:val="lowerLetter"/>
      <w:start w:val="1"/>
    </w:lvl>
  </w:abstractNum>
  <w:abstractNum w:abstractNumId="33">
    <w:nsid w:val="75486E47"/>
    <w:multiLevelType w:val="hybridMultilevel"/>
    <w:lvl w:ilvl="0">
      <w:lvlJc w:val="left"/>
      <w:lvlText w:val="(%1)"/>
      <w:numFmt w:val="lowerLetter"/>
      <w:start w:val="4"/>
    </w:lvl>
  </w:abstractNum>
  <w:abstractNum w:abstractNumId="34">
    <w:nsid w:val="6E534CDE"/>
    <w:multiLevelType w:val="hybridMultilevel"/>
    <w:lvl w:ilvl="0">
      <w:lvlJc w:val="left"/>
      <w:lvlText w:val="(%1)"/>
      <w:numFmt w:val="lowerRoman"/>
      <w:start w:val="1"/>
    </w:lvl>
  </w:abstractNum>
  <w:abstractNum w:abstractNumId="35">
    <w:nsid w:val="1A0DDE32"/>
    <w:multiLevelType w:val="hybridMultilevel"/>
    <w:lvl w:ilvl="0">
      <w:lvlJc w:val="left"/>
      <w:lvlText w:val="%1"/>
      <w:numFmt w:val="upperLetter"/>
      <w:start w:val="1"/>
    </w:lvl>
    <w:lvl w:ilvl="1">
      <w:lvlJc w:val="left"/>
      <w:lvlText w:val="(%2)"/>
      <w:numFmt w:val="lowerRoman"/>
      <w:start w:val="2"/>
    </w:lvl>
  </w:abstractNum>
  <w:abstractNum w:abstractNumId="36">
    <w:nsid w:val="65968C1C"/>
    <w:multiLevelType w:val="hybridMultilevel"/>
    <w:lvl w:ilvl="0">
      <w:lvlJc w:val="left"/>
      <w:lvlText w:val="(%1)"/>
      <w:numFmt w:val="upperLetter"/>
      <w:start w:val="2"/>
    </w:lvl>
    <w:lvl w:ilvl="1">
      <w:lvlJc w:val="left"/>
      <w:lvlText w:val="%2"/>
      <w:numFmt w:val="lowerRoman"/>
      <w:start w:val="1"/>
    </w:lvl>
  </w:abstractNum>
  <w:abstractNum w:abstractNumId="37">
    <w:nsid w:val="46263DEC"/>
    <w:multiLevelType w:val="hybridMultilevel"/>
    <w:lvl w:ilvl="0">
      <w:lvlJc w:val="left"/>
      <w:lvlText w:val="(%1)"/>
      <w:numFmt w:val="lowerLetter"/>
      <w:start w:val="1"/>
    </w:lvl>
  </w:abstractNum>
  <w:abstractNum w:abstractNumId="38">
    <w:nsid w:val="260D8C4A"/>
    <w:multiLevelType w:val="hybridMultilevel"/>
    <w:lvl w:ilvl="0">
      <w:lvlJc w:val="left"/>
      <w:lvlText w:val="(%1)"/>
      <w:numFmt w:val="lowerLetter"/>
      <w:start w:val="1"/>
    </w:lvl>
  </w:abstractNum>
  <w:abstractNum w:abstractNumId="39">
    <w:nsid w:val="73D4D3C4"/>
    <w:multiLevelType w:val="hybridMultilevel"/>
    <w:lvl w:ilvl="0">
      <w:lvlJc w:val="left"/>
      <w:lvlText w:val="(%1)"/>
      <w:numFmt w:val="lowerLetter"/>
      <w:start w:val="1"/>
    </w:lvl>
  </w:abstractNum>
  <w:abstractNum w:abstractNumId="40">
    <w:nsid w:val="746F2E30"/>
    <w:multiLevelType w:val="hybridMultilevel"/>
    <w:lvl w:ilvl="0">
      <w:lvlJc w:val="left"/>
      <w:lvlText w:val="(%1)"/>
      <w:numFmt w:val="lowerLetter"/>
      <w:start w:val="1"/>
    </w:lvl>
    <w:lvl w:ilvl="1">
      <w:lvlJc w:val="left"/>
      <w:lvlText w:val="(%2)"/>
      <w:numFmt w:val="lowerRoman"/>
      <w:start w:val="1"/>
    </w:lvl>
  </w:abstractNum>
  <w:abstractNum w:abstractNumId="41">
    <w:nsid w:val="6FDE8AF6"/>
    <w:multiLevelType w:val="hybridMultilevel"/>
    <w:lvl w:ilvl="0">
      <w:lvlJc w:val="left"/>
      <w:lvlText w:val="(%1)"/>
      <w:numFmt w:val="lowerRoman"/>
      <w:start w:val="3"/>
    </w:lvl>
  </w:abstractNum>
  <w:abstractNum w:abstractNumId="42">
    <w:nsid w:val="3FC32E20"/>
    <w:multiLevelType w:val="hybridMultilevel"/>
    <w:lvl w:ilvl="0">
      <w:lvlJc w:val="left"/>
      <w:lvlText w:val="(%1)"/>
      <w:numFmt w:val="lowerLetter"/>
      <w:start w:val="1"/>
    </w:lvl>
  </w:abstractNum>
  <w:abstractNum w:abstractNumId="43">
    <w:nsid w:val="49C0E823"/>
    <w:multiLevelType w:val="hybridMultilevel"/>
    <w:lvl w:ilvl="0">
      <w:lvlJc w:val="left"/>
      <w:lvlText w:val="(%1)"/>
      <w:numFmt w:val="lowerLetter"/>
      <w:start w:val="2"/>
    </w:lvl>
  </w:abstractNum>
  <w:abstractNum w:abstractNumId="44">
    <w:nsid w:val="14D53685"/>
    <w:multiLevelType w:val="hybridMultilevel"/>
    <w:lvl w:ilvl="0">
      <w:lvlJc w:val="left"/>
      <w:lvlText w:val="(%1)"/>
      <w:numFmt w:val="lowerLetter"/>
      <w:start w:val="1"/>
    </w:lvl>
  </w:abstractNum>
  <w:abstractNum w:abstractNumId="45">
    <w:nsid w:val="230F856C"/>
    <w:multiLevelType w:val="hybridMultilevel"/>
    <w:lvl w:ilvl="0">
      <w:lvlJc w:val="left"/>
      <w:lvlText w:val="(%1)"/>
      <w:numFmt w:val="lowerLetter"/>
      <w:start w:val="3"/>
    </w:lvl>
    <w:lvl w:ilvl="1">
      <w:lvlJc w:val="left"/>
      <w:lvlText w:val="(%2)"/>
      <w:numFmt w:val="lowerRoman"/>
      <w:start w:val="1"/>
    </w:lvl>
  </w:abstractNum>
  <w:abstractNum w:abstractNumId="46">
    <w:nsid w:val="6EAA85FB"/>
    <w:multiLevelType w:val="hybridMultilevel"/>
    <w:lvl w:ilvl="0">
      <w:lvlJc w:val="left"/>
      <w:lvlText w:val="(%1)"/>
      <w:numFmt w:val="lowerLetter"/>
      <w:start w:val="1"/>
    </w:lvl>
  </w:abstractNum>
  <w:abstractNum w:abstractNumId="47">
    <w:nsid w:val="3F06ECB2"/>
    <w:multiLevelType w:val="hybridMultilevel"/>
    <w:lvl w:ilvl="0">
      <w:lvlJc w:val="left"/>
      <w:lvlText w:val="(%1)"/>
      <w:numFmt w:val="lowerLetter"/>
      <w:start w:val="2"/>
    </w:lvl>
  </w:abstractNum>
  <w:abstractNum w:abstractNumId="48">
    <w:nsid w:val="3B594807"/>
    <w:multiLevelType w:val="hybridMultilevel"/>
    <w:lvl w:ilvl="0">
      <w:lvlJc w:val="left"/>
      <w:lvlText w:val="(%1)"/>
      <w:numFmt w:val="lowerLetter"/>
      <w:start w:val="1"/>
    </w:lvl>
    <w:lvl w:ilvl="1">
      <w:lvlJc w:val="left"/>
      <w:lvlText w:val="(%2)"/>
      <w:numFmt w:val="lowerRoman"/>
      <w:start w:val="1"/>
    </w:lvl>
  </w:abstractNum>
  <w:abstractNum w:abstractNumId="49">
    <w:nsid w:val="6CAA2304"/>
    <w:multiLevelType w:val="hybridMultilevel"/>
    <w:lvl w:ilvl="0">
      <w:lvlJc w:val="left"/>
      <w:lvlText w:val="(%1)"/>
      <w:numFmt w:val="lowerLetter"/>
      <w:start w:val="2"/>
    </w:lvl>
  </w:abstractNum>
  <w:abstractNum w:abstractNumId="50">
    <w:nsid w:val="3F7C2FF4"/>
    <w:multiLevelType w:val="hybridMultilevel"/>
    <w:lvl w:ilvl="0">
      <w:lvlJc w:val="left"/>
      <w:lvlText w:val="(%1)"/>
      <w:numFmt w:val="lowerLetter"/>
      <w:start w:val="1"/>
    </w:lvl>
  </w:abstractNum>
  <w:abstractNum w:abstractNumId="51">
    <w:nsid w:val="25413BEC"/>
    <w:multiLevelType w:val="hybridMultilevel"/>
    <w:lvl w:ilvl="0">
      <w:lvlJc w:val="left"/>
      <w:lvlText w:val="(%1)"/>
      <w:numFmt w:val="lowerRoman"/>
      <w:start w:val="3"/>
    </w:lvl>
  </w:abstractNum>
  <w:abstractNum w:abstractNumId="52">
    <w:nsid w:val="17180B0B"/>
    <w:multiLevelType w:val="hybridMultilevel"/>
    <w:lvl w:ilvl="0">
      <w:lvlJc w:val="left"/>
      <w:lvlText w:val="(%1)"/>
      <w:numFmt w:val="lowerLetter"/>
      <w:start w:val="1"/>
    </w:lvl>
  </w:abstractNum>
  <w:abstractNum w:abstractNumId="53">
    <w:nsid w:val="579328B9"/>
    <w:multiLevelType w:val="hybridMultilevel"/>
    <w:lvl w:ilvl="0">
      <w:lvlJc w:val="left"/>
      <w:lvlText w:val="(%1)"/>
      <w:numFmt w:val="lowerLetter"/>
      <w:start w:val="1"/>
    </w:lvl>
    <w:lvl w:ilvl="1">
      <w:lvlJc w:val="left"/>
      <w:lvlText w:val="(%2)"/>
      <w:numFmt w:val="lowerRoman"/>
      <w:start w:val="1"/>
    </w:lvl>
  </w:abstractNum>
  <w:abstractNum w:abstractNumId="54">
    <w:nsid w:val="5D205E20"/>
    <w:multiLevelType w:val="hybridMultilevel"/>
    <w:lvl w:ilvl="0">
      <w:lvlJc w:val="left"/>
      <w:lvlText w:val="(%1)"/>
      <w:numFmt w:val="lowerLetter"/>
      <w:start w:val="7"/>
    </w:lvl>
  </w:abstractNum>
  <w:abstractNum w:abstractNumId="55">
    <w:nsid w:val="11CCA8BA"/>
    <w:multiLevelType w:val="hybridMultilevel"/>
    <w:lvl w:ilvl="0">
      <w:lvlJc w:val="left"/>
      <w:lvlText w:val="(%1)"/>
      <w:numFmt w:val="lowerLetter"/>
      <w:start w:val="1"/>
    </w:lvl>
  </w:abstractNum>
  <w:abstractNum w:abstractNumId="56">
    <w:nsid w:val="4D32AB86"/>
    <w:multiLevelType w:val="hybridMultilevel"/>
    <w:lvl w:ilvl="0">
      <w:lvlJc w:val="left"/>
      <w:lvlText w:val="(%1)"/>
      <w:numFmt w:val="lowerLetter"/>
      <w:start w:val="1"/>
    </w:lvl>
  </w:abstractNum>
  <w:abstractNum w:abstractNumId="57">
    <w:nsid w:val="3F07ACC3"/>
    <w:multiLevelType w:val="hybridMultilevel"/>
    <w:lvl w:ilvl="0">
      <w:lvlJc w:val="left"/>
      <w:lvlText w:val="(%1)"/>
      <w:numFmt w:val="lowerLetter"/>
      <w:start w:val="1"/>
    </w:lvl>
  </w:abstractNum>
  <w:abstractNum w:abstractNumId="58">
    <w:nsid w:val="6B47F63E"/>
    <w:multiLevelType w:val="hybridMultilevel"/>
    <w:lvl w:ilvl="0">
      <w:lvlJc w:val="left"/>
      <w:lvlText w:val="(%1)"/>
      <w:numFmt w:val="lowerLetter"/>
      <w:start w:val="9"/>
    </w:lvl>
  </w:abstractNum>
  <w:abstractNum w:abstractNumId="59">
    <w:nsid w:val="5CB44A05"/>
    <w:multiLevelType w:val="hybridMultilevel"/>
    <w:lvl w:ilvl="0">
      <w:lvlJc w:val="left"/>
      <w:lvlText w:val="(%1)"/>
      <w:numFmt w:val="lowerLetter"/>
      <w:start w:val="1"/>
    </w:lvl>
  </w:abstractNum>
  <w:abstractNum w:abstractNumId="60">
    <w:nsid w:val="16CF80F1"/>
    <w:multiLevelType w:val="hybridMultilevel"/>
    <w:lvl w:ilvl="0">
      <w:lvlJc w:val="left"/>
      <w:lvlText w:val="(%1)"/>
      <w:numFmt w:val="lowerRoman"/>
      <w:start w:val="1"/>
    </w:lvl>
  </w:abstractNum>
  <w:abstractNum w:abstractNumId="61">
    <w:nsid w:val="1C695DEC"/>
    <w:multiLevelType w:val="hybridMultilevel"/>
    <w:lvl w:ilvl="0">
      <w:lvlJc w:val="left"/>
      <w:lvlText w:val="%1"/>
      <w:numFmt w:val="lowerRoman"/>
      <w:start w:val="1"/>
    </w:lvl>
    <w:lvl w:ilvl="1">
      <w:lvlJc w:val="left"/>
      <w:lvlText w:val="(%2)"/>
      <w:numFmt w:val="lowerRoman"/>
      <w:start w:val="1"/>
    </w:lvl>
  </w:abstractNum>
  <w:abstractNum w:abstractNumId="62">
    <w:nsid w:val="3FCFAED9"/>
    <w:multiLevelType w:val="hybridMultilevel"/>
    <w:lvl w:ilvl="0">
      <w:lvlJc w:val="left"/>
      <w:lvlText w:val="(%1)"/>
      <w:numFmt w:val="lowerRoman"/>
      <w:start w:val="1"/>
    </w:lvl>
    <w:lvl w:ilvl="1">
      <w:lvlJc w:val="left"/>
      <w:lvlText w:val="%2"/>
      <w:numFmt w:val="lowerRoman"/>
      <w:start w:val="1"/>
    </w:lvl>
  </w:abstractNum>
  <w:abstractNum w:abstractNumId="63">
    <w:nsid w:val="F856867"/>
    <w:multiLevelType w:val="hybridMultilevel"/>
    <w:lvl w:ilvl="0">
      <w:lvlJc w:val="left"/>
      <w:lvlText w:val="(%1)"/>
      <w:numFmt w:val="lowerLetter"/>
      <w:start w:val="1"/>
    </w:lvl>
  </w:abstractNum>
  <w:abstractNum w:abstractNumId="64">
    <w:nsid w:val="11B1CC33"/>
    <w:multiLevelType w:val="hybridMultilevel"/>
    <w:lvl w:ilvl="0">
      <w:lvlJc w:val="left"/>
      <w:lvlText w:val="(%1)"/>
      <w:numFmt w:val="lowerLetter"/>
      <w:start w:val="1"/>
    </w:lvl>
  </w:abstractNum>
  <w:abstractNum w:abstractNumId="65">
    <w:nsid w:val="2E22FBB7"/>
    <w:multiLevelType w:val="hybridMultilevel"/>
    <w:lvl w:ilvl="0">
      <w:lvlJc w:val="left"/>
      <w:lvlText w:val="(%1)"/>
      <w:numFmt w:val="lowerLetter"/>
      <w:start w:val="3"/>
    </w:lvl>
  </w:abstractNum>
  <w:abstractNum w:abstractNumId="66">
    <w:nsid w:val="29934699"/>
    <w:multiLevelType w:val="hybridMultilevel"/>
    <w:lvl w:ilvl="0">
      <w:lvlJc w:val="left"/>
      <w:lvlText w:val="(%1)"/>
      <w:numFmt w:val="lowerLetter"/>
      <w:start w:val="1"/>
    </w:lvl>
  </w:abstractNum>
  <w:abstractNum w:abstractNumId="67">
    <w:nsid w:val="77485850"/>
    <w:multiLevelType w:val="hybridMultilevel"/>
    <w:lvl w:ilvl="0">
      <w:lvlJc w:val="left"/>
      <w:lvlText w:val="(%1)"/>
      <w:numFmt w:val="lowerLetter"/>
      <w:start w:val="7"/>
    </w:lvl>
  </w:abstractNum>
  <w:abstractNum w:abstractNumId="68">
    <w:nsid w:val="744939A3"/>
    <w:multiLevelType w:val="hybridMultilevel"/>
    <w:lvl w:ilvl="0">
      <w:lvlJc w:val="left"/>
      <w:lvlText w:val="(%1)"/>
      <w:numFmt w:val="lowerLetter"/>
      <w:start w:val="1"/>
    </w:lvl>
  </w:abstractNum>
  <w:abstractNum w:abstractNumId="69">
    <w:nsid w:val="4FA0D2E3"/>
    <w:multiLevelType w:val="hybridMultilevel"/>
    <w:lvl w:ilvl="0">
      <w:lvlJc w:val="left"/>
      <w:lvlText w:val="(%1)"/>
      <w:numFmt w:val="lowerLetter"/>
      <w:start w:val="2"/>
    </w:lvl>
  </w:abstractNum>
  <w:abstractNum w:abstractNumId="70">
    <w:nsid w:val="6B1D2C14"/>
    <w:multiLevelType w:val="hybridMultilevel"/>
    <w:lvl w:ilvl="0">
      <w:lvlJc w:val="left"/>
      <w:lvlText w:val="(%1)"/>
      <w:numFmt w:val="lowerLetter"/>
      <w:start w:val="1"/>
    </w:lvl>
    <w:lvl w:ilvl="1">
      <w:lvlJc w:val="left"/>
      <w:lvlText w:val="(%2)"/>
      <w:numFmt w:val="decimal"/>
      <w:start w:val="1"/>
    </w:lvl>
  </w:abstractNum>
  <w:abstractNum w:abstractNumId="71">
    <w:nsid w:val="68B867D3"/>
    <w:multiLevelType w:val="hybridMultilevel"/>
    <w:lvl w:ilvl="0">
      <w:lvlJc w:val="left"/>
      <w:lvlText w:val="(%1)"/>
      <w:numFmt w:val="lowerLetter"/>
      <w:start w:val="1"/>
    </w:lvl>
  </w:abstractNum>
  <w:abstractNum w:abstractNumId="72">
    <w:nsid w:val="3F7F5DD9"/>
    <w:multiLevelType w:val="hybridMultilevel"/>
    <w:lvl w:ilvl="0">
      <w:lvlJc w:val="left"/>
      <w:lvlText w:val="(%1)"/>
      <w:numFmt w:val="lowerLetter"/>
      <w:start w:val="7"/>
    </w:lvl>
  </w:abstractNum>
  <w:abstractNum w:abstractNumId="73">
    <w:nsid w:val="2AE05A34"/>
    <w:multiLevelType w:val="hybridMultilevel"/>
    <w:lvl w:ilvl="0">
      <w:lvlJc w:val="left"/>
      <w:lvlText w:val="(%1)"/>
      <w:numFmt w:val="lowerLetter"/>
      <w:start w:val="2"/>
    </w:lvl>
    <w:lvl w:ilvl="1">
      <w:lvlJc w:val="left"/>
      <w:lvlText w:val="(%2)"/>
      <w:numFmt w:val="lowerRoman"/>
      <w:start w:val="1"/>
    </w:lvl>
  </w:abstractNum>
  <w:abstractNum w:abstractNumId="74">
    <w:nsid w:val="32794FF7"/>
    <w:multiLevelType w:val="hybridMultilevel"/>
    <w:lvl w:ilvl="0">
      <w:lvlJc w:val="left"/>
      <w:lvlText w:val="(%1)"/>
      <w:numFmt w:val="lowerLetter"/>
      <w:start w:val="3"/>
    </w:lvl>
  </w:abstractNum>
  <w:abstractNum w:abstractNumId="75">
    <w:nsid w:val="5454945E"/>
    <w:multiLevelType w:val="hybridMultilevel"/>
    <w:lvl w:ilvl="0">
      <w:lvlJc w:val="left"/>
      <w:lvlText w:val="(%1)"/>
      <w:numFmt w:val="lowerLetter"/>
      <w:start w:val="4"/>
    </w:lvl>
  </w:abstractNum>
  <w:abstractNum w:abstractNumId="76">
    <w:nsid w:val="4DEFDFA0"/>
    <w:multiLevelType w:val="hybridMultilevel"/>
    <w:lvl w:ilvl="0">
      <w:lvlJc w:val="left"/>
      <w:lvlText w:val="(%1)"/>
      <w:numFmt w:val="lowerLetter"/>
      <w:start w:val="1"/>
    </w:lvl>
  </w:abstractNum>
  <w:abstractNum w:abstractNumId="77">
    <w:nsid w:val="2123D5F2"/>
    <w:multiLevelType w:val="hybridMultilevel"/>
    <w:lvl w:ilvl="0">
      <w:lvlJc w:val="left"/>
      <w:lvlText w:val="(%1)"/>
      <w:numFmt w:val="lowerLetter"/>
      <w:start w:val="5"/>
    </w:lvl>
  </w:abstractNum>
  <w:abstractNum w:abstractNumId="78">
    <w:nsid w:val="135B8110"/>
    <w:multiLevelType w:val="hybridMultilevel"/>
    <w:lvl w:ilvl="0">
      <w:lvlJc w:val="left"/>
      <w:lvlText w:val="(%1)"/>
      <w:numFmt w:val="lowerRoman"/>
      <w:start w:val="1"/>
    </w:lvl>
  </w:abstractNum>
  <w:abstractNum w:abstractNumId="79">
    <w:nsid w:val="94927A8"/>
    <w:multiLevelType w:val="hybridMultilevel"/>
    <w:lvl w:ilvl="0">
      <w:lvlJc w:val="left"/>
      <w:lvlText w:val="(%1)"/>
      <w:numFmt w:val="lowerRoman"/>
      <w:start w:val="2"/>
    </w:lvl>
  </w:abstractNum>
  <w:abstractNum w:abstractNumId="80">
    <w:nsid w:val="DCDF8F6"/>
    <w:multiLevelType w:val="hybridMultilevel"/>
    <w:lvl w:ilvl="0">
      <w:lvlJc w:val="left"/>
      <w:lvlText w:val="(%1)"/>
      <w:numFmt w:val="lowerRoman"/>
      <w:start w:val="2"/>
    </w:lvl>
  </w:abstractNum>
  <w:abstractNum w:abstractNumId="81">
    <w:nsid w:val="52D7B105"/>
    <w:multiLevelType w:val="hybridMultilevel"/>
    <w:lvl w:ilvl="0">
      <w:lvlJc w:val="left"/>
      <w:lvlText w:val="(%1)"/>
      <w:numFmt w:val="lowerRoman"/>
      <w:start w:val="1"/>
    </w:lvl>
  </w:abstractNum>
  <w:abstractNum w:abstractNumId="82">
    <w:nsid w:val="2E8A6394"/>
    <w:multiLevelType w:val="hybridMultilevel"/>
    <w:lvl w:ilvl="0">
      <w:lvlJc w:val="left"/>
      <w:lvlText w:val="(%1)"/>
      <w:numFmt w:val="lowerRoman"/>
      <w:start w:val="1"/>
    </w:lvl>
  </w:abstractNum>
  <w:abstractNum w:abstractNumId="83">
    <w:nsid w:val="24E60401"/>
    <w:multiLevelType w:val="hybridMultilevel"/>
    <w:lvl w:ilvl="0">
      <w:lvlJc w:val="left"/>
      <w:lvlText w:val="%1"/>
      <w:numFmt w:val="lowerRoman"/>
      <w:start w:val="1"/>
    </w:lvl>
    <w:lvl w:ilvl="1">
      <w:lvlJc w:val="left"/>
      <w:lvlText w:val="(%2)"/>
      <w:numFmt w:val="lowerRoman"/>
      <w:start w:val="2"/>
    </w:lvl>
  </w:abstractNum>
  <w:abstractNum w:abstractNumId="84">
    <w:nsid w:val="2A6AD9BE"/>
    <w:multiLevelType w:val="hybridMultilevel"/>
    <w:lvl w:ilvl="0">
      <w:lvlJc w:val="left"/>
      <w:lvlText w:val="(%1)"/>
      <w:numFmt w:val="lowerRoman"/>
      <w:start w:val="10"/>
    </w:lvl>
    <w:lvl w:ilvl="1">
      <w:lvlJc w:val="left"/>
      <w:lvlText w:val="(%2)"/>
      <w:numFmt w:val="lowerRoman"/>
      <w:start w:val="5"/>
    </w:lvl>
  </w:abstractNum>
  <w:abstractNum w:abstractNumId="85">
    <w:nsid w:val="BAAC1B4"/>
    <w:multiLevelType w:val="hybridMultilevel"/>
    <w:lvl w:ilvl="0">
      <w:lvlJc w:val="left"/>
      <w:lvlText w:val="(%1)"/>
      <w:numFmt w:val="lowerRoman"/>
      <w:start w:val="1"/>
    </w:lvl>
  </w:abstractNum>
  <w:abstractNum w:abstractNumId="86">
    <w:nsid w:val="36B2ACBC"/>
    <w:multiLevelType w:val="hybridMultilevel"/>
    <w:lvl w:ilvl="0">
      <w:lvlJc w:val="left"/>
      <w:lvlText w:val="(%1)"/>
      <w:numFmt w:val="lowerRoman"/>
      <w:start w:val="2"/>
    </w:lvl>
  </w:abstractNum>
  <w:abstractNum w:abstractNumId="87">
    <w:nsid w:val="779D8544"/>
    <w:multiLevelType w:val="hybridMultilevel"/>
    <w:lvl w:ilvl="0">
      <w:lvlJc w:val="left"/>
      <w:lvlText w:val="(%1)"/>
      <w:numFmt w:val="lowerLetter"/>
      <w:start w:val="1"/>
    </w:lvl>
  </w:abstractNum>
  <w:abstractNum w:abstractNumId="88">
    <w:nsid w:val="4AB26E78"/>
    <w:multiLevelType w:val="hybridMultilevel"/>
    <w:lvl w:ilvl="0">
      <w:lvlJc w:val="left"/>
      <w:lvlText w:val="(%1)"/>
      <w:numFmt w:val="lowerLetter"/>
      <w:start w:val="1"/>
    </w:lvl>
  </w:abstractNum>
  <w:abstractNum w:abstractNumId="89">
    <w:nsid w:val="21FAA2FA"/>
    <w:multiLevelType w:val="hybridMultilevel"/>
    <w:lvl w:ilvl="0">
      <w:lvlJc w:val="left"/>
      <w:lvlText w:val="(%1)"/>
      <w:numFmt w:val="lowerLetter"/>
      <w:start w:val="1"/>
    </w:lvl>
  </w:abstractNum>
  <w:abstractNum w:abstractNumId="90">
    <w:nsid w:val="5451CF49"/>
    <w:multiLevelType w:val="hybridMultilevel"/>
    <w:lvl w:ilvl="0">
      <w:lvlJc w:val="left"/>
      <w:lvlText w:val="(%1)"/>
      <w:numFmt w:val="lowerLetter"/>
      <w:start w:val="2"/>
    </w:lvl>
  </w:abstractNum>
  <w:abstractNum w:abstractNumId="91">
    <w:nsid w:val="6181EF69"/>
    <w:multiLevelType w:val="hybridMultilevel"/>
    <w:lvl w:ilvl="0">
      <w:lvlJc w:val="left"/>
      <w:lvlText w:val="(%1)"/>
      <w:numFmt w:val="lowerLetter"/>
      <w:start w:val="4"/>
    </w:lvl>
  </w:abstractNum>
  <w:abstractNum w:abstractNumId="92">
    <w:nsid w:val="3E6400E6"/>
    <w:multiLevelType w:val="hybridMultilevel"/>
    <w:lvl w:ilvl="0">
      <w:lvlJc w:val="left"/>
      <w:lvlText w:val="(%1)"/>
      <w:numFmt w:val="lowerLetter"/>
      <w:start w:val="5"/>
    </w:lvl>
  </w:abstractNum>
  <w:abstractNum w:abstractNumId="93">
    <w:nsid w:val="14217E23"/>
    <w:multiLevelType w:val="hybridMultilevel"/>
    <w:lvl w:ilvl="0">
      <w:lvlJc w:val="left"/>
      <w:lvlText w:val="(%1)"/>
      <w:numFmt w:val="lowerLetter"/>
      <w:start w:val="9"/>
    </w:lvl>
  </w:abstractNum>
  <w:abstractNum w:abstractNumId="94">
    <w:nsid w:val="710757D0"/>
    <w:multiLevelType w:val="hybridMultilevel"/>
    <w:lvl w:ilvl="0">
      <w:lvlJc w:val="left"/>
      <w:lvlText w:val="(%1)"/>
      <w:numFmt w:val="lowerLetter"/>
      <w:start w:val="1"/>
    </w:lvl>
  </w:abstractNum>
  <w:abstractNum w:abstractNumId="95">
    <w:nsid w:val="5015CD1A"/>
    <w:multiLevelType w:val="hybridMultilevel"/>
    <w:lvl w:ilvl="0">
      <w:lvlJc w:val="left"/>
      <w:lvlText w:val="(%1)"/>
      <w:numFmt w:val="lowerLetter"/>
      <w:start w:val="1"/>
    </w:lvl>
  </w:abstractNum>
  <w:abstractNum w:abstractNumId="96">
    <w:nsid w:val="424479DA"/>
    <w:multiLevelType w:val="hybridMultilevel"/>
    <w:lvl w:ilvl="0">
      <w:lvlJc w:val="left"/>
      <w:lvlText w:val="(%1)"/>
      <w:numFmt w:val="lowerLetter"/>
      <w:start w:val="1"/>
    </w:lvl>
  </w:abstractNum>
  <w:abstractNum w:abstractNumId="97">
    <w:nsid w:val="1A9A9E69"/>
    <w:multiLevelType w:val="hybridMultilevel"/>
    <w:lvl w:ilvl="0">
      <w:lvlJc w:val="left"/>
      <w:lvlText w:val="%1."/>
      <w:numFmt w:val="decimal"/>
      <w:start w:val="1"/>
    </w:lvl>
  </w:abstractNum>
  <w:abstractNum w:abstractNumId="98">
    <w:nsid w:val="475E256A"/>
    <w:multiLevelType w:val="hybridMultilevel"/>
    <w:lvl w:ilvl="0">
      <w:lvlJc w:val="left"/>
      <w:lvlText w:val="%1."/>
      <w:numFmt w:val="decimal"/>
      <w:start w:val="2"/>
    </w:lvl>
  </w:abstractNum>
  <w:abstractNum w:abstractNumId="99">
    <w:nsid w:val="368DB37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00">
    <w:nsid w:val="6A3B714C"/>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6"/>
    </w:lvl>
  </w:abstractNum>
  <w:abstractNum w:abstractNumId="101">
    <w:nsid w:val="327B517E"/>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102">
    <w:nsid w:val="1F461B51"/>
    <w:multiLevelType w:val="hybridMultilevel"/>
    <w:lvl w:ilvl="0">
      <w:lvlJc w:val="left"/>
      <w:lvlText w:val="(%1)"/>
      <w:numFmt w:val="lowerLetter"/>
      <w:start w:val="8"/>
    </w:lvl>
    <w:lvl w:ilvl="1">
      <w:lvlJc w:val="left"/>
      <w:lvlText w:val="(%2)"/>
      <w:numFmt w:val="lowerLetter"/>
      <w:start w:val="9"/>
    </w:lvl>
    <w:lvl w:ilvl="2">
      <w:lvlJc w:val="left"/>
      <w:lvlText w:val="(%3)"/>
      <w:numFmt w:val="lowerRoman"/>
      <w:start w:val="1"/>
    </w:lvl>
  </w:abstractNum>
  <w:abstractNum w:abstractNumId="103">
    <w:nsid w:val="29BACF25"/>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4">
    <w:nsid w:val="5D5BABB3"/>
    <w:multiLevelType w:val="hybridMultilevel"/>
    <w:lvl w:ilvl="0">
      <w:lvlJc w:val="left"/>
      <w:lvlText w:val="(%1)"/>
      <w:numFmt w:val="decimal"/>
      <w:start w:val="2"/>
    </w:lvl>
  </w:abstractNum>
  <w:abstractNum w:abstractNumId="105">
    <w:nsid w:val="51BF6B48"/>
    <w:multiLevelType w:val="hybridMultilevel"/>
    <w:lvl w:ilvl="0">
      <w:lvlJc w:val="left"/>
      <w:lvlText w:val="(%1)"/>
      <w:numFmt w:val="lowerLetter"/>
      <w:start w:val="23"/>
    </w:lvl>
    <w:lvl w:ilvl="1">
      <w:lvlJc w:val="left"/>
      <w:lvlText w:val="(%2)"/>
      <w:numFmt w:val="lowerLetter"/>
      <w:start w:val="9"/>
    </w:lvl>
  </w:abstractNum>
  <w:abstractNum w:abstractNumId="106">
    <w:nsid w:val="7E0F6384"/>
    <w:multiLevelType w:val="hybridMultilevel"/>
    <w:lvl w:ilvl="0">
      <w:lvlJc w:val="left"/>
      <w:lvlText w:val="%1"/>
      <w:numFmt w:val="lowerLetter"/>
      <w:start w:val="1"/>
    </w:lvl>
    <w:lvl w:ilvl="1">
      <w:lvlJc w:val="left"/>
      <w:lvlText w:val="(%2)"/>
      <w:numFmt w:val="lowerRoman"/>
      <w:start w:val="2"/>
    </w:lvl>
  </w:abstractNum>
  <w:abstractNum w:abstractNumId="107">
    <w:nsid w:val="2B4B8B53"/>
    <w:multiLevelType w:val="hybridMultilevel"/>
    <w:lvl w:ilvl="0">
      <w:lvlJc w:val="left"/>
      <w:lvlText w:val="(%1)"/>
      <w:numFmt w:val="lowerLetter"/>
      <w:start w:val="27"/>
    </w:lvl>
    <w:lvl w:ilvl="1">
      <w:lvlJc w:val="left"/>
      <w:lvlText w:val="(%2)"/>
      <w:numFmt w:val="lowerRoman"/>
      <w:start w:val="1"/>
    </w:lvl>
  </w:abstractNum>
  <w:abstractNum w:abstractNumId="108">
    <w:nsid w:val="72E3413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9">
    <w:nsid w:val="116AE49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10">
    <w:nsid w:val="3494B2FB"/>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24"/>
    </w:lvl>
  </w:abstractNum>
  <w:abstractNum w:abstractNumId="111">
    <w:nsid w:val="B13A31"/>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12">
    <w:nsid w:val="64429599"/>
    <w:multiLevelType w:val="hybridMultilevel"/>
    <w:lvl w:ilvl="0">
      <w:lvlJc w:val="left"/>
      <w:lvlText w:val="%1."/>
      <w:numFmt w:val="decimal"/>
      <w:start w:val="6"/>
    </w:lvl>
    <w:lvl w:ilvl="1">
      <w:lvlJc w:val="left"/>
      <w:lvlText w:val="(%2)"/>
      <w:numFmt w:val="lowerLetter"/>
      <w:start w:val="1"/>
    </w:lvl>
  </w:abstractNum>
  <w:abstractNum w:abstractNumId="113">
    <w:nsid w:val="631F1690"/>
    <w:multiLevelType w:val="hybridMultilevel"/>
    <w:lvl w:ilvl="0">
      <w:lvlJc w:val="left"/>
      <w:lvlText w:val="(%1)"/>
      <w:numFmt w:val="lowerLetter"/>
      <w:start w:val="1"/>
    </w:lvl>
  </w:abstractNum>
  <w:abstractNum w:abstractNumId="114">
    <w:nsid w:val="25973E32"/>
    <w:multiLevelType w:val="hybridMultilevel"/>
    <w:lvl w:ilvl="0">
      <w:lvlJc w:val="left"/>
      <w:lvlText w:val="(%1)"/>
      <w:numFmt w:val="lowerLetter"/>
      <w:start w:val="4"/>
    </w:lvl>
    <w:lvl w:ilvl="1">
      <w:lvlJc w:val="left"/>
      <w:lvlText w:val="(%2)"/>
      <w:numFmt w:val="lowerRoman"/>
      <w:start w:val="1"/>
    </w:lvl>
  </w:abstractNum>
  <w:abstractNum w:abstractNumId="115">
    <w:nsid w:val="EAD6F57"/>
    <w:multiLevelType w:val="hybridMultilevel"/>
    <w:lvl w:ilvl="0">
      <w:lvlJc w:val="left"/>
      <w:lvlText w:val="(%1)"/>
      <w:numFmt w:val="lowerLetter"/>
      <w:start w:val="5"/>
    </w:lvl>
  </w:abstractNum>
  <w:abstractNum w:abstractNumId="116">
    <w:nsid w:val="6EC9D844"/>
    <w:multiLevelType w:val="hybridMultilevel"/>
    <w:lvl w:ilvl="0">
      <w:lvlJc w:val="left"/>
      <w:lvlText w:val="%1"/>
      <w:numFmt w:val="lowerLetter"/>
      <w:start w:val="1"/>
    </w:lvl>
    <w:lvl w:ilvl="1">
      <w:lvlJc w:val="left"/>
      <w:lvlText w:val="(%2)"/>
      <w:numFmt w:val="lowerRoman"/>
      <w:start w:val="1"/>
    </w:lvl>
  </w:abstractNum>
  <w:abstractNum w:abstractNumId="117">
    <w:nsid w:val="5C49EAEE"/>
    <w:multiLevelType w:val="hybridMultilevel"/>
    <w:lvl w:ilvl="0">
      <w:lvlJc w:val="left"/>
      <w:lvlText w:val="(%1)"/>
      <w:numFmt w:val="lowerLetter"/>
      <w:start w:val="8"/>
    </w:lvl>
    <w:lvl w:ilvl="1">
      <w:lvlJc w:val="left"/>
      <w:lvlText w:val="%2"/>
      <w:numFmt w:val="lowerRoman"/>
      <w:start w:val="1"/>
    </w:lvl>
  </w:abstractNum>
  <w:abstractNum w:abstractNumId="118">
    <w:nsid w:val="64AF49B"/>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19">
    <w:nsid w:val="397C46BC"/>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120">
    <w:nsid w:val="7E448DE9"/>
    <w:multiLevelType w:val="hybridMultilevel"/>
    <w:lvl w:ilvl="0">
      <w:lvlJc w:val="left"/>
      <w:lvlText w:val="%1."/>
      <w:numFmt w:val="decimal"/>
      <w:start w:val="9"/>
    </w:lvl>
  </w:abstractNum>
  <w:abstractNum w:abstractNumId="121">
    <w:nsid w:val="5A9CC3E5"/>
    <w:multiLevelType w:val="hybridMultilevel"/>
    <w:lvl w:ilvl="0">
      <w:lvlJc w:val="left"/>
      <w:lvlText w:val="%1."/>
      <w:numFmt w:val="decimal"/>
      <w:start w:val="10"/>
    </w:lvl>
  </w:abstractNum>
  <w:abstractNum w:abstractNumId="122">
    <w:nsid w:val="1AFE3625"/>
    <w:multiLevelType w:val="hybridMultilevel"/>
    <w:lvl w:ilvl="0">
      <w:lvlJc w:val="left"/>
      <w:lvlText w:val="%1."/>
      <w:numFmt w:val="decimal"/>
      <w:start w:val="11"/>
    </w:lvl>
    <w:lvl w:ilvl="1">
      <w:lvlJc w:val="left"/>
      <w:lvlText w:val="(%2)"/>
      <w:numFmt w:val="lowerLetter"/>
      <w:start w:val="1"/>
    </w:lvl>
  </w:abstractNum>
  <w:abstractNum w:abstractNumId="123">
    <w:nsid w:val="3CA88ECF"/>
    <w:multiLevelType w:val="hybridMultilevel"/>
    <w:lvl w:ilvl="0">
      <w:lvlJc w:val="left"/>
      <w:lvlText w:val="%1."/>
      <w:numFmt w:val="decimal"/>
      <w:start w:val="13"/>
    </w:lvl>
    <w:lvl w:ilvl="1">
      <w:lvlJc w:val="left"/>
      <w:lvlText w:val="(%2)"/>
      <w:numFmt w:val="lowerLetter"/>
      <w:start w:val="1"/>
    </w:lvl>
  </w:abstractNum>
  <w:abstractNum w:abstractNumId="124">
    <w:nsid w:val="6EBE420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5">
    <w:nsid w:val="C058DF5"/>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26">
    <w:nsid w:val="CBE5BE9"/>
    <w:multiLevelType w:val="hybridMultilevel"/>
    <w:lvl w:ilvl="0">
      <w:lvlJc w:val="left"/>
      <w:lvlText w:val="%1"/>
      <w:numFmt w:val="decimal"/>
      <w:start w:val="1"/>
    </w:lvl>
    <w:lvl w:ilvl="1">
      <w:lvlJc w:val="left"/>
      <w:lvlText w:val="(%2)"/>
      <w:numFmt w:val="lowerLetter"/>
      <w:start w:val="3"/>
    </w:lvl>
  </w:abstractNum>
  <w:abstractNum w:abstractNumId="127">
    <w:nsid w:val="3102BBE2"/>
    <w:multiLevelType w:val="hybridMultilevel"/>
    <w:lvl w:ilvl="0">
      <w:lvlJc w:val="left"/>
      <w:lvlText w:val="%1."/>
      <w:numFmt w:val="decimal"/>
      <w:start w:val="15"/>
    </w:lvl>
    <w:lvl w:ilvl="1">
      <w:lvlJc w:val="left"/>
      <w:lvlText w:val="(%2)"/>
      <w:numFmt w:val="lowerLetter"/>
      <w:start w:val="1"/>
    </w:lvl>
  </w:abstractNum>
  <w:abstractNum w:abstractNumId="128">
    <w:nsid w:val="26A02C5E"/>
    <w:multiLevelType w:val="hybridMultilevel"/>
    <w:lvl w:ilvl="0">
      <w:lvlJc w:val="left"/>
      <w:lvlText w:val="%1"/>
      <w:numFmt w:val="decimal"/>
      <w:start w:val="1"/>
    </w:lvl>
    <w:lvl w:ilvl="1">
      <w:lvlJc w:val="left"/>
      <w:lvlText w:val="(%2)"/>
      <w:numFmt w:val="lowerLetter"/>
      <w:start w:val="3"/>
    </w:lvl>
  </w:abstractNum>
  <w:abstractNum w:abstractNumId="129">
    <w:nsid w:val="541C8153"/>
    <w:multiLevelType w:val="hybridMultilevel"/>
    <w:lvl w:ilvl="0">
      <w:lvlJc w:val="left"/>
      <w:lvlText w:val="%1."/>
      <w:numFmt w:val="decimal"/>
      <w:start w:val="16"/>
    </w:lvl>
    <w:lvl w:ilvl="1">
      <w:lvlJc w:val="left"/>
      <w:lvlText w:val="%2"/>
      <w:numFmt w:val="lowerLetter"/>
      <w:start w:val="1"/>
    </w:lvl>
  </w:abstractNum>
  <w:abstractNum w:abstractNumId="130">
    <w:nsid w:val="67906F60"/>
    <w:multiLevelType w:val="hybridMultilevel"/>
    <w:lvl w:ilvl="0">
      <w:lvlJc w:val="left"/>
      <w:lvlText w:val="%1."/>
      <w:numFmt w:val="decimal"/>
      <w:start w:val="17"/>
    </w:lvl>
  </w:abstractNum>
  <w:abstractNum w:abstractNumId="131">
    <w:nsid w:val="10DB9DA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32">
    <w:nsid w:val="697D2D2"/>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133">
    <w:nsid w:val="6D68AB2"/>
    <w:multiLevelType w:val="hybridMultilevel"/>
    <w:lvl w:ilvl="0">
      <w:lvlJc w:val="left"/>
      <w:lvlText w:val="(%1)"/>
      <w:numFmt w:val="lowerLetter"/>
      <w:start w:val="6"/>
    </w:lvl>
    <w:lvl w:ilvl="1">
      <w:lvlJc w:val="left"/>
      <w:lvlText w:val="(%2)"/>
      <w:numFmt w:val="lowerRoman"/>
      <w:start w:val="1"/>
    </w:lvl>
  </w:abstractNum>
  <w:abstractNum w:abstractNumId="134">
    <w:nsid w:val="3A966CD0"/>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135">
    <w:nsid w:val="63F37E85"/>
    <w:multiLevelType w:val="hybridMultilevel"/>
    <w:lvl w:ilvl="0">
      <w:lvlJc w:val="left"/>
      <w:lvlText w:val="(%1)"/>
      <w:numFmt w:val="upperLetter"/>
      <w:start w:val="2"/>
    </w:lvl>
    <w:lvl w:ilvl="1">
      <w:lvlJc w:val="left"/>
      <w:lvlText w:val="(%2)"/>
      <w:numFmt w:val="decimal"/>
      <w:start w:val="1"/>
    </w:lvl>
  </w:abstractNum>
  <w:abstractNum w:abstractNumId="136">
    <w:nsid w:val="5895F5FA"/>
    <w:multiLevelType w:val="hybridMultilevel"/>
    <w:lvl w:ilvl="0">
      <w:lvlJc w:val="left"/>
      <w:lvlText w:val="(%1)"/>
      <w:numFmt w:val="lowerLetter"/>
      <w:start w:val="23"/>
    </w:lvl>
  </w:abstractNum>
  <w:abstractNum w:abstractNumId="137">
    <w:nsid w:val="38A5D054"/>
    <w:multiLevelType w:val="hybridMultilevel"/>
    <w:lvl w:ilvl="0">
      <w:lvlJc w:val="left"/>
      <w:lvlText w:val="(%1)"/>
      <w:numFmt w:val="lowerRoman"/>
      <w:start w:val="1"/>
    </w:lvl>
  </w:abstractNum>
  <w:abstractNum w:abstractNumId="138">
    <w:nsid w:val="F3F09D8"/>
    <w:multiLevelType w:val="hybridMultilevel"/>
    <w:lvl w:ilvl="0">
      <w:lvlJc w:val="left"/>
      <w:lvlText w:val="%1"/>
      <w:numFmt w:val="lowerLetter"/>
      <w:start w:val="1"/>
    </w:lvl>
    <w:lvl w:ilvl="1">
      <w:lvlJc w:val="left"/>
      <w:lvlText w:val="(%2)"/>
      <w:numFmt w:val="lowerLetter"/>
      <w:start w:val="61"/>
    </w:lvl>
  </w:abstractNum>
  <w:abstractNum w:abstractNumId="139">
    <w:nsid w:val="4B793735"/>
    <w:multiLevelType w:val="hybridMultilevel"/>
    <w:lvl w:ilvl="0">
      <w:lvlJc w:val="left"/>
      <w:lvlText w:val="(%1)"/>
      <w:numFmt w:val="lowerLetter"/>
      <w:start w:val="27"/>
    </w:lvl>
    <w:lvl w:ilvl="1">
      <w:lvlJc w:val="left"/>
      <w:lvlText w:val="(%2)"/>
      <w:numFmt w:val="lowerLetter"/>
      <w:start w:val="9"/>
    </w:lvl>
  </w:abstractNum>
  <w:abstractNum w:abstractNumId="140">
    <w:nsid w:val="4A10B4E8"/>
    <w:multiLevelType w:val="hybridMultilevel"/>
    <w:lvl w:ilvl="0">
      <w:lvlJc w:val="left"/>
      <w:lvlText w:val="%1"/>
      <w:numFmt w:val="lowerLetter"/>
      <w:start w:val="1"/>
    </w:lvl>
    <w:lvl w:ilvl="1">
      <w:lvlJc w:val="left"/>
      <w:lvlText w:val="(%2)"/>
      <w:numFmt w:val="lowerLetter"/>
      <w:start w:val="35"/>
    </w:lvl>
  </w:abstractNum>
  <w:abstractNum w:abstractNumId="141">
    <w:nsid w:val="43D3BCD4"/>
    <w:multiLevelType w:val="hybridMultilevel"/>
    <w:lvl w:ilvl="0">
      <w:lvlJc w:val="left"/>
      <w:lvlText w:val="(%1)"/>
      <w:numFmt w:val="lowerLetter"/>
      <w:start w:val="32"/>
    </w:lvl>
    <w:lvl w:ilvl="1">
      <w:lvlJc w:val="left"/>
      <w:lvlText w:val="%2"/>
      <w:numFmt w:val="lowerLetter"/>
      <w:start w:val="1"/>
    </w:lvl>
  </w:abstractNum>
  <w:abstractNum w:abstractNumId="142">
    <w:nsid w:val="4C2A716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3">
    <w:nsid w:val="2E534A8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44">
    <w:nsid w:val="26F2D364"/>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24"/>
    </w:lvl>
  </w:abstractNum>
  <w:abstractNum w:abstractNumId="145">
    <w:nsid w:val="71C1AF9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46">
    <w:nsid w:val="3D00B9D9"/>
    <w:multiLevelType w:val="hybridMultilevel"/>
    <w:lvl w:ilvl="0">
      <w:lvlJc w:val="left"/>
      <w:lvlText w:val="%1"/>
      <w:numFmt w:val="decimal"/>
      <w:start w:val="1"/>
    </w:lvl>
    <w:lvl w:ilvl="1">
      <w:lvlJc w:val="left"/>
      <w:lvlText w:val="(%2)"/>
      <w:numFmt w:val="lowerLetter"/>
      <w:start w:val="5"/>
    </w:lvl>
  </w:abstractNum>
  <w:abstractNum w:abstractNumId="147">
    <w:nsid w:val="15BCABA8"/>
    <w:multiLevelType w:val="hybridMultilevel"/>
    <w:lvl w:ilvl="0">
      <w:lvlJc w:val="left"/>
      <w:lvlText w:val="%1."/>
      <w:numFmt w:val="decimal"/>
      <w:start w:val="6"/>
    </w:lvl>
    <w:lvl w:ilvl="1">
      <w:lvlJc w:val="left"/>
      <w:lvlText w:val="(%2)"/>
      <w:numFmt w:val="lowerLetter"/>
      <w:start w:val="1"/>
    </w:lvl>
  </w:abstractNum>
  <w:abstractNum w:abstractNumId="148">
    <w:nsid w:val="4E0B9A87"/>
    <w:multiLevelType w:val="hybridMultilevel"/>
    <w:lvl w:ilvl="0">
      <w:lvlJc w:val="left"/>
      <w:lvlText w:val="(%1)"/>
      <w:numFmt w:val="lowerLetter"/>
      <w:start w:val="1"/>
    </w:lvl>
  </w:abstractNum>
  <w:abstractNum w:abstractNumId="149">
    <w:nsid w:val="434BAE75"/>
    <w:multiLevelType w:val="hybridMultilevel"/>
    <w:lvl w:ilvl="0">
      <w:lvlJc w:val="left"/>
      <w:lvlText w:val="(%1)"/>
      <w:numFmt w:val="lowerLetter"/>
      <w:start w:val="4"/>
    </w:lvl>
    <w:lvl w:ilvl="1">
      <w:lvlJc w:val="left"/>
      <w:lvlText w:val="(%2)"/>
      <w:numFmt w:val="lowerRoman"/>
      <w:start w:val="1"/>
    </w:lvl>
  </w:abstractNum>
  <w:abstractNum w:abstractNumId="150">
    <w:nsid w:val="4F38F265"/>
    <w:multiLevelType w:val="hybridMultilevel"/>
    <w:lvl w:ilvl="0">
      <w:lvlJc w:val="left"/>
      <w:lvlText w:val="(%1)"/>
      <w:numFmt w:val="lowerRoman"/>
      <w:start w:val="4"/>
    </w:lvl>
  </w:abstractNum>
  <w:abstractNum w:abstractNumId="151">
    <w:nsid w:val="4C502870"/>
    <w:multiLevelType w:val="hybridMultilevel"/>
    <w:lvl w:ilvl="0">
      <w:lvlJc w:val="left"/>
      <w:lvlText w:val="(%1)"/>
      <w:numFmt w:val="lowerLetter"/>
      <w:start w:val="5"/>
    </w:lvl>
  </w:abstractNum>
  <w:abstractNum w:abstractNumId="152">
    <w:nsid w:val="1DE8725A"/>
    <w:multiLevelType w:val="hybridMultilevel"/>
    <w:lvl w:ilvl="0">
      <w:lvlJc w:val="left"/>
      <w:lvlText w:val="(%1)"/>
      <w:numFmt w:val="lowerLetter"/>
      <w:start w:val="7"/>
    </w:lvl>
    <w:lvl w:ilvl="1">
      <w:lvlJc w:val="left"/>
      <w:lvlText w:val="(%2)"/>
      <w:numFmt w:val="lowerRoman"/>
      <w:start w:val="1"/>
    </w:lvl>
  </w:abstractNum>
  <w:abstractNum w:abstractNumId="153">
    <w:nsid w:val="6A37288A"/>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1"/>
    </w:lvl>
  </w:abstractNum>
  <w:abstractNum w:abstractNumId="154">
    <w:nsid w:val="8F8B73F"/>
    <w:multiLevelType w:val="hybridMultilevel"/>
    <w:lvl w:ilvl="0">
      <w:lvlJc w:val="left"/>
      <w:lvlText w:val="%1."/>
      <w:numFmt w:val="decimal"/>
      <w:start w:val="8"/>
    </w:lvl>
  </w:abstractNum>
  <w:abstractNum w:abstractNumId="155">
    <w:nsid w:val="CA6B462"/>
    <w:multiLevelType w:val="hybridMultilevel"/>
    <w:lvl w:ilvl="0">
      <w:lvlJc w:val="left"/>
      <w:lvlText w:val="%1."/>
      <w:numFmt w:val="decimal"/>
      <w:start w:val="9"/>
    </w:lvl>
  </w:abstractNum>
  <w:abstractNum w:abstractNumId="156">
    <w:nsid w:val="763CB680"/>
    <w:multiLevelType w:val="hybridMultilevel"/>
    <w:lvl w:ilvl="0">
      <w:lvlJc w:val="left"/>
      <w:lvlText w:val="%1."/>
      <w:numFmt w:val="decimal"/>
      <w:start w:val="10"/>
    </w:lvl>
  </w:abstractNum>
  <w:abstractNum w:abstractNumId="157">
    <w:nsid w:val="15B71329"/>
    <w:multiLevelType w:val="hybridMultilevel"/>
    <w:lvl w:ilvl="0">
      <w:lvlJc w:val="left"/>
      <w:lvlText w:val="%1."/>
      <w:numFmt w:val="decimal"/>
      <w:start w:val="11"/>
    </w:lvl>
    <w:lvl w:ilvl="1">
      <w:lvlJc w:val="left"/>
      <w:lvlText w:val="(%2)"/>
      <w:numFmt w:val="lowerLetter"/>
      <w:start w:val="1"/>
    </w:lvl>
  </w:abstractNum>
  <w:abstractNum w:abstractNumId="158">
    <w:nsid w:val="3DA9704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59">
    <w:nsid w:val="1CDCE2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0">
    <w:nsid w:val="69D3947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1">
    <w:nsid w:val="2539DFA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62">
    <w:nsid w:val="2DB88089"/>
    <w:multiLevelType w:val="hybridMultilevel"/>
    <w:lvl w:ilvl="0">
      <w:lvlJc w:val="left"/>
      <w:lvlText w:val="%1"/>
      <w:numFmt w:val="decimal"/>
      <w:start w:val="1"/>
    </w:lvl>
    <w:lvl w:ilvl="1">
      <w:lvlJc w:val="left"/>
      <w:lvlText w:val="(%2)"/>
      <w:numFmt w:val="lowerLetter"/>
      <w:start w:val="3"/>
    </w:lvl>
  </w:abstractNum>
  <w:abstractNum w:abstractNumId="163">
    <w:nsid w:val="706B674E"/>
    <w:multiLevelType w:val="hybridMultilevel"/>
    <w:lvl w:ilvl="0">
      <w:lvlJc w:val="left"/>
      <w:lvlText w:val="%1."/>
      <w:numFmt w:val="decimal"/>
      <w:start w:val="16"/>
    </w:lvl>
    <w:lvl w:ilvl="1">
      <w:lvlJc w:val="left"/>
      <w:lvlText w:val="%2"/>
      <w:numFmt w:val="lowerLetter"/>
      <w:start w:val="1"/>
    </w:lvl>
  </w:abstractNum>
  <w:abstractNum w:abstractNumId="164">
    <w:nsid w:val="2C106A57"/>
    <w:multiLevelType w:val="hybridMultilevel"/>
    <w:lvl w:ilvl="0">
      <w:lvlJc w:val="left"/>
      <w:lvlText w:val="%1."/>
      <w:numFmt w:val="decimal"/>
      <w:start w:val="17"/>
    </w:lvl>
  </w:abstractNum>
  <w:abstractNum w:abstractNumId="165">
    <w:nsid w:val="684EED59"/>
    <w:multiLevelType w:val="hybridMultilevel"/>
    <w:lvl w:ilvl="0">
      <w:lvlJc w:val="left"/>
      <w:lvlText w:val="%1."/>
      <w:numFmt w:val="decimal"/>
      <w:start w:val="1"/>
    </w:lvl>
    <w:lvl w:ilvl="1">
      <w:lvlJc w:val="left"/>
      <w:lvlText w:val="(%2)"/>
      <w:numFmt w:val="lowerLetter"/>
      <w:start w:val="1"/>
    </w:lvl>
  </w:abstractNum>
  <w:abstractNum w:abstractNumId="166">
    <w:nsid w:val="545EE5D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7">
    <w:nsid w:val="4A66051"/>
    <w:multiLevelType w:val="hybridMultilevel"/>
    <w:lvl w:ilvl="0">
      <w:lvlJc w:val="left"/>
      <w:lvlText w:val="(%1)"/>
      <w:numFmt w:val="lowerLetter"/>
      <w:start w:val="7"/>
    </w:lvl>
    <w:lvl w:ilvl="1">
      <w:lvlJc w:val="left"/>
      <w:lvlText w:val="(%2)"/>
      <w:numFmt w:val="lowerRoman"/>
      <w:start w:val="1"/>
    </w:lvl>
  </w:abstractNum>
  <w:abstractNum w:abstractNumId="168">
    <w:nsid w:val="20F4BDAD"/>
    <w:multiLevelType w:val="hybridMultilevel"/>
    <w:lvl w:ilvl="0">
      <w:lvlJc w:val="left"/>
      <w:lvlText w:val="(%1)"/>
      <w:numFmt w:val="lowerLetter"/>
      <w:start w:val="14"/>
    </w:lvl>
    <w:lvl w:ilvl="1">
      <w:lvlJc w:val="left"/>
      <w:lvlText w:val="(%2)"/>
      <w:numFmt w:val="lowerRoman"/>
      <w:start w:val="1"/>
    </w:lvl>
  </w:abstractNum>
  <w:abstractNum w:abstractNumId="169">
    <w:nsid w:val="639DEFAC"/>
    <w:multiLevelType w:val="hybridMultilevel"/>
    <w:lvl w:ilvl="0">
      <w:lvlJc w:val="left"/>
      <w:lvlText w:val="(%1)"/>
      <w:numFmt w:val="lowerLetter"/>
      <w:start w:val="20"/>
    </w:lvl>
    <w:lvl w:ilvl="1">
      <w:lvlJc w:val="left"/>
      <w:lvlText w:val="(%2)"/>
      <w:numFmt w:val="lowerRoman"/>
      <w:start w:val="1"/>
    </w:lvl>
  </w:abstractNum>
  <w:abstractNum w:abstractNumId="170">
    <w:nsid w:val="501F978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71">
    <w:nsid w:val="6B057295"/>
    <w:multiLevelType w:val="hybridMultilevel"/>
    <w:lvl w:ilvl="0">
      <w:lvlJc w:val="left"/>
      <w:lvlText w:val="%1"/>
      <w:numFmt w:val="lowerLetter"/>
      <w:start w:val="1"/>
    </w:lvl>
    <w:lvl w:ilvl="1">
      <w:lvlJc w:val="left"/>
      <w:lvlText w:val="(%2)"/>
      <w:numFmt w:val="lowerLetter"/>
      <w:start w:val="27"/>
    </w:lvl>
    <w:lvl w:ilvl="2">
      <w:lvlJc w:val="left"/>
      <w:lvlText w:val="%3"/>
      <w:numFmt w:val="lowerLetter"/>
      <w:start w:val="1"/>
    </w:lvl>
  </w:abstractNum>
  <w:abstractNum w:abstractNumId="172">
    <w:nsid w:val="2771AC80"/>
    <w:multiLevelType w:val="hybridMultilevel"/>
    <w:lvl w:ilvl="0">
      <w:lvlJc w:val="left"/>
      <w:lvlText w:val="(%1)"/>
      <w:numFmt w:val="lowerLetter"/>
      <w:start w:val="35"/>
    </w:lvl>
    <w:lvl w:ilvl="1">
      <w:lvlJc w:val="left"/>
      <w:lvlText w:val="(%2)"/>
      <w:numFmt w:val="lowerLetter"/>
      <w:start w:val="33"/>
    </w:lvl>
    <w:lvl w:ilvl="2">
      <w:lvlJc w:val="left"/>
      <w:lvlText w:val="%3"/>
      <w:numFmt w:val="lowerLetter"/>
      <w:start w:val="1"/>
    </w:lvl>
  </w:abstractNum>
  <w:abstractNum w:abstractNumId="173">
    <w:nsid w:val="1C4A08EC"/>
    <w:multiLevelType w:val="hybridMultilevel"/>
    <w:lvl w:ilvl="0">
      <w:lvlJc w:val="left"/>
      <w:lvlText w:val="(%1)"/>
      <w:numFmt w:val="lowerLetter"/>
      <w:start w:val="34"/>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74">
    <w:nsid w:val="1958BD17"/>
    <w:multiLevelType w:val="hybridMultilevel"/>
    <w:lvl w:ilvl="0">
      <w:lvlJc w:val="left"/>
      <w:lvlText w:val="(%1)"/>
      <w:numFmt w:val="lowerLetter"/>
      <w:start w:val="37"/>
    </w:lvl>
  </w:abstractNum>
  <w:abstractNum w:abstractNumId="175">
    <w:nsid w:val="4E647FE4"/>
    <w:multiLevelType w:val="hybridMultilevel"/>
    <w:lvl w:ilvl="0">
      <w:lvlJc w:val="left"/>
      <w:lvlText w:val="(%1)"/>
      <w:numFmt w:val="lowerLetter"/>
      <w:start w:val="46"/>
    </w:lvl>
    <w:lvl w:ilvl="1">
      <w:lvlJc w:val="left"/>
      <w:lvlText w:val="(%2)"/>
      <w:numFmt w:val="lowerRoman"/>
      <w:start w:val="1"/>
    </w:lvl>
  </w:abstractNum>
  <w:abstractNum w:abstractNumId="176">
    <w:nsid w:val="E0BB885"/>
    <w:multiLevelType w:val="hybridMultilevel"/>
    <w:lvl w:ilvl="0">
      <w:lvlJc w:val="left"/>
      <w:lvlText w:val="(%1)"/>
      <w:numFmt w:val="lowerLetter"/>
      <w:start w:val="53"/>
    </w:lvl>
    <w:lvl w:ilvl="1">
      <w:lvlJc w:val="left"/>
      <w:lvlText w:val="(%2)"/>
      <w:numFmt w:val="lowerRoman"/>
      <w:start w:val="1"/>
    </w:lvl>
  </w:abstractNum>
  <w:abstractNum w:abstractNumId="177">
    <w:nsid w:val="565976F1"/>
    <w:multiLevelType w:val="hybridMultilevel"/>
    <w:lvl w:ilvl="0">
      <w:lvlJc w:val="left"/>
      <w:lvlText w:val="%1"/>
      <w:numFmt w:val="decimal"/>
      <w:start w:val="1"/>
    </w:lvl>
    <w:lvl w:ilvl="1">
      <w:lvlJc w:val="left"/>
      <w:lvlText w:val="(%2)"/>
      <w:numFmt w:val="lowerLetter"/>
      <w:start w:val="55"/>
    </w:lvl>
  </w:abstractNum>
  <w:abstractNum w:abstractNumId="178">
    <w:nsid w:val="64212B8C"/>
    <w:multiLevelType w:val="hybridMultilevel"/>
    <w:lvl w:ilvl="0">
      <w:lvlJc w:val="left"/>
      <w:lvlText w:val="%1."/>
      <w:numFmt w:val="decimal"/>
      <w:start w:val="3"/>
    </w:lvl>
    <w:lvl w:ilvl="1">
      <w:lvlJc w:val="left"/>
      <w:lvlText w:val="(%2)"/>
      <w:numFmt w:val="lowerLetter"/>
      <w:start w:val="1"/>
    </w:lvl>
  </w:abstractNum>
  <w:abstractNum w:abstractNumId="179">
    <w:nsid w:val="5C17530C"/>
    <w:multiLevelType w:val="hybridMultilevel"/>
    <w:lvl w:ilvl="0">
      <w:lvlJc w:val="left"/>
      <w:lvlText w:val="(%1)"/>
      <w:numFmt w:val="lowerLetter"/>
      <w:start w:val="2"/>
    </w:lvl>
    <w:lvl w:ilvl="1">
      <w:lvlJc w:val="left"/>
      <w:lvlText w:val="(%2)"/>
      <w:numFmt w:val="lowerRoman"/>
      <w:start w:val="1"/>
    </w:lvl>
  </w:abstractNum>
  <w:abstractNum w:abstractNumId="180">
    <w:nsid w:val="19A52566"/>
    <w:multiLevelType w:val="hybridMultilevel"/>
    <w:lvl w:ilvl="0">
      <w:lvlJc w:val="left"/>
      <w:lvlText w:val="(%1)"/>
      <w:numFmt w:val="lowerLetter"/>
      <w:start w:val="3"/>
    </w:lvl>
    <w:lvl w:ilvl="1">
      <w:lvlJc w:val="left"/>
      <w:lvlText w:val="(%2)"/>
      <w:numFmt w:val="lowerRoman"/>
      <w:start w:val="1"/>
    </w:lvl>
  </w:abstractNum>
  <w:abstractNum w:abstractNumId="181">
    <w:nsid w:val="335A1D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2">
    <w:nsid w:val="28677B7C"/>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83">
    <w:nsid w:val="378D97C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4">
    <w:nsid w:val="1D91467C"/>
    <w:multiLevelType w:val="hybridMultilevel"/>
    <w:lvl w:ilvl="0">
      <w:lvlJc w:val="left"/>
      <w:lvlText w:val="(%1)"/>
      <w:numFmt w:val="lowerLetter"/>
      <w:start w:val="1"/>
    </w:lvl>
  </w:abstractNum>
  <w:abstractNum w:abstractNumId="185">
    <w:nsid w:val="316032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86">
    <w:nsid w:val="44344C2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87">
    <w:nsid w:val="13CDFCF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88">
    <w:nsid w:val="471745E4"/>
    <w:multiLevelType w:val="hybridMultilevel"/>
    <w:lvl w:ilvl="0">
      <w:lvlJc w:val="left"/>
      <w:lvlText w:val="(%1)"/>
      <w:numFmt w:val="lowerLetter"/>
      <w:start w:val="1"/>
    </w:lvl>
    <w:lvl w:ilvl="1">
      <w:lvlJc w:val="left"/>
      <w:lvlText w:val="(%2)"/>
      <w:numFmt w:val="lowerRoman"/>
      <w:start w:val="1"/>
    </w:lvl>
  </w:abstractNum>
  <w:abstractNum w:abstractNumId="189">
    <w:nsid w:val="1DDBC66"/>
    <w:multiLevelType w:val="hybridMultilevel"/>
    <w:lvl w:ilvl="0">
      <w:lvlJc w:val="left"/>
      <w:lvlText w:val="(%1)"/>
      <w:numFmt w:val="lowerLetter"/>
      <w:start w:val="2"/>
    </w:lvl>
    <w:lvl w:ilvl="1">
      <w:lvlJc w:val="left"/>
      <w:lvlText w:val="(%2)"/>
      <w:numFmt w:val="lowerRoman"/>
      <w:start w:val="1"/>
    </w:lvl>
  </w:abstractNum>
  <w:abstractNum w:abstractNumId="190">
    <w:nsid w:val="30AADFDA"/>
    <w:multiLevelType w:val="hybridMultilevel"/>
    <w:lvl w:ilvl="0">
      <w:lvlJc w:val="left"/>
      <w:lvlText w:val="%1"/>
      <w:numFmt w:val="lowerLetter"/>
      <w:start w:val="1"/>
    </w:lvl>
    <w:lvl w:ilvl="1">
      <w:lvlJc w:val="left"/>
      <w:lvlText w:val="(%2)"/>
      <w:numFmt w:val="lowerRoman"/>
      <w:start w:val="3"/>
    </w:lvl>
  </w:abstractNum>
  <w:abstractNum w:abstractNumId="191">
    <w:nsid w:val="30EADA61"/>
    <w:multiLevelType w:val="hybridMultilevel"/>
    <w:lvl w:ilvl="0">
      <w:lvlJc w:val="left"/>
      <w:lvlText w:val="(%1)"/>
      <w:numFmt w:val="lowerLetter"/>
      <w:start w:val="5"/>
    </w:lvl>
    <w:lvl w:ilvl="1">
      <w:lvlJc w:val="left"/>
      <w:lvlText w:val="%2"/>
      <w:numFmt w:val="lowerRoman"/>
      <w:start w:val="1"/>
    </w:lvl>
  </w:abstractNum>
  <w:abstractNum w:abstractNumId="192">
    <w:nsid w:val="27179C0B"/>
    <w:multiLevelType w:val="hybridMultilevel"/>
    <w:lvl w:ilvl="0">
      <w:lvlJc w:val="left"/>
      <w:lvlText w:val="(%1)"/>
      <w:numFmt w:val="decimal"/>
      <w:start w:val="1"/>
    </w:lvl>
  </w:abstractNum>
  <w:abstractNum w:abstractNumId="193">
    <w:nsid w:val="5E63606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94">
    <w:nsid w:val="215641AF"/>
    <w:multiLevelType w:val="hybridMultilevel"/>
    <w:lvl w:ilvl="0">
      <w:lvlJc w:val="left"/>
      <w:lvlText w:val="(%1)"/>
      <w:numFmt w:val="lowerLetter"/>
      <w:start w:val="8"/>
    </w:lvl>
    <w:lvl w:ilvl="1">
      <w:lvlJc w:val="left"/>
      <w:lvlText w:val="(%2)"/>
      <w:numFmt w:val="lowerLetter"/>
      <w:start w:val="9"/>
    </w:lvl>
    <w:lvl w:ilvl="2">
      <w:lvlJc w:val="left"/>
      <w:lvlText w:val="%3"/>
      <w:numFmt w:val="decimal"/>
      <w:start w:val="1"/>
    </w:lvl>
  </w:abstractNum>
  <w:abstractNum w:abstractNumId="195">
    <w:nsid w:val="53280662"/>
    <w:multiLevelType w:val="hybridMultilevel"/>
    <w:lvl w:ilvl="0">
      <w:lvlJc w:val="left"/>
      <w:lvlText w:val="%1"/>
      <w:numFmt w:val="lowerLetter"/>
      <w:start w:val="1"/>
    </w:lvl>
    <w:lvl w:ilvl="1">
      <w:lvlJc w:val="left"/>
      <w:lvlText w:val="(%2)"/>
      <w:numFmt w:val="lowerRoman"/>
      <w:start w:val="2"/>
    </w:lvl>
  </w:abstractNum>
  <w:abstractNum w:abstractNumId="196">
    <w:nsid w:val="46B24DBC"/>
    <w:multiLevelType w:val="hybridMultilevel"/>
    <w:lvl w:ilvl="0">
      <w:lvlJc w:val="left"/>
      <w:lvlText w:val="(%1)"/>
      <w:numFmt w:val="lowerLetter"/>
      <w:start w:val="10"/>
    </w:lvl>
    <w:lvl w:ilvl="1">
      <w:lvlJc w:val="left"/>
      <w:lvlText w:val="(%2)"/>
      <w:numFmt w:val="lowerRoman"/>
      <w:start w:val="1"/>
    </w:lvl>
  </w:abstractNum>
  <w:abstractNum w:abstractNumId="197">
    <w:nsid w:val="75B52783"/>
    <w:multiLevelType w:val="hybridMultilevel"/>
    <w:lvl w:ilvl="0">
      <w:lvlJc w:val="left"/>
      <w:lvlText w:val="%1"/>
      <w:numFmt w:val="lowerLetter"/>
      <w:start w:val="1"/>
    </w:lvl>
    <w:lvl w:ilvl="1">
      <w:lvlJc w:val="left"/>
      <w:lvlText w:val="(%2)"/>
      <w:numFmt w:val="lowerRoman"/>
      <w:start w:val="2"/>
    </w:lvl>
  </w:abstractNum>
  <w:abstractNum w:abstractNumId="198">
    <w:nsid w:val="57CE66B4"/>
    <w:multiLevelType w:val="hybridMultilevel"/>
    <w:lvl w:ilvl="0">
      <w:lvlJc w:val="left"/>
      <w:lvlText w:val="(%1)"/>
      <w:numFmt w:val="lowerLetter"/>
      <w:start w:val="12"/>
    </w:lvl>
    <w:lvl w:ilvl="1">
      <w:lvlJc w:val="left"/>
      <w:lvlText w:val="%2"/>
      <w:numFmt w:val="lowerRoman"/>
      <w:start w:val="1"/>
    </w:lvl>
  </w:abstractNum>
  <w:abstractNum w:abstractNumId="199">
    <w:nsid w:val="67A70B69"/>
    <w:multiLevelType w:val="hybridMultilevel"/>
    <w:lvl w:ilvl="0">
      <w:lvlJc w:val="left"/>
      <w:lvlText w:val="(%1)"/>
      <w:numFmt w:val="lowerLetter"/>
      <w:start w:val="13"/>
    </w:lvl>
  </w:abstractNum>
  <w:abstractNum w:abstractNumId="200">
    <w:nsid w:val="5953172F"/>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201">
    <w:nsid w:val="27EDFE3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02">
    <w:nsid w:val="52AC7DFF"/>
    <w:multiLevelType w:val="hybridMultilevel"/>
    <w:lvl w:ilvl="0">
      <w:lvlJc w:val="left"/>
      <w:lvlText w:val="%1."/>
      <w:numFmt w:val="decimal"/>
      <w:start w:val="10"/>
    </w:lvl>
  </w:abstractNum>
  <w:abstractNum w:abstractNumId="203">
    <w:nsid w:val="C4C3AF"/>
    <w:multiLevelType w:val="hybridMultilevel"/>
    <w:lvl w:ilvl="0">
      <w:lvlJc w:val="left"/>
      <w:lvlText w:val="%1."/>
      <w:numFmt w:val="decimal"/>
      <w:start w:val="11"/>
    </w:lvl>
  </w:abstractNum>
  <w:abstractNum w:abstractNumId="204">
    <w:nsid w:val="44380727"/>
    <w:multiLevelType w:val="hybridMultilevel"/>
    <w:lvl w:ilvl="0">
      <w:lvlJc w:val="left"/>
      <w:lvlText w:val="%1."/>
      <w:numFmt w:val="decimal"/>
      <w:start w:val="12"/>
    </w:lvl>
  </w:abstractNum>
  <w:abstractNum w:abstractNumId="205">
    <w:nsid w:val="6C053B16"/>
    <w:multiLevelType w:val="hybridMultilevel"/>
    <w:lvl w:ilvl="0">
      <w:lvlJc w:val="left"/>
      <w:lvlText w:val="(%1)"/>
      <w:numFmt w:val="lowerLetter"/>
      <w:start w:val="1"/>
    </w:lvl>
  </w:abstractNum>
  <w:abstractNum w:abstractNumId="206">
    <w:nsid w:val="4F294393"/>
    <w:multiLevelType w:val="hybridMultilevel"/>
    <w:lvl w:ilvl="0">
      <w:lvlJc w:val="left"/>
      <w:lvlText w:val="%1."/>
      <w:numFmt w:val="decimal"/>
      <w:start w:val="13"/>
    </w:lvl>
  </w:abstractNum>
  <w:abstractNum w:abstractNumId="207">
    <w:nsid w:val="5243BFAC"/>
    <w:multiLevelType w:val="hybridMultilevel"/>
    <w:lvl w:ilvl="0">
      <w:lvlJc w:val="left"/>
      <w:lvlText w:val="%1."/>
      <w:numFmt w:val="decimal"/>
      <w:start w:val="14"/>
    </w:lvl>
  </w:abstractNum>
  <w:abstractNum w:abstractNumId="208">
    <w:nsid w:val="425EB207"/>
    <w:multiLevelType w:val="hybridMultilevel"/>
    <w:lvl w:ilvl="0">
      <w:lvlJc w:val="left"/>
      <w:lvlText w:val="%1."/>
      <w:numFmt w:val="decimal"/>
      <w:start w:val="15"/>
    </w:lvl>
  </w:abstractNum>
  <w:abstractNum w:abstractNumId="209">
    <w:nsid w:val="334A6F1F"/>
    <w:multiLevelType w:val="hybridMultilevel"/>
    <w:lvl w:ilvl="0">
      <w:lvlJc w:val="left"/>
      <w:lvlText w:val="%1."/>
      <w:numFmt w:val="decimal"/>
      <w:start w:val="16"/>
    </w:lvl>
  </w:abstractNum>
  <w:abstractNum w:abstractNumId="210">
    <w:nsid w:val="2E5B12B8"/>
    <w:multiLevelType w:val="hybridMultilevel"/>
    <w:lvl w:ilvl="0">
      <w:lvlJc w:val="left"/>
      <w:lvlText w:val="%1."/>
      <w:numFmt w:val="decimal"/>
      <w:start w:val="1"/>
    </w:lvl>
  </w:abstractNum>
  <w:abstractNum w:abstractNumId="211">
    <w:nsid w:val="5C03D76D"/>
    <w:multiLevelType w:val="hybridMultilevel"/>
    <w:lvl w:ilvl="0">
      <w:lvlJc w:val="left"/>
      <w:lvlText w:val="%1."/>
      <w:numFmt w:val="decimal"/>
      <w:start w:val="5"/>
    </w:lvl>
  </w:abstractNum>
  <w:abstractNum w:abstractNumId="212">
    <w:nsid w:val="66A48D11"/>
    <w:multiLevelType w:val="hybridMultilevel"/>
    <w:lvl w:ilvl="0">
      <w:lvlJc w:val="left"/>
      <w:lvlText w:val="%1."/>
      <w:numFmt w:val="decimal"/>
      <w:start w:val="1"/>
    </w:lvl>
    <w:lvl w:ilvl="1">
      <w:lvlJc w:val="left"/>
      <w:lvlText w:val="(%2)"/>
      <w:numFmt w:val="lowerLetter"/>
      <w:start w:val="1"/>
    </w:lvl>
  </w:abstractNum>
  <w:abstractNum w:abstractNumId="213">
    <w:nsid w:val="56C28E34"/>
    <w:multiLevelType w:val="hybridMultilevel"/>
    <w:lvl w:ilvl="0">
      <w:lvlJc w:val="left"/>
      <w:lvlText w:val="(%1)"/>
      <w:numFmt w:val="lowerLetter"/>
      <w:start w:val="7"/>
    </w:lvl>
    <w:lvl w:ilvl="1">
      <w:lvlJc w:val="left"/>
      <w:lvlText w:val="(%2)"/>
      <w:numFmt w:val="decimal"/>
      <w:start w:val="1"/>
    </w:lvl>
  </w:abstractNum>
  <w:abstractNum w:abstractNumId="214">
    <w:nsid w:val="13916F2D"/>
    <w:multiLevelType w:val="hybridMultilevel"/>
    <w:lvl w:ilvl="0">
      <w:lvlJc w:val="left"/>
      <w:lvlText w:val="(%1)"/>
      <w:numFmt w:val="lowerLetter"/>
      <w:start w:val="20"/>
    </w:lvl>
  </w:abstractNum>
  <w:abstractNum w:abstractNumId="215">
    <w:nsid w:val="435D38D"/>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216">
    <w:nsid w:val="822C0EF"/>
    <w:multiLevelType w:val="hybridMultilevel"/>
    <w:lvl w:ilvl="0">
      <w:lvlJc w:val="left"/>
      <w:lvlText w:val="(%1)"/>
      <w:numFmt w:val="decimal"/>
      <w:start w:val="2"/>
    </w:lvl>
    <w:lvl w:ilvl="1">
      <w:lvlJc w:val="left"/>
      <w:lvlText w:val="%2."/>
      <w:numFmt w:val="upperLetter"/>
      <w:start w:val="1"/>
    </w:lvl>
  </w:abstractNum>
  <w:abstractNum w:abstractNumId="217">
    <w:nsid w:val="57C5BB4F"/>
    <w:multiLevelType w:val="hybridMultilevel"/>
    <w:lvl w:ilvl="0">
      <w:lvlJc w:val="left"/>
      <w:lvlText w:val="(%1)"/>
      <w:numFmt w:val="lowerLetter"/>
      <w:start w:val="3"/>
    </w:lvl>
  </w:abstractNum>
  <w:abstractNum w:abstractNumId="218">
    <w:nsid w:val="1803D089"/>
    <w:multiLevelType w:val="hybridMultilevel"/>
    <w:lvl w:ilvl="0">
      <w:lvlJc w:val="left"/>
      <w:lvlText w:val="%1."/>
      <w:numFmt w:val="decimal"/>
      <w:start w:val="4"/>
    </w:lvl>
    <w:lvl w:ilvl="1">
      <w:lvlJc w:val="left"/>
      <w:lvlText w:val="(%2)"/>
      <w:numFmt w:val="lowerLetter"/>
      <w:start w:val="1"/>
    </w:lvl>
  </w:abstractNum>
  <w:abstractNum w:abstractNumId="219">
    <w:nsid w:val="4F3A06D4"/>
    <w:multiLevelType w:val="hybridMultilevel"/>
    <w:lvl w:ilvl="0">
      <w:lvlJc w:val="left"/>
      <w:lvlText w:val="(%1)"/>
      <w:numFmt w:val="lowerLetter"/>
      <w:start w:val="1"/>
    </w:lvl>
    <w:lvl w:ilvl="1">
      <w:lvlJc w:val="left"/>
      <w:lvlText w:val="(%2)"/>
      <w:numFmt w:val="decimal"/>
      <w:start w:val="1"/>
    </w:lvl>
  </w:abstractNum>
  <w:abstractNum w:abstractNumId="220">
    <w:nsid w:val="59A377B6"/>
    <w:multiLevelType w:val="hybridMultilevel"/>
    <w:lvl w:ilvl="0">
      <w:lvlJc w:val="left"/>
      <w:lvlText w:val="%1"/>
      <w:numFmt w:val="lowerLetter"/>
      <w:start w:val="1"/>
    </w:lvl>
    <w:lvl w:ilvl="1">
      <w:lvlJc w:val="left"/>
      <w:lvlText w:val="(%2)"/>
      <w:numFmt w:val="decimal"/>
      <w:start w:val="1"/>
    </w:lvl>
  </w:abstractNum>
  <w:abstractNum w:abstractNumId="221">
    <w:nsid w:val="48AEB063"/>
    <w:multiLevelType w:val="hybridMultilevel"/>
    <w:lvl w:ilvl="0">
      <w:lvlJc w:val="left"/>
      <w:lvlText w:val="(%1)"/>
      <w:numFmt w:val="lowerLetter"/>
      <w:start w:val="3"/>
    </w:lvl>
    <w:lvl w:ilvl="1">
      <w:lvlJc w:val="left"/>
      <w:lvlText w:val="%2"/>
      <w:numFmt w:val="decimal"/>
      <w:start w:val="1"/>
    </w:lvl>
  </w:abstractNum>
  <w:abstractNum w:abstractNumId="222">
    <w:nsid w:val="24E135"/>
    <w:multiLevelType w:val="hybridMultilevel"/>
    <w:lvl w:ilvl="0">
      <w:lvlJc w:val="left"/>
      <w:lvlText w:val="%1"/>
      <w:numFmt w:val="decimal"/>
      <w:start w:val="1"/>
    </w:lvl>
    <w:lvl w:ilvl="1">
      <w:lvlJc w:val="left"/>
      <w:lvlText w:val="(%2)"/>
      <w:numFmt w:val="lowerLetter"/>
      <w:start w:val="5"/>
    </w:lvl>
  </w:abstractNum>
  <w:abstractNum w:abstractNumId="223">
    <w:nsid w:val="BB13C1"/>
    <w:multiLevelType w:val="hybridMultilevel"/>
    <w:lvl w:ilvl="0">
      <w:lvlJc w:val="left"/>
      <w:lvlText w:val="%1."/>
      <w:numFmt w:val="decimal"/>
      <w:start w:val="6"/>
    </w:lvl>
    <w:lvl w:ilvl="1">
      <w:lvlJc w:val="left"/>
      <w:lvlText w:val="(%2)"/>
      <w:numFmt w:val="lowerLetter"/>
      <w:start w:val="1"/>
    </w:lvl>
  </w:abstractNum>
  <w:abstractNum w:abstractNumId="224">
    <w:nsid w:val="271210C7"/>
    <w:multiLevelType w:val="hybridMultilevel"/>
    <w:lvl w:ilvl="0">
      <w:lvlJc w:val="left"/>
      <w:lvlText w:val="%1."/>
      <w:numFmt w:val="decimal"/>
      <w:start w:val="9"/>
    </w:lvl>
    <w:lvl w:ilvl="1">
      <w:lvlJc w:val="left"/>
      <w:lvlText w:val="(%2)"/>
      <w:numFmt w:val="lowerLetter"/>
      <w:start w:val="1"/>
    </w:lvl>
  </w:abstractNum>
  <w:abstractNum w:abstractNumId="225">
    <w:nsid w:val="217B22E4"/>
    <w:multiLevelType w:val="hybridMultilevel"/>
    <w:lvl w:ilvl="0">
      <w:lvlJc w:val="left"/>
      <w:lvlText w:val="%1."/>
      <w:numFmt w:val="decimal"/>
      <w:start w:val="1"/>
    </w:lvl>
    <w:lvl w:ilvl="1">
      <w:lvlJc w:val="left"/>
      <w:lvlText w:val="(%2)"/>
      <w:numFmt w:val="lowerLetter"/>
      <w:start w:val="1"/>
    </w:lvl>
  </w:abstractNum>
  <w:abstractNum w:abstractNumId="226">
    <w:nsid w:val="53E31A24"/>
    <w:multiLevelType w:val="hybridMultilevel"/>
    <w:lvl w:ilvl="0">
      <w:lvlJc w:val="left"/>
      <w:lvlText w:val="(%1)"/>
      <w:numFmt w:val="lowerRoman"/>
      <w:start w:val="6"/>
    </w:lvl>
    <w:lvl w:ilvl="1">
      <w:lvlJc w:val="left"/>
      <w:lvlText w:val="(%2)"/>
      <w:numFmt w:val="lowerLetter"/>
      <w:start w:val="4"/>
    </w:lvl>
  </w:abstractNum>
  <w:abstractNum w:abstractNumId="227">
    <w:nsid w:val="6DC45E83"/>
    <w:multiLevelType w:val="hybridMultilevel"/>
    <w:lvl w:ilvl="0">
      <w:lvlJc w:val="left"/>
      <w:lvlText w:val="(%1)"/>
      <w:numFmt w:val="lowerLetter"/>
      <w:start w:val="10"/>
    </w:lvl>
    <w:lvl w:ilvl="1">
      <w:lvlJc w:val="left"/>
      <w:lvlText w:val="(%2)"/>
      <w:numFmt w:val="decimal"/>
      <w:start w:val="1"/>
    </w:lvl>
  </w:abstractNum>
  <w:abstractNum w:abstractNumId="228">
    <w:nsid w:val="17304A67"/>
    <w:multiLevelType w:val="hybridMultilevel"/>
    <w:lvl w:ilvl="0">
      <w:lvlJc w:val="left"/>
      <w:lvlText w:val="(%1)"/>
      <w:numFmt w:val="lowerLetter"/>
      <w:start w:val="20"/>
    </w:lvl>
    <w:lvl w:ilvl="1">
      <w:lvlJc w:val="left"/>
      <w:lvlText w:val="(%2)"/>
      <w:numFmt w:val="decimal"/>
      <w:start w:val="1"/>
    </w:lvl>
  </w:abstractNum>
  <w:abstractNum w:abstractNumId="229">
    <w:nsid w:val="2BB180D8"/>
    <w:multiLevelType w:val="hybridMultilevel"/>
    <w:lvl w:ilvl="0">
      <w:lvlJc w:val="left"/>
      <w:lvlText w:val="(%1)"/>
      <w:numFmt w:val="lowerLetter"/>
      <w:start w:val="27"/>
    </w:lvl>
  </w:abstractNum>
  <w:abstractNum w:abstractNumId="230">
    <w:nsid w:val="556B69ED"/>
    <w:multiLevelType w:val="hybridMultilevel"/>
    <w:lvl w:ilvl="0">
      <w:lvlJc w:val="left"/>
      <w:lvlText w:val="%1."/>
      <w:numFmt w:val="decimal"/>
      <w:start w:val="2"/>
    </w:lvl>
    <w:lvl w:ilvl="1">
      <w:lvlJc w:val="left"/>
      <w:lvlText w:val="(%2)"/>
      <w:numFmt w:val="lowerLetter"/>
      <w:start w:val="1"/>
    </w:lvl>
  </w:abstractNum>
  <w:abstractNum w:abstractNumId="231">
    <w:nsid w:val="70836196"/>
    <w:multiLevelType w:val="hybridMultilevel"/>
    <w:lvl w:ilvl="0">
      <w:lvlJc w:val="left"/>
      <w:lvlText w:val="(%1)"/>
      <w:numFmt w:val="lowerLetter"/>
      <w:start w:val="2"/>
    </w:lvl>
  </w:abstractNum>
  <w:abstractNum w:abstractNumId="232">
    <w:nsid w:val="539F7F1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3">
    <w:nsid w:val="2817E7E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34">
    <w:nsid w:val="71482545"/>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35">
    <w:nsid w:val="17D78639"/>
    <w:multiLevelType w:val="hybridMultilevel"/>
    <w:lvl w:ilvl="0">
      <w:lvlJc w:val="left"/>
      <w:lvlText w:val="%1."/>
      <w:numFmt w:val="decimal"/>
      <w:start w:val="5"/>
    </w:lvl>
  </w:abstractNum>
  <w:abstractNum w:abstractNumId="236">
    <w:nsid w:val="141D2302"/>
    <w:multiLevelType w:val="hybridMultilevel"/>
    <w:lvl w:ilvl="0">
      <w:lvlJc w:val="left"/>
      <w:lvlText w:val="%1."/>
      <w:numFmt w:val="decimal"/>
      <w:start w:val="10"/>
    </w:lvl>
    <w:lvl w:ilvl="1">
      <w:lvlJc w:val="left"/>
      <w:lvlText w:val="(%2)"/>
      <w:numFmt w:val="lowerLetter"/>
      <w:start w:val="1"/>
    </w:lvl>
  </w:abstractNum>
  <w:abstractNum w:abstractNumId="237">
    <w:nsid w:val="407168D8"/>
    <w:multiLevelType w:val="hybridMultilevel"/>
    <w:lvl w:ilvl="0">
      <w:lvlJc w:val="left"/>
      <w:lvlText w:val="%1."/>
      <w:numFmt w:val="decimal"/>
      <w:start w:val="14"/>
    </w:lvl>
  </w:abstractNum>
  <w:abstractNum w:abstractNumId="238">
    <w:nsid w:val="6A1B45E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9">
    <w:nsid w:val="567BD50A"/>
    <w:multiLevelType w:val="hybridMultilevel"/>
    <w:lvl w:ilvl="0">
      <w:lvlJc w:val="left"/>
      <w:lvlText w:val="(%1)"/>
      <w:numFmt w:val="lowerLetter"/>
      <w:start w:val="11"/>
    </w:lvl>
    <w:lvl w:ilvl="1">
      <w:lvlJc w:val="left"/>
      <w:lvlText w:val="-"/>
      <w:numFmt w:val="bullet"/>
      <w:start w:val="1"/>
    </w:lvl>
  </w:abstractNum>
  <w:abstractNum w:abstractNumId="240">
    <w:nsid w:val="73BBD7F8"/>
    <w:multiLevelType w:val="hybridMultilevel"/>
    <w:lvl w:ilvl="0">
      <w:lvlJc w:val="left"/>
      <w:lvlText w:val="(%1)"/>
      <w:numFmt w:val="lowerLetter"/>
      <w:start w:val="15"/>
    </w:lvl>
  </w:abstractNum>
  <w:abstractNum w:abstractNumId="241">
    <w:nsid w:val="1876589D"/>
    <w:multiLevelType w:val="hybridMultilevel"/>
    <w:lvl w:ilvl="0">
      <w:lvlJc w:val="left"/>
      <w:lvlText w:val="(%1)"/>
      <w:numFmt w:val="lowerLetter"/>
      <w:start w:val="19"/>
    </w:lvl>
  </w:abstractNum>
  <w:abstractNum w:abstractNumId="242">
    <w:nsid w:val="327FAC77"/>
    <w:multiLevelType w:val="hybridMultilevel"/>
    <w:lvl w:ilvl="0">
      <w:lvlJc w:val="left"/>
      <w:lvlText w:val="%1"/>
      <w:numFmt w:val="decimal"/>
      <w:start w:val="1"/>
    </w:lvl>
    <w:lvl w:ilvl="1">
      <w:lvlJc w:val="left"/>
      <w:lvlText w:val="(%2)"/>
      <w:numFmt w:val="lowerLetter"/>
      <w:start w:val="24"/>
    </w:lvl>
  </w:abstractNum>
  <w:abstractNum w:abstractNumId="243">
    <w:nsid w:val="5A606509"/>
    <w:multiLevelType w:val="hybridMultilevel"/>
    <w:lvl w:ilvl="0">
      <w:lvlJc w:val="left"/>
      <w:lvlText w:val="%1."/>
      <w:numFmt w:val="decimal"/>
      <w:start w:val="2"/>
    </w:lvl>
    <w:lvl w:ilvl="1">
      <w:lvlJc w:val="left"/>
      <w:lvlText w:val="%2"/>
      <w:numFmt w:val="lowerLetter"/>
      <w:start w:val="1"/>
    </w:lvl>
  </w:abstractNum>
  <w:abstractNum w:abstractNumId="244">
    <w:nsid w:val="6F38E6D1"/>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245">
    <w:nsid w:val="46111BA5"/>
    <w:multiLevelType w:val="hybridMultilevel"/>
    <w:lvl w:ilvl="0">
      <w:lvlJc w:val="left"/>
      <w:lvlText w:val="(%1)"/>
      <w:numFmt w:val="decimal"/>
      <w:start w:val="5"/>
    </w:lvl>
    <w:lvl w:ilvl="1">
      <w:lvlJc w:val="left"/>
      <w:lvlText w:val="%2."/>
      <w:numFmt w:val="upperLetter"/>
      <w:start w:val="1"/>
    </w:lvl>
  </w:abstractNum>
  <w:abstractNum w:abstractNumId="246">
    <w:nsid w:val="5E963896"/>
    <w:multiLevelType w:val="hybridMultilevel"/>
    <w:lvl w:ilvl="0">
      <w:lvlJc w:val="left"/>
      <w:lvlText w:val="%1"/>
      <w:numFmt w:val="decimal"/>
      <w:start w:val="1"/>
    </w:lvl>
    <w:lvl w:ilvl="1">
      <w:lvlJc w:val="left"/>
      <w:lvlText w:val="(%2)"/>
      <w:numFmt w:val="lowerLetter"/>
      <w:start w:val="3"/>
    </w:lvl>
  </w:abstractNum>
  <w:abstractNum w:abstractNumId="247">
    <w:nsid w:val="775BA7C1"/>
    <w:multiLevelType w:val="hybridMultilevel"/>
    <w:lvl w:ilvl="0">
      <w:lvlJc w:val="left"/>
      <w:lvlText w:val="%1."/>
      <w:numFmt w:val="decimal"/>
      <w:start w:val="4"/>
    </w:lvl>
    <w:lvl w:ilvl="1">
      <w:lvlJc w:val="left"/>
      <w:lvlText w:val="(%2)"/>
      <w:numFmt w:val="lowerLetter"/>
      <w:start w:val="1"/>
    </w:lvl>
  </w:abstractNum>
  <w:abstractNum w:abstractNumId="248">
    <w:nsid w:val="1DD6D6F4"/>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49">
    <w:nsid w:val="769A091F"/>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250">
    <w:nsid w:val="4695AE95"/>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251">
    <w:nsid w:val="777A4E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
      <w:numFmt w:val="bullet"/>
      <w:start w:val="1"/>
    </w:lvl>
  </w:abstractNum>
  <w:abstractNum w:abstractNumId="252">
    <w:nsid w:val="3F48B982"/>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
      <w:numFmt w:val="bullet"/>
      <w:start w:val="1"/>
    </w:lvl>
  </w:abstractNum>
  <w:abstractNum w:abstractNumId="253">
    <w:nsid w:val="46BA8FCA"/>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254">
    <w:nsid w:val="7835626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55">
    <w:nsid w:val="665ACA49"/>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56">
    <w:nsid w:val="6835B2A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57">
    <w:nsid w:val="4C187C90"/>
    <w:multiLevelType w:val="hybridMultilevel"/>
    <w:lvl w:ilvl="0">
      <w:lvlJc w:val="left"/>
      <w:lvlText w:val="(%1)"/>
      <w:numFmt w:val="decimal"/>
      <w:start w:val="1"/>
    </w:lvl>
  </w:abstractNum>
  <w:abstractNum w:abstractNumId="258">
    <w:nsid w:val="541F28CD"/>
    <w:multiLevelType w:val="hybridMultilevel"/>
    <w:lvl w:ilvl="0">
      <w:lvlJc w:val="left"/>
      <w:lvlText w:val="(%1)"/>
      <w:numFmt w:val="decimal"/>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lvl w:ilvl="1">
      <w:lvlJc w:val="left"/>
      <w:lvlText w:val="%2)"/>
      <w:numFmt w:val="lowerLetter"/>
      <w:start w:val="1"/>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2019-12-10T21:01:42Z</dcterms:created>
  <dcterms:modified xsi:type="dcterms:W3CDTF">2019-12-10T21:01:42Z</dcterms:modified>
</cp:coreProperties>
</file>