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65"/>
        <w:spacing w:after="0"/>
        <w:rPr>
          <w:sz w:val="20"/>
          <w:szCs w:val="20"/>
          <w:color w:val="auto"/>
        </w:rPr>
      </w:pPr>
      <w:r>
        <w:rPr>
          <w:rFonts w:ascii="Arial" w:cs="Arial" w:eastAsia="Arial" w:hAnsi="Arial"/>
          <w:sz w:val="15"/>
          <w:szCs w:val="15"/>
          <w:color w:val="auto"/>
        </w:rPr>
        <w:t>Filed by Comcast Corporation pursuant to</w:t>
      </w:r>
    </w:p>
    <w:p>
      <w:pPr>
        <w:spacing w:after="0" w:line="24" w:lineRule="exact"/>
        <w:rPr>
          <w:sz w:val="24"/>
          <w:szCs w:val="24"/>
          <w:color w:val="auto"/>
        </w:rPr>
      </w:pPr>
    </w:p>
    <w:p>
      <w:pPr>
        <w:ind w:left="6865"/>
        <w:spacing w:after="0"/>
        <w:rPr>
          <w:sz w:val="20"/>
          <w:szCs w:val="20"/>
          <w:color w:val="auto"/>
        </w:rPr>
      </w:pPr>
      <w:r>
        <w:rPr>
          <w:rFonts w:ascii="Arial" w:cs="Arial" w:eastAsia="Arial" w:hAnsi="Arial"/>
          <w:sz w:val="15"/>
          <w:szCs w:val="15"/>
          <w:color w:val="auto"/>
        </w:rPr>
        <w:t>Rule 425 under the Securities Act of 1933 and</w:t>
      </w:r>
    </w:p>
    <w:p>
      <w:pPr>
        <w:spacing w:after="0" w:line="18" w:lineRule="exact"/>
        <w:rPr>
          <w:sz w:val="24"/>
          <w:szCs w:val="24"/>
          <w:color w:val="auto"/>
        </w:rPr>
      </w:pPr>
    </w:p>
    <w:p>
      <w:pPr>
        <w:ind w:left="6865"/>
        <w:spacing w:after="0"/>
        <w:rPr>
          <w:sz w:val="20"/>
          <w:szCs w:val="20"/>
          <w:color w:val="auto"/>
        </w:rPr>
      </w:pPr>
      <w:r>
        <w:rPr>
          <w:rFonts w:ascii="Arial" w:cs="Arial" w:eastAsia="Arial" w:hAnsi="Arial"/>
          <w:sz w:val="15"/>
          <w:szCs w:val="15"/>
          <w:color w:val="auto"/>
        </w:rPr>
        <w:t>deemed filed pursuant to Rule 14a-12 and</w:t>
      </w:r>
    </w:p>
    <w:p>
      <w:pPr>
        <w:spacing w:after="0" w:line="18" w:lineRule="exact"/>
        <w:rPr>
          <w:sz w:val="24"/>
          <w:szCs w:val="24"/>
          <w:color w:val="auto"/>
        </w:rPr>
      </w:pPr>
    </w:p>
    <w:p>
      <w:pPr>
        <w:ind w:left="6865"/>
        <w:spacing w:after="0"/>
        <w:rPr>
          <w:sz w:val="20"/>
          <w:szCs w:val="20"/>
          <w:color w:val="auto"/>
        </w:rPr>
      </w:pPr>
      <w:r>
        <w:rPr>
          <w:rFonts w:ascii="Arial" w:cs="Arial" w:eastAsia="Arial" w:hAnsi="Arial"/>
          <w:sz w:val="14"/>
          <w:szCs w:val="14"/>
          <w:color w:val="auto"/>
        </w:rPr>
        <w:t>Rule 14d-2 under the Securities Exchange Act of 1934</w:t>
      </w:r>
    </w:p>
    <w:p>
      <w:pPr>
        <w:spacing w:after="0" w:line="215" w:lineRule="exact"/>
        <w:rPr>
          <w:sz w:val="24"/>
          <w:szCs w:val="24"/>
          <w:color w:val="auto"/>
        </w:rPr>
      </w:pPr>
    </w:p>
    <w:p>
      <w:pPr>
        <w:ind w:left="6865"/>
        <w:spacing w:after="0"/>
        <w:rPr>
          <w:sz w:val="20"/>
          <w:szCs w:val="20"/>
          <w:color w:val="auto"/>
        </w:rPr>
      </w:pPr>
      <w:r>
        <w:rPr>
          <w:rFonts w:ascii="Arial" w:cs="Arial" w:eastAsia="Arial" w:hAnsi="Arial"/>
          <w:sz w:val="15"/>
          <w:szCs w:val="15"/>
          <w:color w:val="auto"/>
        </w:rPr>
        <w:t>Subject Company: The Walt Disney Company</w:t>
      </w:r>
    </w:p>
    <w:p>
      <w:pPr>
        <w:spacing w:after="0" w:line="24" w:lineRule="exact"/>
        <w:rPr>
          <w:sz w:val="24"/>
          <w:szCs w:val="24"/>
          <w:color w:val="auto"/>
        </w:rPr>
      </w:pPr>
    </w:p>
    <w:p>
      <w:pPr>
        <w:ind w:left="6865"/>
        <w:spacing w:after="0"/>
        <w:rPr>
          <w:sz w:val="20"/>
          <w:szCs w:val="20"/>
          <w:color w:val="auto"/>
        </w:rPr>
      </w:pPr>
      <w:r>
        <w:rPr>
          <w:rFonts w:ascii="Arial" w:cs="Arial" w:eastAsia="Arial" w:hAnsi="Arial"/>
          <w:sz w:val="15"/>
          <w:szCs w:val="15"/>
          <w:color w:val="auto"/>
        </w:rPr>
        <w:t>Commission File No. 001-11605</w:t>
      </w:r>
    </w:p>
    <w:p>
      <w:pPr>
        <w:spacing w:after="0" w:line="203" w:lineRule="exact"/>
        <w:rPr>
          <w:sz w:val="24"/>
          <w:szCs w:val="24"/>
          <w:color w:val="auto"/>
        </w:rPr>
      </w:pPr>
    </w:p>
    <w:p>
      <w:pPr>
        <w:ind w:left="6865"/>
        <w:spacing w:after="0"/>
        <w:rPr>
          <w:sz w:val="20"/>
          <w:szCs w:val="20"/>
          <w:color w:val="auto"/>
        </w:rPr>
      </w:pPr>
      <w:r>
        <w:rPr>
          <w:rFonts w:ascii="Arial" w:cs="Arial" w:eastAsia="Arial" w:hAnsi="Arial"/>
          <w:sz w:val="15"/>
          <w:szCs w:val="15"/>
          <w:color w:val="auto"/>
        </w:rPr>
        <w:t>Date: February 11, 2004</w:t>
      </w:r>
    </w:p>
    <w:p>
      <w:pPr>
        <w:spacing w:after="0" w:line="209" w:lineRule="exact"/>
        <w:rPr>
          <w:sz w:val="24"/>
          <w:szCs w:val="24"/>
          <w:color w:val="auto"/>
        </w:rPr>
      </w:pPr>
    </w:p>
    <w:p>
      <w:pPr>
        <w:ind w:left="185"/>
        <w:spacing w:after="0"/>
        <w:rPr>
          <w:sz w:val="20"/>
          <w:szCs w:val="20"/>
          <w:color w:val="auto"/>
        </w:rPr>
      </w:pPr>
      <w:r>
        <w:rPr>
          <w:rFonts w:ascii="Arial" w:cs="Arial" w:eastAsia="Arial" w:hAnsi="Arial"/>
          <w:sz w:val="15"/>
          <w:szCs w:val="15"/>
          <w:color w:val="auto"/>
        </w:rPr>
        <w:t>The following presentation was used in connection with Comcast Corporation’s conference call: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612775</wp:posOffset>
            </wp:positionH>
            <wp:positionV relativeFrom="paragraph">
              <wp:posOffset>137160</wp:posOffset>
            </wp:positionV>
            <wp:extent cx="6036945" cy="129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6945" cy="1293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84"/>
        <w:spacing w:after="0"/>
        <w:rPr>
          <w:sz w:val="20"/>
          <w:szCs w:val="20"/>
          <w:color w:val="auto"/>
        </w:rPr>
      </w:pPr>
      <w:r>
        <w:rPr>
          <w:rFonts w:ascii="Arial" w:cs="Arial" w:eastAsia="Arial" w:hAnsi="Arial"/>
          <w:sz w:val="38"/>
          <w:szCs w:val="38"/>
          <w:color w:val="auto"/>
        </w:rPr>
        <w:t>Creating an Entertainment and</w:t>
      </w:r>
    </w:p>
    <w:p>
      <w:pPr>
        <w:spacing w:after="0" w:line="4" w:lineRule="exact"/>
        <w:rPr>
          <w:sz w:val="24"/>
          <w:szCs w:val="24"/>
          <w:color w:val="auto"/>
        </w:rPr>
      </w:pPr>
    </w:p>
    <w:p>
      <w:pPr>
        <w:jc w:val="center"/>
        <w:ind w:right="-1184"/>
        <w:spacing w:after="0"/>
        <w:rPr>
          <w:sz w:val="20"/>
          <w:szCs w:val="20"/>
          <w:color w:val="auto"/>
        </w:rPr>
      </w:pPr>
      <w:r>
        <w:rPr>
          <w:rFonts w:ascii="Arial" w:cs="Arial" w:eastAsia="Arial" w:hAnsi="Arial"/>
          <w:sz w:val="38"/>
          <w:szCs w:val="38"/>
          <w:color w:val="auto"/>
        </w:rPr>
        <w:t>Communications Leader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360680</wp:posOffset>
            </wp:positionH>
            <wp:positionV relativeFrom="paragraph">
              <wp:posOffset>60325</wp:posOffset>
            </wp:positionV>
            <wp:extent cx="6557010" cy="35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57010" cy="35560"/>
                    </a:xfrm>
                    <a:prstGeom prst="rect">
                      <a:avLst/>
                    </a:prstGeom>
                    <a:noFill/>
                  </pic:spPr>
                </pic:pic>
              </a:graphicData>
            </a:graphic>
          </wp:anchor>
        </w:drawing>
      </w:r>
    </w:p>
    <w:p>
      <w:pPr>
        <w:spacing w:after="0" w:line="222" w:lineRule="exact"/>
        <w:rPr>
          <w:sz w:val="24"/>
          <w:szCs w:val="24"/>
          <w:color w:val="auto"/>
        </w:rPr>
      </w:pPr>
    </w:p>
    <w:p>
      <w:pPr>
        <w:ind w:left="4165"/>
        <w:spacing w:after="0"/>
        <w:rPr>
          <w:sz w:val="20"/>
          <w:szCs w:val="20"/>
          <w:color w:val="auto"/>
        </w:rPr>
      </w:pPr>
      <w:r>
        <w:rPr>
          <w:rFonts w:ascii="Arial" w:cs="Arial" w:eastAsia="Arial" w:hAnsi="Arial"/>
          <w:sz w:val="38"/>
          <w:szCs w:val="38"/>
          <w:color w:val="auto"/>
        </w:rPr>
        <w:t>February 11,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922655</wp:posOffset>
            </wp:positionV>
            <wp:extent cx="7282815" cy="35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84"/>
        <w:spacing w:after="0"/>
        <w:rPr>
          <w:sz w:val="20"/>
          <w:szCs w:val="20"/>
          <w:color w:val="auto"/>
        </w:rPr>
      </w:pPr>
      <w:r>
        <w:rPr>
          <w:rFonts w:ascii="Arial" w:cs="Arial" w:eastAsia="Arial" w:hAnsi="Arial"/>
          <w:sz w:val="38"/>
          <w:szCs w:val="38"/>
          <w:b w:val="1"/>
          <w:bCs w:val="1"/>
          <w:color w:val="auto"/>
        </w:rPr>
        <w:t>Brian L. Roberts</w:t>
      </w:r>
    </w:p>
    <w:p>
      <w:pPr>
        <w:spacing w:after="0" w:line="52" w:lineRule="exact"/>
        <w:rPr>
          <w:sz w:val="24"/>
          <w:szCs w:val="24"/>
          <w:color w:val="auto"/>
        </w:rPr>
      </w:pPr>
    </w:p>
    <w:p>
      <w:pPr>
        <w:jc w:val="center"/>
        <w:ind w:right="-1184"/>
        <w:spacing w:after="0"/>
        <w:rPr>
          <w:sz w:val="20"/>
          <w:szCs w:val="20"/>
          <w:color w:val="auto"/>
        </w:rPr>
      </w:pPr>
      <w:r>
        <w:rPr>
          <w:rFonts w:ascii="Arial" w:cs="Arial" w:eastAsia="Arial" w:hAnsi="Arial"/>
          <w:sz w:val="38"/>
          <w:szCs w:val="38"/>
          <w:b w:val="1"/>
          <w:bCs w:val="1"/>
          <w:color w:val="auto"/>
        </w:rPr>
        <w:t>President and CEO</w:t>
      </w:r>
    </w:p>
    <w:p>
      <w:pPr>
        <w:spacing w:after="0" w:line="4" w:lineRule="exact"/>
        <w:rPr>
          <w:sz w:val="24"/>
          <w:szCs w:val="24"/>
          <w:color w:val="auto"/>
        </w:rPr>
      </w:pPr>
    </w:p>
    <w:p>
      <w:pPr>
        <w:jc w:val="center"/>
        <w:ind w:right="-1184"/>
        <w:spacing w:after="0"/>
        <w:rPr>
          <w:sz w:val="20"/>
          <w:szCs w:val="20"/>
          <w:color w:val="auto"/>
        </w:rPr>
      </w:pPr>
      <w:r>
        <w:rPr>
          <w:rFonts w:ascii="Arial" w:cs="Arial" w:eastAsia="Arial" w:hAnsi="Arial"/>
          <w:sz w:val="38"/>
          <w:szCs w:val="38"/>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282815" cy="35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5"/>
        <w:spacing w:after="0"/>
        <w:rPr>
          <w:sz w:val="20"/>
          <w:szCs w:val="20"/>
          <w:color w:val="auto"/>
        </w:rPr>
      </w:pPr>
      <w:r>
        <w:rPr>
          <w:rFonts w:ascii="Arial" w:cs="Arial" w:eastAsia="Arial" w:hAnsi="Arial"/>
          <w:sz w:val="38"/>
          <w:szCs w:val="38"/>
          <w:color w:val="auto"/>
        </w:rPr>
        <w:t>Overview of the Proposed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7282815"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545" w:hanging="545"/>
        <w:spacing w:after="0"/>
        <w:tabs>
          <w:tab w:leader="none" w:pos="545" w:val="left"/>
        </w:tabs>
        <w:numPr>
          <w:ilvl w:val="0"/>
          <w:numId w:val="1"/>
        </w:numPr>
        <w:rPr>
          <w:rFonts w:ascii="Arial" w:cs="Arial" w:eastAsia="Arial" w:hAnsi="Arial"/>
          <w:sz w:val="21"/>
          <w:szCs w:val="21"/>
          <w:color w:val="6699FF"/>
        </w:rPr>
      </w:pPr>
      <w:r>
        <w:rPr>
          <w:rFonts w:ascii="Arial" w:cs="Arial" w:eastAsia="Arial" w:hAnsi="Arial"/>
          <w:sz w:val="21"/>
          <w:szCs w:val="21"/>
          <w:color w:val="auto"/>
        </w:rPr>
        <w:t>Merger between Comcast and Disney</w:t>
      </w:r>
    </w:p>
    <w:p>
      <w:pPr>
        <w:spacing w:after="0" w:line="223" w:lineRule="exact"/>
        <w:rPr>
          <w:rFonts w:ascii="Arial" w:cs="Arial" w:eastAsia="Arial" w:hAnsi="Arial"/>
          <w:sz w:val="21"/>
          <w:szCs w:val="21"/>
          <w:color w:val="6699FF"/>
        </w:rPr>
      </w:pPr>
    </w:p>
    <w:p>
      <w:pPr>
        <w:ind w:left="545" w:hanging="545"/>
        <w:spacing w:after="0"/>
        <w:tabs>
          <w:tab w:leader="none" w:pos="545" w:val="left"/>
        </w:tabs>
        <w:numPr>
          <w:ilvl w:val="0"/>
          <w:numId w:val="1"/>
        </w:numPr>
        <w:rPr>
          <w:rFonts w:ascii="Arial" w:cs="Arial" w:eastAsia="Arial" w:hAnsi="Arial"/>
          <w:sz w:val="21"/>
          <w:szCs w:val="21"/>
          <w:color w:val="6699FF"/>
        </w:rPr>
      </w:pPr>
      <w:r>
        <w:rPr>
          <w:rFonts w:ascii="Arial" w:cs="Arial" w:eastAsia="Arial" w:hAnsi="Arial"/>
          <w:sz w:val="21"/>
          <w:szCs w:val="21"/>
          <w:color w:val="auto"/>
        </w:rPr>
        <w:t>Offers Disney shareholders a premium plus full participation in the combination benefits</w:t>
      </w:r>
    </w:p>
    <w:p>
      <w:pPr>
        <w:spacing w:after="0" w:line="258" w:lineRule="exact"/>
        <w:rPr>
          <w:rFonts w:ascii="Arial" w:cs="Arial" w:eastAsia="Arial" w:hAnsi="Arial"/>
          <w:sz w:val="21"/>
          <w:szCs w:val="21"/>
          <w:color w:val="6699FF"/>
        </w:rPr>
      </w:pPr>
    </w:p>
    <w:p>
      <w:pPr>
        <w:ind w:left="545" w:hanging="545"/>
        <w:spacing w:after="0"/>
        <w:tabs>
          <w:tab w:leader="none" w:pos="545" w:val="left"/>
        </w:tabs>
        <w:numPr>
          <w:ilvl w:val="0"/>
          <w:numId w:val="1"/>
        </w:numPr>
        <w:rPr>
          <w:rFonts w:ascii="Arial" w:cs="Arial" w:eastAsia="Arial" w:hAnsi="Arial"/>
          <w:sz w:val="21"/>
          <w:szCs w:val="21"/>
          <w:color w:val="6699FF"/>
        </w:rPr>
      </w:pPr>
      <w:r>
        <w:rPr>
          <w:rFonts w:ascii="Arial" w:cs="Arial" w:eastAsia="Arial" w:hAnsi="Arial"/>
          <w:sz w:val="21"/>
          <w:szCs w:val="21"/>
          <w:color w:val="auto"/>
        </w:rPr>
        <w:t>Comcast will issue 0.78 Class A voting shares for each Disney share</w:t>
      </w:r>
    </w:p>
    <w:p>
      <w:pPr>
        <w:spacing w:after="0" w:line="258" w:lineRule="exact"/>
        <w:rPr>
          <w:rFonts w:ascii="Arial" w:cs="Arial" w:eastAsia="Arial" w:hAnsi="Arial"/>
          <w:sz w:val="21"/>
          <w:szCs w:val="21"/>
          <w:color w:val="6699FF"/>
        </w:rPr>
      </w:pPr>
    </w:p>
    <w:p>
      <w:pPr>
        <w:ind w:left="545"/>
        <w:spacing w:after="0"/>
        <w:rPr>
          <w:rFonts w:ascii="Arial" w:cs="Arial" w:eastAsia="Arial" w:hAnsi="Arial"/>
          <w:sz w:val="21"/>
          <w:szCs w:val="21"/>
          <w:color w:val="6699FF"/>
        </w:rPr>
      </w:pPr>
      <w:r>
        <w:rPr>
          <w:rFonts w:ascii="Arial" w:cs="Arial" w:eastAsia="Arial" w:hAnsi="Arial"/>
          <w:sz w:val="21"/>
          <w:szCs w:val="21"/>
          <w:color w:val="auto"/>
        </w:rPr>
        <w:t>—   Disney shareholders will own 42% of combined company</w:t>
      </w:r>
    </w:p>
    <w:p>
      <w:pPr>
        <w:spacing w:after="0" w:line="223" w:lineRule="exact"/>
        <w:rPr>
          <w:rFonts w:ascii="Arial" w:cs="Arial" w:eastAsia="Arial" w:hAnsi="Arial"/>
          <w:sz w:val="21"/>
          <w:szCs w:val="21"/>
          <w:color w:val="6699FF"/>
        </w:rPr>
      </w:pPr>
    </w:p>
    <w:p>
      <w:pPr>
        <w:ind w:left="545" w:hanging="545"/>
        <w:spacing w:after="0"/>
        <w:tabs>
          <w:tab w:leader="none" w:pos="545" w:val="left"/>
        </w:tabs>
        <w:numPr>
          <w:ilvl w:val="0"/>
          <w:numId w:val="1"/>
        </w:numPr>
        <w:rPr>
          <w:rFonts w:ascii="Arial" w:cs="Arial" w:eastAsia="Arial" w:hAnsi="Arial"/>
          <w:sz w:val="21"/>
          <w:szCs w:val="21"/>
          <w:color w:val="6699FF"/>
        </w:rPr>
      </w:pPr>
      <w:r>
        <w:rPr>
          <w:rFonts w:ascii="Arial" w:cs="Arial" w:eastAsia="Arial" w:hAnsi="Arial"/>
          <w:sz w:val="21"/>
          <w:szCs w:val="21"/>
          <w:color w:val="auto"/>
        </w:rPr>
        <w:t>Tax free to Comcast and Disney shareholders</w:t>
      </w:r>
    </w:p>
    <w:p>
      <w:pPr>
        <w:spacing w:after="0" w:line="223" w:lineRule="exact"/>
        <w:rPr>
          <w:rFonts w:ascii="Arial" w:cs="Arial" w:eastAsia="Arial" w:hAnsi="Arial"/>
          <w:sz w:val="21"/>
          <w:szCs w:val="21"/>
          <w:color w:val="6699FF"/>
        </w:rPr>
      </w:pPr>
    </w:p>
    <w:p>
      <w:pPr>
        <w:ind w:left="545" w:hanging="545"/>
        <w:spacing w:after="0"/>
        <w:tabs>
          <w:tab w:leader="none" w:pos="545" w:val="left"/>
        </w:tabs>
        <w:numPr>
          <w:ilvl w:val="0"/>
          <w:numId w:val="1"/>
        </w:numPr>
        <w:rPr>
          <w:rFonts w:ascii="Arial" w:cs="Arial" w:eastAsia="Arial" w:hAnsi="Arial"/>
          <w:sz w:val="21"/>
          <w:szCs w:val="21"/>
          <w:color w:val="6699FF"/>
        </w:rPr>
      </w:pPr>
      <w:r>
        <w:rPr>
          <w:rFonts w:ascii="Arial" w:cs="Arial" w:eastAsia="Arial" w:hAnsi="Arial"/>
          <w:sz w:val="21"/>
          <w:szCs w:val="21"/>
          <w:color w:val="auto"/>
        </w:rPr>
        <w:t>Includes Disney Board members on Comcast Board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7282815" cy="35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438785</wp:posOffset>
            </wp:positionV>
            <wp:extent cx="1097280" cy="325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431165</wp:posOffset>
            </wp:positionV>
            <wp:extent cx="869950" cy="3403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ectPr>
          <w:pgSz w:w="11900" w:h="16838" w:orient="portrait"/>
          <w:cols w:equalWidth="0" w:num="1">
            <w:col w:w="10245"/>
          </w:cols>
          <w:pgMar w:left="235" w:top="228" w:right="1419" w:bottom="944" w:gutter="0" w:footer="0" w:header="0"/>
        </w:sectPr>
      </w:pPr>
    </w:p>
    <w:bookmarkStart w:id="1" w:name="page2"/>
    <w:bookmarkEnd w:id="1"/>
    <w:p>
      <w:pPr>
        <w:jc w:val="center"/>
        <w:ind w:right="-124"/>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675640</wp:posOffset>
            </wp:positionV>
            <wp:extent cx="2451100" cy="658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1100"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85"/>
        <w:spacing w:after="0"/>
        <w:rPr>
          <w:sz w:val="20"/>
          <w:szCs w:val="20"/>
          <w:color w:val="auto"/>
        </w:rPr>
      </w:pPr>
      <w:r>
        <w:rPr>
          <w:rFonts w:ascii="Arial" w:cs="Arial" w:eastAsia="Arial" w:hAnsi="Arial"/>
          <w:sz w:val="38"/>
          <w:szCs w:val="38"/>
          <w:color w:val="auto"/>
        </w:rPr>
        <w:t>Broadband Distribution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191135</wp:posOffset>
            </wp:positionV>
            <wp:extent cx="4364990" cy="3759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64990" cy="375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5" w:hanging="525"/>
        <w:spacing w:after="0"/>
        <w:tabs>
          <w:tab w:leader="none" w:pos="525" w:val="left"/>
        </w:tabs>
        <w:numPr>
          <w:ilvl w:val="0"/>
          <w:numId w:val="2"/>
        </w:numPr>
        <w:rPr>
          <w:rFonts w:ascii="Arial" w:cs="Arial" w:eastAsia="Arial" w:hAnsi="Arial"/>
          <w:sz w:val="21"/>
          <w:szCs w:val="21"/>
          <w:color w:val="6699FF"/>
        </w:rPr>
      </w:pPr>
      <w:r>
        <w:rPr>
          <w:rFonts w:ascii="Arial" w:cs="Arial" w:eastAsia="Arial" w:hAnsi="Arial"/>
          <w:sz w:val="21"/>
          <w:szCs w:val="21"/>
          <w:color w:val="auto"/>
        </w:rPr>
        <w:t>39.8 million homes passed</w:t>
      </w:r>
    </w:p>
    <w:p>
      <w:pPr>
        <w:spacing w:after="0" w:line="200" w:lineRule="exact"/>
        <w:rPr>
          <w:rFonts w:ascii="Arial" w:cs="Arial" w:eastAsia="Arial" w:hAnsi="Arial"/>
          <w:sz w:val="21"/>
          <w:szCs w:val="21"/>
          <w:color w:val="6699FF"/>
        </w:rPr>
      </w:pPr>
    </w:p>
    <w:p>
      <w:pPr>
        <w:spacing w:after="0" w:line="200" w:lineRule="exact"/>
        <w:rPr>
          <w:rFonts w:ascii="Arial" w:cs="Arial" w:eastAsia="Arial" w:hAnsi="Arial"/>
          <w:sz w:val="21"/>
          <w:szCs w:val="21"/>
          <w:color w:val="6699FF"/>
        </w:rPr>
      </w:pPr>
    </w:p>
    <w:p>
      <w:pPr>
        <w:spacing w:after="0" w:line="204" w:lineRule="exact"/>
        <w:rPr>
          <w:rFonts w:ascii="Arial" w:cs="Arial" w:eastAsia="Arial" w:hAnsi="Arial"/>
          <w:sz w:val="21"/>
          <w:szCs w:val="21"/>
          <w:color w:val="6699FF"/>
        </w:rPr>
      </w:pPr>
    </w:p>
    <w:p>
      <w:pPr>
        <w:ind w:left="525" w:hanging="525"/>
        <w:spacing w:after="0"/>
        <w:tabs>
          <w:tab w:leader="none" w:pos="525" w:val="left"/>
        </w:tabs>
        <w:numPr>
          <w:ilvl w:val="0"/>
          <w:numId w:val="2"/>
        </w:numPr>
        <w:rPr>
          <w:rFonts w:ascii="Arial" w:cs="Arial" w:eastAsia="Arial" w:hAnsi="Arial"/>
          <w:sz w:val="21"/>
          <w:szCs w:val="21"/>
          <w:color w:val="6699FF"/>
        </w:rPr>
      </w:pPr>
      <w:r>
        <w:rPr>
          <w:rFonts w:ascii="Arial" w:cs="Arial" w:eastAsia="Arial" w:hAnsi="Arial"/>
          <w:sz w:val="21"/>
          <w:szCs w:val="21"/>
          <w:color w:val="auto"/>
        </w:rPr>
        <w:t>21.5 million cable subscribers</w:t>
      </w:r>
    </w:p>
    <w:p>
      <w:pPr>
        <w:spacing w:after="0" w:line="200" w:lineRule="exact"/>
        <w:rPr>
          <w:rFonts w:ascii="Arial" w:cs="Arial" w:eastAsia="Arial" w:hAnsi="Arial"/>
          <w:sz w:val="21"/>
          <w:szCs w:val="21"/>
          <w:color w:val="6699FF"/>
        </w:rPr>
      </w:pPr>
    </w:p>
    <w:p>
      <w:pPr>
        <w:spacing w:after="0" w:line="200" w:lineRule="exact"/>
        <w:rPr>
          <w:rFonts w:ascii="Arial" w:cs="Arial" w:eastAsia="Arial" w:hAnsi="Arial"/>
          <w:sz w:val="21"/>
          <w:szCs w:val="21"/>
          <w:color w:val="6699FF"/>
        </w:rPr>
      </w:pPr>
    </w:p>
    <w:p>
      <w:pPr>
        <w:spacing w:after="0" w:line="204" w:lineRule="exact"/>
        <w:rPr>
          <w:rFonts w:ascii="Arial" w:cs="Arial" w:eastAsia="Arial" w:hAnsi="Arial"/>
          <w:sz w:val="21"/>
          <w:szCs w:val="21"/>
          <w:color w:val="6699FF"/>
        </w:rPr>
      </w:pPr>
    </w:p>
    <w:p>
      <w:pPr>
        <w:ind w:left="525" w:hanging="525"/>
        <w:spacing w:after="0"/>
        <w:tabs>
          <w:tab w:leader="none" w:pos="525" w:val="left"/>
        </w:tabs>
        <w:numPr>
          <w:ilvl w:val="0"/>
          <w:numId w:val="2"/>
        </w:numPr>
        <w:rPr>
          <w:rFonts w:ascii="Arial" w:cs="Arial" w:eastAsia="Arial" w:hAnsi="Arial"/>
          <w:sz w:val="21"/>
          <w:szCs w:val="21"/>
          <w:color w:val="6699FF"/>
        </w:rPr>
      </w:pPr>
      <w:r>
        <w:rPr>
          <w:rFonts w:ascii="Arial" w:cs="Arial" w:eastAsia="Arial" w:hAnsi="Arial"/>
          <w:sz w:val="21"/>
          <w:szCs w:val="21"/>
          <w:color w:val="auto"/>
        </w:rPr>
        <w:t>5.3 million broadband subscribers</w:t>
      </w:r>
    </w:p>
    <w:p>
      <w:pPr>
        <w:spacing w:after="0" w:line="200" w:lineRule="exact"/>
        <w:rPr>
          <w:rFonts w:ascii="Arial" w:cs="Arial" w:eastAsia="Arial" w:hAnsi="Arial"/>
          <w:sz w:val="21"/>
          <w:szCs w:val="21"/>
          <w:color w:val="6699FF"/>
        </w:rPr>
      </w:pPr>
    </w:p>
    <w:p>
      <w:pPr>
        <w:spacing w:after="0" w:line="200" w:lineRule="exact"/>
        <w:rPr>
          <w:rFonts w:ascii="Arial" w:cs="Arial" w:eastAsia="Arial" w:hAnsi="Arial"/>
          <w:sz w:val="21"/>
          <w:szCs w:val="21"/>
          <w:color w:val="6699FF"/>
        </w:rPr>
      </w:pPr>
    </w:p>
    <w:p>
      <w:pPr>
        <w:spacing w:after="0" w:line="204" w:lineRule="exact"/>
        <w:rPr>
          <w:rFonts w:ascii="Arial" w:cs="Arial" w:eastAsia="Arial" w:hAnsi="Arial"/>
          <w:sz w:val="21"/>
          <w:szCs w:val="21"/>
          <w:color w:val="6699FF"/>
        </w:rPr>
      </w:pPr>
    </w:p>
    <w:p>
      <w:pPr>
        <w:ind w:left="525" w:hanging="525"/>
        <w:spacing w:after="0"/>
        <w:tabs>
          <w:tab w:leader="none" w:pos="525" w:val="left"/>
        </w:tabs>
        <w:numPr>
          <w:ilvl w:val="0"/>
          <w:numId w:val="2"/>
        </w:numPr>
        <w:rPr>
          <w:rFonts w:ascii="Arial" w:cs="Arial" w:eastAsia="Arial" w:hAnsi="Arial"/>
          <w:sz w:val="21"/>
          <w:szCs w:val="21"/>
          <w:color w:val="6699FF"/>
        </w:rPr>
      </w:pPr>
      <w:r>
        <w:rPr>
          <w:rFonts w:ascii="Arial" w:cs="Arial" w:eastAsia="Arial" w:hAnsi="Arial"/>
          <w:sz w:val="21"/>
          <w:szCs w:val="21"/>
          <w:color w:val="auto"/>
        </w:rPr>
        <w:t>1.3 million telephone subscribers</w:t>
      </w:r>
    </w:p>
    <w:p>
      <w:pPr>
        <w:spacing w:after="0" w:line="200" w:lineRule="exact"/>
        <w:rPr>
          <w:rFonts w:ascii="Arial" w:cs="Arial" w:eastAsia="Arial" w:hAnsi="Arial"/>
          <w:sz w:val="21"/>
          <w:szCs w:val="21"/>
          <w:color w:val="6699FF"/>
        </w:rPr>
      </w:pPr>
    </w:p>
    <w:p>
      <w:pPr>
        <w:spacing w:after="0" w:line="200" w:lineRule="exact"/>
        <w:rPr>
          <w:rFonts w:ascii="Arial" w:cs="Arial" w:eastAsia="Arial" w:hAnsi="Arial"/>
          <w:sz w:val="21"/>
          <w:szCs w:val="21"/>
          <w:color w:val="6699FF"/>
        </w:rPr>
      </w:pPr>
    </w:p>
    <w:p>
      <w:pPr>
        <w:spacing w:after="0" w:line="204" w:lineRule="exact"/>
        <w:rPr>
          <w:rFonts w:ascii="Arial" w:cs="Arial" w:eastAsia="Arial" w:hAnsi="Arial"/>
          <w:sz w:val="21"/>
          <w:szCs w:val="21"/>
          <w:color w:val="6699FF"/>
        </w:rPr>
      </w:pPr>
    </w:p>
    <w:p>
      <w:pPr>
        <w:ind w:left="525" w:hanging="525"/>
        <w:spacing w:after="0"/>
        <w:tabs>
          <w:tab w:leader="none" w:pos="525" w:val="left"/>
        </w:tabs>
        <w:numPr>
          <w:ilvl w:val="0"/>
          <w:numId w:val="2"/>
        </w:numPr>
        <w:rPr>
          <w:rFonts w:ascii="Arial" w:cs="Arial" w:eastAsia="Arial" w:hAnsi="Arial"/>
          <w:sz w:val="21"/>
          <w:szCs w:val="21"/>
          <w:color w:val="6699FF"/>
        </w:rPr>
      </w:pPr>
      <w:r>
        <w:rPr>
          <w:rFonts w:ascii="Arial" w:cs="Arial" w:eastAsia="Arial" w:hAnsi="Arial"/>
          <w:sz w:val="21"/>
          <w:szCs w:val="21"/>
          <w:color w:val="auto"/>
        </w:rPr>
        <w:t>Presence in 22 of top 25 markets</w:t>
      </w:r>
    </w:p>
    <w:p>
      <w:pPr>
        <w:spacing w:after="0" w:line="200" w:lineRule="exact"/>
        <w:rPr>
          <w:rFonts w:ascii="Arial" w:cs="Arial" w:eastAsia="Arial" w:hAnsi="Arial"/>
          <w:sz w:val="21"/>
          <w:szCs w:val="21"/>
          <w:color w:val="6699FF"/>
        </w:rPr>
      </w:pPr>
    </w:p>
    <w:p>
      <w:pPr>
        <w:spacing w:after="0" w:line="200" w:lineRule="exact"/>
        <w:rPr>
          <w:rFonts w:ascii="Arial" w:cs="Arial" w:eastAsia="Arial" w:hAnsi="Arial"/>
          <w:sz w:val="21"/>
          <w:szCs w:val="21"/>
          <w:color w:val="6699FF"/>
        </w:rPr>
      </w:pPr>
    </w:p>
    <w:p>
      <w:pPr>
        <w:spacing w:after="0" w:line="204" w:lineRule="exact"/>
        <w:rPr>
          <w:rFonts w:ascii="Arial" w:cs="Arial" w:eastAsia="Arial" w:hAnsi="Arial"/>
          <w:sz w:val="21"/>
          <w:szCs w:val="21"/>
          <w:color w:val="6699FF"/>
        </w:rPr>
      </w:pPr>
    </w:p>
    <w:p>
      <w:pPr>
        <w:ind w:left="525" w:hanging="525"/>
        <w:spacing w:after="0"/>
        <w:tabs>
          <w:tab w:leader="none" w:pos="525" w:val="left"/>
        </w:tabs>
        <w:numPr>
          <w:ilvl w:val="0"/>
          <w:numId w:val="2"/>
        </w:numPr>
        <w:rPr>
          <w:rFonts w:ascii="Arial" w:cs="Arial" w:eastAsia="Arial" w:hAnsi="Arial"/>
          <w:sz w:val="21"/>
          <w:szCs w:val="21"/>
          <w:color w:val="6699FF"/>
        </w:rPr>
      </w:pPr>
      <w:r>
        <w:rPr>
          <w:rFonts w:ascii="Arial" w:cs="Arial" w:eastAsia="Arial" w:hAnsi="Arial"/>
          <w:sz w:val="21"/>
          <w:szCs w:val="21"/>
          <w:color w:val="auto"/>
        </w:rPr>
        <w:t>2003 Revenue: $18.3Bn</w:t>
      </w:r>
    </w:p>
    <w:p>
      <w:pPr>
        <w:spacing w:after="0" w:line="200" w:lineRule="exact"/>
        <w:rPr>
          <w:rFonts w:ascii="Arial" w:cs="Arial" w:eastAsia="Arial" w:hAnsi="Arial"/>
          <w:sz w:val="21"/>
          <w:szCs w:val="21"/>
          <w:color w:val="6699FF"/>
        </w:rPr>
      </w:pPr>
    </w:p>
    <w:p>
      <w:pPr>
        <w:spacing w:after="0" w:line="200" w:lineRule="exact"/>
        <w:rPr>
          <w:rFonts w:ascii="Arial" w:cs="Arial" w:eastAsia="Arial" w:hAnsi="Arial"/>
          <w:sz w:val="21"/>
          <w:szCs w:val="21"/>
          <w:color w:val="6699FF"/>
        </w:rPr>
      </w:pPr>
    </w:p>
    <w:p>
      <w:pPr>
        <w:spacing w:after="0" w:line="204" w:lineRule="exact"/>
        <w:rPr>
          <w:rFonts w:ascii="Arial" w:cs="Arial" w:eastAsia="Arial" w:hAnsi="Arial"/>
          <w:sz w:val="21"/>
          <w:szCs w:val="21"/>
          <w:color w:val="6699FF"/>
        </w:rPr>
      </w:pPr>
    </w:p>
    <w:p>
      <w:pPr>
        <w:ind w:left="525" w:hanging="525"/>
        <w:spacing w:after="0"/>
        <w:tabs>
          <w:tab w:leader="none" w:pos="525" w:val="left"/>
        </w:tabs>
        <w:numPr>
          <w:ilvl w:val="0"/>
          <w:numId w:val="2"/>
        </w:numPr>
        <w:rPr>
          <w:rFonts w:ascii="Arial" w:cs="Arial" w:eastAsia="Arial" w:hAnsi="Arial"/>
          <w:sz w:val="21"/>
          <w:szCs w:val="21"/>
          <w:color w:val="6699FF"/>
        </w:rPr>
      </w:pPr>
      <w:r>
        <w:rPr>
          <w:rFonts w:ascii="Arial" w:cs="Arial" w:eastAsia="Arial" w:hAnsi="Arial"/>
          <w:sz w:val="21"/>
          <w:szCs w:val="21"/>
          <w:color w:val="auto"/>
        </w:rPr>
        <w:t>2003 EBITDA: $6.4Bn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580390</wp:posOffset>
            </wp:positionV>
            <wp:extent cx="728281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681355</wp:posOffset>
            </wp:positionV>
            <wp:extent cx="1097280" cy="325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673735</wp:posOffset>
            </wp:positionV>
            <wp:extent cx="869950" cy="340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24"/>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561975</wp:posOffset>
            </wp:positionV>
            <wp:extent cx="2587625" cy="378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87625"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38"/>
          <w:szCs w:val="38"/>
          <w:color w:val="auto"/>
        </w:rPr>
        <w:t>Leading Entertainment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62495" cy="52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52705"/>
                    </a:xfrm>
                    <a:prstGeom prst="rect">
                      <a:avLst/>
                    </a:prstGeom>
                    <a:noFill/>
                  </pic:spPr>
                </pic:pic>
              </a:graphicData>
            </a:graphic>
          </wp:anchor>
        </w:drawing>
      </w:r>
    </w:p>
    <w:p>
      <w:pPr>
        <w:sectPr>
          <w:pgSz w:w="11900" w:h="16838" w:orient="portrait"/>
          <w:cols w:equalWidth="0" w:num="1">
            <w:col w:w="11445"/>
          </w:cols>
          <w:pgMar w:left="235" w:top="142" w:right="2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4516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915" cy="451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5</w:t>
      </w:r>
    </w:p>
    <w:p>
      <w:pPr>
        <w:spacing w:after="0" w:line="200" w:lineRule="exact"/>
        <w:rPr>
          <w:sz w:val="20"/>
          <w:szCs w:val="20"/>
          <w:color w:val="auto"/>
        </w:rPr>
      </w:pPr>
    </w:p>
    <w:p>
      <w:pPr>
        <w:spacing w:after="0" w:line="257" w:lineRule="exact"/>
        <w:rPr>
          <w:sz w:val="20"/>
          <w:szCs w:val="20"/>
          <w:color w:val="auto"/>
        </w:rPr>
      </w:pPr>
    </w:p>
    <w:p>
      <w:pPr>
        <w:spacing w:after="0" w:line="254" w:lineRule="auto"/>
        <w:rPr>
          <w:sz w:val="20"/>
          <w:szCs w:val="20"/>
          <w:color w:val="auto"/>
        </w:rPr>
      </w:pPr>
      <w:r>
        <w:rPr>
          <w:rFonts w:ascii="Arial" w:cs="Arial" w:eastAsia="Arial" w:hAnsi="Arial"/>
          <w:sz w:val="38"/>
          <w:szCs w:val="38"/>
          <w:color w:val="auto"/>
        </w:rPr>
        <w:t>One of the World’s Premier Entertainment and Communications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8281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4599940</wp:posOffset>
            </wp:positionV>
            <wp:extent cx="728281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740"/>
          </w:cols>
          <w:pgMar w:left="240" w:top="1440" w:right="91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1097280" cy="325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page">
              <wp:posOffset>6542405</wp:posOffset>
            </wp:positionH>
            <wp:positionV relativeFrom="page">
              <wp:posOffset>88900</wp:posOffset>
            </wp:positionV>
            <wp:extent cx="869950" cy="3403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869950" cy="340360"/>
                    </a:xfrm>
                    <a:prstGeom prst="rect">
                      <a:avLst/>
                    </a:prstGeom>
                    <a:noFill/>
                  </pic:spPr>
                </pic:pic>
              </a:graphicData>
            </a:graphic>
          </wp:anchor>
        </w:drawing>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8281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38"/>
          <w:szCs w:val="38"/>
          <w:b w:val="1"/>
          <w:bCs w:val="1"/>
          <w:color w:val="auto"/>
        </w:rPr>
        <w:t>Stephen B. Burke</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38"/>
          <w:szCs w:val="38"/>
          <w:b w:val="1"/>
          <w:bCs w:val="1"/>
          <w:color w:val="auto"/>
        </w:rPr>
        <w:t>President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38"/>
          <w:szCs w:val="38"/>
          <w:b w:val="1"/>
          <w:bCs w:val="1"/>
          <w:color w:val="auto"/>
        </w:rPr>
        <w:t>Comcast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8281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37"/>
          <w:szCs w:val="37"/>
          <w:color w:val="auto"/>
        </w:rPr>
        <w:t>Compelling Value Creation for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8281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60"/>
          </w:cols>
          <w:pgMar w:left="240" w:top="690"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400"/>
        <w:spacing w:after="0"/>
        <w:rPr>
          <w:sz w:val="20"/>
          <w:szCs w:val="20"/>
          <w:color w:val="auto"/>
        </w:rPr>
      </w:pPr>
      <w:r>
        <w:rPr>
          <w:rFonts w:ascii="Arial" w:cs="Arial" w:eastAsia="Arial" w:hAnsi="Arial"/>
          <w:sz w:val="21"/>
          <w:szCs w:val="21"/>
          <w:b w:val="1"/>
          <w:bCs w:val="1"/>
          <w:color w:val="auto"/>
        </w:rPr>
        <w:t>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45466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4660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Estimated Year 3</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Cash Flow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113665</wp:posOffset>
            </wp:positionV>
            <wp:extent cx="22923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9235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780"/>
          </w:cols>
          <w:pgMar w:left="240" w:top="690" w:right="199" w:bottom="1440" w:gutter="0" w:footer="0" w:header="0"/>
          <w:type w:val="continuous"/>
        </w:sectPr>
      </w:pPr>
    </w:p>
    <w:p>
      <w:pPr>
        <w:spacing w:after="0" w:line="166" w:lineRule="exact"/>
        <w:rPr>
          <w:sz w:val="20"/>
          <w:szCs w:val="20"/>
          <w:color w:val="auto"/>
        </w:rPr>
      </w:pPr>
    </w:p>
    <w:p>
      <w:pPr>
        <w:ind w:left="620" w:hanging="589"/>
        <w:spacing w:after="0"/>
        <w:tabs>
          <w:tab w:leader="none" w:pos="620" w:val="left"/>
        </w:tabs>
        <w:numPr>
          <w:ilvl w:val="0"/>
          <w:numId w:val="3"/>
        </w:numPr>
        <w:rPr>
          <w:rFonts w:ascii="Arial" w:cs="Arial" w:eastAsia="Arial" w:hAnsi="Arial"/>
          <w:sz w:val="21"/>
          <w:szCs w:val="21"/>
          <w:color w:val="6699FF"/>
        </w:rPr>
      </w:pPr>
      <w:r>
        <w:rPr>
          <w:rFonts w:ascii="Arial" w:cs="Arial" w:eastAsia="Arial" w:hAnsi="Arial"/>
          <w:sz w:val="21"/>
          <w:szCs w:val="21"/>
          <w:color w:val="auto"/>
        </w:rPr>
        <w:t>Restore Disney’s Operating Results</w:t>
      </w:r>
    </w:p>
    <w:p>
      <w:pPr>
        <w:spacing w:after="0" w:line="80" w:lineRule="exact"/>
        <w:rPr>
          <w:sz w:val="20"/>
          <w:szCs w:val="20"/>
          <w:color w:val="auto"/>
        </w:rPr>
      </w:pPr>
    </w:p>
    <w:tbl>
      <w:tblPr>
        <w:tblLayout w:type="fixed"/>
        <w:tblInd w:w="620" w:type="dxa"/>
        <w:tblCellMar>
          <w:top w:w="0" w:type="dxa"/>
          <w:left w:w="0" w:type="dxa"/>
          <w:bottom w:w="0" w:type="dxa"/>
          <w:right w:w="0" w:type="dxa"/>
        </w:tblCellMar>
      </w:tblPr>
      <w:tr>
        <w:trPr>
          <w:trHeight w:val="258"/>
        </w:trPr>
        <w:tc>
          <w:tcPr>
            <w:tcW w:w="7200" w:type="dxa"/>
            <w:vAlign w:val="bottom"/>
            <w:gridSpan w:val="2"/>
          </w:tcPr>
          <w:p>
            <w:pPr>
              <w:spacing w:after="0"/>
              <w:rPr>
                <w:sz w:val="20"/>
                <w:szCs w:val="20"/>
                <w:color w:val="auto"/>
              </w:rPr>
            </w:pPr>
            <w:r>
              <w:rPr>
                <w:rFonts w:ascii="Arial" w:cs="Arial" w:eastAsia="Arial" w:hAnsi="Arial"/>
                <w:sz w:val="21"/>
                <w:szCs w:val="21"/>
                <w:color w:val="auto"/>
              </w:rPr>
              <w:t>—   Bring ABC performance towards industry norms</w:t>
            </w:r>
          </w:p>
        </w:tc>
        <w:tc>
          <w:tcPr>
            <w:tcW w:w="2560" w:type="dxa"/>
            <w:vAlign w:val="bottom"/>
          </w:tcPr>
          <w:p>
            <w:pPr>
              <w:jc w:val="center"/>
              <w:ind w:left="893"/>
              <w:spacing w:after="0"/>
              <w:rPr>
                <w:sz w:val="20"/>
                <w:szCs w:val="20"/>
                <w:color w:val="auto"/>
              </w:rPr>
            </w:pPr>
            <w:r>
              <w:rPr>
                <w:rFonts w:ascii="Arial" w:cs="Arial" w:eastAsia="Arial" w:hAnsi="Arial"/>
                <w:sz w:val="21"/>
                <w:szCs w:val="21"/>
                <w:color w:val="auto"/>
              </w:rPr>
              <w:t>$300 – $500MM</w:t>
            </w:r>
          </w:p>
        </w:tc>
      </w:tr>
      <w:tr>
        <w:trPr>
          <w:trHeight w:val="322"/>
        </w:trPr>
        <w:tc>
          <w:tcPr>
            <w:tcW w:w="380" w:type="dxa"/>
            <w:vAlign w:val="bottom"/>
          </w:tcPr>
          <w:p>
            <w:pPr>
              <w:spacing w:after="0"/>
              <w:rPr>
                <w:sz w:val="20"/>
                <w:szCs w:val="20"/>
                <w:color w:val="auto"/>
              </w:rPr>
            </w:pPr>
            <w:r>
              <w:rPr>
                <w:rFonts w:ascii="Arial" w:cs="Arial" w:eastAsia="Arial" w:hAnsi="Arial"/>
                <w:sz w:val="21"/>
                <w:szCs w:val="21"/>
                <w:color w:val="auto"/>
              </w:rPr>
              <w:t>—</w:t>
            </w:r>
          </w:p>
        </w:tc>
        <w:tc>
          <w:tcPr>
            <w:tcW w:w="6820" w:type="dxa"/>
            <w:vAlign w:val="bottom"/>
          </w:tcPr>
          <w:p>
            <w:pPr>
              <w:ind w:left="180"/>
              <w:spacing w:after="0"/>
              <w:rPr>
                <w:sz w:val="20"/>
                <w:szCs w:val="20"/>
                <w:color w:val="auto"/>
              </w:rPr>
            </w:pPr>
            <w:r>
              <w:rPr>
                <w:rFonts w:ascii="Arial" w:cs="Arial" w:eastAsia="Arial" w:hAnsi="Arial"/>
                <w:sz w:val="21"/>
                <w:szCs w:val="21"/>
                <w:color w:val="auto"/>
              </w:rPr>
              <w:t>Increase cable network profitability towards Comcast levels</w:t>
            </w:r>
          </w:p>
        </w:tc>
        <w:tc>
          <w:tcPr>
            <w:tcW w:w="2560" w:type="dxa"/>
            <w:vAlign w:val="bottom"/>
          </w:tcPr>
          <w:p>
            <w:pPr>
              <w:jc w:val="center"/>
              <w:ind w:left="893"/>
              <w:spacing w:after="0"/>
              <w:rPr>
                <w:sz w:val="20"/>
                <w:szCs w:val="20"/>
                <w:color w:val="auto"/>
              </w:rPr>
            </w:pPr>
            <w:r>
              <w:rPr>
                <w:rFonts w:ascii="Arial" w:cs="Arial" w:eastAsia="Arial" w:hAnsi="Arial"/>
                <w:sz w:val="21"/>
                <w:szCs w:val="21"/>
                <w:color w:val="auto"/>
              </w:rPr>
              <w:t>$200 – 300MM</w:t>
            </w:r>
          </w:p>
        </w:tc>
      </w:tr>
      <w:tr>
        <w:trPr>
          <w:trHeight w:val="322"/>
        </w:trPr>
        <w:tc>
          <w:tcPr>
            <w:tcW w:w="380" w:type="dxa"/>
            <w:vAlign w:val="bottom"/>
          </w:tcPr>
          <w:p>
            <w:pPr>
              <w:spacing w:after="0"/>
              <w:rPr>
                <w:sz w:val="20"/>
                <w:szCs w:val="20"/>
                <w:color w:val="auto"/>
              </w:rPr>
            </w:pPr>
            <w:r>
              <w:rPr>
                <w:rFonts w:ascii="Arial" w:cs="Arial" w:eastAsia="Arial" w:hAnsi="Arial"/>
                <w:sz w:val="21"/>
                <w:szCs w:val="21"/>
                <w:color w:val="auto"/>
              </w:rPr>
              <w:t>—</w:t>
            </w:r>
          </w:p>
        </w:tc>
        <w:tc>
          <w:tcPr>
            <w:tcW w:w="6820" w:type="dxa"/>
            <w:vAlign w:val="bottom"/>
          </w:tcPr>
          <w:p>
            <w:pPr>
              <w:ind w:left="180"/>
              <w:spacing w:after="0"/>
              <w:rPr>
                <w:sz w:val="20"/>
                <w:szCs w:val="20"/>
                <w:color w:val="auto"/>
              </w:rPr>
            </w:pPr>
            <w:r>
              <w:rPr>
                <w:rFonts w:ascii="Arial" w:cs="Arial" w:eastAsia="Arial" w:hAnsi="Arial"/>
                <w:sz w:val="21"/>
                <w:szCs w:val="21"/>
                <w:color w:val="auto"/>
              </w:rPr>
              <w:t>Improve other business results</w:t>
            </w:r>
          </w:p>
        </w:tc>
        <w:tc>
          <w:tcPr>
            <w:tcW w:w="2560" w:type="dxa"/>
            <w:vAlign w:val="bottom"/>
          </w:tcPr>
          <w:p>
            <w:pPr>
              <w:ind w:left="1560"/>
              <w:spacing w:after="0"/>
              <w:rPr>
                <w:sz w:val="20"/>
                <w:szCs w:val="20"/>
                <w:color w:val="auto"/>
              </w:rPr>
            </w:pPr>
            <w:r>
              <w:rPr>
                <w:rFonts w:ascii="Arial" w:cs="Arial" w:eastAsia="Arial" w:hAnsi="Arial"/>
                <w:sz w:val="21"/>
                <w:szCs w:val="21"/>
                <w:color w:val="auto"/>
              </w:rPr>
              <w:t>TBD</w:t>
            </w:r>
          </w:p>
        </w:tc>
      </w:tr>
    </w:tbl>
    <w:p>
      <w:pPr>
        <w:spacing w:after="0" w:line="350" w:lineRule="exact"/>
        <w:rPr>
          <w:sz w:val="20"/>
          <w:szCs w:val="20"/>
          <w:color w:val="auto"/>
        </w:rPr>
      </w:pPr>
    </w:p>
    <w:p>
      <w:pPr>
        <w:ind w:left="620" w:hanging="589"/>
        <w:spacing w:after="0"/>
        <w:tabs>
          <w:tab w:leader="none" w:pos="620" w:val="left"/>
        </w:tabs>
        <w:numPr>
          <w:ilvl w:val="0"/>
          <w:numId w:val="4"/>
        </w:numPr>
        <w:rPr>
          <w:rFonts w:ascii="Arial" w:cs="Arial" w:eastAsia="Arial" w:hAnsi="Arial"/>
          <w:sz w:val="21"/>
          <w:szCs w:val="21"/>
          <w:color w:val="6699FF"/>
        </w:rPr>
      </w:pPr>
      <w:r>
        <w:rPr>
          <w:rFonts w:ascii="Arial" w:cs="Arial" w:eastAsia="Arial" w:hAnsi="Arial"/>
          <w:sz w:val="21"/>
          <w:szCs w:val="21"/>
          <w:color w:val="auto"/>
        </w:rPr>
        <w:t>Realize Opportunities from Combination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00" w:type="dxa"/>
            <w:vAlign w:val="bottom"/>
          </w:tcPr>
          <w:p>
            <w:pPr>
              <w:ind w:left="620"/>
              <w:spacing w:after="0"/>
              <w:rPr>
                <w:sz w:val="20"/>
                <w:szCs w:val="20"/>
                <w:color w:val="auto"/>
              </w:rPr>
            </w:pPr>
            <w:r>
              <w:rPr>
                <w:rFonts w:ascii="Arial" w:cs="Arial" w:eastAsia="Arial" w:hAnsi="Arial"/>
                <w:sz w:val="21"/>
                <w:szCs w:val="21"/>
                <w:color w:val="auto"/>
              </w:rPr>
              <w:t>—</w:t>
            </w:r>
          </w:p>
        </w:tc>
        <w:tc>
          <w:tcPr>
            <w:tcW w:w="6820" w:type="dxa"/>
            <w:vAlign w:val="bottom"/>
          </w:tcPr>
          <w:p>
            <w:pPr>
              <w:ind w:left="180"/>
              <w:spacing w:after="0"/>
              <w:rPr>
                <w:sz w:val="20"/>
                <w:szCs w:val="20"/>
                <w:color w:val="auto"/>
              </w:rPr>
            </w:pPr>
            <w:r>
              <w:rPr>
                <w:rFonts w:ascii="Arial" w:cs="Arial" w:eastAsia="Arial" w:hAnsi="Arial"/>
                <w:sz w:val="21"/>
                <w:szCs w:val="21"/>
                <w:color w:val="auto"/>
              </w:rPr>
              <w:t>Cost savings and economies of scale</w:t>
            </w:r>
          </w:p>
        </w:tc>
        <w:tc>
          <w:tcPr>
            <w:tcW w:w="3600" w:type="dxa"/>
            <w:vAlign w:val="bottom"/>
          </w:tcPr>
          <w:p>
            <w:pPr>
              <w:jc w:val="center"/>
              <w:spacing w:after="0"/>
              <w:rPr>
                <w:sz w:val="20"/>
                <w:szCs w:val="20"/>
                <w:color w:val="auto"/>
              </w:rPr>
            </w:pPr>
            <w:r>
              <w:rPr>
                <w:rFonts w:ascii="Arial" w:cs="Arial" w:eastAsia="Arial" w:hAnsi="Arial"/>
                <w:sz w:val="21"/>
                <w:szCs w:val="21"/>
                <w:color w:val="auto"/>
              </w:rPr>
              <w:t>$300 – $400MM</w:t>
            </w:r>
          </w:p>
        </w:tc>
        <w:tc>
          <w:tcPr>
            <w:tcW w:w="40" w:type="dxa"/>
            <w:vAlign w:val="bottom"/>
          </w:tcPr>
          <w:p>
            <w:pPr>
              <w:spacing w:after="0"/>
              <w:rPr>
                <w:sz w:val="22"/>
                <w:szCs w:val="22"/>
                <w:color w:val="auto"/>
              </w:rPr>
            </w:pPr>
          </w:p>
        </w:tc>
      </w:tr>
      <w:tr>
        <w:trPr>
          <w:trHeight w:val="322"/>
        </w:trPr>
        <w:tc>
          <w:tcPr>
            <w:tcW w:w="1000" w:type="dxa"/>
            <w:vAlign w:val="bottom"/>
          </w:tcPr>
          <w:p>
            <w:pPr>
              <w:ind w:left="620"/>
              <w:spacing w:after="0"/>
              <w:rPr>
                <w:sz w:val="20"/>
                <w:szCs w:val="20"/>
                <w:color w:val="auto"/>
              </w:rPr>
            </w:pPr>
            <w:r>
              <w:rPr>
                <w:rFonts w:ascii="Arial" w:cs="Arial" w:eastAsia="Arial" w:hAnsi="Arial"/>
                <w:sz w:val="21"/>
                <w:szCs w:val="21"/>
                <w:color w:val="auto"/>
              </w:rPr>
              <w:t>—</w:t>
            </w:r>
          </w:p>
        </w:tc>
        <w:tc>
          <w:tcPr>
            <w:tcW w:w="6820" w:type="dxa"/>
            <w:vAlign w:val="bottom"/>
          </w:tcPr>
          <w:p>
            <w:pPr>
              <w:ind w:left="180"/>
              <w:spacing w:after="0"/>
              <w:rPr>
                <w:sz w:val="20"/>
                <w:szCs w:val="20"/>
                <w:color w:val="auto"/>
              </w:rPr>
            </w:pPr>
            <w:r>
              <w:rPr>
                <w:rFonts w:ascii="Arial" w:cs="Arial" w:eastAsia="Arial" w:hAnsi="Arial"/>
                <w:sz w:val="21"/>
                <w:szCs w:val="21"/>
                <w:color w:val="auto"/>
              </w:rPr>
              <w:t>New business opportunities</w:t>
            </w:r>
          </w:p>
        </w:tc>
        <w:tc>
          <w:tcPr>
            <w:tcW w:w="3600" w:type="dxa"/>
            <w:vAlign w:val="bottom"/>
          </w:tcPr>
          <w:p>
            <w:pPr>
              <w:jc w:val="center"/>
              <w:spacing w:after="0"/>
              <w:rPr>
                <w:sz w:val="20"/>
                <w:szCs w:val="20"/>
                <w:color w:val="auto"/>
              </w:rPr>
            </w:pPr>
            <w:r>
              <w:rPr>
                <w:rFonts w:ascii="Arial" w:cs="Arial" w:eastAsia="Arial" w:hAnsi="Arial"/>
                <w:sz w:val="21"/>
                <w:szCs w:val="21"/>
                <w:color w:val="auto"/>
              </w:rPr>
              <w:t>TBD</w:t>
            </w:r>
          </w:p>
        </w:tc>
        <w:tc>
          <w:tcPr>
            <w:tcW w:w="40" w:type="dxa"/>
            <w:vAlign w:val="bottom"/>
          </w:tcPr>
          <w:p>
            <w:pPr>
              <w:spacing w:after="0"/>
              <w:rPr>
                <w:sz w:val="24"/>
                <w:szCs w:val="24"/>
                <w:color w:val="auto"/>
              </w:rPr>
            </w:pPr>
          </w:p>
        </w:tc>
      </w:tr>
      <w:tr>
        <w:trPr>
          <w:trHeight w:val="162"/>
        </w:trPr>
        <w:tc>
          <w:tcPr>
            <w:tcW w:w="1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425"/>
        </w:trPr>
        <w:tc>
          <w:tcPr>
            <w:tcW w:w="1000" w:type="dxa"/>
            <w:vAlign w:val="bottom"/>
          </w:tcPr>
          <w:p>
            <w:pPr>
              <w:spacing w:after="0"/>
              <w:rPr>
                <w:sz w:val="24"/>
                <w:szCs w:val="24"/>
                <w:color w:val="auto"/>
              </w:rPr>
            </w:pPr>
          </w:p>
        </w:tc>
        <w:tc>
          <w:tcPr>
            <w:tcW w:w="6820" w:type="dxa"/>
            <w:vAlign w:val="bottom"/>
          </w:tcPr>
          <w:p>
            <w:pPr>
              <w:ind w:left="5680"/>
              <w:spacing w:after="0"/>
              <w:rPr>
                <w:sz w:val="20"/>
                <w:szCs w:val="20"/>
                <w:color w:val="auto"/>
              </w:rPr>
            </w:pPr>
            <w:r>
              <w:rPr>
                <w:rFonts w:ascii="Arial" w:cs="Arial" w:eastAsia="Arial" w:hAnsi="Arial"/>
                <w:sz w:val="21"/>
                <w:szCs w:val="21"/>
                <w:b w:val="1"/>
                <w:bCs w:val="1"/>
                <w:color w:val="auto"/>
              </w:rPr>
              <w:t>Total</w:t>
            </w:r>
          </w:p>
        </w:tc>
        <w:tc>
          <w:tcPr>
            <w:tcW w:w="3600" w:type="dxa"/>
            <w:vAlign w:val="bottom"/>
          </w:tcPr>
          <w:p>
            <w:pPr>
              <w:jc w:val="center"/>
              <w:spacing w:after="0"/>
              <w:rPr>
                <w:sz w:val="20"/>
                <w:szCs w:val="20"/>
                <w:color w:val="auto"/>
              </w:rPr>
            </w:pPr>
            <w:r>
              <w:rPr>
                <w:rFonts w:ascii="Arial" w:cs="Arial" w:eastAsia="Arial" w:hAnsi="Arial"/>
                <w:sz w:val="21"/>
                <w:szCs w:val="21"/>
                <w:b w:val="1"/>
                <w:bCs w:val="1"/>
                <w:color w:val="auto"/>
              </w:rPr>
              <w:t>$800 – $1,200MM</w:t>
            </w:r>
          </w:p>
        </w:tc>
        <w:tc>
          <w:tcPr>
            <w:tcW w:w="40" w:type="dxa"/>
            <w:vAlign w:val="bottom"/>
          </w:tcPr>
          <w:p>
            <w:pPr>
              <w:spacing w:after="0"/>
              <w:rPr>
                <w:sz w:val="24"/>
                <w:szCs w:val="24"/>
                <w:color w:val="auto"/>
              </w:rPr>
            </w:pPr>
          </w:p>
        </w:tc>
      </w:tr>
      <w:tr>
        <w:trPr>
          <w:trHeight w:val="322"/>
        </w:trPr>
        <w:tc>
          <w:tcPr>
            <w:tcW w:w="10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21"/>
                <w:szCs w:val="21"/>
                <w:b w:val="1"/>
                <w:bCs w:val="1"/>
                <w:color w:val="auto"/>
              </w:rPr>
              <w:t>+TBD</w:t>
            </w:r>
          </w:p>
        </w:tc>
        <w:tc>
          <w:tcPr>
            <w:tcW w:w="40" w:type="dxa"/>
            <w:vAlign w:val="bottom"/>
          </w:tcPr>
          <w:p>
            <w:pPr>
              <w:spacing w:after="0"/>
              <w:rPr>
                <w:sz w:val="24"/>
                <w:szCs w:val="24"/>
                <w:color w:val="auto"/>
              </w:rPr>
            </w:pPr>
          </w:p>
        </w:tc>
      </w:tr>
      <w:tr>
        <w:trPr>
          <w:trHeight w:val="158"/>
        </w:trPr>
        <w:tc>
          <w:tcPr>
            <w:tcW w:w="1000" w:type="dxa"/>
            <w:vAlign w:val="bottom"/>
            <w:tcBorders>
              <w:bottom w:val="single" w:sz="8" w:color="6699FF"/>
            </w:tcBorders>
          </w:tcPr>
          <w:p>
            <w:pPr>
              <w:spacing w:after="0"/>
              <w:rPr>
                <w:sz w:val="13"/>
                <w:szCs w:val="13"/>
                <w:color w:val="auto"/>
              </w:rPr>
            </w:pPr>
          </w:p>
        </w:tc>
        <w:tc>
          <w:tcPr>
            <w:tcW w:w="6820" w:type="dxa"/>
            <w:vAlign w:val="bottom"/>
            <w:tcBorders>
              <w:bottom w:val="single" w:sz="8" w:color="6699FF"/>
            </w:tcBorders>
          </w:tcPr>
          <w:p>
            <w:pPr>
              <w:spacing w:after="0"/>
              <w:rPr>
                <w:sz w:val="13"/>
                <w:szCs w:val="13"/>
                <w:color w:val="auto"/>
              </w:rPr>
            </w:pPr>
          </w:p>
        </w:tc>
        <w:tc>
          <w:tcPr>
            <w:tcW w:w="3600" w:type="dxa"/>
            <w:vAlign w:val="bottom"/>
            <w:tcBorders>
              <w:bottom w:val="single" w:sz="8" w:color="6699FF"/>
            </w:tcBorders>
          </w:tcPr>
          <w:p>
            <w:pPr>
              <w:spacing w:after="0"/>
              <w:rPr>
                <w:sz w:val="13"/>
                <w:szCs w:val="13"/>
                <w:color w:val="auto"/>
              </w:rPr>
            </w:pPr>
          </w:p>
        </w:tc>
        <w:tc>
          <w:tcPr>
            <w:tcW w:w="40" w:type="dxa"/>
            <w:vAlign w:val="bottom"/>
            <w:tcBorders>
              <w:bottom w:val="single" w:sz="8" w:color="6699FF"/>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-34925</wp:posOffset>
            </wp:positionV>
            <wp:extent cx="12700"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12700"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65405</wp:posOffset>
            </wp:positionV>
            <wp:extent cx="1097280" cy="325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57785</wp:posOffset>
            </wp:positionV>
            <wp:extent cx="869950" cy="340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8"/>
          <w:szCs w:val="38"/>
          <w:color w:val="auto"/>
        </w:rPr>
        <w:t>Opportunity to Recapture Disney’s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281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auto"/>
        </w:rPr>
        <w:t>Significant Cash Flow Declines Since 1998</w:t>
      </w:r>
    </w:p>
    <w:p>
      <w:pPr>
        <w:sectPr>
          <w:pgSz w:w="11900" w:h="16838" w:orient="portrait"/>
          <w:cols w:equalWidth="0" w:num="1">
            <w:col w:w="11460"/>
          </w:cols>
          <w:pgMar w:left="240" w:top="690" w:right="19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489585</wp:posOffset>
            </wp:positionH>
            <wp:positionV relativeFrom="page">
              <wp:posOffset>88900</wp:posOffset>
            </wp:positionV>
            <wp:extent cx="6581775" cy="3427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581775" cy="3427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Note: (1) Source: Company SEC filings. Figures on an as reported basis. Internet segment excluded for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281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289560</wp:posOffset>
            </wp:positionV>
            <wp:extent cx="1097280" cy="325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281940</wp:posOffset>
            </wp:positionV>
            <wp:extent cx="869950" cy="340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38"/>
          <w:szCs w:val="38"/>
          <w:color w:val="auto"/>
        </w:rPr>
        <w:t>Disney Segments Have Underperformed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281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auto"/>
        </w:rPr>
        <w:t>Television Broadcasting</w:t>
      </w:r>
    </w:p>
    <w:p>
      <w:pPr>
        <w:spacing w:after="0" w:line="396" w:lineRule="exact"/>
        <w:rPr>
          <w:sz w:val="20"/>
          <w:szCs w:val="20"/>
          <w:color w:val="auto"/>
        </w:rPr>
      </w:pPr>
    </w:p>
    <w:tbl>
      <w:tblPr>
        <w:tblLayout w:type="fixed"/>
        <w:tblInd w:w="2280" w:type="dxa"/>
        <w:tblCellMar>
          <w:top w:w="0" w:type="dxa"/>
          <w:left w:w="0" w:type="dxa"/>
          <w:bottom w:w="0" w:type="dxa"/>
          <w:right w:w="0" w:type="dxa"/>
        </w:tblCellMar>
      </w:tblPr>
      <w:tr>
        <w:trPr>
          <w:trHeight w:val="263"/>
        </w:trPr>
        <w:tc>
          <w:tcPr>
            <w:tcW w:w="2040" w:type="dxa"/>
            <w:vAlign w:val="bottom"/>
          </w:tcPr>
          <w:p>
            <w:pPr>
              <w:spacing w:after="0"/>
              <w:rPr>
                <w:sz w:val="22"/>
                <w:szCs w:val="22"/>
                <w:color w:val="auto"/>
              </w:rPr>
            </w:pPr>
          </w:p>
        </w:tc>
        <w:tc>
          <w:tcPr>
            <w:tcW w:w="4840" w:type="dxa"/>
            <w:vAlign w:val="bottom"/>
            <w:gridSpan w:val="3"/>
          </w:tcPr>
          <w:p>
            <w:pPr>
              <w:ind w:left="140"/>
              <w:spacing w:after="0"/>
              <w:rPr>
                <w:sz w:val="20"/>
                <w:szCs w:val="20"/>
                <w:color w:val="auto"/>
              </w:rPr>
            </w:pPr>
            <w:r>
              <w:rPr>
                <w:rFonts w:ascii="Arial" w:cs="Arial" w:eastAsia="Arial" w:hAnsi="Arial"/>
                <w:sz w:val="21"/>
                <w:szCs w:val="21"/>
                <w:b w:val="1"/>
                <w:bCs w:val="1"/>
                <w:color w:val="auto"/>
              </w:rPr>
              <w:t>TV Network and Stations</w:t>
            </w:r>
          </w:p>
        </w:tc>
      </w:tr>
      <w:tr>
        <w:trPr>
          <w:trHeight w:val="422"/>
        </w:trPr>
        <w:tc>
          <w:tcPr>
            <w:tcW w:w="20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b w:val="1"/>
                <w:bCs w:val="1"/>
                <w:color w:val="auto"/>
              </w:rPr>
              <w:t xml:space="preserve">Financial Performance </w:t>
            </w:r>
            <w:r>
              <w:rPr>
                <w:rFonts w:ascii="Arial" w:cs="Arial" w:eastAsia="Arial" w:hAnsi="Arial"/>
                <w:sz w:val="35"/>
                <w:szCs w:val="35"/>
                <w:b w:val="1"/>
                <w:bCs w:val="1"/>
                <w:color w:val="auto"/>
                <w:vertAlign w:val="superscript"/>
              </w:rPr>
              <w:t>(1)</w:t>
            </w:r>
          </w:p>
        </w:tc>
      </w:tr>
      <w:tr>
        <w:trPr>
          <w:trHeight w:val="290"/>
        </w:trPr>
        <w:tc>
          <w:tcPr>
            <w:tcW w:w="2040" w:type="dxa"/>
            <w:vAlign w:val="bottom"/>
          </w:tcPr>
          <w:p>
            <w:pPr>
              <w:spacing w:after="0"/>
              <w:rPr>
                <w:sz w:val="24"/>
                <w:szCs w:val="24"/>
                <w:color w:val="auto"/>
              </w:rPr>
            </w:pPr>
          </w:p>
        </w:tc>
        <w:tc>
          <w:tcPr>
            <w:tcW w:w="4840" w:type="dxa"/>
            <w:vAlign w:val="bottom"/>
            <w:gridSpan w:val="3"/>
          </w:tcPr>
          <w:p>
            <w:pPr>
              <w:ind w:left="2720"/>
              <w:spacing w:after="0"/>
              <w:rPr>
                <w:sz w:val="20"/>
                <w:szCs w:val="20"/>
                <w:color w:val="auto"/>
              </w:rPr>
            </w:pPr>
            <w:r>
              <w:rPr>
                <w:rFonts w:ascii="Arial" w:cs="Arial" w:eastAsia="Arial" w:hAnsi="Arial"/>
                <w:sz w:val="21"/>
                <w:szCs w:val="21"/>
                <w:b w:val="1"/>
                <w:bCs w:val="1"/>
                <w:color w:val="auto"/>
              </w:rPr>
              <w:t>EBITDA</w:t>
            </w:r>
          </w:p>
        </w:tc>
      </w:tr>
      <w:tr>
        <w:trPr>
          <w:trHeight w:val="282"/>
        </w:trPr>
        <w:tc>
          <w:tcPr>
            <w:tcW w:w="20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21"/>
                <w:szCs w:val="21"/>
                <w:color w:val="auto"/>
              </w:rPr>
              <w:t>($MM)</w:t>
            </w:r>
          </w:p>
        </w:tc>
        <w:tc>
          <w:tcPr>
            <w:tcW w:w="1340" w:type="dxa"/>
            <w:vAlign w:val="bottom"/>
          </w:tcPr>
          <w:p>
            <w:pPr>
              <w:spacing w:after="0"/>
              <w:rPr>
                <w:sz w:val="24"/>
                <w:szCs w:val="24"/>
                <w:color w:val="auto"/>
              </w:rPr>
            </w:pPr>
          </w:p>
        </w:tc>
      </w:tr>
      <w:tr>
        <w:trPr>
          <w:trHeight w:val="465"/>
        </w:trPr>
        <w:tc>
          <w:tcPr>
            <w:tcW w:w="2040" w:type="dxa"/>
            <w:vAlign w:val="bottom"/>
          </w:tcPr>
          <w:p>
            <w:pPr>
              <w:ind w:left="1500"/>
              <w:spacing w:after="0"/>
              <w:rPr>
                <w:sz w:val="20"/>
                <w:szCs w:val="20"/>
                <w:color w:val="auto"/>
              </w:rPr>
            </w:pPr>
            <w:r>
              <w:rPr>
                <w:rFonts w:ascii="Arial" w:cs="Arial" w:eastAsia="Arial" w:hAnsi="Arial"/>
                <w:sz w:val="21"/>
                <w:szCs w:val="21"/>
                <w:color w:val="auto"/>
              </w:rPr>
              <w:t>NBC</w:t>
            </w:r>
          </w:p>
        </w:tc>
        <w:tc>
          <w:tcPr>
            <w:tcW w:w="3500" w:type="dxa"/>
            <w:vAlign w:val="bottom"/>
            <w:gridSpan w:val="2"/>
          </w:tcPr>
          <w:p>
            <w:pPr>
              <w:jc w:val="right"/>
              <w:ind w:right="13"/>
              <w:spacing w:after="0"/>
              <w:rPr>
                <w:sz w:val="20"/>
                <w:szCs w:val="20"/>
                <w:color w:val="auto"/>
              </w:rPr>
            </w:pPr>
            <w:r>
              <w:rPr>
                <w:rFonts w:ascii="Arial" w:cs="Arial" w:eastAsia="Arial" w:hAnsi="Arial"/>
                <w:sz w:val="21"/>
                <w:szCs w:val="21"/>
                <w:color w:val="auto"/>
              </w:rPr>
              <w:t>1,400</w:t>
            </w:r>
          </w:p>
        </w:tc>
        <w:tc>
          <w:tcPr>
            <w:tcW w:w="1340" w:type="dxa"/>
            <w:vAlign w:val="bottom"/>
          </w:tcPr>
          <w:p>
            <w:pPr>
              <w:spacing w:after="0"/>
              <w:rPr>
                <w:sz w:val="24"/>
                <w:szCs w:val="24"/>
                <w:color w:val="auto"/>
              </w:rPr>
            </w:pPr>
          </w:p>
        </w:tc>
      </w:tr>
      <w:tr>
        <w:trPr>
          <w:trHeight w:val="465"/>
        </w:trPr>
        <w:tc>
          <w:tcPr>
            <w:tcW w:w="2040" w:type="dxa"/>
            <w:vAlign w:val="bottom"/>
          </w:tcPr>
          <w:p>
            <w:pPr>
              <w:ind w:left="1500"/>
              <w:spacing w:after="0"/>
              <w:rPr>
                <w:sz w:val="20"/>
                <w:szCs w:val="20"/>
                <w:color w:val="auto"/>
              </w:rPr>
            </w:pPr>
            <w:r>
              <w:rPr>
                <w:rFonts w:ascii="Arial" w:cs="Arial" w:eastAsia="Arial" w:hAnsi="Arial"/>
                <w:sz w:val="21"/>
                <w:szCs w:val="21"/>
                <w:color w:val="auto"/>
              </w:rPr>
              <w:t>FOX</w:t>
            </w:r>
          </w:p>
        </w:tc>
        <w:tc>
          <w:tcPr>
            <w:tcW w:w="3500" w:type="dxa"/>
            <w:vAlign w:val="bottom"/>
            <w:gridSpan w:val="2"/>
          </w:tcPr>
          <w:p>
            <w:pPr>
              <w:jc w:val="right"/>
              <w:spacing w:after="0"/>
              <w:rPr>
                <w:sz w:val="20"/>
                <w:szCs w:val="20"/>
                <w:color w:val="auto"/>
              </w:rPr>
            </w:pPr>
            <w:r>
              <w:rPr>
                <w:rFonts w:ascii="Arial" w:cs="Arial" w:eastAsia="Arial" w:hAnsi="Arial"/>
                <w:sz w:val="21"/>
                <w:szCs w:val="21"/>
                <w:color w:val="auto"/>
              </w:rPr>
              <w:t>900</w:t>
            </w:r>
          </w:p>
        </w:tc>
        <w:tc>
          <w:tcPr>
            <w:tcW w:w="1340" w:type="dxa"/>
            <w:vAlign w:val="bottom"/>
          </w:tcPr>
          <w:p>
            <w:pPr>
              <w:spacing w:after="0"/>
              <w:rPr>
                <w:sz w:val="24"/>
                <w:szCs w:val="24"/>
                <w:color w:val="auto"/>
              </w:rPr>
            </w:pPr>
          </w:p>
        </w:tc>
      </w:tr>
      <w:tr>
        <w:trPr>
          <w:trHeight w:val="465"/>
        </w:trPr>
        <w:tc>
          <w:tcPr>
            <w:tcW w:w="2040" w:type="dxa"/>
            <w:vAlign w:val="bottom"/>
          </w:tcPr>
          <w:p>
            <w:pPr>
              <w:ind w:left="1500"/>
              <w:spacing w:after="0"/>
              <w:rPr>
                <w:sz w:val="20"/>
                <w:szCs w:val="20"/>
                <w:color w:val="auto"/>
              </w:rPr>
            </w:pPr>
            <w:r>
              <w:rPr>
                <w:rFonts w:ascii="Arial" w:cs="Arial" w:eastAsia="Arial" w:hAnsi="Arial"/>
                <w:sz w:val="21"/>
                <w:szCs w:val="21"/>
                <w:color w:val="auto"/>
              </w:rPr>
              <w:t>CBS</w:t>
            </w:r>
          </w:p>
        </w:tc>
        <w:tc>
          <w:tcPr>
            <w:tcW w:w="3500" w:type="dxa"/>
            <w:vAlign w:val="bottom"/>
            <w:gridSpan w:val="2"/>
          </w:tcPr>
          <w:p>
            <w:pPr>
              <w:jc w:val="right"/>
              <w:spacing w:after="0"/>
              <w:rPr>
                <w:sz w:val="20"/>
                <w:szCs w:val="20"/>
                <w:color w:val="auto"/>
              </w:rPr>
            </w:pPr>
            <w:r>
              <w:rPr>
                <w:rFonts w:ascii="Arial" w:cs="Arial" w:eastAsia="Arial" w:hAnsi="Arial"/>
                <w:sz w:val="21"/>
                <w:szCs w:val="21"/>
                <w:color w:val="auto"/>
              </w:rPr>
              <w:t>800</w:t>
            </w:r>
          </w:p>
        </w:tc>
        <w:tc>
          <w:tcPr>
            <w:tcW w:w="1340" w:type="dxa"/>
            <w:vAlign w:val="bottom"/>
          </w:tcPr>
          <w:p>
            <w:pPr>
              <w:spacing w:after="0"/>
              <w:rPr>
                <w:sz w:val="24"/>
                <w:szCs w:val="24"/>
                <w:color w:val="auto"/>
              </w:rPr>
            </w:pPr>
          </w:p>
        </w:tc>
      </w:tr>
      <w:tr>
        <w:trPr>
          <w:trHeight w:val="91"/>
        </w:trPr>
        <w:tc>
          <w:tcPr>
            <w:tcW w:w="204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342"/>
        </w:trPr>
        <w:tc>
          <w:tcPr>
            <w:tcW w:w="2040" w:type="dxa"/>
            <w:vAlign w:val="bottom"/>
          </w:tcPr>
          <w:p>
            <w:pPr>
              <w:ind w:left="1480"/>
              <w:spacing w:after="0"/>
              <w:rPr>
                <w:sz w:val="20"/>
                <w:szCs w:val="20"/>
                <w:color w:val="auto"/>
              </w:rPr>
            </w:pPr>
            <w:r>
              <w:rPr>
                <w:rFonts w:ascii="Arial" w:cs="Arial" w:eastAsia="Arial" w:hAnsi="Arial"/>
                <w:sz w:val="21"/>
                <w:szCs w:val="21"/>
                <w:b w:val="1"/>
                <w:bCs w:val="1"/>
                <w:color w:val="auto"/>
              </w:rPr>
              <w:t>ABC</w:t>
            </w:r>
          </w:p>
        </w:tc>
        <w:tc>
          <w:tcPr>
            <w:tcW w:w="3500" w:type="dxa"/>
            <w:vAlign w:val="bottom"/>
            <w:gridSpan w:val="2"/>
          </w:tcPr>
          <w:p>
            <w:pPr>
              <w:jc w:val="right"/>
              <w:spacing w:after="0"/>
              <w:rPr>
                <w:sz w:val="20"/>
                <w:szCs w:val="20"/>
                <w:color w:val="auto"/>
              </w:rPr>
            </w:pPr>
            <w:r>
              <w:rPr>
                <w:rFonts w:ascii="Arial" w:cs="Arial" w:eastAsia="Arial" w:hAnsi="Arial"/>
                <w:sz w:val="21"/>
                <w:szCs w:val="21"/>
                <w:b w:val="1"/>
                <w:bCs w:val="1"/>
                <w:color w:val="auto"/>
              </w:rPr>
              <w:t>0</w:t>
            </w:r>
          </w:p>
        </w:tc>
        <w:tc>
          <w:tcPr>
            <w:tcW w:w="1340" w:type="dxa"/>
            <w:vAlign w:val="bottom"/>
          </w:tcPr>
          <w:p>
            <w:pPr>
              <w:spacing w:after="0"/>
              <w:rPr>
                <w:sz w:val="24"/>
                <w:szCs w:val="24"/>
                <w:color w:val="auto"/>
              </w:rPr>
            </w:pPr>
          </w:p>
        </w:tc>
      </w:tr>
      <w:tr>
        <w:trPr>
          <w:trHeight w:val="91"/>
        </w:trPr>
        <w:tc>
          <w:tcPr>
            <w:tcW w:w="204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332740</wp:posOffset>
            </wp:positionV>
            <wp:extent cx="5810250" cy="234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10250" cy="23431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3780"/>
        <w:spacing w:after="0"/>
        <w:rPr>
          <w:sz w:val="20"/>
          <w:szCs w:val="20"/>
          <w:color w:val="auto"/>
        </w:rPr>
      </w:pPr>
      <w:r>
        <w:rPr>
          <w:rFonts w:ascii="Arial" w:cs="Arial" w:eastAsia="Arial" w:hAnsi="Arial"/>
          <w:sz w:val="21"/>
          <w:szCs w:val="21"/>
          <w:b w:val="1"/>
          <w:bCs w:val="1"/>
          <w:color w:val="FFFFFF"/>
        </w:rPr>
        <w:t>Halfway to Third Place: $300–$500MM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Note: (1) Based on Company and Wall Street equity research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281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289560</wp:posOffset>
            </wp:positionV>
            <wp:extent cx="1097280" cy="325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281940</wp:posOffset>
            </wp:positionV>
            <wp:extent cx="869950" cy="3403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219"/>
          </w:cols>
          <w:pgMar w:left="240" w:top="1440" w:right="1440" w:bottom="995" w:gutter="0" w:footer="0" w:header="0"/>
        </w:sectPr>
      </w:pPr>
    </w:p>
    <w:bookmarkStart w:id="5" w:name="page6"/>
    <w:bookmarkEnd w:id="5"/>
    <w:p>
      <w:pPr>
        <w:spacing w:after="0"/>
        <w:rPr>
          <w:sz w:val="20"/>
          <w:szCs w:val="20"/>
          <w:color w:val="auto"/>
        </w:rPr>
      </w:pPr>
      <w:r>
        <w:rPr>
          <w:rFonts w:ascii="Arial" w:cs="Arial" w:eastAsia="Arial" w:hAnsi="Arial"/>
          <w:sz w:val="38"/>
          <w:szCs w:val="38"/>
          <w:color w:val="auto"/>
        </w:rPr>
        <w:t>Disney Segments Have Underperformed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281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auto"/>
        </w:rPr>
        <w:t>Cable Networks</w:t>
      </w:r>
    </w:p>
    <w:p>
      <w:pPr>
        <w:spacing w:after="0" w:line="396" w:lineRule="exact"/>
        <w:rPr>
          <w:sz w:val="20"/>
          <w:szCs w:val="20"/>
          <w:color w:val="auto"/>
        </w:rPr>
      </w:pPr>
    </w:p>
    <w:p>
      <w:pPr>
        <w:ind w:left="4460"/>
        <w:spacing w:after="0"/>
        <w:rPr>
          <w:sz w:val="20"/>
          <w:szCs w:val="20"/>
          <w:color w:val="auto"/>
        </w:rPr>
      </w:pPr>
      <w:r>
        <w:rPr>
          <w:rFonts w:ascii="Arial" w:cs="Arial" w:eastAsia="Arial" w:hAnsi="Arial"/>
          <w:sz w:val="21"/>
          <w:szCs w:val="21"/>
          <w:b w:val="1"/>
          <w:bCs w:val="1"/>
          <w:color w:val="auto"/>
        </w:rPr>
        <w:t>Selected Cable Network|</w:t>
      </w:r>
    </w:p>
    <w:p>
      <w:pPr>
        <w:spacing w:after="0" w:line="43" w:lineRule="exact"/>
        <w:rPr>
          <w:sz w:val="20"/>
          <w:szCs w:val="20"/>
          <w:color w:val="auto"/>
        </w:rPr>
      </w:pPr>
    </w:p>
    <w:p>
      <w:pPr>
        <w:ind w:left="4460"/>
        <w:spacing w:after="0"/>
        <w:rPr>
          <w:sz w:val="20"/>
          <w:szCs w:val="20"/>
          <w:color w:val="auto"/>
        </w:rPr>
      </w:pPr>
      <w:r>
        <w:rPr>
          <w:rFonts w:ascii="Arial" w:cs="Arial" w:eastAsia="Arial" w:hAnsi="Arial"/>
          <w:sz w:val="21"/>
          <w:szCs w:val="21"/>
          <w:b w:val="1"/>
          <w:bCs w:val="1"/>
          <w:color w:val="auto"/>
        </w:rPr>
        <w:t>Financial Performance</w:t>
      </w:r>
      <w:r>
        <w:rPr>
          <w:rFonts w:ascii="Arial" w:cs="Arial" w:eastAsia="Arial" w:hAnsi="Arial"/>
          <w:sz w:val="35"/>
          <w:szCs w:val="3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-635</wp:posOffset>
            </wp:positionV>
            <wp:extent cx="61887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88710" cy="7620"/>
                    </a:xfrm>
                    <a:prstGeom prst="rect">
                      <a:avLst/>
                    </a:prstGeom>
                    <a:noFill/>
                  </pic:spPr>
                </pic:pic>
              </a:graphicData>
            </a:graphic>
          </wp:anchor>
        </w:drawing>
      </w:r>
    </w:p>
    <w:p>
      <w:pPr>
        <w:spacing w:after="0" w:line="56" w:lineRule="exact"/>
        <w:rPr>
          <w:sz w:val="20"/>
          <w:szCs w:val="20"/>
          <w:color w:val="auto"/>
        </w:rPr>
      </w:pPr>
    </w:p>
    <w:tbl>
      <w:tblPr>
        <w:tblLayout w:type="fixed"/>
        <w:tblInd w:w="860" w:type="dxa"/>
        <w:tblCellMar>
          <w:top w:w="0" w:type="dxa"/>
          <w:left w:w="0" w:type="dxa"/>
          <w:bottom w:w="0" w:type="dxa"/>
          <w:right w:w="0" w:type="dxa"/>
        </w:tblCellMar>
      </w:tblPr>
      <w:tr>
        <w:trPr>
          <w:trHeight w:val="284"/>
        </w:trPr>
        <w:tc>
          <w:tcPr>
            <w:tcW w:w="5860" w:type="dxa"/>
            <w:vAlign w:val="bottom"/>
          </w:tcPr>
          <w:p>
            <w:pPr>
              <w:spacing w:after="0"/>
              <w:rPr>
                <w:sz w:val="24"/>
                <w:szCs w:val="24"/>
                <w:color w:val="auto"/>
              </w:rPr>
            </w:pPr>
          </w:p>
        </w:tc>
        <w:tc>
          <w:tcPr>
            <w:tcW w:w="1880" w:type="dxa"/>
            <w:vAlign w:val="bottom"/>
          </w:tcPr>
          <w:p>
            <w:pPr>
              <w:jc w:val="right"/>
              <w:ind w:right="173"/>
              <w:spacing w:after="0"/>
              <w:rPr>
                <w:sz w:val="20"/>
                <w:szCs w:val="20"/>
                <w:color w:val="auto"/>
              </w:rPr>
            </w:pPr>
            <w:r>
              <w:rPr>
                <w:rFonts w:ascii="Arial" w:cs="Arial" w:eastAsia="Arial" w:hAnsi="Arial"/>
                <w:sz w:val="21"/>
                <w:szCs w:val="21"/>
                <w:b w:val="1"/>
                <w:bCs w:val="1"/>
                <w:color w:val="auto"/>
              </w:rPr>
              <w:t>2003 EBITDA</w:t>
            </w:r>
          </w:p>
        </w:tc>
        <w:tc>
          <w:tcPr>
            <w:tcW w:w="60" w:type="dxa"/>
            <w:vAlign w:val="bottom"/>
          </w:tcPr>
          <w:p>
            <w:pPr>
              <w:spacing w:after="0"/>
              <w:rPr>
                <w:sz w:val="24"/>
                <w:szCs w:val="24"/>
                <w:color w:val="auto"/>
              </w:rPr>
            </w:pPr>
          </w:p>
        </w:tc>
        <w:tc>
          <w:tcPr>
            <w:tcW w:w="1880" w:type="dxa"/>
            <w:vAlign w:val="bottom"/>
          </w:tcPr>
          <w:p>
            <w:pPr>
              <w:ind w:left="600"/>
              <w:spacing w:after="0"/>
              <w:rPr>
                <w:sz w:val="20"/>
                <w:szCs w:val="20"/>
                <w:color w:val="auto"/>
              </w:rPr>
            </w:pPr>
            <w:r>
              <w:rPr>
                <w:rFonts w:ascii="Arial" w:cs="Arial" w:eastAsia="Arial" w:hAnsi="Arial"/>
                <w:sz w:val="21"/>
                <w:szCs w:val="21"/>
                <w:b w:val="1"/>
                <w:bCs w:val="1"/>
                <w:color w:val="auto"/>
              </w:rPr>
              <w:t>Margin</w:t>
            </w:r>
          </w:p>
        </w:tc>
        <w:tc>
          <w:tcPr>
            <w:tcW w:w="60" w:type="dxa"/>
            <w:vAlign w:val="bottom"/>
          </w:tcPr>
          <w:p>
            <w:pPr>
              <w:spacing w:after="0"/>
              <w:rPr>
                <w:sz w:val="24"/>
                <w:szCs w:val="24"/>
                <w:color w:val="auto"/>
              </w:rPr>
            </w:pPr>
          </w:p>
        </w:tc>
      </w:tr>
      <w:tr>
        <w:trPr>
          <w:trHeight w:val="91"/>
        </w:trPr>
        <w:tc>
          <w:tcPr>
            <w:tcW w:w="586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354"/>
        </w:trPr>
        <w:tc>
          <w:tcPr>
            <w:tcW w:w="5860" w:type="dxa"/>
            <w:vAlign w:val="bottom"/>
          </w:tcPr>
          <w:p>
            <w:pPr>
              <w:spacing w:after="0"/>
              <w:rPr>
                <w:sz w:val="24"/>
                <w:szCs w:val="24"/>
                <w:color w:val="auto"/>
              </w:rPr>
            </w:pPr>
          </w:p>
        </w:tc>
        <w:tc>
          <w:tcPr>
            <w:tcW w:w="1880" w:type="dxa"/>
            <w:vAlign w:val="bottom"/>
          </w:tcPr>
          <w:p>
            <w:pPr>
              <w:jc w:val="right"/>
              <w:ind w:right="513"/>
              <w:spacing w:after="0"/>
              <w:rPr>
                <w:sz w:val="20"/>
                <w:szCs w:val="20"/>
                <w:color w:val="auto"/>
              </w:rPr>
            </w:pPr>
            <w:r>
              <w:rPr>
                <w:rFonts w:ascii="Arial" w:cs="Arial" w:eastAsia="Arial" w:hAnsi="Arial"/>
                <w:sz w:val="21"/>
                <w:szCs w:val="21"/>
                <w:color w:val="auto"/>
              </w:rPr>
              <w:t>($MM)</w:t>
            </w:r>
          </w:p>
        </w:tc>
        <w:tc>
          <w:tcPr>
            <w:tcW w:w="1940" w:type="dxa"/>
            <w:vAlign w:val="bottom"/>
            <w:gridSpan w:val="2"/>
          </w:tcPr>
          <w:p>
            <w:pPr>
              <w:jc w:val="center"/>
              <w:spacing w:after="0"/>
              <w:rPr>
                <w:sz w:val="20"/>
                <w:szCs w:val="20"/>
                <w:color w:val="auto"/>
              </w:rPr>
            </w:pPr>
            <w:r>
              <w:rPr>
                <w:rFonts w:ascii="Arial" w:cs="Arial" w:eastAsia="Arial" w:hAnsi="Arial"/>
                <w:sz w:val="21"/>
                <w:szCs w:val="21"/>
                <w:color w:val="auto"/>
              </w:rPr>
              <w:t>(%)</w:t>
            </w:r>
          </w:p>
        </w:tc>
        <w:tc>
          <w:tcPr>
            <w:tcW w:w="60" w:type="dxa"/>
            <w:vAlign w:val="bottom"/>
          </w:tcPr>
          <w:p>
            <w:pPr>
              <w:spacing w:after="0"/>
              <w:rPr>
                <w:sz w:val="24"/>
                <w:szCs w:val="24"/>
                <w:color w:val="auto"/>
              </w:rPr>
            </w:pPr>
          </w:p>
        </w:tc>
      </w:tr>
      <w:tr>
        <w:trPr>
          <w:trHeight w:val="457"/>
        </w:trPr>
        <w:tc>
          <w:tcPr>
            <w:tcW w:w="5860" w:type="dxa"/>
            <w:vAlign w:val="bottom"/>
          </w:tcPr>
          <w:p>
            <w:pPr>
              <w:spacing w:after="0"/>
              <w:rPr>
                <w:sz w:val="20"/>
                <w:szCs w:val="20"/>
                <w:color w:val="auto"/>
              </w:rPr>
            </w:pPr>
            <w:r>
              <w:rPr>
                <w:rFonts w:ascii="Arial" w:cs="Arial" w:eastAsia="Arial" w:hAnsi="Arial"/>
                <w:sz w:val="21"/>
                <w:szCs w:val="21"/>
                <w:color w:val="auto"/>
              </w:rPr>
              <w:t>E!</w:t>
            </w:r>
          </w:p>
        </w:tc>
        <w:tc>
          <w:tcPr>
            <w:tcW w:w="1880" w:type="dxa"/>
            <w:vAlign w:val="bottom"/>
          </w:tcPr>
          <w:p>
            <w:pPr>
              <w:jc w:val="right"/>
              <w:ind w:right="593"/>
              <w:spacing w:after="0"/>
              <w:rPr>
                <w:sz w:val="20"/>
                <w:szCs w:val="20"/>
                <w:color w:val="auto"/>
              </w:rPr>
            </w:pPr>
            <w:r>
              <w:rPr>
                <w:rFonts w:ascii="Arial" w:cs="Arial" w:eastAsia="Arial" w:hAnsi="Arial"/>
                <w:sz w:val="21"/>
                <w:szCs w:val="21"/>
                <w:color w:val="auto"/>
              </w:rPr>
              <w:t>156</w:t>
            </w:r>
          </w:p>
        </w:tc>
        <w:tc>
          <w:tcPr>
            <w:tcW w:w="1940" w:type="dxa"/>
            <w:vAlign w:val="bottom"/>
            <w:gridSpan w:val="2"/>
          </w:tcPr>
          <w:p>
            <w:pPr>
              <w:jc w:val="center"/>
              <w:spacing w:after="0"/>
              <w:rPr>
                <w:sz w:val="20"/>
                <w:szCs w:val="20"/>
                <w:color w:val="auto"/>
              </w:rPr>
            </w:pPr>
            <w:r>
              <w:rPr>
                <w:rFonts w:ascii="Arial" w:cs="Arial" w:eastAsia="Arial" w:hAnsi="Arial"/>
                <w:sz w:val="21"/>
                <w:szCs w:val="21"/>
                <w:color w:val="auto"/>
              </w:rPr>
              <w:t>48.9</w:t>
            </w:r>
          </w:p>
        </w:tc>
        <w:tc>
          <w:tcPr>
            <w:tcW w:w="60" w:type="dxa"/>
            <w:vAlign w:val="bottom"/>
          </w:tcPr>
          <w:p>
            <w:pPr>
              <w:spacing w:after="0"/>
              <w:rPr>
                <w:sz w:val="24"/>
                <w:szCs w:val="24"/>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21"/>
                <w:szCs w:val="21"/>
                <w:color w:val="auto"/>
              </w:rPr>
              <w:t>Golf Channel</w:t>
            </w:r>
          </w:p>
        </w:tc>
        <w:tc>
          <w:tcPr>
            <w:tcW w:w="1880" w:type="dxa"/>
            <w:vAlign w:val="bottom"/>
          </w:tcPr>
          <w:p>
            <w:pPr>
              <w:jc w:val="right"/>
              <w:ind w:right="553"/>
              <w:spacing w:after="0"/>
              <w:rPr>
                <w:sz w:val="20"/>
                <w:szCs w:val="20"/>
                <w:color w:val="auto"/>
              </w:rPr>
            </w:pPr>
            <w:r>
              <w:rPr>
                <w:rFonts w:ascii="Arial" w:cs="Arial" w:eastAsia="Arial" w:hAnsi="Arial"/>
                <w:sz w:val="21"/>
                <w:szCs w:val="21"/>
                <w:color w:val="auto"/>
              </w:rPr>
              <w:t>81</w:t>
            </w:r>
          </w:p>
        </w:tc>
        <w:tc>
          <w:tcPr>
            <w:tcW w:w="1940" w:type="dxa"/>
            <w:vAlign w:val="bottom"/>
            <w:gridSpan w:val="2"/>
          </w:tcPr>
          <w:p>
            <w:pPr>
              <w:jc w:val="center"/>
              <w:spacing w:after="0"/>
              <w:rPr>
                <w:sz w:val="20"/>
                <w:szCs w:val="20"/>
                <w:color w:val="auto"/>
              </w:rPr>
            </w:pPr>
            <w:r>
              <w:rPr>
                <w:rFonts w:ascii="Arial" w:cs="Arial" w:eastAsia="Arial" w:hAnsi="Arial"/>
                <w:sz w:val="21"/>
                <w:szCs w:val="21"/>
                <w:color w:val="auto"/>
              </w:rPr>
              <w:t>46.0</w:t>
            </w:r>
          </w:p>
        </w:tc>
        <w:tc>
          <w:tcPr>
            <w:tcW w:w="60" w:type="dxa"/>
            <w:vAlign w:val="bottom"/>
          </w:tcPr>
          <w:p>
            <w:pPr>
              <w:spacing w:after="0"/>
              <w:rPr>
                <w:sz w:val="21"/>
                <w:szCs w:val="21"/>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21"/>
                <w:szCs w:val="21"/>
                <w:color w:val="auto"/>
              </w:rPr>
              <w:t>Viacom Cable Networks</w:t>
            </w:r>
          </w:p>
        </w:tc>
        <w:tc>
          <w:tcPr>
            <w:tcW w:w="1880" w:type="dxa"/>
            <w:vAlign w:val="bottom"/>
          </w:tcPr>
          <w:p>
            <w:pPr>
              <w:jc w:val="right"/>
              <w:ind w:right="553"/>
              <w:spacing w:after="0"/>
              <w:rPr>
                <w:sz w:val="20"/>
                <w:szCs w:val="20"/>
                <w:color w:val="auto"/>
              </w:rPr>
            </w:pPr>
            <w:r>
              <w:rPr>
                <w:rFonts w:ascii="Arial" w:cs="Arial" w:eastAsia="Arial" w:hAnsi="Arial"/>
                <w:sz w:val="21"/>
                <w:szCs w:val="21"/>
                <w:color w:val="auto"/>
              </w:rPr>
              <w:t>2,368</w:t>
            </w:r>
          </w:p>
        </w:tc>
        <w:tc>
          <w:tcPr>
            <w:tcW w:w="1940" w:type="dxa"/>
            <w:vAlign w:val="bottom"/>
            <w:gridSpan w:val="2"/>
          </w:tcPr>
          <w:p>
            <w:pPr>
              <w:jc w:val="center"/>
              <w:spacing w:after="0"/>
              <w:rPr>
                <w:sz w:val="20"/>
                <w:szCs w:val="20"/>
                <w:color w:val="auto"/>
              </w:rPr>
            </w:pPr>
            <w:r>
              <w:rPr>
                <w:rFonts w:ascii="Arial" w:cs="Arial" w:eastAsia="Arial" w:hAnsi="Arial"/>
                <w:sz w:val="21"/>
                <w:szCs w:val="21"/>
                <w:color w:val="auto"/>
              </w:rPr>
              <w:t>41.9</w:t>
            </w:r>
          </w:p>
        </w:tc>
        <w:tc>
          <w:tcPr>
            <w:tcW w:w="60" w:type="dxa"/>
            <w:vAlign w:val="bottom"/>
          </w:tcPr>
          <w:p>
            <w:pPr>
              <w:spacing w:after="0"/>
              <w:rPr>
                <w:sz w:val="21"/>
                <w:szCs w:val="21"/>
                <w:color w:val="auto"/>
              </w:rPr>
            </w:pPr>
          </w:p>
        </w:tc>
      </w:tr>
      <w:tr>
        <w:trPr>
          <w:trHeight w:val="258"/>
        </w:trPr>
        <w:tc>
          <w:tcPr>
            <w:tcW w:w="5860" w:type="dxa"/>
            <w:vAlign w:val="bottom"/>
          </w:tcPr>
          <w:p>
            <w:pPr>
              <w:spacing w:after="0"/>
              <w:rPr>
                <w:sz w:val="20"/>
                <w:szCs w:val="20"/>
                <w:color w:val="auto"/>
              </w:rPr>
            </w:pPr>
            <w:r>
              <w:rPr>
                <w:rFonts w:ascii="Arial" w:cs="Arial" w:eastAsia="Arial" w:hAnsi="Arial"/>
                <w:sz w:val="21"/>
                <w:szCs w:val="21"/>
                <w:color w:val="auto"/>
              </w:rPr>
              <w:t>Scripps Networks</w:t>
            </w:r>
          </w:p>
        </w:tc>
        <w:tc>
          <w:tcPr>
            <w:tcW w:w="1880" w:type="dxa"/>
            <w:vAlign w:val="bottom"/>
          </w:tcPr>
          <w:p>
            <w:pPr>
              <w:jc w:val="right"/>
              <w:ind w:right="553"/>
              <w:spacing w:after="0"/>
              <w:rPr>
                <w:sz w:val="20"/>
                <w:szCs w:val="20"/>
                <w:color w:val="auto"/>
              </w:rPr>
            </w:pPr>
            <w:r>
              <w:rPr>
                <w:rFonts w:ascii="Arial" w:cs="Arial" w:eastAsia="Arial" w:hAnsi="Arial"/>
                <w:sz w:val="21"/>
                <w:szCs w:val="21"/>
                <w:color w:val="auto"/>
              </w:rPr>
              <w:t>204</w:t>
            </w:r>
          </w:p>
        </w:tc>
        <w:tc>
          <w:tcPr>
            <w:tcW w:w="1940" w:type="dxa"/>
            <w:vAlign w:val="bottom"/>
            <w:gridSpan w:val="2"/>
          </w:tcPr>
          <w:p>
            <w:pPr>
              <w:jc w:val="center"/>
              <w:spacing w:after="0"/>
              <w:rPr>
                <w:sz w:val="20"/>
                <w:szCs w:val="20"/>
                <w:color w:val="auto"/>
              </w:rPr>
            </w:pPr>
            <w:r>
              <w:rPr>
                <w:rFonts w:ascii="Arial" w:cs="Arial" w:eastAsia="Arial" w:hAnsi="Arial"/>
                <w:sz w:val="21"/>
                <w:szCs w:val="21"/>
                <w:color w:val="auto"/>
              </w:rPr>
              <w:t>38.2</w:t>
            </w:r>
          </w:p>
        </w:tc>
        <w:tc>
          <w:tcPr>
            <w:tcW w:w="60" w:type="dxa"/>
            <w:vAlign w:val="bottom"/>
          </w:tcPr>
          <w:p>
            <w:pPr>
              <w:spacing w:after="0"/>
              <w:rPr>
                <w:sz w:val="22"/>
                <w:szCs w:val="22"/>
                <w:color w:val="auto"/>
              </w:rPr>
            </w:pPr>
          </w:p>
        </w:tc>
      </w:tr>
      <w:tr>
        <w:trPr>
          <w:trHeight w:val="341"/>
        </w:trPr>
        <w:tc>
          <w:tcPr>
            <w:tcW w:w="58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549"/>
        </w:trPr>
        <w:tc>
          <w:tcPr>
            <w:tcW w:w="5860" w:type="dxa"/>
            <w:vAlign w:val="bottom"/>
          </w:tcPr>
          <w:p>
            <w:pPr>
              <w:spacing w:after="0"/>
              <w:rPr>
                <w:sz w:val="20"/>
                <w:szCs w:val="20"/>
                <w:color w:val="auto"/>
              </w:rPr>
            </w:pPr>
            <w:r>
              <w:rPr>
                <w:rFonts w:ascii="Arial" w:cs="Arial" w:eastAsia="Arial" w:hAnsi="Arial"/>
                <w:sz w:val="21"/>
                <w:szCs w:val="21"/>
                <w:b w:val="1"/>
                <w:bCs w:val="1"/>
                <w:color w:val="auto"/>
              </w:rPr>
              <w:t>ESPN Channels</w:t>
            </w:r>
            <w:r>
              <w:rPr>
                <w:rFonts w:ascii="Arial" w:cs="Arial" w:eastAsia="Arial" w:hAnsi="Arial"/>
                <w:sz w:val="35"/>
                <w:szCs w:val="35"/>
                <w:b w:val="1"/>
                <w:bCs w:val="1"/>
                <w:color w:val="auto"/>
                <w:vertAlign w:val="superscript"/>
              </w:rPr>
              <w:t>(2)</w:t>
            </w:r>
          </w:p>
        </w:tc>
        <w:tc>
          <w:tcPr>
            <w:tcW w:w="1880" w:type="dxa"/>
            <w:vAlign w:val="bottom"/>
          </w:tcPr>
          <w:p>
            <w:pPr>
              <w:jc w:val="right"/>
              <w:ind w:right="553"/>
              <w:spacing w:after="0"/>
              <w:rPr>
                <w:sz w:val="20"/>
                <w:szCs w:val="20"/>
                <w:color w:val="auto"/>
              </w:rPr>
            </w:pPr>
            <w:r>
              <w:rPr>
                <w:rFonts w:ascii="Arial" w:cs="Arial" w:eastAsia="Arial" w:hAnsi="Arial"/>
                <w:sz w:val="21"/>
                <w:szCs w:val="21"/>
                <w:b w:val="1"/>
                <w:bCs w:val="1"/>
                <w:color w:val="auto"/>
              </w:rPr>
              <w:t>950</w:t>
            </w:r>
          </w:p>
        </w:tc>
        <w:tc>
          <w:tcPr>
            <w:tcW w:w="1940" w:type="dxa"/>
            <w:vAlign w:val="bottom"/>
            <w:gridSpan w:val="2"/>
          </w:tcPr>
          <w:p>
            <w:pPr>
              <w:jc w:val="center"/>
              <w:spacing w:after="0"/>
              <w:rPr>
                <w:sz w:val="20"/>
                <w:szCs w:val="20"/>
                <w:color w:val="auto"/>
              </w:rPr>
            </w:pPr>
            <w:r>
              <w:rPr>
                <w:rFonts w:ascii="Arial" w:cs="Arial" w:eastAsia="Arial" w:hAnsi="Arial"/>
                <w:sz w:val="21"/>
                <w:szCs w:val="21"/>
                <w:b w:val="1"/>
                <w:bCs w:val="1"/>
                <w:color w:val="auto"/>
              </w:rPr>
              <w:t>25.0</w:t>
            </w:r>
          </w:p>
        </w:tc>
        <w:tc>
          <w:tcPr>
            <w:tcW w:w="60" w:type="dxa"/>
            <w:vAlign w:val="bottom"/>
          </w:tcPr>
          <w:p>
            <w:pPr>
              <w:spacing w:after="0"/>
              <w:rPr>
                <w:sz w:val="24"/>
                <w:szCs w:val="24"/>
                <w:color w:val="auto"/>
              </w:rPr>
            </w:pPr>
          </w:p>
        </w:tc>
      </w:tr>
      <w:tr>
        <w:trPr>
          <w:trHeight w:val="296"/>
        </w:trPr>
        <w:tc>
          <w:tcPr>
            <w:tcW w:w="5860" w:type="dxa"/>
            <w:vAlign w:val="bottom"/>
          </w:tcPr>
          <w:p>
            <w:pPr>
              <w:spacing w:after="0"/>
              <w:rPr>
                <w:sz w:val="20"/>
                <w:szCs w:val="20"/>
                <w:color w:val="auto"/>
              </w:rPr>
            </w:pPr>
            <w:r>
              <w:rPr>
                <w:rFonts w:ascii="Arial" w:cs="Arial" w:eastAsia="Arial" w:hAnsi="Arial"/>
                <w:sz w:val="21"/>
                <w:szCs w:val="21"/>
                <w:b w:val="1"/>
                <w:bCs w:val="1"/>
                <w:color w:val="auto"/>
              </w:rPr>
              <w:t>Other Disney Cable Networks (Disney Channel, ABC</w:t>
            </w: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8"/>
        </w:trPr>
        <w:tc>
          <w:tcPr>
            <w:tcW w:w="5860" w:type="dxa"/>
            <w:vAlign w:val="bottom"/>
          </w:tcPr>
          <w:p>
            <w:pPr>
              <w:spacing w:after="0"/>
              <w:rPr>
                <w:sz w:val="20"/>
                <w:szCs w:val="20"/>
                <w:color w:val="auto"/>
              </w:rPr>
            </w:pPr>
            <w:r>
              <w:rPr>
                <w:rFonts w:ascii="Arial" w:cs="Arial" w:eastAsia="Arial" w:hAnsi="Arial"/>
                <w:sz w:val="21"/>
                <w:szCs w:val="21"/>
                <w:b w:val="1"/>
                <w:bCs w:val="1"/>
                <w:color w:val="auto"/>
              </w:rPr>
              <w:t>Family, SoapNet and Toon</w:t>
            </w:r>
            <w:r>
              <w:rPr>
                <w:rFonts w:ascii="Arial" w:cs="Arial" w:eastAsia="Arial" w:hAnsi="Arial"/>
                <w:sz w:val="35"/>
                <w:szCs w:val="35"/>
                <w:b w:val="1"/>
                <w:bCs w:val="1"/>
                <w:color w:val="auto"/>
                <w:vertAlign w:val="superscript"/>
              </w:rPr>
              <w:t>(2)</w:t>
            </w:r>
          </w:p>
        </w:tc>
        <w:tc>
          <w:tcPr>
            <w:tcW w:w="1880" w:type="dxa"/>
            <w:vAlign w:val="bottom"/>
          </w:tcPr>
          <w:p>
            <w:pPr>
              <w:jc w:val="right"/>
              <w:ind w:right="553"/>
              <w:spacing w:after="0"/>
              <w:rPr>
                <w:sz w:val="20"/>
                <w:szCs w:val="20"/>
                <w:color w:val="auto"/>
              </w:rPr>
            </w:pPr>
            <w:r>
              <w:rPr>
                <w:rFonts w:ascii="Arial" w:cs="Arial" w:eastAsia="Arial" w:hAnsi="Arial"/>
                <w:sz w:val="21"/>
                <w:szCs w:val="21"/>
                <w:b w:val="1"/>
                <w:bCs w:val="1"/>
                <w:color w:val="auto"/>
              </w:rPr>
              <w:t>300</w:t>
            </w:r>
          </w:p>
        </w:tc>
        <w:tc>
          <w:tcPr>
            <w:tcW w:w="1940" w:type="dxa"/>
            <w:vAlign w:val="bottom"/>
            <w:gridSpan w:val="2"/>
          </w:tcPr>
          <w:p>
            <w:pPr>
              <w:jc w:val="center"/>
              <w:spacing w:after="0"/>
              <w:rPr>
                <w:sz w:val="20"/>
                <w:szCs w:val="20"/>
                <w:color w:val="auto"/>
              </w:rPr>
            </w:pPr>
            <w:r>
              <w:rPr>
                <w:rFonts w:ascii="Arial" w:cs="Arial" w:eastAsia="Arial" w:hAnsi="Arial"/>
                <w:sz w:val="21"/>
                <w:szCs w:val="21"/>
                <w:b w:val="1"/>
                <w:bCs w:val="1"/>
                <w:color w:val="auto"/>
              </w:rPr>
              <w:t>19.0</w:t>
            </w:r>
          </w:p>
        </w:tc>
        <w:tc>
          <w:tcPr>
            <w:tcW w:w="60" w:type="dxa"/>
            <w:vAlign w:val="bottom"/>
          </w:tcPr>
          <w:p>
            <w:pPr>
              <w:spacing w:after="0"/>
              <w:rPr>
                <w:sz w:val="24"/>
                <w:szCs w:val="24"/>
                <w:color w:val="auto"/>
              </w:rPr>
            </w:pPr>
          </w:p>
        </w:tc>
      </w:tr>
      <w:tr>
        <w:trPr>
          <w:trHeight w:val="194"/>
        </w:trPr>
        <w:tc>
          <w:tcPr>
            <w:tcW w:w="58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196850</wp:posOffset>
            </wp:positionV>
            <wp:extent cx="6173470" cy="589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3470" cy="5899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659"/>
        <w:spacing w:after="0"/>
        <w:rPr>
          <w:sz w:val="20"/>
          <w:szCs w:val="20"/>
          <w:color w:val="auto"/>
        </w:rPr>
      </w:pPr>
      <w:r>
        <w:rPr>
          <w:rFonts w:ascii="Arial" w:cs="Arial" w:eastAsia="Arial" w:hAnsi="Arial"/>
          <w:sz w:val="21"/>
          <w:szCs w:val="21"/>
          <w:b w:val="1"/>
          <w:bCs w:val="1"/>
          <w:color w:val="FFFFFF"/>
        </w:rPr>
        <w:t>Halfway to Industry 40% Margins</w:t>
      </w:r>
    </w:p>
    <w:p>
      <w:pPr>
        <w:spacing w:after="0" w:line="35" w:lineRule="exact"/>
        <w:rPr>
          <w:sz w:val="20"/>
          <w:szCs w:val="20"/>
          <w:color w:val="auto"/>
        </w:rPr>
      </w:pPr>
    </w:p>
    <w:p>
      <w:pPr>
        <w:jc w:val="center"/>
        <w:ind w:right="-659"/>
        <w:spacing w:after="0"/>
        <w:rPr>
          <w:sz w:val="20"/>
          <w:szCs w:val="20"/>
          <w:color w:val="auto"/>
        </w:rPr>
      </w:pPr>
      <w:r>
        <w:rPr>
          <w:rFonts w:ascii="Arial" w:cs="Arial" w:eastAsia="Arial" w:hAnsi="Arial"/>
          <w:sz w:val="21"/>
          <w:szCs w:val="21"/>
          <w:b w:val="1"/>
          <w:bCs w:val="1"/>
          <w:color w:val="FFFFFF"/>
        </w:rPr>
        <w:t>Plus Incremental Distribution: $200–$300MM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Notes: (1) Fiscal Year EBITDA based on Company SEC filings, adjusted for one-time charges</w:t>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(2) Based on Company and Wall Street equity research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8281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281940</wp:posOffset>
            </wp:positionV>
            <wp:extent cx="1097280" cy="325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274320</wp:posOffset>
            </wp:positionV>
            <wp:extent cx="869950" cy="3403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8"/>
          <w:szCs w:val="38"/>
          <w:color w:val="auto"/>
        </w:rPr>
        <w:t>Improve Other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281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auto"/>
        </w:rPr>
        <w:t>Reignite the World’s Greatest Entertainment Businesses</w:t>
      </w:r>
    </w:p>
    <w:p>
      <w:pPr>
        <w:spacing w:after="0" w:line="200" w:lineRule="exact"/>
        <w:rPr>
          <w:sz w:val="20"/>
          <w:szCs w:val="20"/>
          <w:color w:val="auto"/>
        </w:rPr>
      </w:pPr>
    </w:p>
    <w:p>
      <w:pPr>
        <w:spacing w:after="0" w:line="282" w:lineRule="exact"/>
        <w:rPr>
          <w:sz w:val="20"/>
          <w:szCs w:val="20"/>
          <w:color w:val="auto"/>
        </w:rPr>
      </w:pPr>
    </w:p>
    <w:p>
      <w:pPr>
        <w:ind w:left="620" w:hanging="565"/>
        <w:spacing w:after="0"/>
        <w:tabs>
          <w:tab w:leader="none" w:pos="620" w:val="left"/>
        </w:tabs>
        <w:numPr>
          <w:ilvl w:val="0"/>
          <w:numId w:val="5"/>
        </w:numPr>
        <w:rPr>
          <w:rFonts w:ascii="Arial" w:cs="Arial" w:eastAsia="Arial" w:hAnsi="Arial"/>
          <w:sz w:val="21"/>
          <w:szCs w:val="21"/>
          <w:color w:val="6699FF"/>
        </w:rPr>
      </w:pPr>
      <w:r>
        <w:rPr>
          <w:rFonts w:ascii="Arial" w:cs="Arial" w:eastAsia="Arial" w:hAnsi="Arial"/>
          <w:sz w:val="21"/>
          <w:szCs w:val="21"/>
          <w:color w:val="auto"/>
        </w:rPr>
        <w:t>Empower Disney animation team to build on legacy of success</w:t>
      </w:r>
    </w:p>
    <w:p>
      <w:pPr>
        <w:spacing w:after="0" w:line="127" w:lineRule="exact"/>
        <w:rPr>
          <w:rFonts w:ascii="Arial" w:cs="Arial" w:eastAsia="Arial" w:hAnsi="Arial"/>
          <w:sz w:val="21"/>
          <w:szCs w:val="21"/>
          <w:color w:val="6699FF"/>
        </w:rPr>
      </w:pPr>
    </w:p>
    <w:p>
      <w:pPr>
        <w:ind w:left="1200" w:hanging="572"/>
        <w:spacing w:after="0" w:line="265" w:lineRule="auto"/>
        <w:rPr>
          <w:rFonts w:ascii="Arial" w:cs="Arial" w:eastAsia="Arial" w:hAnsi="Arial"/>
          <w:sz w:val="21"/>
          <w:szCs w:val="21"/>
          <w:color w:val="6699FF"/>
        </w:rPr>
      </w:pPr>
      <w:r>
        <w:rPr>
          <w:rFonts w:ascii="Arial" w:cs="Arial" w:eastAsia="Arial" w:hAnsi="Arial"/>
          <w:sz w:val="21"/>
          <w:szCs w:val="21"/>
          <w:color w:val="auto"/>
        </w:rPr>
        <w:t>— From 1991 to 1994, Disney released Beauty and the Beast (1991), Aladdin (1992) and The Lion King (1994), which collectively have generated over $1.5Bn in total box office receipts</w:t>
      </w:r>
    </w:p>
    <w:p>
      <w:pPr>
        <w:spacing w:after="0" w:line="86" w:lineRule="exact"/>
        <w:rPr>
          <w:rFonts w:ascii="Arial" w:cs="Arial" w:eastAsia="Arial" w:hAnsi="Arial"/>
          <w:sz w:val="21"/>
          <w:szCs w:val="21"/>
          <w:color w:val="6699FF"/>
        </w:rPr>
      </w:pPr>
    </w:p>
    <w:p>
      <w:pPr>
        <w:ind w:left="620"/>
        <w:spacing w:after="0"/>
        <w:rPr>
          <w:rFonts w:ascii="Arial" w:cs="Arial" w:eastAsia="Arial" w:hAnsi="Arial"/>
          <w:sz w:val="21"/>
          <w:szCs w:val="21"/>
          <w:color w:val="6699FF"/>
        </w:rPr>
      </w:pPr>
      <w:r>
        <w:rPr>
          <w:rFonts w:ascii="Arial" w:cs="Arial" w:eastAsia="Arial" w:hAnsi="Arial"/>
          <w:sz w:val="21"/>
          <w:szCs w:val="21"/>
          <w:color w:val="auto"/>
        </w:rPr>
        <w:t>—   No Disney produced animated release has come close since 1999</w:t>
      </w:r>
    </w:p>
    <w:p>
      <w:pPr>
        <w:spacing w:after="0" w:line="127" w:lineRule="exact"/>
        <w:rPr>
          <w:rFonts w:ascii="Arial" w:cs="Arial" w:eastAsia="Arial" w:hAnsi="Arial"/>
          <w:sz w:val="21"/>
          <w:szCs w:val="21"/>
          <w:color w:val="6699FF"/>
        </w:rPr>
      </w:pPr>
    </w:p>
    <w:p>
      <w:pPr>
        <w:ind w:left="620"/>
        <w:spacing w:after="0"/>
        <w:rPr>
          <w:rFonts w:ascii="Arial" w:cs="Arial" w:eastAsia="Arial" w:hAnsi="Arial"/>
          <w:sz w:val="21"/>
          <w:szCs w:val="21"/>
          <w:color w:val="6699FF"/>
        </w:rPr>
      </w:pPr>
      <w:r>
        <w:rPr>
          <w:rFonts w:ascii="Arial" w:cs="Arial" w:eastAsia="Arial" w:hAnsi="Arial"/>
          <w:sz w:val="21"/>
          <w:szCs w:val="21"/>
          <w:color w:val="auto"/>
        </w:rPr>
        <w:t>—   Animation success drives Consumer Products and Theme Parks</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0" w:hanging="565"/>
        <w:spacing w:after="0"/>
        <w:tabs>
          <w:tab w:leader="none" w:pos="620" w:val="left"/>
        </w:tabs>
        <w:numPr>
          <w:ilvl w:val="0"/>
          <w:numId w:val="5"/>
        </w:numPr>
        <w:rPr>
          <w:rFonts w:ascii="Arial" w:cs="Arial" w:eastAsia="Arial" w:hAnsi="Arial"/>
          <w:sz w:val="21"/>
          <w:szCs w:val="21"/>
          <w:color w:val="6699FF"/>
        </w:rPr>
      </w:pPr>
      <w:r>
        <w:rPr>
          <w:rFonts w:ascii="Arial" w:cs="Arial" w:eastAsia="Arial" w:hAnsi="Arial"/>
          <w:sz w:val="21"/>
          <w:szCs w:val="21"/>
          <w:color w:val="auto"/>
        </w:rPr>
        <w:t>The Disney theme parks are America's favorite vacation destinations</w:t>
      </w:r>
    </w:p>
    <w:p>
      <w:pPr>
        <w:spacing w:after="0" w:line="127" w:lineRule="exact"/>
        <w:rPr>
          <w:rFonts w:ascii="Arial" w:cs="Arial" w:eastAsia="Arial" w:hAnsi="Arial"/>
          <w:sz w:val="21"/>
          <w:szCs w:val="21"/>
          <w:color w:val="6699FF"/>
        </w:rPr>
      </w:pPr>
    </w:p>
    <w:p>
      <w:pPr>
        <w:ind w:left="620"/>
        <w:spacing w:after="0"/>
        <w:rPr>
          <w:rFonts w:ascii="Arial" w:cs="Arial" w:eastAsia="Arial" w:hAnsi="Arial"/>
          <w:sz w:val="21"/>
          <w:szCs w:val="21"/>
          <w:color w:val="6699FF"/>
        </w:rPr>
      </w:pPr>
      <w:r>
        <w:rPr>
          <w:rFonts w:ascii="Arial" w:cs="Arial" w:eastAsia="Arial" w:hAnsi="Arial"/>
          <w:sz w:val="21"/>
          <w:szCs w:val="21"/>
          <w:color w:val="auto"/>
        </w:rPr>
        <w:t>—   Drive attendance via advertising and cross-promotion in all aspects of combined company</w:t>
      </w:r>
    </w:p>
    <w:p>
      <w:pPr>
        <w:spacing w:after="0" w:line="127" w:lineRule="exact"/>
        <w:rPr>
          <w:rFonts w:ascii="Arial" w:cs="Arial" w:eastAsia="Arial" w:hAnsi="Arial"/>
          <w:sz w:val="21"/>
          <w:szCs w:val="21"/>
          <w:color w:val="6699FF"/>
        </w:rPr>
      </w:pPr>
    </w:p>
    <w:p>
      <w:pPr>
        <w:ind w:left="620"/>
        <w:spacing w:after="0"/>
        <w:rPr>
          <w:rFonts w:ascii="Arial" w:cs="Arial" w:eastAsia="Arial" w:hAnsi="Arial"/>
          <w:sz w:val="21"/>
          <w:szCs w:val="21"/>
          <w:color w:val="6699FF"/>
        </w:rPr>
      </w:pPr>
      <w:r>
        <w:rPr>
          <w:rFonts w:ascii="Arial" w:cs="Arial" w:eastAsia="Arial" w:hAnsi="Arial"/>
          <w:sz w:val="21"/>
          <w:szCs w:val="21"/>
          <w:color w:val="auto"/>
        </w:rPr>
        <w:t>—   Restore energy and creativity in attractions, hotels and concessions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469265</wp:posOffset>
            </wp:positionV>
            <wp:extent cx="5810250" cy="234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0250" cy="234315"/>
                    </a:xfrm>
                    <a:prstGeom prst="rect">
                      <a:avLst/>
                    </a:prstGeom>
                    <a:noFill/>
                  </pic:spPr>
                </pic:pic>
              </a:graphicData>
            </a:graphic>
          </wp:anchor>
        </w:drawing>
      </w:r>
    </w:p>
    <w:p>
      <w:pPr>
        <w:sectPr>
          <w:pgSz w:w="11900" w:h="16838" w:orient="portrait"/>
          <w:cols w:equalWidth="0" w:num="1">
            <w:col w:w="10780"/>
          </w:cols>
          <w:pgMar w:left="240" w:top="140" w:right="8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60"/>
        <w:spacing w:after="0"/>
        <w:rPr>
          <w:sz w:val="20"/>
          <w:szCs w:val="20"/>
          <w:color w:val="auto"/>
        </w:rPr>
      </w:pPr>
      <w:r>
        <w:rPr>
          <w:rFonts w:ascii="Arial" w:cs="Arial" w:eastAsia="Arial" w:hAnsi="Arial"/>
          <w:sz w:val="21"/>
          <w:szCs w:val="21"/>
          <w:b w:val="1"/>
          <w:bCs w:val="1"/>
          <w:color w:val="FFFFFF"/>
        </w:rPr>
        <w:t>All Upside to Projected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281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780"/>
          </w:cols>
          <w:pgMar w:left="240" w:top="140" w:right="879" w:bottom="0" w:gutter="0" w:footer="0" w:header="0"/>
          <w:type w:val="continuous"/>
        </w:sectPr>
      </w:pPr>
    </w:p>
    <w:bookmarkStart w:id="6" w:name="page7"/>
    <w:bookmarkEnd w:id="6"/>
    <w:p>
      <w:pPr>
        <w:ind w:left="568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111760</wp:posOffset>
            </wp:positionV>
            <wp:extent cx="1097280" cy="325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page">
              <wp:posOffset>6542405</wp:posOffset>
            </wp:positionH>
            <wp:positionV relativeFrom="page">
              <wp:posOffset>104140</wp:posOffset>
            </wp:positionV>
            <wp:extent cx="869950" cy="3403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869950" cy="340360"/>
                    </a:xfrm>
                    <a:prstGeom prst="rect">
                      <a:avLst/>
                    </a:prstGeom>
                    <a:noFill/>
                  </pic:spPr>
                </pic:pic>
              </a:graphicData>
            </a:graphic>
          </wp:anchor>
        </w:drawing>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
        <w:spacing w:after="0"/>
        <w:rPr>
          <w:sz w:val="20"/>
          <w:szCs w:val="20"/>
          <w:color w:val="auto"/>
        </w:rPr>
      </w:pPr>
      <w:r>
        <w:rPr>
          <w:rFonts w:ascii="Arial" w:cs="Arial" w:eastAsia="Arial" w:hAnsi="Arial"/>
          <w:sz w:val="38"/>
          <w:szCs w:val="38"/>
          <w:color w:val="auto"/>
        </w:rPr>
        <w:t>Significant Cost Savings and Economies of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728281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5" w:hanging="565"/>
        <w:spacing w:after="0"/>
        <w:tabs>
          <w:tab w:leader="none" w:pos="565" w:val="left"/>
        </w:tabs>
        <w:numPr>
          <w:ilvl w:val="0"/>
          <w:numId w:val="6"/>
        </w:numPr>
        <w:rPr>
          <w:rFonts w:ascii="Arial" w:cs="Arial" w:eastAsia="Arial" w:hAnsi="Arial"/>
          <w:sz w:val="21"/>
          <w:szCs w:val="21"/>
          <w:color w:val="6699FF"/>
        </w:rPr>
      </w:pPr>
      <w:r>
        <w:rPr>
          <w:rFonts w:ascii="Arial" w:cs="Arial" w:eastAsia="Arial" w:hAnsi="Arial"/>
          <w:sz w:val="21"/>
          <w:szCs w:val="21"/>
          <w:color w:val="auto"/>
        </w:rPr>
        <w:t>Eliminating duplicate corporate and divisional functions</w:t>
      </w:r>
    </w:p>
    <w:p>
      <w:pPr>
        <w:spacing w:after="0" w:line="258" w:lineRule="exact"/>
        <w:rPr>
          <w:rFonts w:ascii="Arial" w:cs="Arial" w:eastAsia="Arial" w:hAnsi="Arial"/>
          <w:sz w:val="21"/>
          <w:szCs w:val="21"/>
          <w:color w:val="6699FF"/>
        </w:rPr>
      </w:pPr>
    </w:p>
    <w:p>
      <w:pPr>
        <w:ind w:left="565" w:hanging="565"/>
        <w:spacing w:after="0"/>
        <w:tabs>
          <w:tab w:leader="none" w:pos="565" w:val="left"/>
        </w:tabs>
        <w:numPr>
          <w:ilvl w:val="0"/>
          <w:numId w:val="6"/>
        </w:numPr>
        <w:rPr>
          <w:rFonts w:ascii="Arial" w:cs="Arial" w:eastAsia="Arial" w:hAnsi="Arial"/>
          <w:sz w:val="21"/>
          <w:szCs w:val="21"/>
          <w:color w:val="6699FF"/>
        </w:rPr>
      </w:pPr>
      <w:r>
        <w:rPr>
          <w:rFonts w:ascii="Arial" w:cs="Arial" w:eastAsia="Arial" w:hAnsi="Arial"/>
          <w:sz w:val="21"/>
          <w:szCs w:val="21"/>
          <w:color w:val="auto"/>
        </w:rPr>
        <w:t>Eliminating overlapping operations (cable channels, Internet, advertising, etc.)</w:t>
      </w:r>
    </w:p>
    <w:p>
      <w:pPr>
        <w:spacing w:after="0" w:line="258" w:lineRule="exact"/>
        <w:rPr>
          <w:rFonts w:ascii="Arial" w:cs="Arial" w:eastAsia="Arial" w:hAnsi="Arial"/>
          <w:sz w:val="21"/>
          <w:szCs w:val="21"/>
          <w:color w:val="6699FF"/>
        </w:rPr>
      </w:pPr>
    </w:p>
    <w:p>
      <w:pPr>
        <w:ind w:left="565" w:hanging="565"/>
        <w:spacing w:after="0"/>
        <w:tabs>
          <w:tab w:leader="none" w:pos="565" w:val="left"/>
        </w:tabs>
        <w:numPr>
          <w:ilvl w:val="0"/>
          <w:numId w:val="6"/>
        </w:numPr>
        <w:rPr>
          <w:rFonts w:ascii="Arial" w:cs="Arial" w:eastAsia="Arial" w:hAnsi="Arial"/>
          <w:sz w:val="21"/>
          <w:szCs w:val="21"/>
          <w:color w:val="6699FF"/>
        </w:rPr>
      </w:pPr>
      <w:r>
        <w:rPr>
          <w:rFonts w:ascii="Arial" w:cs="Arial" w:eastAsia="Arial" w:hAnsi="Arial"/>
          <w:sz w:val="21"/>
          <w:szCs w:val="21"/>
          <w:color w:val="auto"/>
        </w:rPr>
        <w:t>Other savings due to scale and 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280035</wp:posOffset>
            </wp:positionV>
            <wp:extent cx="5810250" cy="234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10250" cy="23431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105"/>
        <w:spacing w:after="0"/>
        <w:rPr>
          <w:sz w:val="20"/>
          <w:szCs w:val="20"/>
          <w:color w:val="auto"/>
        </w:rPr>
      </w:pPr>
      <w:r>
        <w:rPr>
          <w:rFonts w:ascii="Arial" w:cs="Arial" w:eastAsia="Arial" w:hAnsi="Arial"/>
          <w:sz w:val="21"/>
          <w:szCs w:val="21"/>
          <w:b w:val="1"/>
          <w:bCs w:val="1"/>
          <w:color w:val="auto"/>
        </w:rPr>
        <w:t>Targeted Annual Expense Reduction: $300-$400MM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82815"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220980</wp:posOffset>
            </wp:positionV>
            <wp:extent cx="1097280" cy="325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213360</wp:posOffset>
            </wp:positionV>
            <wp:extent cx="869950" cy="3403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85"/>
        <w:spacing w:after="0"/>
        <w:rPr>
          <w:sz w:val="20"/>
          <w:szCs w:val="20"/>
          <w:color w:val="auto"/>
        </w:rPr>
      </w:pPr>
      <w:r>
        <w:rPr>
          <w:rFonts w:ascii="Arial" w:cs="Arial" w:eastAsia="Arial" w:hAnsi="Arial"/>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
        <w:spacing w:after="0"/>
        <w:rPr>
          <w:sz w:val="20"/>
          <w:szCs w:val="20"/>
          <w:color w:val="auto"/>
        </w:rPr>
      </w:pPr>
      <w:r>
        <w:rPr>
          <w:rFonts w:ascii="Arial" w:cs="Arial" w:eastAsia="Arial" w:hAnsi="Arial"/>
          <w:sz w:val="38"/>
          <w:szCs w:val="38"/>
          <w:color w:val="auto"/>
        </w:rPr>
        <w:t>Significant New Business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728281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5" w:hanging="565"/>
        <w:spacing w:after="0"/>
        <w:tabs>
          <w:tab w:leader="none" w:pos="625" w:val="left"/>
        </w:tabs>
        <w:numPr>
          <w:ilvl w:val="0"/>
          <w:numId w:val="7"/>
        </w:numPr>
        <w:rPr>
          <w:rFonts w:ascii="Arial" w:cs="Arial" w:eastAsia="Arial" w:hAnsi="Arial"/>
          <w:sz w:val="21"/>
          <w:szCs w:val="21"/>
          <w:color w:val="6699FF"/>
        </w:rPr>
      </w:pPr>
      <w:r>
        <w:rPr>
          <w:rFonts w:ascii="Arial" w:cs="Arial" w:eastAsia="Arial" w:hAnsi="Arial"/>
          <w:sz w:val="21"/>
          <w:szCs w:val="21"/>
          <w:color w:val="auto"/>
        </w:rPr>
        <w:t>Launch successful new cable channels</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5" w:hanging="565"/>
        <w:spacing w:after="0"/>
        <w:tabs>
          <w:tab w:leader="none" w:pos="625" w:val="left"/>
        </w:tabs>
        <w:numPr>
          <w:ilvl w:val="0"/>
          <w:numId w:val="7"/>
        </w:numPr>
        <w:rPr>
          <w:rFonts w:ascii="Arial" w:cs="Arial" w:eastAsia="Arial" w:hAnsi="Arial"/>
          <w:sz w:val="21"/>
          <w:szCs w:val="21"/>
          <w:color w:val="6699FF"/>
        </w:rPr>
      </w:pPr>
      <w:r>
        <w:rPr>
          <w:rFonts w:ascii="Arial" w:cs="Arial" w:eastAsia="Arial" w:hAnsi="Arial"/>
          <w:sz w:val="21"/>
          <w:szCs w:val="21"/>
          <w:color w:val="auto"/>
        </w:rPr>
        <w:t>Maximize interactive technologies for digital cable customers</w:t>
      </w:r>
    </w:p>
    <w:p>
      <w:pPr>
        <w:spacing w:after="0" w:line="127" w:lineRule="exact"/>
        <w:rPr>
          <w:rFonts w:ascii="Arial" w:cs="Arial" w:eastAsia="Arial" w:hAnsi="Arial"/>
          <w:sz w:val="21"/>
          <w:szCs w:val="21"/>
          <w:color w:val="6699FF"/>
        </w:rPr>
      </w:pPr>
    </w:p>
    <w:p>
      <w:pPr>
        <w:ind w:left="625"/>
        <w:spacing w:after="0"/>
        <w:rPr>
          <w:rFonts w:ascii="Arial" w:cs="Arial" w:eastAsia="Arial" w:hAnsi="Arial"/>
          <w:sz w:val="21"/>
          <w:szCs w:val="21"/>
          <w:color w:val="6699FF"/>
        </w:rPr>
      </w:pPr>
      <w:r>
        <w:rPr>
          <w:rFonts w:ascii="Arial" w:cs="Arial" w:eastAsia="Arial" w:hAnsi="Arial"/>
          <w:sz w:val="21"/>
          <w:szCs w:val="21"/>
          <w:color w:val="auto"/>
        </w:rPr>
        <w:t>—   VOD movies in attractive windows</w:t>
      </w:r>
    </w:p>
    <w:p>
      <w:pPr>
        <w:spacing w:after="0" w:line="127" w:lineRule="exact"/>
        <w:rPr>
          <w:rFonts w:ascii="Arial" w:cs="Arial" w:eastAsia="Arial" w:hAnsi="Arial"/>
          <w:sz w:val="21"/>
          <w:szCs w:val="21"/>
          <w:color w:val="6699FF"/>
        </w:rPr>
      </w:pPr>
    </w:p>
    <w:p>
      <w:pPr>
        <w:ind w:left="625"/>
        <w:spacing w:after="0"/>
        <w:rPr>
          <w:rFonts w:ascii="Arial" w:cs="Arial" w:eastAsia="Arial" w:hAnsi="Arial"/>
          <w:sz w:val="21"/>
          <w:szCs w:val="21"/>
          <w:color w:val="6699FF"/>
        </w:rPr>
      </w:pPr>
      <w:r>
        <w:rPr>
          <w:rFonts w:ascii="Arial" w:cs="Arial" w:eastAsia="Arial" w:hAnsi="Arial"/>
          <w:sz w:val="21"/>
          <w:szCs w:val="21"/>
          <w:color w:val="auto"/>
        </w:rPr>
        <w:t>—   Time shifted ABC programming</w:t>
      </w:r>
    </w:p>
    <w:p>
      <w:pPr>
        <w:spacing w:after="0" w:line="127" w:lineRule="exact"/>
        <w:rPr>
          <w:rFonts w:ascii="Arial" w:cs="Arial" w:eastAsia="Arial" w:hAnsi="Arial"/>
          <w:sz w:val="21"/>
          <w:szCs w:val="21"/>
          <w:color w:val="6699FF"/>
        </w:rPr>
      </w:pPr>
    </w:p>
    <w:p>
      <w:pPr>
        <w:ind w:left="625"/>
        <w:spacing w:after="0"/>
        <w:rPr>
          <w:rFonts w:ascii="Arial" w:cs="Arial" w:eastAsia="Arial" w:hAnsi="Arial"/>
          <w:sz w:val="21"/>
          <w:szCs w:val="21"/>
          <w:color w:val="6699FF"/>
        </w:rPr>
      </w:pPr>
      <w:r>
        <w:rPr>
          <w:rFonts w:ascii="Arial" w:cs="Arial" w:eastAsia="Arial" w:hAnsi="Arial"/>
          <w:sz w:val="21"/>
          <w:szCs w:val="21"/>
          <w:color w:val="auto"/>
        </w:rPr>
        <w:t>—   ESPN interactive television features</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5" w:hanging="565"/>
        <w:spacing w:after="0"/>
        <w:tabs>
          <w:tab w:leader="none" w:pos="625" w:val="left"/>
        </w:tabs>
        <w:numPr>
          <w:ilvl w:val="0"/>
          <w:numId w:val="7"/>
        </w:numPr>
        <w:rPr>
          <w:rFonts w:ascii="Arial" w:cs="Arial" w:eastAsia="Arial" w:hAnsi="Arial"/>
          <w:sz w:val="21"/>
          <w:szCs w:val="21"/>
          <w:color w:val="6699FF"/>
        </w:rPr>
      </w:pPr>
      <w:r>
        <w:rPr>
          <w:rFonts w:ascii="Arial" w:cs="Arial" w:eastAsia="Arial" w:hAnsi="Arial"/>
          <w:sz w:val="21"/>
          <w:szCs w:val="21"/>
          <w:color w:val="auto"/>
        </w:rPr>
        <w:t>Develop new online content / services for broadband customers</w:t>
      </w:r>
    </w:p>
    <w:p>
      <w:pPr>
        <w:spacing w:after="0" w:line="127" w:lineRule="exact"/>
        <w:rPr>
          <w:rFonts w:ascii="Arial" w:cs="Arial" w:eastAsia="Arial" w:hAnsi="Arial"/>
          <w:sz w:val="21"/>
          <w:szCs w:val="21"/>
          <w:color w:val="6699FF"/>
        </w:rPr>
      </w:pPr>
    </w:p>
    <w:p>
      <w:pPr>
        <w:ind w:left="625"/>
        <w:spacing w:after="0"/>
        <w:rPr>
          <w:rFonts w:ascii="Arial" w:cs="Arial" w:eastAsia="Arial" w:hAnsi="Arial"/>
          <w:sz w:val="21"/>
          <w:szCs w:val="21"/>
          <w:color w:val="6699FF"/>
        </w:rPr>
      </w:pPr>
      <w:r>
        <w:rPr>
          <w:rFonts w:ascii="Arial" w:cs="Arial" w:eastAsia="Arial" w:hAnsi="Arial"/>
          <w:sz w:val="21"/>
          <w:szCs w:val="21"/>
          <w:color w:val="auto"/>
        </w:rPr>
        <w:t>—   Disney, ESPN, ABC content for portal</w:t>
      </w:r>
    </w:p>
    <w:p>
      <w:pPr>
        <w:spacing w:after="0" w:line="127" w:lineRule="exact"/>
        <w:rPr>
          <w:rFonts w:ascii="Arial" w:cs="Arial" w:eastAsia="Arial" w:hAnsi="Arial"/>
          <w:sz w:val="21"/>
          <w:szCs w:val="21"/>
          <w:color w:val="6699FF"/>
        </w:rPr>
      </w:pPr>
    </w:p>
    <w:p>
      <w:pPr>
        <w:ind w:left="625"/>
        <w:spacing w:after="0"/>
        <w:rPr>
          <w:rFonts w:ascii="Arial" w:cs="Arial" w:eastAsia="Arial" w:hAnsi="Arial"/>
          <w:sz w:val="21"/>
          <w:szCs w:val="21"/>
          <w:color w:val="6699FF"/>
        </w:rPr>
      </w:pPr>
      <w:r>
        <w:rPr>
          <w:rFonts w:ascii="Arial" w:cs="Arial" w:eastAsia="Arial" w:hAnsi="Arial"/>
          <w:sz w:val="21"/>
          <w:szCs w:val="21"/>
          <w:color w:val="auto"/>
        </w:rPr>
        <w:t>—   Streaming Internet video subscription packages</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5" w:hanging="565"/>
        <w:spacing w:after="0"/>
        <w:tabs>
          <w:tab w:leader="none" w:pos="625" w:val="left"/>
        </w:tabs>
        <w:numPr>
          <w:ilvl w:val="0"/>
          <w:numId w:val="7"/>
        </w:numPr>
        <w:rPr>
          <w:rFonts w:ascii="Arial" w:cs="Arial" w:eastAsia="Arial" w:hAnsi="Arial"/>
          <w:sz w:val="21"/>
          <w:szCs w:val="21"/>
          <w:color w:val="6699FF"/>
        </w:rPr>
      </w:pPr>
      <w:r>
        <w:rPr>
          <w:rFonts w:ascii="Arial" w:cs="Arial" w:eastAsia="Arial" w:hAnsi="Arial"/>
          <w:sz w:val="21"/>
          <w:szCs w:val="21"/>
          <w:color w:val="auto"/>
        </w:rPr>
        <w:t>Leverage cross-promotion opportunities</w:t>
      </w:r>
    </w:p>
    <w:p>
      <w:pPr>
        <w:spacing w:after="0" w:line="127" w:lineRule="exact"/>
        <w:rPr>
          <w:rFonts w:ascii="Arial" w:cs="Arial" w:eastAsia="Arial" w:hAnsi="Arial"/>
          <w:sz w:val="21"/>
          <w:szCs w:val="21"/>
          <w:color w:val="6699FF"/>
        </w:rPr>
      </w:pPr>
    </w:p>
    <w:p>
      <w:pPr>
        <w:ind w:left="625"/>
        <w:spacing w:after="0"/>
        <w:rPr>
          <w:rFonts w:ascii="Arial" w:cs="Arial" w:eastAsia="Arial" w:hAnsi="Arial"/>
          <w:sz w:val="21"/>
          <w:szCs w:val="21"/>
          <w:color w:val="6699FF"/>
        </w:rPr>
      </w:pPr>
      <w:r>
        <w:rPr>
          <w:rFonts w:ascii="Arial" w:cs="Arial" w:eastAsia="Arial" w:hAnsi="Arial"/>
          <w:sz w:val="21"/>
          <w:szCs w:val="21"/>
          <w:color w:val="auto"/>
        </w:rPr>
        <w:t>—   Extend ESPN sports brand to Golf, Outdoor Life and Regional Sports Networks</w:t>
      </w:r>
    </w:p>
    <w:p>
      <w:pPr>
        <w:spacing w:after="0" w:line="127" w:lineRule="exact"/>
        <w:rPr>
          <w:rFonts w:ascii="Arial" w:cs="Arial" w:eastAsia="Arial" w:hAnsi="Arial"/>
          <w:sz w:val="21"/>
          <w:szCs w:val="21"/>
          <w:color w:val="6699FF"/>
        </w:rPr>
      </w:pPr>
    </w:p>
    <w:p>
      <w:pPr>
        <w:ind w:left="625"/>
        <w:spacing w:after="0"/>
        <w:rPr>
          <w:rFonts w:ascii="Arial" w:cs="Arial" w:eastAsia="Arial" w:hAnsi="Arial"/>
          <w:sz w:val="21"/>
          <w:szCs w:val="21"/>
          <w:color w:val="6699FF"/>
        </w:rPr>
      </w:pPr>
      <w:r>
        <w:rPr>
          <w:rFonts w:ascii="Arial" w:cs="Arial" w:eastAsia="Arial" w:hAnsi="Arial"/>
          <w:sz w:val="21"/>
          <w:szCs w:val="21"/>
          <w:color w:val="auto"/>
        </w:rPr>
        <w:t>—   Theme park cross-promotion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315595</wp:posOffset>
            </wp:positionV>
            <wp:extent cx="728281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416560</wp:posOffset>
            </wp:positionV>
            <wp:extent cx="1097280" cy="325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408940</wp:posOffset>
            </wp:positionV>
            <wp:extent cx="869950" cy="3403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85"/>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24"/>
          </w:cols>
          <w:pgMar w:left="235" w:top="714" w:right="1440" w:bottom="995" w:gutter="0" w:footer="0" w:header="0"/>
        </w:sectPr>
      </w:pPr>
    </w:p>
    <w:bookmarkStart w:id="7" w:name="page8"/>
    <w:bookmarkEnd w:id="7"/>
    <w:p>
      <w:pPr>
        <w:spacing w:after="0"/>
        <w:rPr>
          <w:sz w:val="20"/>
          <w:szCs w:val="20"/>
          <w:color w:val="auto"/>
        </w:rPr>
      </w:pPr>
      <w:r>
        <w:rPr>
          <w:rFonts w:ascii="Arial" w:cs="Arial" w:eastAsia="Arial" w:hAnsi="Arial"/>
          <w:sz w:val="38"/>
          <w:szCs w:val="38"/>
          <w:color w:val="auto"/>
        </w:rPr>
        <w:t>Proven Merger Integration Track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281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auto"/>
        </w:rPr>
        <w:t>AT&amp;T Broadband Acquisition Case Study</w:t>
      </w:r>
    </w:p>
    <w:p>
      <w:pPr>
        <w:spacing w:after="0" w:line="200" w:lineRule="exact"/>
        <w:rPr>
          <w:sz w:val="20"/>
          <w:szCs w:val="20"/>
          <w:color w:val="auto"/>
        </w:rPr>
      </w:pPr>
    </w:p>
    <w:p>
      <w:pPr>
        <w:spacing w:after="0" w:line="282" w:lineRule="exact"/>
        <w:rPr>
          <w:sz w:val="20"/>
          <w:szCs w:val="20"/>
          <w:color w:val="auto"/>
        </w:rPr>
      </w:pPr>
    </w:p>
    <w:p>
      <w:pPr>
        <w:ind w:left="620" w:hanging="565"/>
        <w:spacing w:after="0"/>
        <w:tabs>
          <w:tab w:leader="none" w:pos="620" w:val="left"/>
        </w:tabs>
        <w:numPr>
          <w:ilvl w:val="0"/>
          <w:numId w:val="8"/>
        </w:numPr>
        <w:rPr>
          <w:rFonts w:ascii="Arial" w:cs="Arial" w:eastAsia="Arial" w:hAnsi="Arial"/>
          <w:sz w:val="21"/>
          <w:szCs w:val="21"/>
          <w:color w:val="6699FF"/>
        </w:rPr>
      </w:pPr>
      <w:r>
        <w:rPr>
          <w:rFonts w:ascii="Arial" w:cs="Arial" w:eastAsia="Arial" w:hAnsi="Arial"/>
          <w:sz w:val="21"/>
          <w:szCs w:val="21"/>
          <w:color w:val="auto"/>
        </w:rPr>
        <w:t>AT&amp;T Broadband 1.5x the Size of Comcast When Acquired</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0" w:hanging="565"/>
        <w:spacing w:after="0"/>
        <w:tabs>
          <w:tab w:leader="none" w:pos="620" w:val="left"/>
        </w:tabs>
        <w:numPr>
          <w:ilvl w:val="0"/>
          <w:numId w:val="8"/>
        </w:numPr>
        <w:rPr>
          <w:rFonts w:ascii="Arial" w:cs="Arial" w:eastAsia="Arial" w:hAnsi="Arial"/>
          <w:sz w:val="21"/>
          <w:szCs w:val="21"/>
          <w:color w:val="6699FF"/>
        </w:rPr>
      </w:pPr>
      <w:r>
        <w:rPr>
          <w:rFonts w:ascii="Arial" w:cs="Arial" w:eastAsia="Arial" w:hAnsi="Arial"/>
          <w:sz w:val="21"/>
          <w:szCs w:val="21"/>
          <w:color w:val="auto"/>
        </w:rPr>
        <w:t>Far Exceeded Margin Improvement Guidance</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0" w:hanging="565"/>
        <w:spacing w:after="0"/>
        <w:tabs>
          <w:tab w:leader="none" w:pos="620" w:val="left"/>
        </w:tabs>
        <w:numPr>
          <w:ilvl w:val="0"/>
          <w:numId w:val="8"/>
        </w:numPr>
        <w:rPr>
          <w:rFonts w:ascii="Arial" w:cs="Arial" w:eastAsia="Arial" w:hAnsi="Arial"/>
          <w:sz w:val="21"/>
          <w:szCs w:val="21"/>
          <w:color w:val="6699FF"/>
        </w:rPr>
      </w:pPr>
      <w:r>
        <w:rPr>
          <w:rFonts w:ascii="Arial" w:cs="Arial" w:eastAsia="Arial" w:hAnsi="Arial"/>
          <w:sz w:val="21"/>
          <w:szCs w:val="21"/>
          <w:color w:val="auto"/>
        </w:rPr>
        <w:t>Immediately Reversed Basic Subscriber Loss</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0" w:hanging="565"/>
        <w:spacing w:after="0"/>
        <w:tabs>
          <w:tab w:leader="none" w:pos="620" w:val="left"/>
        </w:tabs>
        <w:numPr>
          <w:ilvl w:val="0"/>
          <w:numId w:val="8"/>
        </w:numPr>
        <w:rPr>
          <w:rFonts w:ascii="Arial" w:cs="Arial" w:eastAsia="Arial" w:hAnsi="Arial"/>
          <w:sz w:val="21"/>
          <w:szCs w:val="21"/>
          <w:color w:val="6699FF"/>
        </w:rPr>
      </w:pPr>
      <w:r>
        <w:rPr>
          <w:rFonts w:ascii="Arial" w:cs="Arial" w:eastAsia="Arial" w:hAnsi="Arial"/>
          <w:sz w:val="21"/>
          <w:szCs w:val="21"/>
          <w:color w:val="auto"/>
        </w:rPr>
        <w:t>Accelerated System Upgrades — Now 93% Complete</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0" w:hanging="565"/>
        <w:spacing w:after="0"/>
        <w:tabs>
          <w:tab w:leader="none" w:pos="620" w:val="left"/>
        </w:tabs>
        <w:numPr>
          <w:ilvl w:val="0"/>
          <w:numId w:val="8"/>
        </w:numPr>
        <w:rPr>
          <w:rFonts w:ascii="Arial" w:cs="Arial" w:eastAsia="Arial" w:hAnsi="Arial"/>
          <w:sz w:val="21"/>
          <w:szCs w:val="21"/>
          <w:color w:val="6699FF"/>
        </w:rPr>
      </w:pPr>
      <w:r>
        <w:rPr>
          <w:rFonts w:ascii="Arial" w:cs="Arial" w:eastAsia="Arial" w:hAnsi="Arial"/>
          <w:sz w:val="21"/>
          <w:szCs w:val="21"/>
          <w:color w:val="auto"/>
        </w:rPr>
        <w:t>Seamless Management Integration/Transition</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0" w:hanging="565"/>
        <w:spacing w:after="0"/>
        <w:tabs>
          <w:tab w:leader="none" w:pos="620" w:val="left"/>
        </w:tabs>
        <w:numPr>
          <w:ilvl w:val="0"/>
          <w:numId w:val="8"/>
        </w:numPr>
        <w:rPr>
          <w:rFonts w:ascii="Arial" w:cs="Arial" w:eastAsia="Arial" w:hAnsi="Arial"/>
          <w:sz w:val="21"/>
          <w:szCs w:val="21"/>
          <w:color w:val="6699FF"/>
        </w:rPr>
      </w:pPr>
      <w:r>
        <w:rPr>
          <w:rFonts w:ascii="Arial" w:cs="Arial" w:eastAsia="Arial" w:hAnsi="Arial"/>
          <w:sz w:val="21"/>
          <w:szCs w:val="21"/>
          <w:color w:val="auto"/>
        </w:rPr>
        <w:t>Significant Launch of New Products and Services</w:t>
      </w:r>
    </w:p>
    <w:p>
      <w:pPr>
        <w:spacing w:after="0" w:line="127" w:lineRule="exact"/>
        <w:rPr>
          <w:rFonts w:ascii="Arial" w:cs="Arial" w:eastAsia="Arial" w:hAnsi="Arial"/>
          <w:sz w:val="21"/>
          <w:szCs w:val="21"/>
          <w:color w:val="6699FF"/>
        </w:rPr>
      </w:pPr>
    </w:p>
    <w:p>
      <w:pPr>
        <w:ind w:left="620"/>
        <w:spacing w:after="0"/>
        <w:rPr>
          <w:rFonts w:ascii="Arial" w:cs="Arial" w:eastAsia="Arial" w:hAnsi="Arial"/>
          <w:sz w:val="21"/>
          <w:szCs w:val="21"/>
          <w:color w:val="6699FF"/>
        </w:rPr>
      </w:pPr>
      <w:r>
        <w:rPr>
          <w:rFonts w:ascii="Arial" w:cs="Arial" w:eastAsia="Arial" w:hAnsi="Arial"/>
          <w:sz w:val="21"/>
          <w:szCs w:val="21"/>
          <w:color w:val="auto"/>
        </w:rPr>
        <w:t>—   Accelerated broadband deployment</w:t>
      </w:r>
    </w:p>
    <w:p>
      <w:pPr>
        <w:spacing w:after="0" w:line="127" w:lineRule="exact"/>
        <w:rPr>
          <w:rFonts w:ascii="Arial" w:cs="Arial" w:eastAsia="Arial" w:hAnsi="Arial"/>
          <w:sz w:val="21"/>
          <w:szCs w:val="21"/>
          <w:color w:val="6699FF"/>
        </w:rPr>
      </w:pPr>
    </w:p>
    <w:p>
      <w:pPr>
        <w:ind w:left="620"/>
        <w:spacing w:after="0"/>
        <w:rPr>
          <w:rFonts w:ascii="Arial" w:cs="Arial" w:eastAsia="Arial" w:hAnsi="Arial"/>
          <w:sz w:val="21"/>
          <w:szCs w:val="21"/>
          <w:color w:val="6699FF"/>
        </w:rPr>
      </w:pPr>
      <w:r>
        <w:rPr>
          <w:rFonts w:ascii="Arial" w:cs="Arial" w:eastAsia="Arial" w:hAnsi="Arial"/>
          <w:sz w:val="21"/>
          <w:szCs w:val="21"/>
          <w:color w:val="auto"/>
        </w:rPr>
        <w:t>—   2 new cable networks</w:t>
      </w:r>
    </w:p>
    <w:p>
      <w:pPr>
        <w:spacing w:after="0" w:line="127" w:lineRule="exact"/>
        <w:rPr>
          <w:rFonts w:ascii="Arial" w:cs="Arial" w:eastAsia="Arial" w:hAnsi="Arial"/>
          <w:sz w:val="21"/>
          <w:szCs w:val="21"/>
          <w:color w:val="6699FF"/>
        </w:rPr>
      </w:pPr>
    </w:p>
    <w:p>
      <w:pPr>
        <w:ind w:left="620"/>
        <w:spacing w:after="0"/>
        <w:rPr>
          <w:rFonts w:ascii="Arial" w:cs="Arial" w:eastAsia="Arial" w:hAnsi="Arial"/>
          <w:sz w:val="21"/>
          <w:szCs w:val="21"/>
          <w:color w:val="6699FF"/>
        </w:rPr>
      </w:pPr>
      <w:r>
        <w:rPr>
          <w:rFonts w:ascii="Arial" w:cs="Arial" w:eastAsia="Arial" w:hAnsi="Arial"/>
          <w:sz w:val="21"/>
          <w:szCs w:val="21"/>
          <w:color w:val="auto"/>
        </w:rPr>
        <w:t>—   New regional sports network</w:t>
      </w:r>
    </w:p>
    <w:p>
      <w:pPr>
        <w:spacing w:after="0" w:line="127" w:lineRule="exact"/>
        <w:rPr>
          <w:rFonts w:ascii="Arial" w:cs="Arial" w:eastAsia="Arial" w:hAnsi="Arial"/>
          <w:sz w:val="21"/>
          <w:szCs w:val="21"/>
          <w:color w:val="6699FF"/>
        </w:rPr>
      </w:pPr>
    </w:p>
    <w:p>
      <w:pPr>
        <w:ind w:left="620"/>
        <w:spacing w:after="0"/>
        <w:rPr>
          <w:rFonts w:ascii="Arial" w:cs="Arial" w:eastAsia="Arial" w:hAnsi="Arial"/>
          <w:sz w:val="21"/>
          <w:szCs w:val="21"/>
          <w:color w:val="6699FF"/>
        </w:rPr>
      </w:pPr>
      <w:r>
        <w:rPr>
          <w:rFonts w:ascii="Arial" w:cs="Arial" w:eastAsia="Arial" w:hAnsi="Arial"/>
          <w:sz w:val="21"/>
          <w:szCs w:val="21"/>
          <w:color w:val="auto"/>
        </w:rPr>
        <w:t>—   Expansive VOD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82815"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416560</wp:posOffset>
            </wp:positionV>
            <wp:extent cx="1097280" cy="325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408940</wp:posOffset>
            </wp:positionV>
            <wp:extent cx="869950" cy="340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801370</wp:posOffset>
            </wp:positionV>
            <wp:extent cx="728281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38"/>
          <w:szCs w:val="38"/>
          <w:b w:val="1"/>
          <w:bCs w:val="1"/>
          <w:color w:val="auto"/>
        </w:rPr>
        <w:t>Brian L. Roberts</w:t>
      </w:r>
    </w:p>
    <w:p>
      <w:pPr>
        <w:spacing w:after="0" w:line="52" w:lineRule="exact"/>
        <w:rPr>
          <w:sz w:val="20"/>
          <w:szCs w:val="20"/>
          <w:color w:val="auto"/>
        </w:rPr>
      </w:pPr>
    </w:p>
    <w:p>
      <w:pPr>
        <w:jc w:val="center"/>
        <w:ind w:right="-1200"/>
        <w:spacing w:after="0"/>
        <w:rPr>
          <w:sz w:val="20"/>
          <w:szCs w:val="20"/>
          <w:color w:val="auto"/>
        </w:rPr>
      </w:pPr>
      <w:r>
        <w:rPr>
          <w:rFonts w:ascii="Arial" w:cs="Arial" w:eastAsia="Arial" w:hAnsi="Arial"/>
          <w:sz w:val="38"/>
          <w:szCs w:val="38"/>
          <w:b w:val="1"/>
          <w:bCs w:val="1"/>
          <w:color w:val="auto"/>
        </w:rPr>
        <w:t>President and CEO</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38"/>
          <w:szCs w:val="38"/>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8281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37"/>
          <w:szCs w:val="37"/>
          <w:color w:val="auto"/>
        </w:rPr>
        <w:t>Experienced World Class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8281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hanging="565"/>
        <w:spacing w:after="0"/>
        <w:tabs>
          <w:tab w:leader="none" w:pos="620" w:val="left"/>
        </w:tabs>
        <w:numPr>
          <w:ilvl w:val="0"/>
          <w:numId w:val="9"/>
        </w:numPr>
        <w:rPr>
          <w:rFonts w:ascii="Arial" w:cs="Arial" w:eastAsia="Arial" w:hAnsi="Arial"/>
          <w:sz w:val="21"/>
          <w:szCs w:val="21"/>
          <w:color w:val="6699FF"/>
        </w:rPr>
      </w:pPr>
      <w:r>
        <w:rPr>
          <w:rFonts w:ascii="Arial" w:cs="Arial" w:eastAsia="Arial" w:hAnsi="Arial"/>
          <w:sz w:val="21"/>
          <w:szCs w:val="21"/>
          <w:color w:val="auto"/>
        </w:rPr>
        <w:t>Proven Merger Integration Track Record</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0" w:hanging="565"/>
        <w:spacing w:after="0"/>
        <w:tabs>
          <w:tab w:leader="none" w:pos="620" w:val="left"/>
        </w:tabs>
        <w:numPr>
          <w:ilvl w:val="0"/>
          <w:numId w:val="9"/>
        </w:numPr>
        <w:rPr>
          <w:rFonts w:ascii="Arial" w:cs="Arial" w:eastAsia="Arial" w:hAnsi="Arial"/>
          <w:sz w:val="21"/>
          <w:szCs w:val="21"/>
          <w:color w:val="6699FF"/>
        </w:rPr>
      </w:pPr>
      <w:r>
        <w:rPr>
          <w:rFonts w:ascii="Arial" w:cs="Arial" w:eastAsia="Arial" w:hAnsi="Arial"/>
          <w:sz w:val="21"/>
          <w:szCs w:val="21"/>
          <w:color w:val="auto"/>
        </w:rPr>
        <w:t>Proven Track Record of Content Value Creation</w:t>
      </w:r>
    </w:p>
    <w:p>
      <w:pPr>
        <w:spacing w:after="0" w:line="200" w:lineRule="exact"/>
        <w:rPr>
          <w:rFonts w:ascii="Arial" w:cs="Arial" w:eastAsia="Arial" w:hAnsi="Arial"/>
          <w:sz w:val="21"/>
          <w:szCs w:val="21"/>
          <w:color w:val="6699FF"/>
        </w:rPr>
      </w:pPr>
    </w:p>
    <w:p>
      <w:pPr>
        <w:spacing w:after="0" w:line="297" w:lineRule="exact"/>
        <w:rPr>
          <w:rFonts w:ascii="Arial" w:cs="Arial" w:eastAsia="Arial" w:hAnsi="Arial"/>
          <w:sz w:val="21"/>
          <w:szCs w:val="21"/>
          <w:color w:val="6699FF"/>
        </w:rPr>
      </w:pPr>
    </w:p>
    <w:p>
      <w:pPr>
        <w:ind w:left="620" w:hanging="565"/>
        <w:spacing w:after="0"/>
        <w:tabs>
          <w:tab w:leader="none" w:pos="620" w:val="left"/>
        </w:tabs>
        <w:numPr>
          <w:ilvl w:val="0"/>
          <w:numId w:val="9"/>
        </w:numPr>
        <w:rPr>
          <w:rFonts w:ascii="Arial" w:cs="Arial" w:eastAsia="Arial" w:hAnsi="Arial"/>
          <w:sz w:val="21"/>
          <w:szCs w:val="21"/>
          <w:color w:val="6699FF"/>
        </w:rPr>
      </w:pPr>
      <w:r>
        <w:rPr>
          <w:rFonts w:ascii="Arial" w:cs="Arial" w:eastAsia="Arial" w:hAnsi="Arial"/>
          <w:sz w:val="21"/>
          <w:szCs w:val="21"/>
          <w:color w:val="auto"/>
        </w:rPr>
        <w:t>“Best of Both Companies” Management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8281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204470</wp:posOffset>
            </wp:positionV>
            <wp:extent cx="1097280" cy="325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196850</wp:posOffset>
            </wp:positionV>
            <wp:extent cx="869950" cy="340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ectPr>
          <w:pgSz w:w="11900" w:h="16838" w:orient="portrait"/>
          <w:cols w:equalWidth="0" w:num="1">
            <w:col w:w="10219"/>
          </w:cols>
          <w:pgMar w:left="240" w:top="140" w:right="1440" w:bottom="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219"/>
          </w:cols>
          <w:pgMar w:left="240" w:top="140" w:right="1440" w:bottom="137" w:gutter="0" w:footer="0" w:header="0"/>
          <w:type w:val="continuous"/>
        </w:sectPr>
      </w:pPr>
    </w:p>
    <w:bookmarkStart w:id="8" w:name="page9"/>
    <w:bookmarkEnd w:id="8"/>
    <w:p>
      <w:pPr>
        <w:spacing w:after="0"/>
        <w:rPr>
          <w:sz w:val="20"/>
          <w:szCs w:val="20"/>
          <w:color w:val="auto"/>
        </w:rPr>
      </w:pPr>
      <w:r>
        <w:rPr>
          <w:rFonts w:ascii="Arial" w:cs="Arial" w:eastAsia="Arial" w:hAnsi="Arial"/>
          <w:sz w:val="38"/>
          <w:szCs w:val="38"/>
          <w:color w:val="auto"/>
        </w:rPr>
        <w:t>Proven Track Record of Content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281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60" w:type="dxa"/>
            <w:vAlign w:val="bottom"/>
            <w:tcBorders>
              <w:bottom w:val="single" w:sz="8" w:color="6699FF"/>
            </w:tcBorders>
            <w:shd w:val="clear" w:color="auto" w:fill="6699FF"/>
          </w:tcPr>
          <w:p>
            <w:pPr>
              <w:spacing w:after="0"/>
              <w:rPr>
                <w:sz w:val="24"/>
                <w:szCs w:val="24"/>
                <w:color w:val="auto"/>
              </w:rPr>
            </w:pPr>
          </w:p>
        </w:tc>
        <w:tc>
          <w:tcPr>
            <w:tcW w:w="3680" w:type="dxa"/>
            <w:vAlign w:val="bottom"/>
            <w:tcBorders>
              <w:bottom w:val="single" w:sz="8" w:color="6699FF"/>
            </w:tcBorders>
            <w:shd w:val="clear" w:color="auto" w:fill="6699FF"/>
          </w:tcPr>
          <w:p>
            <w:pPr>
              <w:spacing w:after="0"/>
              <w:rPr>
                <w:sz w:val="24"/>
                <w:szCs w:val="24"/>
                <w:color w:val="auto"/>
              </w:rPr>
            </w:pPr>
          </w:p>
        </w:tc>
        <w:tc>
          <w:tcPr>
            <w:tcW w:w="1100" w:type="dxa"/>
            <w:vAlign w:val="bottom"/>
            <w:tcBorders>
              <w:bottom w:val="single" w:sz="8" w:color="6699FF"/>
            </w:tcBorders>
            <w:shd w:val="clear" w:color="auto" w:fill="6699FF"/>
          </w:tcPr>
          <w:p>
            <w:pPr>
              <w:spacing w:after="0"/>
              <w:rPr>
                <w:sz w:val="24"/>
                <w:szCs w:val="24"/>
                <w:color w:val="auto"/>
              </w:rPr>
            </w:pPr>
          </w:p>
        </w:tc>
        <w:tc>
          <w:tcPr>
            <w:tcW w:w="1200" w:type="dxa"/>
            <w:vAlign w:val="bottom"/>
            <w:tcBorders>
              <w:bottom w:val="single" w:sz="8" w:color="6699FF"/>
            </w:tcBorders>
            <w:shd w:val="clear" w:color="auto" w:fill="6699FF"/>
          </w:tcPr>
          <w:p>
            <w:pPr>
              <w:spacing w:after="0"/>
              <w:rPr>
                <w:sz w:val="24"/>
                <w:szCs w:val="24"/>
                <w:color w:val="auto"/>
              </w:rPr>
            </w:pPr>
          </w:p>
        </w:tc>
        <w:tc>
          <w:tcPr>
            <w:tcW w:w="200" w:type="dxa"/>
            <w:vAlign w:val="bottom"/>
            <w:tcBorders>
              <w:bottom w:val="single" w:sz="8" w:color="6699FF"/>
            </w:tcBorders>
            <w:shd w:val="clear" w:color="auto" w:fill="6699FF"/>
          </w:tcPr>
          <w:p>
            <w:pPr>
              <w:spacing w:after="0"/>
              <w:rPr>
                <w:sz w:val="24"/>
                <w:szCs w:val="24"/>
                <w:color w:val="auto"/>
              </w:rPr>
            </w:pPr>
          </w:p>
        </w:tc>
        <w:tc>
          <w:tcPr>
            <w:tcW w:w="1800" w:type="dxa"/>
            <w:vAlign w:val="bottom"/>
            <w:tcBorders>
              <w:bottom w:val="single" w:sz="8" w:color="6699FF"/>
            </w:tcBorders>
            <w:shd w:val="clear" w:color="auto" w:fill="6699FF"/>
          </w:tcPr>
          <w:p>
            <w:pPr>
              <w:spacing w:after="0"/>
              <w:rPr>
                <w:sz w:val="24"/>
                <w:szCs w:val="24"/>
                <w:color w:val="auto"/>
              </w:rPr>
            </w:pPr>
          </w:p>
        </w:tc>
        <w:tc>
          <w:tcPr>
            <w:tcW w:w="3400" w:type="dxa"/>
            <w:vAlign w:val="bottom"/>
            <w:tcBorders>
              <w:bottom w:val="single" w:sz="8" w:color="6699FF"/>
            </w:tcBorders>
            <w:gridSpan w:val="2"/>
            <w:shd w:val="clear" w:color="auto" w:fill="6699FF"/>
          </w:tcPr>
          <w:p>
            <w:pPr>
              <w:ind w:left="1420"/>
              <w:spacing w:after="0"/>
              <w:rPr>
                <w:sz w:val="20"/>
                <w:szCs w:val="20"/>
                <w:color w:val="auto"/>
              </w:rPr>
            </w:pPr>
            <w:r>
              <w:rPr>
                <w:rFonts w:ascii="Arial" w:cs="Arial" w:eastAsia="Arial" w:hAnsi="Arial"/>
                <w:sz w:val="19"/>
                <w:szCs w:val="19"/>
                <w:b w:val="1"/>
                <w:bCs w:val="1"/>
                <w:color w:val="FFFFFF"/>
              </w:rPr>
              <w:t>Value Today</w:t>
            </w:r>
          </w:p>
        </w:tc>
      </w:tr>
      <w:tr>
        <w:trPr>
          <w:trHeight w:val="314"/>
        </w:trPr>
        <w:tc>
          <w:tcPr>
            <w:tcW w:w="60" w:type="dxa"/>
            <w:vAlign w:val="bottom"/>
          </w:tcPr>
          <w:p>
            <w:pPr>
              <w:spacing w:after="0"/>
              <w:rPr>
                <w:sz w:val="24"/>
                <w:szCs w:val="24"/>
                <w:color w:val="auto"/>
              </w:rPr>
            </w:pPr>
          </w:p>
        </w:tc>
        <w:tc>
          <w:tcPr>
            <w:tcW w:w="5980" w:type="dxa"/>
            <w:vAlign w:val="bottom"/>
            <w:gridSpan w:val="3"/>
          </w:tcPr>
          <w:p>
            <w:pPr>
              <w:ind w:left="2860"/>
              <w:spacing w:after="0"/>
              <w:rPr>
                <w:sz w:val="20"/>
                <w:szCs w:val="20"/>
                <w:color w:val="auto"/>
              </w:rPr>
            </w:pPr>
            <w:r>
              <w:rPr>
                <w:rFonts w:ascii="Arial" w:cs="Arial" w:eastAsia="Arial" w:hAnsi="Arial"/>
                <w:sz w:val="21"/>
                <w:szCs w:val="21"/>
                <w:color w:val="6699FF"/>
              </w:rPr>
              <w:t xml:space="preserve">n </w:t>
            </w:r>
            <w:r>
              <w:rPr>
                <w:rFonts w:ascii="Arial" w:cs="Arial" w:eastAsia="Arial" w:hAnsi="Arial"/>
                <w:sz w:val="15"/>
                <w:szCs w:val="15"/>
                <w:color w:val="000000"/>
              </w:rPr>
              <w:t>Average 18% OCF growth over 10 years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60" w:type="dxa"/>
            <w:vAlign w:val="bottom"/>
          </w:tcPr>
          <w:p>
            <w:pPr>
              <w:spacing w:after="0"/>
              <w:rPr>
                <w:sz w:val="24"/>
                <w:szCs w:val="24"/>
                <w:color w:val="auto"/>
              </w:rPr>
            </w:pPr>
          </w:p>
        </w:tc>
        <w:tc>
          <w:tcPr>
            <w:tcW w:w="5980" w:type="dxa"/>
            <w:vAlign w:val="bottom"/>
            <w:gridSpan w:val="3"/>
          </w:tcPr>
          <w:p>
            <w:pPr>
              <w:ind w:left="2860"/>
              <w:spacing w:after="0"/>
              <w:rPr>
                <w:sz w:val="20"/>
                <w:szCs w:val="20"/>
                <w:color w:val="auto"/>
              </w:rPr>
            </w:pPr>
            <w:r>
              <w:rPr>
                <w:rFonts w:ascii="Arial" w:cs="Arial" w:eastAsia="Arial" w:hAnsi="Arial"/>
                <w:sz w:val="21"/>
                <w:szCs w:val="21"/>
                <w:color w:val="6699FF"/>
              </w:rPr>
              <w:t xml:space="preserve">n </w:t>
            </w:r>
            <w:r>
              <w:rPr>
                <w:rFonts w:ascii="Arial" w:cs="Arial" w:eastAsia="Arial" w:hAnsi="Arial"/>
                <w:sz w:val="15"/>
                <w:szCs w:val="15"/>
                <w:color w:val="000000"/>
              </w:rPr>
              <w:t>37% IRR on original investment</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0" w:type="dxa"/>
            <w:vAlign w:val="bottom"/>
            <w:gridSpan w:val="2"/>
          </w:tcPr>
          <w:p>
            <w:pPr>
              <w:jc w:val="center"/>
              <w:ind w:left="425"/>
              <w:spacing w:after="0"/>
              <w:rPr>
                <w:sz w:val="20"/>
                <w:szCs w:val="20"/>
                <w:color w:val="auto"/>
              </w:rPr>
            </w:pPr>
            <w:r>
              <w:rPr>
                <w:rFonts w:ascii="Arial" w:cs="Arial" w:eastAsia="Arial" w:hAnsi="Arial"/>
                <w:sz w:val="19"/>
                <w:szCs w:val="19"/>
                <w:color w:val="auto"/>
              </w:rPr>
              <w:t>$14.1Bn</w:t>
            </w:r>
          </w:p>
        </w:tc>
      </w:tr>
      <w:tr>
        <w:trPr>
          <w:trHeight w:val="639"/>
        </w:trPr>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9"/>
                <w:szCs w:val="19"/>
                <w:b w:val="1"/>
                <w:bCs w:val="1"/>
                <w:color w:val="auto"/>
                <w:w w:val="98"/>
              </w:rPr>
              <w:t>Subscribers</w:t>
            </w:r>
          </w:p>
        </w:tc>
        <w:tc>
          <w:tcPr>
            <w:tcW w:w="1200" w:type="dxa"/>
            <w:vAlign w:val="bottom"/>
          </w:tcPr>
          <w:p>
            <w:pPr>
              <w:spacing w:after="0"/>
              <w:rPr>
                <w:sz w:val="24"/>
                <w:szCs w:val="24"/>
                <w:color w:val="auto"/>
              </w:rPr>
            </w:pPr>
          </w:p>
        </w:tc>
        <w:tc>
          <w:tcPr>
            <w:tcW w:w="2000" w:type="dxa"/>
            <w:vAlign w:val="bottom"/>
            <w:gridSpan w:val="2"/>
          </w:tcPr>
          <w:p>
            <w:pPr>
              <w:jc w:val="center"/>
              <w:ind w:left="105"/>
              <w:spacing w:after="0"/>
              <w:rPr>
                <w:sz w:val="20"/>
                <w:szCs w:val="20"/>
                <w:color w:val="auto"/>
              </w:rPr>
            </w:pPr>
            <w:r>
              <w:rPr>
                <w:rFonts w:ascii="Arial" w:cs="Arial" w:eastAsia="Arial" w:hAnsi="Arial"/>
                <w:sz w:val="19"/>
                <w:szCs w:val="19"/>
                <w:b w:val="1"/>
                <w:bCs w:val="1"/>
                <w:color w:val="auto"/>
                <w:w w:val="99"/>
              </w:rPr>
              <w:t>Increase Since 1999</w:t>
            </w: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2"/>
        </w:trPr>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8"/>
              </w:rPr>
              <w:t>74MM</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9"/>
              </w:rPr>
              <w:t>28%</w:t>
            </w:r>
          </w:p>
        </w:tc>
        <w:tc>
          <w:tcPr>
            <w:tcW w:w="3400" w:type="dxa"/>
            <w:vAlign w:val="bottom"/>
            <w:gridSpan w:val="2"/>
          </w:tcPr>
          <w:p>
            <w:pPr>
              <w:jc w:val="center"/>
              <w:ind w:left="425"/>
              <w:spacing w:after="0"/>
              <w:rPr>
                <w:sz w:val="20"/>
                <w:szCs w:val="20"/>
                <w:color w:val="auto"/>
              </w:rPr>
            </w:pPr>
            <w:r>
              <w:rPr>
                <w:rFonts w:ascii="Arial" w:cs="Arial" w:eastAsia="Arial" w:hAnsi="Arial"/>
                <w:sz w:val="19"/>
                <w:szCs w:val="19"/>
                <w:color w:val="auto"/>
              </w:rPr>
              <w:t>$1.75–2.00Bn</w:t>
            </w:r>
          </w:p>
        </w:tc>
      </w:tr>
      <w:tr>
        <w:trPr>
          <w:trHeight w:val="218"/>
        </w:trPr>
        <w:tc>
          <w:tcPr>
            <w:tcW w:w="6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524"/>
        </w:trPr>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00" w:type="dxa"/>
            <w:vAlign w:val="bottom"/>
            <w:gridSpan w:val="2"/>
          </w:tcPr>
          <w:p>
            <w:pPr>
              <w:jc w:val="center"/>
              <w:ind w:right="1220"/>
              <w:spacing w:after="0"/>
              <w:rPr>
                <w:sz w:val="20"/>
                <w:szCs w:val="20"/>
                <w:color w:val="auto"/>
              </w:rPr>
            </w:pPr>
            <w:r>
              <w:rPr>
                <w:rFonts w:ascii="Arial" w:cs="Arial" w:eastAsia="Arial" w:hAnsi="Arial"/>
                <w:sz w:val="19"/>
                <w:szCs w:val="19"/>
                <w:color w:val="auto"/>
                <w:w w:val="98"/>
              </w:rPr>
              <w:t>30MM</w:t>
            </w:r>
          </w:p>
        </w:tc>
        <w:tc>
          <w:tcPr>
            <w:tcW w:w="2000" w:type="dxa"/>
            <w:vAlign w:val="bottom"/>
            <w:gridSpan w:val="2"/>
          </w:tcPr>
          <w:p>
            <w:pPr>
              <w:jc w:val="center"/>
              <w:ind w:left="105"/>
              <w:spacing w:after="0"/>
              <w:rPr>
                <w:sz w:val="20"/>
                <w:szCs w:val="20"/>
                <w:color w:val="auto"/>
              </w:rPr>
            </w:pPr>
            <w:r>
              <w:rPr>
                <w:rFonts w:ascii="Arial" w:cs="Arial" w:eastAsia="Arial" w:hAnsi="Arial"/>
                <w:sz w:val="19"/>
                <w:szCs w:val="19"/>
                <w:color w:val="auto"/>
                <w:w w:val="98"/>
              </w:rPr>
              <w:t>540%</w:t>
            </w:r>
          </w:p>
        </w:tc>
        <w:tc>
          <w:tcPr>
            <w:tcW w:w="3400" w:type="dxa"/>
            <w:vAlign w:val="bottom"/>
            <w:gridSpan w:val="2"/>
          </w:tcPr>
          <w:p>
            <w:pPr>
              <w:jc w:val="center"/>
              <w:ind w:left="425"/>
              <w:spacing w:after="0"/>
              <w:rPr>
                <w:sz w:val="20"/>
                <w:szCs w:val="20"/>
                <w:color w:val="auto"/>
              </w:rPr>
            </w:pPr>
            <w:r>
              <w:rPr>
                <w:rFonts w:ascii="Arial" w:cs="Arial" w:eastAsia="Arial" w:hAnsi="Arial"/>
                <w:sz w:val="19"/>
                <w:szCs w:val="19"/>
                <w:color w:val="auto"/>
                <w:w w:val="99"/>
              </w:rPr>
              <w:t>$300–500MM</w:t>
            </w:r>
          </w:p>
        </w:tc>
      </w:tr>
      <w:tr>
        <w:trPr>
          <w:trHeight w:val="301"/>
        </w:trPr>
        <w:tc>
          <w:tcPr>
            <w:tcW w:w="6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513"/>
        </w:trPr>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00" w:type="dxa"/>
            <w:vAlign w:val="bottom"/>
            <w:gridSpan w:val="2"/>
          </w:tcPr>
          <w:p>
            <w:pPr>
              <w:jc w:val="center"/>
              <w:ind w:right="1220"/>
              <w:spacing w:after="0"/>
              <w:rPr>
                <w:sz w:val="20"/>
                <w:szCs w:val="20"/>
                <w:color w:val="auto"/>
              </w:rPr>
            </w:pPr>
            <w:r>
              <w:rPr>
                <w:rFonts w:ascii="Arial" w:cs="Arial" w:eastAsia="Arial" w:hAnsi="Arial"/>
                <w:sz w:val="19"/>
                <w:szCs w:val="19"/>
                <w:color w:val="auto"/>
                <w:w w:val="98"/>
              </w:rPr>
              <w:t>50MM</w:t>
            </w:r>
          </w:p>
        </w:tc>
        <w:tc>
          <w:tcPr>
            <w:tcW w:w="2000" w:type="dxa"/>
            <w:vAlign w:val="bottom"/>
            <w:gridSpan w:val="2"/>
          </w:tcPr>
          <w:p>
            <w:pPr>
              <w:jc w:val="center"/>
              <w:ind w:left="105"/>
              <w:spacing w:after="0"/>
              <w:rPr>
                <w:sz w:val="20"/>
                <w:szCs w:val="20"/>
                <w:color w:val="auto"/>
              </w:rPr>
            </w:pPr>
            <w:r>
              <w:rPr>
                <w:rFonts w:ascii="Arial" w:cs="Arial" w:eastAsia="Arial" w:hAnsi="Arial"/>
                <w:sz w:val="19"/>
                <w:szCs w:val="19"/>
                <w:color w:val="auto"/>
                <w:w w:val="94"/>
              </w:rPr>
              <w:t>92</w:t>
            </w:r>
          </w:p>
        </w:tc>
        <w:tc>
          <w:tcPr>
            <w:tcW w:w="3400" w:type="dxa"/>
            <w:vAlign w:val="bottom"/>
            <w:gridSpan w:val="2"/>
          </w:tcPr>
          <w:p>
            <w:pPr>
              <w:jc w:val="center"/>
              <w:ind w:left="425"/>
              <w:spacing w:after="0"/>
              <w:rPr>
                <w:sz w:val="20"/>
                <w:szCs w:val="20"/>
                <w:color w:val="auto"/>
              </w:rPr>
            </w:pPr>
            <w:r>
              <w:rPr>
                <w:rFonts w:ascii="Arial" w:cs="Arial" w:eastAsia="Arial" w:hAnsi="Arial"/>
                <w:sz w:val="19"/>
                <w:szCs w:val="19"/>
                <w:color w:val="auto"/>
              </w:rPr>
              <w:t>$1.25–1.75Bn</w:t>
            </w:r>
          </w:p>
        </w:tc>
      </w:tr>
      <w:tr>
        <w:trPr>
          <w:trHeight w:val="301"/>
        </w:trPr>
        <w:tc>
          <w:tcPr>
            <w:tcW w:w="6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584"/>
        </w:trPr>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00" w:type="dxa"/>
            <w:vAlign w:val="bottom"/>
            <w:gridSpan w:val="2"/>
          </w:tcPr>
          <w:p>
            <w:pPr>
              <w:jc w:val="center"/>
              <w:ind w:right="1220"/>
              <w:spacing w:after="0"/>
              <w:rPr>
                <w:sz w:val="20"/>
                <w:szCs w:val="20"/>
                <w:color w:val="auto"/>
              </w:rPr>
            </w:pPr>
            <w:r>
              <w:rPr>
                <w:rFonts w:ascii="Arial" w:cs="Arial" w:eastAsia="Arial" w:hAnsi="Arial"/>
                <w:sz w:val="19"/>
                <w:szCs w:val="19"/>
                <w:color w:val="auto"/>
                <w:w w:val="98"/>
              </w:rPr>
              <w:t>51MM</w:t>
            </w:r>
          </w:p>
        </w:tc>
        <w:tc>
          <w:tcPr>
            <w:tcW w:w="2000" w:type="dxa"/>
            <w:vAlign w:val="bottom"/>
            <w:gridSpan w:val="2"/>
          </w:tcPr>
          <w:p>
            <w:pPr>
              <w:jc w:val="center"/>
              <w:ind w:left="105"/>
              <w:spacing w:after="0"/>
              <w:rPr>
                <w:sz w:val="20"/>
                <w:szCs w:val="20"/>
                <w:color w:val="auto"/>
              </w:rPr>
            </w:pPr>
            <w:r>
              <w:rPr>
                <w:rFonts w:ascii="Arial" w:cs="Arial" w:eastAsia="Arial" w:hAnsi="Arial"/>
                <w:sz w:val="19"/>
                <w:szCs w:val="19"/>
                <w:color w:val="auto"/>
                <w:w w:val="98"/>
              </w:rPr>
              <w:t>176%</w:t>
            </w:r>
          </w:p>
        </w:tc>
        <w:tc>
          <w:tcPr>
            <w:tcW w:w="3400" w:type="dxa"/>
            <w:vAlign w:val="bottom"/>
            <w:gridSpan w:val="2"/>
          </w:tcPr>
          <w:p>
            <w:pPr>
              <w:jc w:val="center"/>
              <w:ind w:left="425"/>
              <w:spacing w:after="0"/>
              <w:rPr>
                <w:sz w:val="20"/>
                <w:szCs w:val="20"/>
                <w:color w:val="auto"/>
              </w:rPr>
            </w:pPr>
            <w:r>
              <w:rPr>
                <w:rFonts w:ascii="Arial" w:cs="Arial" w:eastAsia="Arial" w:hAnsi="Arial"/>
                <w:sz w:val="19"/>
                <w:szCs w:val="19"/>
                <w:color w:val="auto"/>
                <w:w w:val="99"/>
              </w:rPr>
              <w:t>$700–1,000MM</w:t>
            </w:r>
          </w:p>
        </w:tc>
      </w:tr>
      <w:tr>
        <w:trPr>
          <w:trHeight w:val="373"/>
        </w:trPr>
        <w:tc>
          <w:tcPr>
            <w:tcW w:w="6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536"/>
        </w:trPr>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00" w:type="dxa"/>
            <w:vAlign w:val="bottom"/>
            <w:gridSpan w:val="2"/>
          </w:tcPr>
          <w:p>
            <w:pPr>
              <w:jc w:val="center"/>
              <w:ind w:right="1200"/>
              <w:spacing w:after="0"/>
              <w:rPr>
                <w:sz w:val="20"/>
                <w:szCs w:val="20"/>
                <w:color w:val="auto"/>
              </w:rPr>
            </w:pPr>
            <w:r>
              <w:rPr>
                <w:rFonts w:ascii="Arial" w:cs="Arial" w:eastAsia="Arial" w:hAnsi="Arial"/>
                <w:sz w:val="19"/>
                <w:szCs w:val="19"/>
                <w:color w:val="auto"/>
                <w:w w:val="99"/>
              </w:rPr>
              <w:t>7MM</w:t>
            </w:r>
          </w:p>
        </w:tc>
        <w:tc>
          <w:tcPr>
            <w:tcW w:w="2000" w:type="dxa"/>
            <w:vAlign w:val="bottom"/>
            <w:gridSpan w:val="2"/>
          </w:tcPr>
          <w:p>
            <w:pPr>
              <w:jc w:val="center"/>
              <w:ind w:left="125"/>
              <w:spacing w:after="0"/>
              <w:rPr>
                <w:sz w:val="20"/>
                <w:szCs w:val="20"/>
                <w:color w:val="auto"/>
              </w:rPr>
            </w:pPr>
            <w:r>
              <w:rPr>
                <w:rFonts w:ascii="Arial" w:cs="Arial" w:eastAsia="Arial" w:hAnsi="Arial"/>
                <w:sz w:val="19"/>
                <w:szCs w:val="19"/>
                <w:color w:val="auto"/>
                <w:w w:val="99"/>
              </w:rPr>
              <w:t>18%</w:t>
            </w:r>
          </w:p>
        </w:tc>
        <w:tc>
          <w:tcPr>
            <w:tcW w:w="3400" w:type="dxa"/>
            <w:vAlign w:val="bottom"/>
            <w:gridSpan w:val="2"/>
          </w:tcPr>
          <w:p>
            <w:pPr>
              <w:jc w:val="center"/>
              <w:ind w:left="425"/>
              <w:spacing w:after="0"/>
              <w:rPr>
                <w:sz w:val="20"/>
                <w:szCs w:val="20"/>
                <w:color w:val="auto"/>
              </w:rPr>
            </w:pPr>
            <w:r>
              <w:rPr>
                <w:rFonts w:ascii="Arial" w:cs="Arial" w:eastAsia="Arial" w:hAnsi="Arial"/>
                <w:sz w:val="19"/>
                <w:szCs w:val="19"/>
                <w:color w:val="auto"/>
                <w:w w:val="99"/>
              </w:rPr>
              <w:t>$400–600MM</w:t>
            </w:r>
          </w:p>
        </w:tc>
      </w:tr>
      <w:tr>
        <w:trPr>
          <w:trHeight w:val="325"/>
        </w:trPr>
        <w:tc>
          <w:tcPr>
            <w:tcW w:w="6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548"/>
        </w:trPr>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00" w:type="dxa"/>
            <w:vAlign w:val="bottom"/>
            <w:gridSpan w:val="2"/>
          </w:tcPr>
          <w:p>
            <w:pPr>
              <w:jc w:val="center"/>
              <w:ind w:right="1220"/>
              <w:spacing w:after="0"/>
              <w:rPr>
                <w:sz w:val="20"/>
                <w:szCs w:val="20"/>
                <w:color w:val="auto"/>
              </w:rPr>
            </w:pPr>
            <w:r>
              <w:rPr>
                <w:rFonts w:ascii="Arial" w:cs="Arial" w:eastAsia="Arial" w:hAnsi="Arial"/>
                <w:sz w:val="19"/>
                <w:szCs w:val="19"/>
                <w:color w:val="auto"/>
                <w:w w:val="98"/>
              </w:rPr>
              <w:t>12MM</w:t>
            </w:r>
          </w:p>
        </w:tc>
        <w:tc>
          <w:tcPr>
            <w:tcW w:w="2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N/A</w:t>
            </w:r>
          </w:p>
        </w:tc>
        <w:tc>
          <w:tcPr>
            <w:tcW w:w="3400" w:type="dxa"/>
            <w:vAlign w:val="bottom"/>
            <w:gridSpan w:val="2"/>
          </w:tcPr>
          <w:p>
            <w:pPr>
              <w:jc w:val="center"/>
              <w:ind w:left="425"/>
              <w:spacing w:after="0"/>
              <w:rPr>
                <w:sz w:val="20"/>
                <w:szCs w:val="20"/>
                <w:color w:val="auto"/>
              </w:rPr>
            </w:pPr>
            <w:r>
              <w:rPr>
                <w:rFonts w:ascii="Arial" w:cs="Arial" w:eastAsia="Arial" w:hAnsi="Arial"/>
                <w:sz w:val="19"/>
                <w:szCs w:val="19"/>
                <w:color w:val="auto"/>
                <w:w w:val="99"/>
              </w:rPr>
              <w:t>$200–300MM</w:t>
            </w:r>
          </w:p>
        </w:tc>
      </w:tr>
      <w:tr>
        <w:trPr>
          <w:trHeight w:val="337"/>
        </w:trPr>
        <w:tc>
          <w:tcPr>
            <w:tcW w:w="6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9"/>
        </w:trPr>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9"/>
                <w:szCs w:val="19"/>
                <w:b w:val="1"/>
                <w:bCs w:val="1"/>
                <w:color w:val="auto"/>
                <w:w w:val="96"/>
              </w:rPr>
              <w:t>Total</w:t>
            </w:r>
          </w:p>
        </w:tc>
        <w:tc>
          <w:tcPr>
            <w:tcW w:w="3400" w:type="dxa"/>
            <w:vAlign w:val="bottom"/>
            <w:gridSpan w:val="2"/>
          </w:tcPr>
          <w:p>
            <w:pPr>
              <w:jc w:val="center"/>
              <w:ind w:left="445"/>
              <w:spacing w:after="0"/>
              <w:rPr>
                <w:sz w:val="20"/>
                <w:szCs w:val="20"/>
                <w:color w:val="auto"/>
              </w:rPr>
            </w:pPr>
            <w:r>
              <w:rPr>
                <w:rFonts w:ascii="Arial" w:cs="Arial" w:eastAsia="Arial" w:hAnsi="Arial"/>
                <w:sz w:val="19"/>
                <w:szCs w:val="19"/>
                <w:b w:val="1"/>
                <w:bCs w:val="1"/>
                <w:color w:val="auto"/>
              </w:rPr>
              <w:t>$18.720.3Bn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262495" cy="393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2495" cy="393700"/>
                    </a:xfrm>
                    <a:prstGeom prst="rect">
                      <a:avLst/>
                    </a:prstGeom>
                    <a:noFill/>
                  </pic:spPr>
                </pic:pic>
              </a:graphicData>
            </a:graphic>
          </wp:anchor>
        </w:drawing>
        <w:drawing>
          <wp:anchor simplePos="0" relativeHeight="251657728" behindDoc="1" locked="0" layoutInCell="0" allowOverlap="1">
            <wp:simplePos x="0" y="0"/>
            <wp:positionH relativeFrom="column">
              <wp:posOffset>496570</wp:posOffset>
            </wp:positionH>
            <wp:positionV relativeFrom="paragraph">
              <wp:posOffset>-4301490</wp:posOffset>
            </wp:positionV>
            <wp:extent cx="817245" cy="415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7245" cy="415925"/>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-3620770</wp:posOffset>
            </wp:positionV>
            <wp:extent cx="386080" cy="3784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6080" cy="37846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-2962910</wp:posOffset>
            </wp:positionV>
            <wp:extent cx="370840"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0840" cy="2571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-2425700</wp:posOffset>
            </wp:positionV>
            <wp:extent cx="544830" cy="2495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4830" cy="24955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-1896110</wp:posOffset>
            </wp:positionV>
            <wp:extent cx="544830" cy="3403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4830" cy="34036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-1275715</wp:posOffset>
            </wp:positionV>
            <wp:extent cx="1028700" cy="280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0" cy="28003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-715645</wp:posOffset>
            </wp:positionV>
            <wp:extent cx="597535" cy="295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7535" cy="29527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Opportunity to Enhance Disney Cable Network Performance and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Launch New Channels</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Source: Wall Street equity research estimates. Value represents 100% of the equity for each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8281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281940</wp:posOffset>
            </wp:positionV>
            <wp:extent cx="1097280" cy="3251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274320</wp:posOffset>
            </wp:positionV>
            <wp:extent cx="869950" cy="3403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8"/>
          <w:szCs w:val="38"/>
          <w:color w:val="auto"/>
        </w:rPr>
        <w:t>Consistent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281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950" w:right="2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300990</wp:posOffset>
            </wp:positionH>
            <wp:positionV relativeFrom="page">
              <wp:posOffset>88900</wp:posOffset>
            </wp:positionV>
            <wp:extent cx="6967855" cy="3744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967855" cy="374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Note: (1) Published on September 27,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8281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281940</wp:posOffset>
            </wp:positionV>
            <wp:extent cx="1097280" cy="3251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274320</wp:posOffset>
            </wp:positionV>
            <wp:extent cx="869950" cy="3403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8"/>
          <w:szCs w:val="38"/>
          <w:color w:val="auto"/>
        </w:rPr>
        <w:t>Strong Combined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281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463550</wp:posOffset>
            </wp:positionV>
            <wp:extent cx="4085590" cy="4387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85590" cy="43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4240" w:type="dxa"/>
            <w:vAlign w:val="bottom"/>
          </w:tcPr>
          <w:p>
            <w:pPr>
              <w:spacing w:after="0"/>
              <w:rPr>
                <w:sz w:val="22"/>
                <w:szCs w:val="22"/>
                <w:color w:val="auto"/>
              </w:rPr>
            </w:pPr>
          </w:p>
        </w:tc>
        <w:tc>
          <w:tcPr>
            <w:tcW w:w="2700" w:type="dxa"/>
            <w:vAlign w:val="bottom"/>
          </w:tcPr>
          <w:p>
            <w:pPr>
              <w:jc w:val="right"/>
              <w:ind w:right="913"/>
              <w:spacing w:after="0"/>
              <w:rPr>
                <w:sz w:val="20"/>
                <w:szCs w:val="20"/>
                <w:color w:val="auto"/>
              </w:rPr>
            </w:pPr>
            <w:r>
              <w:rPr>
                <w:rFonts w:ascii="Arial" w:cs="Arial" w:eastAsia="Arial" w:hAnsi="Arial"/>
                <w:sz w:val="21"/>
                <w:szCs w:val="21"/>
                <w:color w:val="auto"/>
              </w:rPr>
              <w:t>($Bn)</w:t>
            </w:r>
          </w:p>
        </w:tc>
        <w:tc>
          <w:tcPr>
            <w:tcW w:w="2140" w:type="dxa"/>
            <w:vAlign w:val="bottom"/>
          </w:tcPr>
          <w:p>
            <w:pPr>
              <w:jc w:val="right"/>
              <w:ind w:right="773"/>
              <w:spacing w:after="0"/>
              <w:rPr>
                <w:sz w:val="20"/>
                <w:szCs w:val="20"/>
                <w:color w:val="auto"/>
              </w:rPr>
            </w:pPr>
            <w:r>
              <w:rPr>
                <w:rFonts w:ascii="Arial" w:cs="Arial" w:eastAsia="Arial" w:hAnsi="Arial"/>
                <w:sz w:val="21"/>
                <w:szCs w:val="21"/>
                <w:color w:val="auto"/>
              </w:rPr>
              <w:t>($Bn)</w:t>
            </w:r>
          </w:p>
        </w:tc>
        <w:tc>
          <w:tcPr>
            <w:tcW w:w="1700" w:type="dxa"/>
            <w:vAlign w:val="bottom"/>
          </w:tcPr>
          <w:p>
            <w:pPr>
              <w:jc w:val="right"/>
              <w:ind w:right="173"/>
              <w:spacing w:after="0"/>
              <w:rPr>
                <w:sz w:val="20"/>
                <w:szCs w:val="20"/>
                <w:color w:val="auto"/>
              </w:rPr>
            </w:pPr>
            <w:r>
              <w:rPr>
                <w:rFonts w:ascii="Arial" w:cs="Arial" w:eastAsia="Arial" w:hAnsi="Arial"/>
                <w:sz w:val="21"/>
                <w:szCs w:val="21"/>
                <w:color w:val="auto"/>
              </w:rPr>
              <w:t>($Bn)</w:t>
            </w:r>
          </w:p>
        </w:tc>
      </w:tr>
      <w:tr>
        <w:trPr>
          <w:trHeight w:val="369"/>
        </w:trPr>
        <w:tc>
          <w:tcPr>
            <w:tcW w:w="4240" w:type="dxa"/>
            <w:vAlign w:val="bottom"/>
          </w:tcPr>
          <w:p>
            <w:pPr>
              <w:spacing w:after="0"/>
              <w:rPr>
                <w:sz w:val="20"/>
                <w:szCs w:val="20"/>
                <w:color w:val="auto"/>
              </w:rPr>
            </w:pPr>
            <w:r>
              <w:rPr>
                <w:rFonts w:ascii="Arial" w:cs="Arial" w:eastAsia="Arial" w:hAnsi="Arial"/>
                <w:sz w:val="21"/>
                <w:szCs w:val="21"/>
                <w:b w:val="1"/>
                <w:bCs w:val="1"/>
                <w:color w:val="auto"/>
              </w:rPr>
              <w:t>FY 2004 Consensus Estimates:</w:t>
            </w:r>
          </w:p>
        </w:tc>
        <w:tc>
          <w:tcPr>
            <w:tcW w:w="2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9"/>
        </w:trPr>
        <w:tc>
          <w:tcPr>
            <w:tcW w:w="4240" w:type="dxa"/>
            <w:vAlign w:val="bottom"/>
          </w:tcPr>
          <w:p>
            <w:pPr>
              <w:ind w:left="240"/>
              <w:spacing w:after="0"/>
              <w:rPr>
                <w:sz w:val="20"/>
                <w:szCs w:val="20"/>
                <w:color w:val="auto"/>
              </w:rPr>
            </w:pPr>
            <w:r>
              <w:rPr>
                <w:rFonts w:ascii="Arial" w:cs="Arial" w:eastAsia="Arial" w:hAnsi="Arial"/>
                <w:sz w:val="21"/>
                <w:szCs w:val="21"/>
                <w:color w:val="auto"/>
              </w:rPr>
              <w:t>Revenue</w:t>
            </w:r>
          </w:p>
        </w:tc>
        <w:tc>
          <w:tcPr>
            <w:tcW w:w="2700" w:type="dxa"/>
            <w:vAlign w:val="bottom"/>
          </w:tcPr>
          <w:p>
            <w:pPr>
              <w:jc w:val="right"/>
              <w:ind w:right="853"/>
              <w:spacing w:after="0"/>
              <w:rPr>
                <w:sz w:val="20"/>
                <w:szCs w:val="20"/>
                <w:color w:val="auto"/>
              </w:rPr>
            </w:pPr>
            <w:r>
              <w:rPr>
                <w:rFonts w:ascii="Arial" w:cs="Arial" w:eastAsia="Arial" w:hAnsi="Arial"/>
                <w:sz w:val="21"/>
                <w:szCs w:val="21"/>
                <w:color w:val="auto"/>
              </w:rPr>
              <w:t>$20.3</w:t>
            </w:r>
          </w:p>
        </w:tc>
        <w:tc>
          <w:tcPr>
            <w:tcW w:w="2140" w:type="dxa"/>
            <w:vAlign w:val="bottom"/>
          </w:tcPr>
          <w:p>
            <w:pPr>
              <w:jc w:val="right"/>
              <w:ind w:right="773"/>
              <w:spacing w:after="0"/>
              <w:rPr>
                <w:sz w:val="20"/>
                <w:szCs w:val="20"/>
                <w:color w:val="auto"/>
              </w:rPr>
            </w:pPr>
            <w:r>
              <w:rPr>
                <w:rFonts w:ascii="Arial" w:cs="Arial" w:eastAsia="Arial" w:hAnsi="Arial"/>
                <w:sz w:val="21"/>
                <w:szCs w:val="21"/>
                <w:color w:val="auto"/>
              </w:rPr>
              <w:t>$28.8</w:t>
            </w:r>
          </w:p>
        </w:tc>
        <w:tc>
          <w:tcPr>
            <w:tcW w:w="1700" w:type="dxa"/>
            <w:vAlign w:val="bottom"/>
          </w:tcPr>
          <w:p>
            <w:pPr>
              <w:jc w:val="right"/>
              <w:ind w:right="153"/>
              <w:spacing w:after="0"/>
              <w:rPr>
                <w:sz w:val="20"/>
                <w:szCs w:val="20"/>
                <w:color w:val="auto"/>
              </w:rPr>
            </w:pPr>
            <w:r>
              <w:rPr>
                <w:rFonts w:ascii="Arial" w:cs="Arial" w:eastAsia="Arial" w:hAnsi="Arial"/>
                <w:sz w:val="21"/>
                <w:szCs w:val="21"/>
                <w:color w:val="auto"/>
              </w:rPr>
              <w:t>$49.1</w:t>
            </w:r>
          </w:p>
        </w:tc>
      </w:tr>
      <w:tr>
        <w:trPr>
          <w:trHeight w:val="369"/>
        </w:trPr>
        <w:tc>
          <w:tcPr>
            <w:tcW w:w="4240" w:type="dxa"/>
            <w:vAlign w:val="bottom"/>
          </w:tcPr>
          <w:p>
            <w:pPr>
              <w:ind w:left="240"/>
              <w:spacing w:after="0"/>
              <w:rPr>
                <w:sz w:val="20"/>
                <w:szCs w:val="20"/>
                <w:color w:val="auto"/>
              </w:rPr>
            </w:pPr>
            <w:r>
              <w:rPr>
                <w:rFonts w:ascii="Arial" w:cs="Arial" w:eastAsia="Arial" w:hAnsi="Arial"/>
                <w:sz w:val="21"/>
                <w:szCs w:val="21"/>
                <w:color w:val="auto"/>
              </w:rPr>
              <w:t>EBITDA</w:t>
            </w:r>
          </w:p>
        </w:tc>
        <w:tc>
          <w:tcPr>
            <w:tcW w:w="2700" w:type="dxa"/>
            <w:vAlign w:val="bottom"/>
          </w:tcPr>
          <w:p>
            <w:pPr>
              <w:jc w:val="right"/>
              <w:ind w:right="853"/>
              <w:spacing w:after="0"/>
              <w:rPr>
                <w:sz w:val="20"/>
                <w:szCs w:val="20"/>
                <w:color w:val="auto"/>
              </w:rPr>
            </w:pPr>
            <w:r>
              <w:rPr>
                <w:rFonts w:ascii="Arial" w:cs="Arial" w:eastAsia="Arial" w:hAnsi="Arial"/>
                <w:sz w:val="21"/>
                <w:szCs w:val="21"/>
                <w:color w:val="auto"/>
              </w:rPr>
              <w:t>7.5</w:t>
            </w:r>
          </w:p>
        </w:tc>
        <w:tc>
          <w:tcPr>
            <w:tcW w:w="2140" w:type="dxa"/>
            <w:vAlign w:val="bottom"/>
          </w:tcPr>
          <w:p>
            <w:pPr>
              <w:jc w:val="right"/>
              <w:ind w:right="773"/>
              <w:spacing w:after="0"/>
              <w:rPr>
                <w:sz w:val="20"/>
                <w:szCs w:val="20"/>
                <w:color w:val="auto"/>
              </w:rPr>
            </w:pPr>
            <w:r>
              <w:rPr>
                <w:rFonts w:ascii="Arial" w:cs="Arial" w:eastAsia="Arial" w:hAnsi="Arial"/>
                <w:sz w:val="21"/>
                <w:szCs w:val="21"/>
                <w:color w:val="auto"/>
              </w:rPr>
              <w:t>4.6</w:t>
            </w:r>
          </w:p>
        </w:tc>
        <w:tc>
          <w:tcPr>
            <w:tcW w:w="1700" w:type="dxa"/>
            <w:vAlign w:val="bottom"/>
          </w:tcPr>
          <w:p>
            <w:pPr>
              <w:jc w:val="right"/>
              <w:ind w:right="113"/>
              <w:spacing w:after="0"/>
              <w:rPr>
                <w:sz w:val="20"/>
                <w:szCs w:val="20"/>
                <w:color w:val="auto"/>
              </w:rPr>
            </w:pPr>
            <w:r>
              <w:rPr>
                <w:rFonts w:ascii="Arial" w:cs="Arial" w:eastAsia="Arial" w:hAnsi="Arial"/>
                <w:sz w:val="21"/>
                <w:szCs w:val="21"/>
                <w:color w:val="auto"/>
              </w:rPr>
              <w:t>12.0</w:t>
            </w:r>
          </w:p>
        </w:tc>
      </w:tr>
      <w:tr>
        <w:trPr>
          <w:trHeight w:val="369"/>
        </w:trPr>
        <w:tc>
          <w:tcPr>
            <w:tcW w:w="4240" w:type="dxa"/>
            <w:vAlign w:val="bottom"/>
          </w:tcPr>
          <w:p>
            <w:pPr>
              <w:ind w:left="240"/>
              <w:spacing w:after="0"/>
              <w:rPr>
                <w:sz w:val="20"/>
                <w:szCs w:val="20"/>
                <w:color w:val="auto"/>
              </w:rPr>
            </w:pPr>
            <w:r>
              <w:rPr>
                <w:rFonts w:ascii="Arial" w:cs="Arial" w:eastAsia="Arial" w:hAnsi="Arial"/>
                <w:sz w:val="21"/>
                <w:szCs w:val="21"/>
                <w:color w:val="auto"/>
              </w:rPr>
              <w:t>Free Cash Flow</w:t>
            </w:r>
          </w:p>
        </w:tc>
        <w:tc>
          <w:tcPr>
            <w:tcW w:w="2700" w:type="dxa"/>
            <w:vAlign w:val="bottom"/>
          </w:tcPr>
          <w:p>
            <w:pPr>
              <w:jc w:val="right"/>
              <w:ind w:right="853"/>
              <w:spacing w:after="0"/>
              <w:rPr>
                <w:sz w:val="20"/>
                <w:szCs w:val="20"/>
                <w:color w:val="auto"/>
              </w:rPr>
            </w:pPr>
            <w:r>
              <w:rPr>
                <w:rFonts w:ascii="Arial" w:cs="Arial" w:eastAsia="Arial" w:hAnsi="Arial"/>
                <w:sz w:val="21"/>
                <w:szCs w:val="21"/>
                <w:color w:val="auto"/>
              </w:rPr>
              <w:t>2.0</w:t>
            </w:r>
          </w:p>
        </w:tc>
        <w:tc>
          <w:tcPr>
            <w:tcW w:w="2140" w:type="dxa"/>
            <w:vAlign w:val="bottom"/>
          </w:tcPr>
          <w:p>
            <w:pPr>
              <w:jc w:val="right"/>
              <w:ind w:right="773"/>
              <w:spacing w:after="0"/>
              <w:rPr>
                <w:sz w:val="20"/>
                <w:szCs w:val="20"/>
                <w:color w:val="auto"/>
              </w:rPr>
            </w:pPr>
            <w:r>
              <w:rPr>
                <w:rFonts w:ascii="Arial" w:cs="Arial" w:eastAsia="Arial" w:hAnsi="Arial"/>
                <w:sz w:val="21"/>
                <w:szCs w:val="21"/>
                <w:color w:val="auto"/>
              </w:rPr>
              <w:t>1.7</w:t>
            </w:r>
          </w:p>
        </w:tc>
        <w:tc>
          <w:tcPr>
            <w:tcW w:w="1700" w:type="dxa"/>
            <w:vAlign w:val="bottom"/>
          </w:tcPr>
          <w:p>
            <w:pPr>
              <w:jc w:val="right"/>
              <w:ind w:right="113"/>
              <w:spacing w:after="0"/>
              <w:rPr>
                <w:sz w:val="20"/>
                <w:szCs w:val="20"/>
                <w:color w:val="auto"/>
              </w:rPr>
            </w:pPr>
            <w:r>
              <w:rPr>
                <w:rFonts w:ascii="Arial" w:cs="Arial" w:eastAsia="Arial" w:hAnsi="Arial"/>
                <w:sz w:val="21"/>
                <w:szCs w:val="21"/>
                <w:color w:val="auto"/>
              </w:rPr>
              <w:t>3.7</w:t>
            </w:r>
          </w:p>
        </w:tc>
      </w:tr>
      <w:tr>
        <w:trPr>
          <w:trHeight w:val="739"/>
        </w:trPr>
        <w:tc>
          <w:tcPr>
            <w:tcW w:w="4240" w:type="dxa"/>
            <w:vAlign w:val="bottom"/>
          </w:tcPr>
          <w:p>
            <w:pPr>
              <w:spacing w:after="0"/>
              <w:rPr>
                <w:sz w:val="20"/>
                <w:szCs w:val="20"/>
                <w:color w:val="auto"/>
              </w:rPr>
            </w:pPr>
            <w:r>
              <w:rPr>
                <w:rFonts w:ascii="Arial" w:cs="Arial" w:eastAsia="Arial" w:hAnsi="Arial"/>
                <w:sz w:val="21"/>
                <w:szCs w:val="21"/>
                <w:b w:val="1"/>
                <w:bCs w:val="1"/>
                <w:color w:val="auto"/>
              </w:rPr>
              <w:t>Balance Sheet Summary:</w:t>
            </w:r>
          </w:p>
        </w:tc>
        <w:tc>
          <w:tcPr>
            <w:tcW w:w="2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49"/>
        </w:trPr>
        <w:tc>
          <w:tcPr>
            <w:tcW w:w="4240" w:type="dxa"/>
            <w:vAlign w:val="bottom"/>
          </w:tcPr>
          <w:p>
            <w:pPr>
              <w:ind w:left="220"/>
              <w:spacing w:after="0"/>
              <w:rPr>
                <w:sz w:val="20"/>
                <w:szCs w:val="20"/>
                <w:color w:val="auto"/>
              </w:rPr>
            </w:pPr>
            <w:r>
              <w:rPr>
                <w:rFonts w:ascii="Arial" w:cs="Arial" w:eastAsia="Arial" w:hAnsi="Arial"/>
                <w:sz w:val="21"/>
                <w:szCs w:val="21"/>
                <w:color w:val="auto"/>
              </w:rPr>
              <w:t xml:space="preserve">Total Assets </w:t>
            </w:r>
            <w:r>
              <w:rPr>
                <w:rFonts w:ascii="Arial" w:cs="Arial" w:eastAsia="Arial" w:hAnsi="Arial"/>
                <w:sz w:val="35"/>
                <w:szCs w:val="35"/>
                <w:color w:val="auto"/>
                <w:vertAlign w:val="superscript"/>
              </w:rPr>
              <w:t>(1)</w:t>
            </w:r>
          </w:p>
        </w:tc>
        <w:tc>
          <w:tcPr>
            <w:tcW w:w="2700" w:type="dxa"/>
            <w:vAlign w:val="bottom"/>
          </w:tcPr>
          <w:p>
            <w:pPr>
              <w:jc w:val="right"/>
              <w:ind w:right="853"/>
              <w:spacing w:after="0"/>
              <w:rPr>
                <w:sz w:val="20"/>
                <w:szCs w:val="20"/>
                <w:color w:val="auto"/>
              </w:rPr>
            </w:pPr>
            <w:r>
              <w:rPr>
                <w:rFonts w:ascii="Arial" w:cs="Arial" w:eastAsia="Arial" w:hAnsi="Arial"/>
                <w:sz w:val="21"/>
                <w:szCs w:val="21"/>
                <w:color w:val="auto"/>
              </w:rPr>
              <w:t>$109.2</w:t>
            </w:r>
          </w:p>
        </w:tc>
        <w:tc>
          <w:tcPr>
            <w:tcW w:w="2140" w:type="dxa"/>
            <w:vAlign w:val="bottom"/>
          </w:tcPr>
          <w:p>
            <w:pPr>
              <w:jc w:val="right"/>
              <w:ind w:right="773"/>
              <w:spacing w:after="0"/>
              <w:rPr>
                <w:sz w:val="20"/>
                <w:szCs w:val="20"/>
                <w:color w:val="auto"/>
              </w:rPr>
            </w:pPr>
            <w:r>
              <w:rPr>
                <w:rFonts w:ascii="Arial" w:cs="Arial" w:eastAsia="Arial" w:hAnsi="Arial"/>
                <w:sz w:val="21"/>
                <w:szCs w:val="21"/>
                <w:color w:val="auto"/>
              </w:rPr>
              <w:t>$50.0</w:t>
            </w:r>
          </w:p>
        </w:tc>
        <w:tc>
          <w:tcPr>
            <w:tcW w:w="1700" w:type="dxa"/>
            <w:vAlign w:val="bottom"/>
          </w:tcPr>
          <w:p>
            <w:pPr>
              <w:jc w:val="right"/>
              <w:ind w:right="113"/>
              <w:spacing w:after="0"/>
              <w:rPr>
                <w:sz w:val="20"/>
                <w:szCs w:val="20"/>
                <w:color w:val="auto"/>
              </w:rPr>
            </w:pPr>
            <w:r>
              <w:rPr>
                <w:rFonts w:ascii="Arial" w:cs="Arial" w:eastAsia="Arial" w:hAnsi="Arial"/>
                <w:sz w:val="21"/>
                <w:szCs w:val="21"/>
                <w:color w:val="auto"/>
              </w:rPr>
              <w:t>$159.2</w:t>
            </w:r>
          </w:p>
        </w:tc>
      </w:tr>
      <w:tr>
        <w:trPr>
          <w:trHeight w:val="398"/>
        </w:trPr>
        <w:tc>
          <w:tcPr>
            <w:tcW w:w="4240" w:type="dxa"/>
            <w:vAlign w:val="bottom"/>
          </w:tcPr>
          <w:p>
            <w:pPr>
              <w:ind w:left="220"/>
              <w:spacing w:after="0" w:line="398" w:lineRule="exact"/>
              <w:rPr>
                <w:sz w:val="20"/>
                <w:szCs w:val="20"/>
                <w:color w:val="auto"/>
              </w:rPr>
            </w:pPr>
            <w:r>
              <w:rPr>
                <w:rFonts w:ascii="Arial" w:cs="Arial" w:eastAsia="Arial" w:hAnsi="Arial"/>
                <w:sz w:val="21"/>
                <w:szCs w:val="21"/>
                <w:color w:val="auto"/>
              </w:rPr>
              <w:t xml:space="preserve">Total Net Debt </w:t>
            </w:r>
            <w:r>
              <w:rPr>
                <w:rFonts w:ascii="Arial" w:cs="Arial" w:eastAsia="Arial" w:hAnsi="Arial"/>
                <w:sz w:val="35"/>
                <w:szCs w:val="35"/>
                <w:color w:val="auto"/>
                <w:vertAlign w:val="superscript"/>
              </w:rPr>
              <w:t>(1)</w:t>
            </w:r>
          </w:p>
        </w:tc>
        <w:tc>
          <w:tcPr>
            <w:tcW w:w="2700" w:type="dxa"/>
            <w:vAlign w:val="bottom"/>
          </w:tcPr>
          <w:p>
            <w:pPr>
              <w:jc w:val="right"/>
              <w:ind w:right="613"/>
              <w:spacing w:after="0" w:line="398" w:lineRule="exact"/>
              <w:rPr>
                <w:sz w:val="20"/>
                <w:szCs w:val="20"/>
                <w:color w:val="auto"/>
              </w:rPr>
            </w:pPr>
            <w:r>
              <w:rPr>
                <w:rFonts w:ascii="Arial" w:cs="Arial" w:eastAsia="Arial" w:hAnsi="Arial"/>
                <w:sz w:val="21"/>
                <w:szCs w:val="21"/>
                <w:color w:val="auto"/>
              </w:rPr>
              <w:t>21.1</w:t>
            </w:r>
            <w:r>
              <w:rPr>
                <w:rFonts w:ascii="Arial" w:cs="Arial" w:eastAsia="Arial" w:hAnsi="Arial"/>
                <w:sz w:val="35"/>
                <w:szCs w:val="35"/>
                <w:color w:val="auto"/>
                <w:vertAlign w:val="superscript"/>
              </w:rPr>
              <w:t>(2)</w:t>
            </w:r>
          </w:p>
        </w:tc>
        <w:tc>
          <w:tcPr>
            <w:tcW w:w="2140" w:type="dxa"/>
            <w:vAlign w:val="bottom"/>
          </w:tcPr>
          <w:p>
            <w:pPr>
              <w:jc w:val="right"/>
              <w:ind w:right="733"/>
              <w:spacing w:after="0"/>
              <w:rPr>
                <w:sz w:val="20"/>
                <w:szCs w:val="20"/>
                <w:color w:val="auto"/>
              </w:rPr>
            </w:pPr>
            <w:r>
              <w:rPr>
                <w:rFonts w:ascii="Arial" w:cs="Arial" w:eastAsia="Arial" w:hAnsi="Arial"/>
                <w:sz w:val="21"/>
                <w:szCs w:val="21"/>
                <w:color w:val="auto"/>
              </w:rPr>
              <w:t>11.9</w:t>
            </w:r>
          </w:p>
        </w:tc>
        <w:tc>
          <w:tcPr>
            <w:tcW w:w="1700" w:type="dxa"/>
            <w:vAlign w:val="bottom"/>
          </w:tcPr>
          <w:p>
            <w:pPr>
              <w:jc w:val="right"/>
              <w:spacing w:after="0" w:line="398" w:lineRule="exact"/>
              <w:rPr>
                <w:sz w:val="20"/>
                <w:szCs w:val="20"/>
                <w:color w:val="auto"/>
              </w:rPr>
            </w:pPr>
            <w:r>
              <w:rPr>
                <w:rFonts w:ascii="Arial" w:cs="Arial" w:eastAsia="Arial" w:hAnsi="Arial"/>
                <w:sz w:val="21"/>
                <w:szCs w:val="21"/>
                <w:color w:val="auto"/>
              </w:rPr>
              <w:t>33.0</w:t>
            </w:r>
            <w:r>
              <w:rPr>
                <w:rFonts w:ascii="Arial" w:cs="Arial" w:eastAsia="Arial" w:hAnsi="Arial"/>
                <w:sz w:val="35"/>
                <w:szCs w:val="35"/>
                <w:color w:val="auto"/>
                <w:vertAlign w:val="superscript"/>
              </w:rPr>
              <w:t>(2)</w:t>
            </w:r>
          </w:p>
        </w:tc>
      </w:tr>
      <w:tr>
        <w:trPr>
          <w:trHeight w:val="280"/>
        </w:trPr>
        <w:tc>
          <w:tcPr>
            <w:tcW w:w="4240" w:type="dxa"/>
            <w:vAlign w:val="bottom"/>
          </w:tcPr>
          <w:p>
            <w:pPr>
              <w:ind w:left="240"/>
              <w:spacing w:after="0"/>
              <w:rPr>
                <w:sz w:val="20"/>
                <w:szCs w:val="20"/>
                <w:color w:val="auto"/>
              </w:rPr>
            </w:pPr>
            <w:r>
              <w:rPr>
                <w:rFonts w:ascii="Arial" w:cs="Arial" w:eastAsia="Arial" w:hAnsi="Arial"/>
                <w:sz w:val="21"/>
                <w:szCs w:val="21"/>
                <w:i w:val="1"/>
                <w:iCs w:val="1"/>
                <w:color w:val="auto"/>
              </w:rPr>
              <w:t>Net Debt/FY 2003 EBITDA (x)</w:t>
            </w:r>
          </w:p>
        </w:tc>
        <w:tc>
          <w:tcPr>
            <w:tcW w:w="2700" w:type="dxa"/>
            <w:vAlign w:val="bottom"/>
          </w:tcPr>
          <w:p>
            <w:pPr>
              <w:jc w:val="right"/>
              <w:ind w:right="833"/>
              <w:spacing w:after="0"/>
              <w:rPr>
                <w:sz w:val="20"/>
                <w:szCs w:val="20"/>
                <w:color w:val="auto"/>
              </w:rPr>
            </w:pPr>
            <w:r>
              <w:rPr>
                <w:rFonts w:ascii="Arial" w:cs="Arial" w:eastAsia="Arial" w:hAnsi="Arial"/>
                <w:sz w:val="21"/>
                <w:szCs w:val="21"/>
                <w:color w:val="auto"/>
              </w:rPr>
              <w:t>3.3x</w:t>
            </w:r>
          </w:p>
        </w:tc>
        <w:tc>
          <w:tcPr>
            <w:tcW w:w="2140" w:type="dxa"/>
            <w:vAlign w:val="bottom"/>
          </w:tcPr>
          <w:p>
            <w:pPr>
              <w:jc w:val="right"/>
              <w:ind w:right="733"/>
              <w:spacing w:after="0"/>
              <w:rPr>
                <w:sz w:val="20"/>
                <w:szCs w:val="20"/>
                <w:color w:val="auto"/>
              </w:rPr>
            </w:pPr>
            <w:r>
              <w:rPr>
                <w:rFonts w:ascii="Arial" w:cs="Arial" w:eastAsia="Arial" w:hAnsi="Arial"/>
                <w:sz w:val="21"/>
                <w:szCs w:val="21"/>
                <w:color w:val="auto"/>
              </w:rPr>
              <w:t>3.1x</w:t>
            </w:r>
          </w:p>
        </w:tc>
        <w:tc>
          <w:tcPr>
            <w:tcW w:w="1700" w:type="dxa"/>
            <w:vAlign w:val="bottom"/>
          </w:tcPr>
          <w:p>
            <w:pPr>
              <w:jc w:val="right"/>
              <w:ind w:right="93"/>
              <w:spacing w:after="0"/>
              <w:rPr>
                <w:sz w:val="20"/>
                <w:szCs w:val="20"/>
                <w:color w:val="auto"/>
              </w:rPr>
            </w:pPr>
            <w:r>
              <w:rPr>
                <w:rFonts w:ascii="Arial" w:cs="Arial" w:eastAsia="Arial" w:hAnsi="Arial"/>
                <w:sz w:val="21"/>
                <w:szCs w:val="21"/>
                <w:color w:val="auto"/>
              </w:rPr>
              <w:t>3.2x</w:t>
            </w:r>
          </w:p>
        </w:tc>
      </w:tr>
    </w:tbl>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Notes: (1) Comcast as of December 31, 2003; Disney as of September 30, 2003</w:t>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(2) Excludes exchangeables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8281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281940</wp:posOffset>
            </wp:positionV>
            <wp:extent cx="1097280" cy="3251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97280" cy="32512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274320</wp:posOffset>
            </wp:positionV>
            <wp:extent cx="869950" cy="3403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69950" cy="340360"/>
                    </a:xfrm>
                    <a:prstGeom prst="rect">
                      <a:avLst/>
                    </a:prstGeom>
                    <a:noFill/>
                  </pic:spPr>
                </pic:pic>
              </a:graphicData>
            </a:graphic>
          </wp:anchor>
        </w:drawing>
      </w:r>
    </w:p>
    <w:p>
      <w:pPr>
        <w:sectPr>
          <w:pgSz w:w="11900" w:h="16838" w:orient="portrait"/>
          <w:cols w:equalWidth="0" w:num="1">
            <w:col w:w="10840"/>
          </w:cols>
          <w:pgMar w:left="240" w:top="1440" w:right="8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840"/>
          </w:cols>
          <w:pgMar w:left="240" w:top="1440" w:right="819" w:bottom="0" w:gutter="0" w:footer="0" w:header="0"/>
          <w:type w:val="continuous"/>
        </w:sectPr>
      </w:pPr>
    </w:p>
    <w:bookmarkStart w:id="10" w:name="page11"/>
    <w:bookmarkEnd w:id="10"/>
    <w:p>
      <w:pPr>
        <w:ind w:left="5"/>
        <w:spacing w:after="0"/>
        <w:rPr>
          <w:sz w:val="20"/>
          <w:szCs w:val="20"/>
          <w:color w:val="auto"/>
        </w:rPr>
      </w:pPr>
      <w:r>
        <w:rPr>
          <w:rFonts w:ascii="Arial" w:cs="Arial" w:eastAsia="Arial" w:hAnsi="Arial"/>
          <w:sz w:val="38"/>
          <w:szCs w:val="38"/>
          <w:color w:val="auto"/>
        </w:rPr>
        <w:t>A Powerful and Transforming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728281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531495</wp:posOffset>
            </wp:positionV>
            <wp:extent cx="6771005" cy="582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1005" cy="58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 w:type="dxa"/>
        <w:tblCellMar>
          <w:top w:w="0" w:type="dxa"/>
          <w:left w:w="0" w:type="dxa"/>
          <w:bottom w:w="0" w:type="dxa"/>
          <w:right w:w="0" w:type="dxa"/>
        </w:tblCellMar>
      </w:tblPr>
      <w:tr>
        <w:trPr>
          <w:trHeight w:val="250"/>
        </w:trPr>
        <w:tc>
          <w:tcPr>
            <w:tcW w:w="2680" w:type="dxa"/>
            <w:vAlign w:val="bottom"/>
            <w:vMerge w:val="restart"/>
          </w:tcPr>
          <w:p>
            <w:pPr>
              <w:ind w:left="2340"/>
              <w:spacing w:after="0"/>
              <w:rPr>
                <w:sz w:val="20"/>
                <w:szCs w:val="20"/>
                <w:color w:val="auto"/>
              </w:rPr>
            </w:pPr>
            <w:r>
              <w:rPr>
                <w:rFonts w:ascii="Arial" w:cs="Arial" w:eastAsia="Arial" w:hAnsi="Arial"/>
                <w:sz w:val="21"/>
                <w:szCs w:val="21"/>
                <w:color w:val="6699FF"/>
              </w:rPr>
              <w:t>n</w:t>
            </w:r>
          </w:p>
        </w:tc>
        <w:tc>
          <w:tcPr>
            <w:tcW w:w="8780" w:type="dxa"/>
            <w:vAlign w:val="bottom"/>
          </w:tcPr>
          <w:p>
            <w:pPr>
              <w:ind w:left="240"/>
              <w:spacing w:after="0"/>
              <w:rPr>
                <w:sz w:val="20"/>
                <w:szCs w:val="20"/>
                <w:color w:val="auto"/>
              </w:rPr>
            </w:pPr>
            <w:r>
              <w:rPr>
                <w:rFonts w:ascii="Arial" w:cs="Arial" w:eastAsia="Arial" w:hAnsi="Arial"/>
                <w:sz w:val="21"/>
                <w:szCs w:val="21"/>
                <w:color w:val="auto"/>
              </w:rPr>
              <w:t>Creates one of the World’s Premier Entertainment and</w:t>
            </w:r>
          </w:p>
        </w:tc>
        <w:tc>
          <w:tcPr>
            <w:tcW w:w="0" w:type="dxa"/>
            <w:vAlign w:val="bottom"/>
          </w:tcPr>
          <w:p>
            <w:pPr>
              <w:spacing w:after="0"/>
              <w:rPr>
                <w:sz w:val="1"/>
                <w:szCs w:val="1"/>
                <w:color w:val="auto"/>
              </w:rPr>
            </w:pPr>
          </w:p>
        </w:tc>
      </w:tr>
      <w:tr>
        <w:trPr>
          <w:trHeight w:val="187"/>
        </w:trPr>
        <w:tc>
          <w:tcPr>
            <w:tcW w:w="2680" w:type="dxa"/>
            <w:vAlign w:val="bottom"/>
            <w:vMerge w:val="continue"/>
          </w:tcPr>
          <w:p>
            <w:pPr>
              <w:spacing w:after="0"/>
              <w:rPr>
                <w:sz w:val="16"/>
                <w:szCs w:val="16"/>
                <w:color w:val="auto"/>
              </w:rPr>
            </w:pPr>
          </w:p>
        </w:tc>
        <w:tc>
          <w:tcPr>
            <w:tcW w:w="8780" w:type="dxa"/>
            <w:vAlign w:val="bottom"/>
            <w:vMerge w:val="restart"/>
          </w:tcPr>
          <w:p>
            <w:pPr>
              <w:ind w:left="240"/>
              <w:spacing w:after="0"/>
              <w:rPr>
                <w:sz w:val="20"/>
                <w:szCs w:val="20"/>
                <w:color w:val="auto"/>
              </w:rPr>
            </w:pPr>
            <w:r>
              <w:rPr>
                <w:rFonts w:ascii="Arial" w:cs="Arial" w:eastAsia="Arial" w:hAnsi="Arial"/>
                <w:sz w:val="21"/>
                <w:szCs w:val="21"/>
                <w:color w:val="auto"/>
              </w:rPr>
              <w:t>Communications Companies</w:t>
            </w:r>
          </w:p>
        </w:tc>
        <w:tc>
          <w:tcPr>
            <w:tcW w:w="0" w:type="dxa"/>
            <w:vAlign w:val="bottom"/>
          </w:tcPr>
          <w:p>
            <w:pPr>
              <w:spacing w:after="0"/>
              <w:rPr>
                <w:sz w:val="1"/>
                <w:szCs w:val="1"/>
                <w:color w:val="auto"/>
              </w:rPr>
            </w:pPr>
          </w:p>
        </w:tc>
      </w:tr>
      <w:tr>
        <w:trPr>
          <w:trHeight w:val="71"/>
        </w:trPr>
        <w:tc>
          <w:tcPr>
            <w:tcW w:w="2680" w:type="dxa"/>
            <w:vAlign w:val="bottom"/>
          </w:tcPr>
          <w:p>
            <w:pPr>
              <w:spacing w:after="0"/>
              <w:rPr>
                <w:sz w:val="6"/>
                <w:szCs w:val="6"/>
                <w:color w:val="auto"/>
              </w:rPr>
            </w:pPr>
          </w:p>
        </w:tc>
        <w:tc>
          <w:tcPr>
            <w:tcW w:w="8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1"/>
        </w:trPr>
        <w:tc>
          <w:tcPr>
            <w:tcW w:w="2680" w:type="dxa"/>
            <w:vAlign w:val="bottom"/>
          </w:tcPr>
          <w:p>
            <w:pPr>
              <w:ind w:left="2340"/>
              <w:spacing w:after="0"/>
              <w:rPr>
                <w:sz w:val="20"/>
                <w:szCs w:val="20"/>
                <w:color w:val="auto"/>
              </w:rPr>
            </w:pPr>
            <w:r>
              <w:rPr>
                <w:rFonts w:ascii="Arial" w:cs="Arial" w:eastAsia="Arial" w:hAnsi="Arial"/>
                <w:sz w:val="21"/>
                <w:szCs w:val="21"/>
                <w:color w:val="6699FF"/>
              </w:rPr>
              <w:t>n</w:t>
            </w:r>
          </w:p>
        </w:tc>
        <w:tc>
          <w:tcPr>
            <w:tcW w:w="8780" w:type="dxa"/>
            <w:vAlign w:val="bottom"/>
          </w:tcPr>
          <w:p>
            <w:pPr>
              <w:ind w:left="240"/>
              <w:spacing w:after="0"/>
              <w:rPr>
                <w:sz w:val="20"/>
                <w:szCs w:val="20"/>
                <w:color w:val="auto"/>
              </w:rPr>
            </w:pPr>
            <w:r>
              <w:rPr>
                <w:rFonts w:ascii="Arial" w:cs="Arial" w:eastAsia="Arial" w:hAnsi="Arial"/>
                <w:sz w:val="21"/>
                <w:szCs w:val="21"/>
                <w:color w:val="auto"/>
              </w:rPr>
              <w:t>Maximizes the Value of Content and Distribution</w:t>
            </w:r>
          </w:p>
        </w:tc>
        <w:tc>
          <w:tcPr>
            <w:tcW w:w="0" w:type="dxa"/>
            <w:vAlign w:val="bottom"/>
          </w:tcPr>
          <w:p>
            <w:pPr>
              <w:spacing w:after="0"/>
              <w:rPr>
                <w:sz w:val="1"/>
                <w:szCs w:val="1"/>
                <w:color w:val="auto"/>
              </w:rPr>
            </w:pPr>
          </w:p>
        </w:tc>
      </w:tr>
      <w:tr>
        <w:trPr>
          <w:trHeight w:val="870"/>
        </w:trPr>
        <w:tc>
          <w:tcPr>
            <w:tcW w:w="2680" w:type="dxa"/>
            <w:vAlign w:val="bottom"/>
          </w:tcPr>
          <w:p>
            <w:pPr>
              <w:ind w:left="2340"/>
              <w:spacing w:after="0"/>
              <w:rPr>
                <w:sz w:val="20"/>
                <w:szCs w:val="20"/>
                <w:color w:val="auto"/>
              </w:rPr>
            </w:pPr>
            <w:r>
              <w:rPr>
                <w:rFonts w:ascii="Arial" w:cs="Arial" w:eastAsia="Arial" w:hAnsi="Arial"/>
                <w:sz w:val="21"/>
                <w:szCs w:val="21"/>
                <w:color w:val="6699FF"/>
              </w:rPr>
              <w:t>n</w:t>
            </w:r>
          </w:p>
        </w:tc>
        <w:tc>
          <w:tcPr>
            <w:tcW w:w="8780" w:type="dxa"/>
            <w:vAlign w:val="bottom"/>
          </w:tcPr>
          <w:p>
            <w:pPr>
              <w:ind w:left="240"/>
              <w:spacing w:after="0"/>
              <w:rPr>
                <w:sz w:val="20"/>
                <w:szCs w:val="20"/>
                <w:color w:val="auto"/>
              </w:rPr>
            </w:pPr>
            <w:r>
              <w:rPr>
                <w:rFonts w:ascii="Arial" w:cs="Arial" w:eastAsia="Arial" w:hAnsi="Arial"/>
                <w:sz w:val="21"/>
                <w:szCs w:val="21"/>
                <w:color w:val="auto"/>
              </w:rPr>
              <w:t>Compelling Value Creation for All Shareholders</w:t>
            </w:r>
          </w:p>
        </w:tc>
        <w:tc>
          <w:tcPr>
            <w:tcW w:w="0" w:type="dxa"/>
            <w:vAlign w:val="bottom"/>
          </w:tcPr>
          <w:p>
            <w:pPr>
              <w:spacing w:after="0"/>
              <w:rPr>
                <w:sz w:val="1"/>
                <w:szCs w:val="1"/>
                <w:color w:val="auto"/>
              </w:rPr>
            </w:pPr>
          </w:p>
        </w:tc>
      </w:tr>
      <w:tr>
        <w:trPr>
          <w:trHeight w:val="870"/>
        </w:trPr>
        <w:tc>
          <w:tcPr>
            <w:tcW w:w="2680" w:type="dxa"/>
            <w:vAlign w:val="bottom"/>
          </w:tcPr>
          <w:p>
            <w:pPr>
              <w:ind w:left="2340"/>
              <w:spacing w:after="0"/>
              <w:rPr>
                <w:sz w:val="20"/>
                <w:szCs w:val="20"/>
                <w:color w:val="auto"/>
              </w:rPr>
            </w:pPr>
            <w:r>
              <w:rPr>
                <w:rFonts w:ascii="Arial" w:cs="Arial" w:eastAsia="Arial" w:hAnsi="Arial"/>
                <w:sz w:val="21"/>
                <w:szCs w:val="21"/>
                <w:color w:val="6699FF"/>
              </w:rPr>
              <w:t>n</w:t>
            </w:r>
          </w:p>
        </w:tc>
        <w:tc>
          <w:tcPr>
            <w:tcW w:w="8780" w:type="dxa"/>
            <w:vAlign w:val="bottom"/>
          </w:tcPr>
          <w:p>
            <w:pPr>
              <w:ind w:left="240"/>
              <w:spacing w:after="0"/>
              <w:rPr>
                <w:sz w:val="20"/>
                <w:szCs w:val="20"/>
                <w:color w:val="auto"/>
              </w:rPr>
            </w:pPr>
            <w:r>
              <w:rPr>
                <w:rFonts w:ascii="Arial" w:cs="Arial" w:eastAsia="Arial" w:hAnsi="Arial"/>
                <w:sz w:val="21"/>
                <w:szCs w:val="21"/>
                <w:color w:val="auto"/>
              </w:rPr>
              <w:t>Accelerates the Digital Future for Consumers</w:t>
            </w:r>
          </w:p>
        </w:tc>
        <w:tc>
          <w:tcPr>
            <w:tcW w:w="0" w:type="dxa"/>
            <w:vAlign w:val="bottom"/>
          </w:tcPr>
          <w:p>
            <w:pPr>
              <w:spacing w:after="0"/>
              <w:rPr>
                <w:sz w:val="1"/>
                <w:szCs w:val="1"/>
                <w:color w:val="auto"/>
              </w:rPr>
            </w:pPr>
          </w:p>
        </w:tc>
      </w:tr>
      <w:tr>
        <w:trPr>
          <w:trHeight w:val="870"/>
        </w:trPr>
        <w:tc>
          <w:tcPr>
            <w:tcW w:w="2680" w:type="dxa"/>
            <w:vAlign w:val="bottom"/>
          </w:tcPr>
          <w:p>
            <w:pPr>
              <w:ind w:left="2340"/>
              <w:spacing w:after="0"/>
              <w:rPr>
                <w:sz w:val="20"/>
                <w:szCs w:val="20"/>
                <w:color w:val="auto"/>
              </w:rPr>
            </w:pPr>
            <w:r>
              <w:rPr>
                <w:rFonts w:ascii="Arial" w:cs="Arial" w:eastAsia="Arial" w:hAnsi="Arial"/>
                <w:sz w:val="21"/>
                <w:szCs w:val="21"/>
                <w:color w:val="6699FF"/>
              </w:rPr>
              <w:t>n</w:t>
            </w:r>
          </w:p>
        </w:tc>
        <w:tc>
          <w:tcPr>
            <w:tcW w:w="8780" w:type="dxa"/>
            <w:vAlign w:val="bottom"/>
          </w:tcPr>
          <w:p>
            <w:pPr>
              <w:ind w:left="240"/>
              <w:spacing w:after="0"/>
              <w:rPr>
                <w:sz w:val="20"/>
                <w:szCs w:val="20"/>
                <w:color w:val="auto"/>
              </w:rPr>
            </w:pPr>
            <w:r>
              <w:rPr>
                <w:rFonts w:ascii="Arial" w:cs="Arial" w:eastAsia="Arial" w:hAnsi="Arial"/>
                <w:sz w:val="21"/>
                <w:szCs w:val="21"/>
                <w:color w:val="auto"/>
              </w:rPr>
              <w:t>Experienced World Class Management Team</w:t>
            </w:r>
          </w:p>
        </w:tc>
        <w:tc>
          <w:tcPr>
            <w:tcW w:w="0" w:type="dxa"/>
            <w:vAlign w:val="bottom"/>
          </w:tcPr>
          <w:p>
            <w:pPr>
              <w:spacing w:after="0"/>
              <w:rPr>
                <w:sz w:val="1"/>
                <w:szCs w:val="1"/>
                <w:color w:val="auto"/>
              </w:rPr>
            </w:pPr>
          </w:p>
        </w:tc>
      </w:tr>
      <w:tr>
        <w:trPr>
          <w:trHeight w:val="870"/>
        </w:trPr>
        <w:tc>
          <w:tcPr>
            <w:tcW w:w="2680" w:type="dxa"/>
            <w:vAlign w:val="bottom"/>
          </w:tcPr>
          <w:p>
            <w:pPr>
              <w:ind w:left="2340"/>
              <w:spacing w:after="0"/>
              <w:rPr>
                <w:sz w:val="20"/>
                <w:szCs w:val="20"/>
                <w:color w:val="auto"/>
              </w:rPr>
            </w:pPr>
            <w:r>
              <w:rPr>
                <w:rFonts w:ascii="Arial" w:cs="Arial" w:eastAsia="Arial" w:hAnsi="Arial"/>
                <w:sz w:val="21"/>
                <w:szCs w:val="21"/>
                <w:color w:val="6699FF"/>
              </w:rPr>
              <w:t>n</w:t>
            </w:r>
          </w:p>
        </w:tc>
        <w:tc>
          <w:tcPr>
            <w:tcW w:w="8780" w:type="dxa"/>
            <w:vAlign w:val="bottom"/>
          </w:tcPr>
          <w:p>
            <w:pPr>
              <w:ind w:left="240"/>
              <w:spacing w:after="0"/>
              <w:rPr>
                <w:sz w:val="20"/>
                <w:szCs w:val="20"/>
                <w:color w:val="auto"/>
              </w:rPr>
            </w:pPr>
            <w:r>
              <w:rPr>
                <w:rFonts w:ascii="Arial" w:cs="Arial" w:eastAsia="Arial" w:hAnsi="Arial"/>
                <w:sz w:val="21"/>
                <w:szCs w:val="21"/>
                <w:color w:val="auto"/>
              </w:rPr>
              <w:t>Strong Balance Sheet and Free Cash Flow Generation</w:t>
            </w:r>
          </w:p>
        </w:tc>
        <w:tc>
          <w:tcPr>
            <w:tcW w:w="0" w:type="dxa"/>
            <w:vAlign w:val="bottom"/>
          </w:tcPr>
          <w:p>
            <w:pPr>
              <w:spacing w:after="0"/>
              <w:rPr>
                <w:sz w:val="1"/>
                <w:szCs w:val="1"/>
                <w:color w:val="auto"/>
              </w:rPr>
            </w:pPr>
          </w:p>
        </w:tc>
      </w:tr>
      <w:tr>
        <w:trPr>
          <w:trHeight w:val="218"/>
        </w:trPr>
        <w:tc>
          <w:tcPr>
            <w:tcW w:w="2680" w:type="dxa"/>
            <w:vAlign w:val="bottom"/>
            <w:tcBorders>
              <w:bottom w:val="single" w:sz="8" w:color="6699FF"/>
            </w:tcBorders>
          </w:tcPr>
          <w:p>
            <w:pPr>
              <w:spacing w:after="0"/>
              <w:rPr>
                <w:sz w:val="18"/>
                <w:szCs w:val="18"/>
                <w:color w:val="auto"/>
              </w:rPr>
            </w:pPr>
          </w:p>
        </w:tc>
        <w:tc>
          <w:tcPr>
            <w:tcW w:w="8780" w:type="dxa"/>
            <w:vAlign w:val="bottom"/>
            <w:tcBorders>
              <w:bottom w:val="single" w:sz="8" w:color="6699FF"/>
            </w:tcBorders>
          </w:tcPr>
          <w:p>
            <w:pPr>
              <w:spacing w:after="0"/>
              <w:rPr>
                <w:sz w:val="18"/>
                <w:szCs w:val="18"/>
                <w:color w:val="auto"/>
              </w:rPr>
            </w:pPr>
          </w:p>
        </w:tc>
        <w:tc>
          <w:tcPr>
            <w:tcW w:w="0" w:type="dxa"/>
            <w:vAlign w:val="bottom"/>
          </w:tcPr>
          <w:p>
            <w:pPr>
              <w:spacing w:after="0"/>
              <w:rPr>
                <w:sz w:val="1"/>
                <w:szCs w:val="1"/>
                <w:color w:val="auto"/>
              </w:rPr>
            </w:pPr>
          </w:p>
        </w:tc>
      </w:tr>
      <w:tr>
        <w:trPr>
          <w:trHeight w:val="828"/>
        </w:trPr>
        <w:tc>
          <w:tcPr>
            <w:tcW w:w="2680" w:type="dxa"/>
            <w:vAlign w:val="bottom"/>
          </w:tcPr>
          <w:p>
            <w:pPr>
              <w:spacing w:after="0"/>
              <w:rPr>
                <w:sz w:val="24"/>
                <w:szCs w:val="24"/>
                <w:color w:val="auto"/>
              </w:rPr>
            </w:pPr>
          </w:p>
        </w:tc>
        <w:tc>
          <w:tcPr>
            <w:tcW w:w="8780" w:type="dxa"/>
            <w:vAlign w:val="bottom"/>
          </w:tcPr>
          <w:p>
            <w:pPr>
              <w:ind w:left="300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-3803650</wp:posOffset>
            </wp:positionV>
            <wp:extent cx="7282815" cy="36766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2815" cy="367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
        <w:spacing w:after="0"/>
        <w:rPr>
          <w:sz w:val="20"/>
          <w:szCs w:val="20"/>
          <w:color w:val="auto"/>
        </w:rPr>
      </w:pPr>
      <w:r>
        <w:rPr>
          <w:rFonts w:ascii="Arial" w:cs="Arial" w:eastAsia="Arial" w:hAnsi="Arial"/>
          <w:sz w:val="15"/>
          <w:szCs w:val="15"/>
          <w:color w:val="auto"/>
        </w:rPr>
        <w:t>Note: the following notice is included to meet certain legal requirements:</w:t>
      </w:r>
    </w:p>
    <w:p>
      <w:pPr>
        <w:spacing w:after="0" w:line="209" w:lineRule="exact"/>
        <w:rPr>
          <w:sz w:val="20"/>
          <w:szCs w:val="20"/>
          <w:color w:val="auto"/>
        </w:rPr>
      </w:pPr>
    </w:p>
    <w:p>
      <w:pPr>
        <w:jc w:val="center"/>
        <w:ind w:right="15"/>
        <w:spacing w:after="0"/>
        <w:rPr>
          <w:sz w:val="20"/>
          <w:szCs w:val="20"/>
          <w:color w:val="auto"/>
        </w:rPr>
      </w:pPr>
      <w:r>
        <w:rPr>
          <w:rFonts w:ascii="Arial" w:cs="Arial" w:eastAsia="Arial" w:hAnsi="Arial"/>
          <w:sz w:val="15"/>
          <w:szCs w:val="15"/>
          <w:color w:val="auto"/>
        </w:rPr>
        <w:t>FORWARD LOOKING STATEMENTS</w:t>
      </w:r>
    </w:p>
    <w:p>
      <w:pPr>
        <w:spacing w:after="0" w:line="233" w:lineRule="exact"/>
        <w:rPr>
          <w:sz w:val="20"/>
          <w:szCs w:val="20"/>
          <w:color w:val="auto"/>
        </w:rPr>
      </w:pPr>
    </w:p>
    <w:p>
      <w:pPr>
        <w:ind w:left="5" w:right="80" w:firstLine="238"/>
        <w:spacing w:after="0" w:line="285" w:lineRule="auto"/>
        <w:rPr>
          <w:sz w:val="20"/>
          <w:szCs w:val="20"/>
          <w:color w:val="auto"/>
        </w:rPr>
      </w:pPr>
      <w:r>
        <w:rPr>
          <w:rFonts w:ascii="Arial" w:cs="Arial" w:eastAsia="Arial" w:hAnsi="Arial"/>
          <w:sz w:val="14"/>
          <w:szCs w:val="14"/>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4"/>
          <w:szCs w:val="14"/>
          <w:b w:val="1"/>
          <w:bCs w:val="1"/>
          <w:color w:val="auto"/>
        </w:rPr>
        <w:t>Comcast</w:t>
      </w:r>
      <w:r>
        <w:rPr>
          <w:rFonts w:ascii="Arial" w:cs="Arial" w:eastAsia="Arial" w:hAnsi="Arial"/>
          <w:sz w:val="14"/>
          <w:szCs w:val="14"/>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w:t>
      </w:r>
    </w:p>
    <w:p>
      <w:pPr>
        <w:spacing w:after="0" w:line="3" w:lineRule="exact"/>
        <w:rPr>
          <w:sz w:val="20"/>
          <w:szCs w:val="20"/>
          <w:color w:val="auto"/>
        </w:rPr>
      </w:pPr>
    </w:p>
    <w:p>
      <w:pPr>
        <w:ind w:left="5" w:right="180" w:hanging="5"/>
        <w:spacing w:after="0" w:line="288" w:lineRule="auto"/>
        <w:tabs>
          <w:tab w:leader="none" w:pos="224"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businesses of Comcast and The Walt Disney Company (“</w:t>
      </w:r>
      <w:r>
        <w:rPr>
          <w:rFonts w:ascii="Arial" w:cs="Arial" w:eastAsia="Arial" w:hAnsi="Arial"/>
          <w:sz w:val="14"/>
          <w:szCs w:val="14"/>
          <w:b w:val="1"/>
          <w:bCs w:val="1"/>
          <w:color w:val="auto"/>
        </w:rPr>
        <w:t>Disney</w:t>
      </w:r>
      <w:r>
        <w:rPr>
          <w:rFonts w:ascii="Arial" w:cs="Arial" w:eastAsia="Arial" w:hAnsi="Arial"/>
          <w:sz w:val="14"/>
          <w:szCs w:val="14"/>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4"/>
          <w:szCs w:val="14"/>
          <w:b w:val="1"/>
          <w:bCs w:val="1"/>
          <w:color w:val="auto"/>
        </w:rPr>
        <w:t>Commission</w:t>
      </w:r>
      <w:r>
        <w:rPr>
          <w:rFonts w:ascii="Arial" w:cs="Arial" w:eastAsia="Arial" w:hAnsi="Arial"/>
          <w:sz w:val="14"/>
          <w:szCs w:val="14"/>
          <w:color w:val="auto"/>
        </w:rPr>
        <w:t>”).</w:t>
      </w:r>
    </w:p>
    <w:p>
      <w:pPr>
        <w:spacing w:after="0" w:line="154" w:lineRule="exact"/>
        <w:rPr>
          <w:sz w:val="20"/>
          <w:szCs w:val="20"/>
          <w:color w:val="auto"/>
        </w:rPr>
      </w:pPr>
    </w:p>
    <w:p>
      <w:pPr>
        <w:jc w:val="center"/>
        <w:ind w:right="15"/>
        <w:spacing w:after="0"/>
        <w:rPr>
          <w:sz w:val="20"/>
          <w:szCs w:val="20"/>
          <w:color w:val="auto"/>
        </w:rPr>
      </w:pPr>
      <w:r>
        <w:rPr>
          <w:rFonts w:ascii="Arial" w:cs="Arial" w:eastAsia="Arial" w:hAnsi="Arial"/>
          <w:sz w:val="15"/>
          <w:szCs w:val="15"/>
          <w:color w:val="auto"/>
        </w:rPr>
        <w:t>ADDITIONAL INFORMATION</w:t>
      </w:r>
    </w:p>
    <w:p>
      <w:pPr>
        <w:spacing w:after="0" w:line="233" w:lineRule="exact"/>
        <w:rPr>
          <w:sz w:val="20"/>
          <w:szCs w:val="20"/>
          <w:color w:val="auto"/>
        </w:rPr>
      </w:pPr>
    </w:p>
    <w:p>
      <w:pPr>
        <w:ind w:left="5" w:right="60" w:firstLine="238"/>
        <w:spacing w:after="0" w:line="281" w:lineRule="auto"/>
        <w:rPr>
          <w:sz w:val="20"/>
          <w:szCs w:val="20"/>
          <w:color w:val="auto"/>
        </w:rPr>
      </w:pPr>
      <w:r>
        <w:rPr>
          <w:rFonts w:ascii="Arial" w:cs="Arial" w:eastAsia="Arial" w:hAnsi="Arial"/>
          <w:sz w:val="15"/>
          <w:szCs w:val="15"/>
          <w:color w:val="auto"/>
        </w:rPr>
        <w:t>Any information concerning Disney contained in this filing has been taken from, or is based upon, publicly available information. Although Comcast does not have any information that would indicate that any information contained in this filing that has been taken from such documents is inaccurate or incomplete, Comcast does not take any responsibility for the accuracy or completeness of such information. To date, Comcast has not had access to the books and records of Disney.</w:t>
      </w:r>
    </w:p>
    <w:p>
      <w:pPr>
        <w:sectPr>
          <w:pgSz w:w="11900" w:h="16838" w:orient="portrait"/>
          <w:cols w:equalWidth="0" w:num="1">
            <w:col w:w="11465"/>
          </w:cols>
          <w:pgMar w:left="235" w:top="1379" w:right="199" w:bottom="0" w:gutter="0" w:footer="0" w:header="0"/>
        </w:sectPr>
      </w:pPr>
    </w:p>
    <w:bookmarkStart w:id="11" w:name="page12"/>
    <w:bookmarkEnd w:id="11"/>
    <w:p>
      <w:pPr>
        <w:ind w:right="20" w:firstLine="238"/>
        <w:spacing w:after="0" w:line="273" w:lineRule="auto"/>
        <w:rPr>
          <w:sz w:val="20"/>
          <w:szCs w:val="20"/>
          <w:color w:val="auto"/>
        </w:rPr>
      </w:pPr>
      <w:r>
        <w:rPr>
          <w:rFonts w:ascii="Arial" w:cs="Arial" w:eastAsia="Arial" w:hAnsi="Arial"/>
          <w:sz w:val="15"/>
          <w:szCs w:val="15"/>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5"/>
          <w:szCs w:val="15"/>
          <w:u w:val="single" w:color="auto"/>
          <w:color w:val="0000FF"/>
        </w:rPr>
        <w:t>www.sec.gov</w:t>
      </w:r>
      <w:r>
        <w:rPr>
          <w:rFonts w:ascii="Arial" w:cs="Arial" w:eastAsia="Arial" w:hAnsi="Arial"/>
          <w:sz w:val="15"/>
          <w:szCs w:val="15"/>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63" w:lineRule="exact"/>
        <w:rPr>
          <w:sz w:val="20"/>
          <w:szCs w:val="20"/>
          <w:color w:val="auto"/>
        </w:rPr>
      </w:pPr>
    </w:p>
    <w:p>
      <w:pPr>
        <w:ind w:firstLine="232"/>
        <w:spacing w:after="0" w:line="336" w:lineRule="auto"/>
        <w:rPr>
          <w:sz w:val="20"/>
          <w:szCs w:val="20"/>
          <w:color w:val="auto"/>
        </w:rPr>
      </w:pPr>
      <w:r>
        <w:rPr>
          <w:rFonts w:ascii="Arial" w:cs="Arial" w:eastAsia="Arial" w:hAnsi="Arial"/>
          <w:sz w:val="14"/>
          <w:szCs w:val="14"/>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sectPr>
      <w:pgSz w:w="11900" w:h="16838" w:orient="portrait"/>
      <w:cols w:equalWidth="0" w:num="1">
        <w:col w:w="11240"/>
      </w:cols>
      <w:pgMar w:left="240" w:top="15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n"/>
      <w:numFmt w:val="bullet"/>
      <w:start w:val="1"/>
    </w:lvl>
  </w:abstractNum>
  <w:abstractNum w:abstractNumId="1">
    <w:nsid w:val="507ED7AB"/>
    <w:multiLevelType w:val="hybridMultilevel"/>
    <w:lvl w:ilvl="0">
      <w:lvlJc w:val="left"/>
      <w:lvlText w:val="n"/>
      <w:numFmt w:val="bullet"/>
      <w:start w:val="1"/>
    </w:lvl>
  </w:abstractNum>
  <w:abstractNum w:abstractNumId="2">
    <w:nsid w:val="2EB141F2"/>
    <w:multiLevelType w:val="hybridMultilevel"/>
    <w:lvl w:ilvl="0">
      <w:lvlJc w:val="left"/>
      <w:lvlText w:val="n"/>
      <w:numFmt w:val="bullet"/>
      <w:start w:val="1"/>
    </w:lvl>
  </w:abstractNum>
  <w:abstractNum w:abstractNumId="3">
    <w:nsid w:val="41B71EFB"/>
    <w:multiLevelType w:val="hybridMultilevel"/>
    <w:lvl w:ilvl="0">
      <w:lvlJc w:val="left"/>
      <w:lvlText w:val="n"/>
      <w:numFmt w:val="bullet"/>
      <w:start w:val="1"/>
    </w:lvl>
  </w:abstractNum>
  <w:abstractNum w:abstractNumId="4">
    <w:nsid w:val="79E2A9E3"/>
    <w:multiLevelType w:val="hybridMultilevel"/>
    <w:lvl w:ilvl="0">
      <w:lvlJc w:val="left"/>
      <w:lvlText w:val="n"/>
      <w:numFmt w:val="bullet"/>
      <w:start w:val="1"/>
    </w:lvl>
  </w:abstractNum>
  <w:abstractNum w:abstractNumId="5">
    <w:nsid w:val="7545E146"/>
    <w:multiLevelType w:val="hybridMultilevel"/>
    <w:lvl w:ilvl="0">
      <w:lvlJc w:val="left"/>
      <w:lvlText w:val="n"/>
      <w:numFmt w:val="bullet"/>
      <w:start w:val="1"/>
    </w:lvl>
  </w:abstractNum>
  <w:abstractNum w:abstractNumId="6">
    <w:nsid w:val="515F007C"/>
    <w:multiLevelType w:val="hybridMultilevel"/>
    <w:lvl w:ilvl="0">
      <w:lvlJc w:val="left"/>
      <w:lvlText w:val="n"/>
      <w:numFmt w:val="bullet"/>
      <w:start w:val="1"/>
    </w:lvl>
  </w:abstractNum>
  <w:abstractNum w:abstractNumId="7">
    <w:nsid w:val="5BD062C2"/>
    <w:multiLevelType w:val="hybridMultilevel"/>
    <w:lvl w:ilvl="0">
      <w:lvlJc w:val="left"/>
      <w:lvlText w:val="n"/>
      <w:numFmt w:val="bullet"/>
      <w:start w:val="1"/>
    </w:lvl>
  </w:abstractNum>
  <w:abstractNum w:abstractNumId="8">
    <w:nsid w:val="12200854"/>
    <w:multiLevelType w:val="hybridMultilevel"/>
    <w:lvl w:ilvl="0">
      <w:lvlJc w:val="left"/>
      <w:lvlText w:val="n"/>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2019-12-11T23:45:39Z</dcterms:created>
  <dcterms:modified xsi:type="dcterms:W3CDTF">2019-12-11T23:45:39Z</dcterms:modified>
</cp:coreProperties>
</file>