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700"/>
        <w:spacing w:after="0" w:line="238" w:lineRule="auto"/>
        <w:rPr>
          <w:sz w:val="20"/>
          <w:szCs w:val="20"/>
          <w:color w:val="auto"/>
        </w:rPr>
      </w:pPr>
      <w:r>
        <w:rPr>
          <w:rFonts w:ascii="Courier New" w:cs="Courier New" w:eastAsia="Courier New" w:hAnsi="Courier New"/>
          <w:sz w:val="18"/>
          <w:szCs w:val="18"/>
          <w:color w:val="auto"/>
        </w:rPr>
        <w:t>Pursuant to Rule 424(b)2</w:t>
      </w:r>
    </w:p>
    <w:p>
      <w:pPr>
        <w:ind w:left="4540"/>
        <w:spacing w:after="0"/>
        <w:rPr>
          <w:sz w:val="20"/>
          <w:szCs w:val="20"/>
          <w:color w:val="auto"/>
        </w:rPr>
      </w:pPr>
      <w:r>
        <w:rPr>
          <w:rFonts w:ascii="Courier New" w:cs="Courier New" w:eastAsia="Courier New" w:hAnsi="Courier New"/>
          <w:sz w:val="18"/>
          <w:szCs w:val="18"/>
          <w:color w:val="auto"/>
        </w:rPr>
        <w:t>Registration Statement No. 33-50785</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January 27, 1994)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$250,000,000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CORP. LOGO]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 3/8% SENIOR SUBORDINATED DEBENTURES DUE 2005</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Interest Payable May 15 and November 15</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Debentures are not redeemable prior to May 15, 2000. After May 15, 2000, the Debentures are redeemable, in whole or in part, at the election of Comcast Corporation (the "Company") at the redemption prices set forth herein plus accrued interest to the date of redemption. See "Description of the Debentures."</w:t>
      </w:r>
    </w:p>
    <w:p>
      <w:pPr>
        <w:spacing w:after="0" w:line="209" w:lineRule="exact"/>
        <w:rPr>
          <w:sz w:val="24"/>
          <w:szCs w:val="24"/>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SEE "CERTAIN CONSIDERATIONS" HEREIN AND IN THE ACCOMPANYING PROSPECTUS FOR A DESCRIPTION OF CERTAIN FACTORS THAT SHOULD BE CONSIDERED BY PURCHASERS OF THE DEBENTURES.</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20" w:right="2199" w:hanging="104"/>
        <w:spacing w:after="0" w:line="235"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w:t>
      </w:r>
    </w:p>
    <w:p>
      <w:pPr>
        <w:spacing w:after="0" w:line="6" w:lineRule="exact"/>
        <w:rPr>
          <w:sz w:val="24"/>
          <w:szCs w:val="24"/>
          <w:color w:val="auto"/>
        </w:rPr>
      </w:pPr>
    </w:p>
    <w:p>
      <w:pPr>
        <w:ind w:left="540" w:right="2419" w:hanging="210"/>
        <w:spacing w:after="0" w:line="236" w:lineRule="auto"/>
        <w:rPr>
          <w:sz w:val="20"/>
          <w:szCs w:val="20"/>
          <w:color w:val="auto"/>
        </w:rPr>
      </w:pPr>
      <w:r>
        <w:rPr>
          <w:rFonts w:ascii="Courier New" w:cs="Courier New" w:eastAsia="Courier New" w:hAnsi="Courier New"/>
          <w:sz w:val="18"/>
          <w:szCs w:val="18"/>
          <w:color w:val="auto"/>
        </w:rPr>
        <w:t>SECURITIES AND EXCHANGE COMMISSION OR ANY STATE SECURITIES COMMISSION PASSED UPON THE ACCURACY OR ADEQUACY OF THIS PROSPECTUS SUPPLEMENT OR THE PROSPECTUS. ANY REPRESENTATION TO THE CONTRARY IS A CRIMINAL</w:t>
      </w: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OFFENSE.</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Underwriter has agreed to purchase the Debentures from the Company at</w:t>
      </w:r>
    </w:p>
    <w:p>
      <w:pPr>
        <w:spacing w:after="0" w:line="238" w:lineRule="auto"/>
        <w:rPr>
          <w:sz w:val="20"/>
          <w:szCs w:val="20"/>
          <w:color w:val="auto"/>
        </w:rPr>
      </w:pPr>
      <w:r>
        <w:rPr>
          <w:rFonts w:ascii="Courier New" w:cs="Courier New" w:eastAsia="Courier New" w:hAnsi="Courier New"/>
          <w:sz w:val="18"/>
          <w:szCs w:val="18"/>
          <w:color w:val="auto"/>
        </w:rPr>
        <w:t>98.508% of their principal amount ($246,270,000 aggregate proceeds to the</w:t>
      </w:r>
    </w:p>
    <w:p>
      <w:pPr>
        <w:spacing w:after="0"/>
        <w:rPr>
          <w:sz w:val="20"/>
          <w:szCs w:val="20"/>
          <w:color w:val="auto"/>
        </w:rPr>
      </w:pPr>
      <w:r>
        <w:rPr>
          <w:rFonts w:ascii="Courier New" w:cs="Courier New" w:eastAsia="Courier New" w:hAnsi="Courier New"/>
          <w:sz w:val="18"/>
          <w:szCs w:val="18"/>
          <w:color w:val="auto"/>
        </w:rPr>
        <w:t>Company, before deducting expenses payable by the Company estimated at</w:t>
      </w:r>
    </w:p>
    <w:p>
      <w:pPr>
        <w:spacing w:after="0" w:line="237" w:lineRule="auto"/>
        <w:rPr>
          <w:sz w:val="20"/>
          <w:szCs w:val="20"/>
          <w:color w:val="auto"/>
        </w:rPr>
      </w:pPr>
      <w:r>
        <w:rPr>
          <w:rFonts w:ascii="Courier New" w:cs="Courier New" w:eastAsia="Courier New" w:hAnsi="Courier New"/>
          <w:sz w:val="18"/>
          <w:szCs w:val="18"/>
          <w:color w:val="auto"/>
        </w:rPr>
        <w:t>$100,000), plus accrued interest, if any, from May 23, 1995 to the date of</w:t>
      </w:r>
    </w:p>
    <w:p>
      <w:pPr>
        <w:spacing w:after="0" w:line="238" w:lineRule="auto"/>
        <w:rPr>
          <w:sz w:val="20"/>
          <w:szCs w:val="20"/>
          <w:color w:val="auto"/>
        </w:rPr>
      </w:pPr>
      <w:r>
        <w:rPr>
          <w:rFonts w:ascii="Courier New" w:cs="Courier New" w:eastAsia="Courier New" w:hAnsi="Courier New"/>
          <w:sz w:val="18"/>
          <w:szCs w:val="18"/>
          <w:color w:val="auto"/>
        </w:rPr>
        <w:t>delivery, subject to the terms and conditions as set forth in the Underwriting</w:t>
      </w:r>
    </w:p>
    <w:p>
      <w:pPr>
        <w:spacing w:after="0"/>
        <w:rPr>
          <w:sz w:val="20"/>
          <w:szCs w:val="20"/>
          <w:color w:val="auto"/>
        </w:rPr>
      </w:pPr>
      <w:r>
        <w:rPr>
          <w:rFonts w:ascii="Courier New" w:cs="Courier New" w:eastAsia="Courier New" w:hAnsi="Courier New"/>
          <w:sz w:val="18"/>
          <w:szCs w:val="18"/>
          <w:color w:val="auto"/>
        </w:rPr>
        <w:t>Agreement.</w:t>
      </w:r>
    </w:p>
    <w:p>
      <w:pPr>
        <w:spacing w:after="0" w:line="206" w:lineRule="exact"/>
        <w:rPr>
          <w:sz w:val="24"/>
          <w:szCs w:val="24"/>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Underwriter proposes to offer the Debentures from time to time for sale in one or more negotiated transactions, or otherwise, at market prices prevailing at the time of sale, at prices related to such prevailing market prices or at negotiated prices. For further information with respect to the plan of distribution and any discounts, commissions or profits on resale that may be deemed underwriting discounts or commissions, see "Underwriting" herein.</w:t>
      </w:r>
    </w:p>
    <w:p>
      <w:pPr>
        <w:ind w:left="2740"/>
        <w:spacing w:after="0" w:line="234"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Debentures offered by this Prospectus Supplement are offered by the Underwriter subject to prior sale, withdrawal, cancellation or modification of this offer without notice, to delivery to and acceptance by the Underwriter and to certain further conditions. It is expected that delivery of the Debentures will be made at the offices of Lehman Brothers Inc., New York, New York, on or about May 23, 1995.</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LEHMAN BROTHERS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16, 1995</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CERTAIN CONSIDERATIONS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Recent and Anticipated Losses; Increasing Stockholders' Deficiency. In recent years, the Company has experienced significant growth, principally through acquisitions. The effect of these acquisitions on the Company's results of operations has been and will be to significantly increase the Company's revenues and expenses. In addition, the Company will continue to have substantial losses for the foreseeable future as a result of additional depreciation and amortization and interest expense resulting from these acquisitions. Losses before extraordinary items and cumulative effect of accounting changes in 1992, 1993, 1994 and for the three months ended March 31, 1994 and 1995 were $217,935,000, $98,871,000, $75,325,000, $15,777,000 and $628,000, respectively. As a result of these losses and the effects of extraordinary items and the cumulative effect of accounting changes, the Company had a stockholders' deficiency at March 31, 1995 of $726,216,000. It is anticipated that this stockholders' deficiency will increase in future periods. It is not expected that the stockholders' deficiency will significantly affect the way the Company does business or its ability to obtain financing.</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realized operating income before depreciation and amortization (commonly referred to in the Company's businesses as "operating cash flow") of $397,153,000, $606,396,000, $576,256,000, $141,520,000 and $217,196,000 for the years ended December 31, 1992, 1993, 1994 and for the three months ended March 31, 1994 and 1995, respectively. As a result of the Company's operating income before depreciation and amortization, its existing cash balances, lines of credit and other financing resources, the Company believes that it will meet its current and long-term liquidity and capital requirements, including fixed charges.</w:t>
      </w: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Factors Affecting Future Operations. The cable communications and cellular telephone communications industries, as well as the Company's electronic retailing operations, may be affected by, among other things, (i) changes in government law and regulation, (ii) changes in the competitive environment,</w:t>
      </w:r>
    </w:p>
    <w:p>
      <w:pPr>
        <w:spacing w:after="0" w:line="1" w:lineRule="exact"/>
        <w:rPr>
          <w:sz w:val="20"/>
          <w:szCs w:val="20"/>
          <w:color w:val="auto"/>
        </w:rPr>
      </w:pPr>
    </w:p>
    <w:p>
      <w:pPr>
        <w:ind w:right="1779" w:firstLine="8"/>
        <w:spacing w:after="0" w:line="235"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technology and (iv) market conditions that may adversely affect the availability of debt and equity financing.</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Corporation is engaged principally in the development, management and operation of wired telecommunications including cable television and telephone services; wireless telecommunications including cellular, personal communications services and direct to home satellite television; and content through its principal ownership of QVC, Inc. and other programming investments. The Company's consolidated and affiliated operations serve over eight million customers worldwide.</w:t>
      </w:r>
    </w:p>
    <w:p>
      <w:pPr>
        <w:spacing w:after="0" w:line="211"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Company was organized in 1969 under the laws of the Commonwealth of Pennsylvania and has its principal executive offices at 1500 Market Street, Philadelphia, Pennsylvania, 19102-2148 (215-665-1700).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net proceeds to the Company from this offering are estimated to be $246,170,000. The Company anticipates that the net proceeds will be used for working capital and general corporate purposes, including the refinancing of existing debt. The existing debt to be refinanced will be determined by management. For the three months ended March 31, 1995, the weighted average interest rate on the Company's indebtedness was approximately 8.25% per annum. Pending such application of the proceeds, the Company will invest the proceeds of this offering in certificates of deposit, United States governmental securities or certain other interest-bearing securities.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THE DEBENTURES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description of the Debentures offered hereby (referred to herein as the "Debentures" and in the accompanying Prospectus as the "Offered Debentures") supplements, and to the extent inconsistent therewith supersedes, the description of the general terms and provisions of the Debentures and the Offered Debentures set forth in the accompanying Prospectus, to which description reference is hereby made.</w:t>
      </w:r>
    </w:p>
    <w:p>
      <w:pPr>
        <w:spacing w:after="0" w:line="21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Debentures are limited to $250,000,000 aggregate principal amount at maturity. The Debentures will mature on May 15, 2005.</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Debentures will bear interest from the date of issuance at a rate of</w:t>
      </w:r>
    </w:p>
    <w:p>
      <w:pPr>
        <w:spacing w:after="0" w:line="238" w:lineRule="auto"/>
        <w:rPr>
          <w:sz w:val="20"/>
          <w:szCs w:val="20"/>
          <w:color w:val="auto"/>
        </w:rPr>
      </w:pPr>
      <w:r>
        <w:rPr>
          <w:rFonts w:ascii="Courier New" w:cs="Courier New" w:eastAsia="Courier New" w:hAnsi="Courier New"/>
          <w:sz w:val="18"/>
          <w:szCs w:val="18"/>
          <w:color w:val="auto"/>
        </w:rPr>
        <w:t>9 3/8% per annum, payable semi-annually on May 15 and November 15 of each year,</w:t>
      </w:r>
    </w:p>
    <w:p>
      <w:pPr>
        <w:spacing w:after="0"/>
        <w:rPr>
          <w:sz w:val="20"/>
          <w:szCs w:val="20"/>
          <w:color w:val="auto"/>
        </w:rPr>
      </w:pPr>
      <w:r>
        <w:rPr>
          <w:rFonts w:ascii="Courier New" w:cs="Courier New" w:eastAsia="Courier New" w:hAnsi="Courier New"/>
          <w:sz w:val="18"/>
          <w:szCs w:val="18"/>
          <w:color w:val="auto"/>
        </w:rPr>
        <w:t>commencing November 15, 1995, to the person in whose name each Debenture was</w:t>
      </w:r>
    </w:p>
    <w:p>
      <w:pPr>
        <w:spacing w:after="0" w:line="237" w:lineRule="auto"/>
        <w:rPr>
          <w:sz w:val="20"/>
          <w:szCs w:val="20"/>
          <w:color w:val="auto"/>
        </w:rPr>
      </w:pPr>
      <w:r>
        <w:rPr>
          <w:rFonts w:ascii="Courier New" w:cs="Courier New" w:eastAsia="Courier New" w:hAnsi="Courier New"/>
          <w:sz w:val="18"/>
          <w:szCs w:val="18"/>
          <w:color w:val="auto"/>
        </w:rPr>
        <w:t>registered at the close of business on the preceding May 1 and November 1</w:t>
      </w:r>
    </w:p>
    <w:p>
      <w:pPr>
        <w:spacing w:after="0" w:line="238" w:lineRule="auto"/>
        <w:rPr>
          <w:sz w:val="20"/>
          <w:szCs w:val="20"/>
          <w:color w:val="auto"/>
        </w:rPr>
      </w:pPr>
      <w:r>
        <w:rPr>
          <w:rFonts w:ascii="Courier New" w:cs="Courier New" w:eastAsia="Courier New" w:hAnsi="Courier New"/>
          <w:sz w:val="18"/>
          <w:szCs w:val="18"/>
          <w:color w:val="auto"/>
        </w:rPr>
        <w:t>respectively, subject to certain exceptions. There is no provision for a sinking</w:t>
      </w:r>
    </w:p>
    <w:p>
      <w:pPr>
        <w:spacing w:after="0"/>
        <w:rPr>
          <w:sz w:val="20"/>
          <w:szCs w:val="20"/>
          <w:color w:val="auto"/>
        </w:rPr>
      </w:pPr>
      <w:r>
        <w:rPr>
          <w:rFonts w:ascii="Courier New" w:cs="Courier New" w:eastAsia="Courier New" w:hAnsi="Courier New"/>
          <w:sz w:val="18"/>
          <w:szCs w:val="18"/>
          <w:color w:val="auto"/>
        </w:rPr>
        <w:t>fund.</w:t>
      </w:r>
    </w:p>
    <w:p>
      <w:pPr>
        <w:spacing w:after="0" w:line="206"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The Debentures contain no covenants or other provisions to afford protection to holders of Debentures in the event of a highly leveraged transaction or a change in control of the Company.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Debentures are not redeemable prior to May 15, 2000. After May 15, 2000, the Debentures are redeemable, in whole or in part, at the election of the Company at the following respective percentages of the principal amount thereof if redeemed during the twelve-month period beginning May 15 of the years indicated, together, in each case, with interest accrued to the date fixed for redemption: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5800" w:type="dxa"/>
            <w:vAlign w:val="bottom"/>
          </w:tcPr>
          <w:p>
            <w:pPr>
              <w:ind w:left="2320"/>
              <w:spacing w:after="0"/>
              <w:rPr>
                <w:sz w:val="20"/>
                <w:szCs w:val="20"/>
                <w:color w:val="auto"/>
              </w:rPr>
            </w:pPr>
            <w:r>
              <w:rPr>
                <w:rFonts w:ascii="Courier New" w:cs="Courier New" w:eastAsia="Courier New" w:hAnsi="Courier New"/>
                <w:sz w:val="18"/>
                <w:szCs w:val="18"/>
                <w:color w:val="auto"/>
              </w:rPr>
              <w:t>YEAR</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w w:val="96"/>
              </w:rPr>
              <w:t>PERCENTAGE</w:t>
            </w: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gridSpan w:val="2"/>
          </w:tcPr>
          <w:p>
            <w:pPr>
              <w:spacing w:after="0"/>
              <w:rPr>
                <w:sz w:val="20"/>
                <w:szCs w:val="20"/>
                <w:color w:val="auto"/>
              </w:rPr>
            </w:pPr>
            <w:r>
              <w:rPr>
                <w:rFonts w:ascii="Courier New" w:cs="Courier New" w:eastAsia="Courier New" w:hAnsi="Courier New"/>
                <w:sz w:val="18"/>
                <w:szCs w:val="18"/>
                <w:color w:val="auto"/>
                <w:w w:val="98"/>
              </w:rPr>
              <w:t>2000.......................................................</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104.688%</w:t>
            </w: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102.344%</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or thereafter.........................................</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CONCERNING THE TRUSTEE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Harris Trust and Savings Bank ("Harris Trust"), as successor trustee of Morgan Guaranty Trust Company of New York, is the trustee under the Senior Subordinated Indenture under which the Debentures offered hereby will be issued and under which the Company's 10 1/4% Senior Subordinated Debentures Due 2001, 10 5/8% Senior Subordinated Debentures Due 2012 and 9 1/2% Senior Subordinated Debentures Due 2008 have been issued. The Company has initially designated the principal office of Bank of Montreal Trust Company, an affiliate of Harris Trust, as registrar and paying agent under the Senior Subordinated Indenture.</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Under the terms and subject to the conditions contained in the Underwriting Agreement dated as of May 16, 1995, Lehman Brothers Inc., as Underwriter, has agreed with the Company to purchase from the Company the aggregate principal amount of Debentures set forth on the cover page of this Prospectus Supplement.</w:t>
      </w:r>
    </w:p>
    <w:p>
      <w:pPr>
        <w:spacing w:after="0" w:line="18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Underwriting Agreement provides that the obligation of the Underwriter to purchase the Debentures is subject to the approval of certain legal matters by counsel and to certain other conditions set forth therein. The Underwriter is obligated to take and pay for all the Debentures if any are taken.</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Debentures are a new issue of securities with no established trading market. The Company has been advised by the Underwriter that it intends to make a market in the Debentures but that it 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not obligated to do so and it may discontinue market making at any time without notice. No assurance can be given as to the liquidity of the trading market for the Debentures.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distribution of the Debentures by the Underwriter is being effected from time to time in negotiated transactions or otherwise at market prices prevailing at the time of sale, at prices related to such prevailing market prices or at negotiated prices. In connection with the sale of any Debentures, the Underwriter may be deemed to have received compensation from the Company equal to the difference between the amount received by the Underwriter upon the sale of such Debentures and the price at which the Underwriter purchased such Debentures from the Company. In addition, the Underwriter may sell Debentures to or through certain dealers, and dealers may receive compensation in the form of underwriting discounts, concessions or commissions from the Underwriter and/or any purchasers of Debentures for whom they may act as agent (which compensation may be in excess of customary commissions). The Underwriter may also receive compensation from the purchasers of Debentures for whom it may act as agent.</w:t>
      </w:r>
    </w:p>
    <w:p>
      <w:pPr>
        <w:spacing w:after="0" w:line="3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has agreed to indemnify the Underwriter against and contribute toward certain liabilities, including liabilities under the Securities Act of 1933, as amended.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financial statements and the related financial statement schedule of the Company and subsidiaries as of December 31, 1994 and 1993 and for each of the three years in the period ended December 31, 1994, included in the Annual Report on Form 10-K of the Company and incorporated by reference in the accompanying 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 The financial statements of Storer Communications, Inc. for the year ended December 31, 1992, incorporated by reference in the Annual Report on Form 10-K of the Company, has been incorporated by reference therein in reliance upon the report of KPMG Peat Marwick LLP, independent certified public accountants, incorporated by reference in the accompanying prospectus, and upon the authority of said firm as experts in accounting and auditing. The financial statements of QVC, Inc. (formerly, QVC Network, Inc.) as of January 31, 1995 and 1994 and for each of the years in the three year period ended January 31, 1995, included in the Current Report on Form 8-K of the Company filed on April 25, 1995 and incorporated by reference in the accompanying prospectus, have been audited by KPMG Peat Marwick LLP, independent certified public accountants, as indicated in their report with respect thereto and have been so incorporated in reliance upon the authority of said firm as experts in auditing and accounting. The financial statements for Comcast MHCP Holdings, L.L.C. and subsidiaries as of December 31, 1994 and for the periods from January 1, 1994 to December 21, 1994 and from December 22, 1994 to December 31, 1994, included in the Current Report on Form 8-K of the Company filed on April 25, 1995 and incorporated by reference in the accompanying 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 The financial statements for the predecessor corporation to Comcast MHCP Holdings, L.L.C. and subsidiaries, being the U.S. Cable Television Operations of Maclean Hunter, Inc., as of December 31, 1993 and for the years ended December 31, 1993 and 1992, included in the Current Report on Form 8-K of the Company filed on April 25, 1995 and incorporated by reference in the accompanying prospectus, have been audited by Ernst &amp; Young, Chartered Accountants, as indicated in their report, which is incorporated herein by reference, and have been so incorporated in reliance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[COMCAST CORP. LOGO]</w:t>
      </w:r>
    </w:p>
    <w:p>
      <w:pPr>
        <w:spacing w:after="0" w:line="207" w:lineRule="exact"/>
        <w:rPr>
          <w:sz w:val="20"/>
          <w:szCs w:val="20"/>
          <w:color w:val="auto"/>
        </w:rPr>
      </w:pPr>
    </w:p>
    <w:p>
      <w:pPr>
        <w:jc w:val="center"/>
        <w:ind w:right="1899"/>
        <w:spacing w:after="0" w:line="236" w:lineRule="auto"/>
        <w:rPr>
          <w:sz w:val="20"/>
          <w:szCs w:val="20"/>
          <w:color w:val="auto"/>
        </w:rPr>
      </w:pPr>
      <w:r>
        <w:rPr>
          <w:rFonts w:ascii="Courier New" w:cs="Courier New" w:eastAsia="Courier New" w:hAnsi="Courier New"/>
          <w:sz w:val="18"/>
          <w:szCs w:val="18"/>
          <w:color w:val="auto"/>
        </w:rPr>
        <w:t>SENIOR DEBENTURES, SENIOR SUBORDINATED DEBENTURES, SUBORDINATED DEBENTURES, PREFERRED STOCK, CLASS A SPECIAL COMMON STOCK, CLASS A COMMON STOCK AND WARRANTS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Corporation (the "Company") may offer and issue from time to time</w:t>
      </w:r>
    </w:p>
    <w:p>
      <w:pPr>
        <w:spacing w:after="0" w:line="4" w:lineRule="exact"/>
        <w:rPr>
          <w:sz w:val="20"/>
          <w:szCs w:val="20"/>
          <w:color w:val="auto"/>
        </w:rPr>
      </w:pPr>
    </w:p>
    <w:p>
      <w:pPr>
        <w:ind w:right="1779" w:firstLine="8"/>
        <w:spacing w:after="0" w:line="26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senior debentures ("Senior Debentures"), senior subordinated debentures ("Senior Subordinated Debentures"), and subordinated debentures ("Subordinated Debentures") (collectively, the "Debentures"), (ii) shares of its Preferred Stock, no par value, which may be represented by depositary shares as described herein (the "Preferred Stock"), (iii) shares of its Class A Special Common Stock, par value $1.00 per share (the "Class A Special Common Stock"), (iv) shares of its Class A Common Stock, par value $1.00 per share (the "Class A Common Stock") or (v) Warrants to purchase Debentures, Preferred Stock, Class A Special Common Stock or Class A Common Stock or other securities or rights (the "Warrants"). The Debentures, Preferred Stock, Class A Special Common Stock, Class A Common Stock and Warrants are herein collectively referred to as the "Securities". The Securities may be offered in one or more separate classes or series, in amounts, at prices and on terms to be determined by market conditions at the time of sale and to be set forth in a supplement or supplements to this Prospectus (a "Prospectus Supplement"). Any Securities may be offered with other Securities or separately. Securities may be sold for U.S. dollars, foreign currency or currency units; amounts payable with respect to any Securities may likewise be payable in U.S. dollars, foreign currency or currency units -- in each case, as the Company designates. Debentures and Preferred Stock may be convertible and/or exchangeable for Securities or other securities or rights.</w:t>
      </w:r>
    </w:p>
    <w:p>
      <w:pPr>
        <w:spacing w:after="0" w:line="39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Certain terms of any Debentures in respect of which this Prospectus is being delivered will be set forth in the accompanying Prospectus Supplement including, where applicable, the specific designation (including whether senior, senior subordinated or subordinated and whether or not convertible and/or exchangeable), aggregate principal amount, purchase price, maturity, interest rate and time of payment of interest (if any), terms (if any) for the redemption, conversion or exchange thereof, listing (if any) on a securities exchange and any other specific terms of the Debentures. Certain terms of any Preferred Stock in respect of which this Prospectus is being delivered will be set forth in the accompanying Prospectus Supplement, including the specific designation, number of shares, purchase price and the rights, preferences and privileges thereof and any qualifications or restrictions thereon (including dividends, liquidation value, voting rights, terms for the redemption, conversion or exchange thereof and any other specific terms of the Preferred Stock), listing (if any) on a securities exchange and whether the Company has elected to offer the Preferred Stock in the form of depositary shares. Certain terms of any Warrants in respect of which this Prospectus is being delivered will be set forth in the accompanying Prospectus Supplement, including the specific designation, the number, purchase price and terms thereof, any listing of the Warrants or the underlying securities on a securities exchange and any other terms in connection with the offering, sale and exercise of the Warrants, as well as the terms on which and the securities for which such Warrants may be exercised.</w:t>
      </w:r>
    </w:p>
    <w:p>
      <w:pPr>
        <w:spacing w:after="0" w:line="211"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See "Certain Considerations" for information that should be considered by prospective investors.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Securities may be sold on a negotiated or competitive bid basis to or through underwriters or dealers designated from time to time or to other purchasers directly or through agents designated from time to time. Certain terms of the offering and sale of the Securities, including, where applicable, the names of the underwriters, dealers or agents, if any, the principal amount or number of shares or Warrants to be purchased, the purchase price of the Securities and the proceeds to the Company from such sale, and any applicable commissions, discounts and other items constituting compensation of such underwriters, dealers or agents, will also be set forth in the accompanying Prospectus Supplement.</w:t>
      </w: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999"/>
        <w:spacing w:after="0" w:line="236"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w:t>
      </w:r>
    </w:p>
    <w:p>
      <w:pPr>
        <w:spacing w:after="0" w:line="6" w:lineRule="exact"/>
        <w:rPr>
          <w:sz w:val="20"/>
          <w:szCs w:val="20"/>
          <w:color w:val="auto"/>
        </w:rPr>
      </w:pPr>
    </w:p>
    <w:p>
      <w:pPr>
        <w:jc w:val="center"/>
        <w:ind w:right="2079"/>
        <w:spacing w:after="0" w:line="236" w:lineRule="auto"/>
        <w:rPr>
          <w:sz w:val="20"/>
          <w:szCs w:val="20"/>
          <w:color w:val="auto"/>
        </w:rPr>
      </w:pPr>
      <w:r>
        <w:rPr>
          <w:rFonts w:ascii="Courier New" w:cs="Courier New" w:eastAsia="Courier New" w:hAnsi="Courier New"/>
          <w:sz w:val="18"/>
          <w:szCs w:val="18"/>
          <w:color w:val="auto"/>
        </w:rPr>
        <w:t>COMMISSION PASSED ON THE ACCURACY OR ADEQUACY OF THIS PROSPECTUS. ANY REPRESENTATION TO THE CONTRARY IS A CRIMINAL OFFENSE.</w:t>
      </w:r>
    </w:p>
    <w:p>
      <w:pPr>
        <w:sectPr>
          <w:pgSz w:w="11900" w:h="16838" w:orient="portrait"/>
          <w:cols w:equalWidth="0" w:num="1">
            <w:col w:w="10219"/>
          </w:cols>
          <w:pgMar w:left="240" w:top="312" w:right="1440" w:bottom="0" w:gutter="0" w:footer="0" w:header="0"/>
        </w:sectPr>
      </w:pPr>
    </w:p>
    <w:bookmarkStart w:id="5" w:name="page6"/>
    <w:bookmarkEnd w:id="5"/>
    <w:p>
      <w:pPr>
        <w:ind w:left="14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DATE OF THIS PROSPECTUS IS JANUARY 27, 1994</w:t>
      </w:r>
    </w:p>
    <w:p>
      <w:pPr>
        <w:sectPr>
          <w:pgSz w:w="11900" w:h="16838" w:orient="portrait"/>
          <w:cols w:equalWidth="0" w:num="1">
            <w:col w:w="9019"/>
          </w:cols>
          <w:pgMar w:left="1440" w:top="339"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CONNECTION WITH THIS OFFERING, THE UNDERWRITERS, IF ANY, MAY OVER-ALLOT OR EFFECT TRANSACTIONS WHICH STABILIZE OR MAINTAIN THE MARKET PRICES OF THE SECURITIES AT LEVELS ABOVE THOSE WHICH MIGHT OTHERWISE PREVAIL IN THE OPEN MARKET. SUCH TRANSACTIONS MAY BE EFFECTED IN THE OVER-THE-COUNTER MARKET OR OTHERWISE. SUCH STABILIZING, IF COMMENCED, MAY BE DISCONTINUED AT ANY TIME.</w:t>
      </w:r>
    </w:p>
    <w:p>
      <w:pPr>
        <w:spacing w:after="0" w:line="1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incorporates by reference the following documents heretofore filed with the Securities and Exchange Commission (the "Commission") pursuant to the Securities Exchange Act of 1934, as amended (the "Exchange Act"):</w:t>
      </w:r>
    </w:p>
    <w:p>
      <w:pPr>
        <w:spacing w:after="0" w:line="209" w:lineRule="exact"/>
        <w:rPr>
          <w:sz w:val="20"/>
          <w:szCs w:val="20"/>
          <w:color w:val="auto"/>
        </w:rPr>
      </w:pPr>
    </w:p>
    <w:p>
      <w:pPr>
        <w:ind w:left="1160" w:right="1999" w:hanging="309"/>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of the Company on Form 10-K for the fiscal year ended December 31, 1992, including Exhibit 28(1) thereto.</w:t>
      </w:r>
    </w:p>
    <w:p>
      <w:pPr>
        <w:spacing w:after="0" w:line="208" w:lineRule="exact"/>
        <w:rPr>
          <w:rFonts w:ascii="Courier New" w:cs="Courier New" w:eastAsia="Courier New" w:hAnsi="Courier New"/>
          <w:sz w:val="18"/>
          <w:szCs w:val="18"/>
          <w:color w:val="auto"/>
        </w:rPr>
      </w:pPr>
    </w:p>
    <w:p>
      <w:pPr>
        <w:ind w:left="1160" w:right="1879" w:hanging="309"/>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of the Company on Form 10-Q for the quarters ended March 31, 1993, June 30, 1993 and September 30, 1993.</w:t>
      </w:r>
    </w:p>
    <w:p>
      <w:pPr>
        <w:spacing w:after="0" w:line="208" w:lineRule="exact"/>
        <w:rPr>
          <w:rFonts w:ascii="Courier New" w:cs="Courier New" w:eastAsia="Courier New" w:hAnsi="Courier New"/>
          <w:sz w:val="18"/>
          <w:szCs w:val="18"/>
          <w:color w:val="auto"/>
        </w:rPr>
      </w:pPr>
    </w:p>
    <w:p>
      <w:pPr>
        <w:ind w:left="1160" w:right="1779" w:hanging="309"/>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of the Company on Form 8-K filed on January 15, 1993, September 15, 1993 and November 15, 1993.</w:t>
      </w:r>
    </w:p>
    <w:p>
      <w:pPr>
        <w:spacing w:after="0" w:line="208" w:lineRule="exact"/>
        <w:rPr>
          <w:rFonts w:ascii="Courier New" w:cs="Courier New" w:eastAsia="Courier New" w:hAnsi="Courier New"/>
          <w:sz w:val="18"/>
          <w:szCs w:val="18"/>
          <w:color w:val="auto"/>
        </w:rPr>
      </w:pPr>
    </w:p>
    <w:p>
      <w:pPr>
        <w:ind w:left="1160" w:right="1779" w:hanging="309"/>
        <w:spacing w:after="0" w:line="236"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the Company's Class A Special Common Stock contained in a Registration Statement of the Company on Form 8-A dated November 4, 1986.</w:t>
      </w:r>
    </w:p>
    <w:p>
      <w:pPr>
        <w:spacing w:after="0" w:line="208" w:lineRule="exact"/>
        <w:rPr>
          <w:rFonts w:ascii="Courier New" w:cs="Courier New" w:eastAsia="Courier New" w:hAnsi="Courier New"/>
          <w:sz w:val="18"/>
          <w:szCs w:val="18"/>
          <w:color w:val="auto"/>
        </w:rPr>
      </w:pPr>
    </w:p>
    <w:p>
      <w:pPr>
        <w:ind w:left="1160" w:right="2199" w:hanging="309"/>
        <w:spacing w:after="0" w:line="236"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the Company's Class A Common Stock contained in a Registration Statement of the Company on Form 8-A dated April 14, 1973.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after the date of this Prospectus and prior to the termination of the offering hereby shall be deemed to be incorporated by reference in this Prospectus and to be a part hereof from the date of filing such documents. Any statement contained herein or in a document incorporated by reference herein shall be deemed to be modified or superseded for purposes hereof to the extent that a statement contained herein or in a supplement or amendment hereto (or in any subsequently filed document which also is incorporated by reference herein) modifies or supersedes such statement. Any statement so modified or superseded shall not be deemed to constitute a part hereof except as so modified or superseded.</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including any beneficial owner, to whom a Prospectus is delivered, on the written or oral request of any such person, a copy of any or all of the documents incorporated herein by reference, other than exhibits to such documents unless specifically incorporated by reference into the information that the prospectus incorporates. Such written requests should be addressed as follows:</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Comcast Corporation</w:t>
      </w:r>
    </w:p>
    <w:p>
      <w:pPr>
        <w:ind w:left="2000"/>
        <w:spacing w:after="0" w:line="238" w:lineRule="auto"/>
        <w:rPr>
          <w:sz w:val="20"/>
          <w:szCs w:val="20"/>
          <w:color w:val="auto"/>
        </w:rPr>
      </w:pPr>
      <w:r>
        <w:rPr>
          <w:rFonts w:ascii="Courier New" w:cs="Courier New" w:eastAsia="Courier New" w:hAnsi="Courier New"/>
          <w:sz w:val="18"/>
          <w:szCs w:val="18"/>
          <w:color w:val="auto"/>
        </w:rPr>
        <w:t>1234 Market Street</w:t>
      </w:r>
    </w:p>
    <w:p>
      <w:pPr>
        <w:ind w:left="2000"/>
        <w:spacing w:after="0"/>
        <w:rPr>
          <w:sz w:val="20"/>
          <w:szCs w:val="20"/>
          <w:color w:val="auto"/>
        </w:rPr>
      </w:pPr>
      <w:r>
        <w:rPr>
          <w:rFonts w:ascii="Courier New" w:cs="Courier New" w:eastAsia="Courier New" w:hAnsi="Courier New"/>
          <w:sz w:val="18"/>
          <w:szCs w:val="18"/>
          <w:color w:val="auto"/>
        </w:rPr>
        <w:t>Philadelphia, Pennsylvania 19107-3723</w:t>
      </w:r>
    </w:p>
    <w:p>
      <w:pPr>
        <w:ind w:left="2000"/>
        <w:spacing w:after="0" w:line="237" w:lineRule="auto"/>
        <w:rPr>
          <w:sz w:val="20"/>
          <w:szCs w:val="20"/>
          <w:color w:val="auto"/>
        </w:rPr>
      </w:pPr>
      <w:r>
        <w:rPr>
          <w:rFonts w:ascii="Courier New" w:cs="Courier New" w:eastAsia="Courier New" w:hAnsi="Courier New"/>
          <w:sz w:val="18"/>
          <w:szCs w:val="18"/>
          <w:color w:val="auto"/>
        </w:rPr>
        <w:t>Attention: John R. Alchin, Senior Vice President and</w:t>
      </w:r>
    </w:p>
    <w:p>
      <w:pPr>
        <w:ind w:left="3060"/>
        <w:spacing w:after="0" w:line="238" w:lineRule="auto"/>
        <w:rPr>
          <w:sz w:val="20"/>
          <w:szCs w:val="20"/>
          <w:color w:val="auto"/>
        </w:rPr>
      </w:pPr>
      <w:r>
        <w:rPr>
          <w:rFonts w:ascii="Courier New" w:cs="Courier New" w:eastAsia="Courier New" w:hAnsi="Courier New"/>
          <w:sz w:val="18"/>
          <w:szCs w:val="18"/>
          <w:color w:val="auto"/>
        </w:rPr>
        <w:t>Treasurer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subject to the informational requirements of the Exchange Act and in accordance therewith files reports, proxy and information statements and other information with the Commission. Such reports, proxy and information statements and other information can be inspected and copied at the public reference facilities maintained by the Commission at Room 1024, 450 Fifth Street, N.W., Washington, D.C. 20549, and at the Commission's Regional Offices located at Suite 1400, 500 West Madison Street, Chicago, Illinois 60661 and 7 World Trade Center, New York, New York 10048, and copies of such materials can be obtained from the Public Reference Section of the Commission, Washington, D.C. 20549, at prescribed rates.</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Prospectus constitutes a part of a Registration Statement on Form S-3 (the "Registration Statement") filed by the Company with the Commission under the Securities Act of 1933 (the "Securities Act"). This Prospectus omits certain of the information contained in the Registration Statement in accordance with the rules and regulations of the Commission. Reference is hereby made to the Registration Statement and related exhibits for further information with respect to the Company and the Securities. Statements contained herein concerning the provisions of any document are not necessarily complete and, in each instance, reference is made to the copy of such document filed as an exhibit to the Registration Statement or otherwise filed with the Commission. Each such statement is qualified in its entirety by such reference.</w:t>
      </w:r>
    </w:p>
    <w:p>
      <w:pPr>
        <w:spacing w:after="0" w:line="38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DEALER, SALESMAN OR ANY OTHER PERSON HAS BEEN AUTHORIZED TO GIVE ANY INFORMATION OR TO MAKE ANY REPRESENTATIONS OTHER THAN THOSE CONTAINED OR INCORPORATED BY REFERENCE IN THIS PROSPECTUS IN CONNECTION WITH THE OFFERING DESCRIBED HEREIN, AND IF GIVEN OR MADE, SUCH INFORMATION OR REPRESENTATIONS MUST NOT BE RELIED UPON AS HAVING BEEN AUTHORIZED BY THE COMPANY OR ANY OTHER PERSON. THIS PROSPECTUS DOES NOT CONSTITUTE AN OFFER TO SELL, OR A SOLICITATION OF AN OFFER TO BUY, ANY SECURITIES OTHER THAN THOSE SPECIFICALLY OFFERED HEREBY OR ANY SECURITIES OFFERED HEREBY IN ANY JURISDICTION TO ANY PERSON TO WHOM IT IS UNLAWFUL TO MAKE AN OFFER OR SOLICITATION IN SUCH JURISDICTION. NEITHER THE DELIVERY OF THIS PROSPECTUS NOR ANY SALE MADE HEREUNDER SHALL, UNDER ANY CIRCUMSTANCES, CREATE ANY IMPLICATION THAT THE INFORMATION HEREIN IS CORRECT AS OF ANY TIME SUBSEQUENT TO ITS DATE.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principally engaged in the development, management and operation of cable and cellular communications systems. The Company's consolidated and affiliated cable operations served more than 2,645,000 subscribers and passed approximately 4,280,000 homes at September 30, 1993. In addition, the Company owns 19.9% of Heritage Communications, Inc., a cable communications company serving approximately 1,000,000 subscribers and passing approximately 1,700,000 homes, and 40% of Garden State Cablevision L.P. ("Garden State"), a cable communications company serving approximately 190,000 subscribers and passing approximately 283,000 homes. The Company operates cellular telephone systems pursuant to licenses granted by the Federal Communications Commission ("FCC") for geographic markets in portions of Pennsylvania, New Jersey, Delaware and Illinois. The portion of the total population in the localities served by these cellular systems attributable to the Company's ownership interests is approximately 7,400,000 (based upon the 1993 Rand McNally Commercial Atlas and Marketing Guide).</w:t>
      </w:r>
    </w:p>
    <w:p>
      <w:pPr>
        <w:spacing w:after="0" w:line="208"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Company, organized in 1969 under the laws of the Commonwealth of Pennsylvania, has its principal executive offices at 1234 Market Street, Philadelphia, Pennsylvania, 19107-3723 (215-665-1700).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CERTAIN CONSIDERATIONS</w:t>
      </w:r>
    </w:p>
    <w:p>
      <w:pPr>
        <w:spacing w:after="0" w:line="201" w:lineRule="exact"/>
        <w:rPr>
          <w:sz w:val="20"/>
          <w:szCs w:val="20"/>
          <w:color w:val="auto"/>
        </w:rPr>
      </w:pPr>
    </w:p>
    <w:p>
      <w:pPr>
        <w:ind w:left="540"/>
        <w:spacing w:after="0"/>
        <w:tabs>
          <w:tab w:leader="none" w:pos="7260" w:val="left"/>
        </w:tabs>
        <w:rPr>
          <w:sz w:val="20"/>
          <w:szCs w:val="20"/>
          <w:color w:val="auto"/>
        </w:rPr>
      </w:pPr>
      <w:r>
        <w:rPr>
          <w:rFonts w:ascii="Courier New" w:cs="Courier New" w:eastAsia="Courier New" w:hAnsi="Courier New"/>
          <w:sz w:val="18"/>
          <w:szCs w:val="18"/>
          <w:color w:val="auto"/>
        </w:rPr>
        <w:t>Recent and Anticipated Losses; Increasing Negative Book Value.</w:t>
      </w:r>
      <w:r>
        <w:rPr>
          <w:sz w:val="20"/>
          <w:szCs w:val="20"/>
          <w:color w:val="auto"/>
        </w:rPr>
        <w:tab/>
      </w:r>
      <w:r>
        <w:rPr>
          <w:rFonts w:ascii="Courier New" w:cs="Courier New" w:eastAsia="Courier New" w:hAnsi="Courier New"/>
          <w:sz w:val="16"/>
          <w:szCs w:val="16"/>
          <w:color w:val="auto"/>
        </w:rPr>
        <w:t>In recent</w:t>
      </w:r>
    </w:p>
    <w:p>
      <w:pPr>
        <w:spacing w:after="0" w:line="238" w:lineRule="auto"/>
        <w:rPr>
          <w:sz w:val="20"/>
          <w:szCs w:val="20"/>
          <w:color w:val="auto"/>
        </w:rPr>
      </w:pPr>
      <w:r>
        <w:rPr>
          <w:rFonts w:ascii="Courier New" w:cs="Courier New" w:eastAsia="Courier New" w:hAnsi="Courier New"/>
          <w:sz w:val="18"/>
          <w:szCs w:val="18"/>
          <w:color w:val="auto"/>
        </w:rPr>
        <w:t>years, the Company has experienced significant growth, principally through</w:t>
      </w:r>
    </w:p>
    <w:p>
      <w:pPr>
        <w:spacing w:after="0"/>
        <w:rPr>
          <w:sz w:val="20"/>
          <w:szCs w:val="20"/>
          <w:color w:val="auto"/>
        </w:rPr>
      </w:pPr>
      <w:r>
        <w:rPr>
          <w:rFonts w:ascii="Courier New" w:cs="Courier New" w:eastAsia="Courier New" w:hAnsi="Courier New"/>
          <w:sz w:val="18"/>
          <w:szCs w:val="18"/>
          <w:color w:val="auto"/>
        </w:rPr>
        <w:t>acquisitions. The effect of these acquisitions on the Company's results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has been and will be to increase significantly the Company's service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and expenses and is expected to result in substantial losses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foreseeable future. Losses before extraordinary items and the cumulative effect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accounting changes in 1990, 1991 and 1992 and for the nine months ended</w:t>
      </w:r>
    </w:p>
    <w:p>
      <w:pPr>
        <w:spacing w:after="0" w:line="238" w:lineRule="auto"/>
        <w:rPr>
          <w:sz w:val="20"/>
          <w:szCs w:val="20"/>
          <w:color w:val="auto"/>
        </w:rPr>
      </w:pPr>
      <w:r>
        <w:rPr>
          <w:rFonts w:ascii="Courier New" w:cs="Courier New" w:eastAsia="Courier New" w:hAnsi="Courier New"/>
          <w:sz w:val="18"/>
          <w:szCs w:val="18"/>
          <w:color w:val="auto"/>
        </w:rPr>
        <w:t>September 30, 1992 and 1993, were $178,406,000, $155,572,000, $217,935,000,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$129,307,000 and $76,640,000, respectively. As a result of these losses and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effects of extraordinary items and the cumulative effect of accounting changes,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had a negative book value at September 30, 1993 of $853,008,000. 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anticipated that this negative book value will increase in future periods. 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not expected that the negative book value will significantly affect the way</w:t>
      </w:r>
    </w:p>
    <w:p>
      <w:pPr>
        <w:spacing w:after="0" w:line="238" w:lineRule="auto"/>
        <w:rPr>
          <w:sz w:val="20"/>
          <w:szCs w:val="20"/>
          <w:color w:val="auto"/>
        </w:rPr>
      </w:pPr>
      <w:r>
        <w:rPr>
          <w:rFonts w:ascii="Courier New" w:cs="Courier New" w:eastAsia="Courier New" w:hAnsi="Courier New"/>
          <w:sz w:val="18"/>
          <w:szCs w:val="18"/>
          <w:color w:val="auto"/>
        </w:rPr>
        <w:t>that the Company does business or its ability to obtain financing.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realized operating income before depreciation and amortization (generally referred to in the Company's industries as "operating cash flow") of $271,167,000, $309,250,000, $397,153,000, $282,936,000 and $460,246,000 for the years ended December 31, 1990, 1991 and 1992, and for the nine months ended September 30, 1992 and 1993, respectively. As a result of the Company's operating income before depreciation and amortization, its existing cash balances, lines of credit and other financing resources, the Company believes that it will meet its current and long-term liquidity and capital requirements, including meeting its fixed charges.</w:t>
      </w: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Factors Affecting Future Operations. The cable communications and cellular telephone industries, as well as the Company's future operations, may be affected by, among other things, (i) changes in government law and regulation,</w:t>
      </w:r>
    </w:p>
    <w:p>
      <w:pPr>
        <w:spacing w:after="0" w:line="1" w:lineRule="exact"/>
        <w:rPr>
          <w:sz w:val="20"/>
          <w:szCs w:val="20"/>
          <w:color w:val="auto"/>
        </w:rPr>
      </w:pPr>
    </w:p>
    <w:p>
      <w:pPr>
        <w:ind w:right="2739" w:firstLine="8"/>
        <w:spacing w:after="0" w:line="236"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competitive environment generally, (iii) changes in technology, and (iv) market conditions that may adversely affect the availability of debt and equity financing.</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may otherwise be set forth in the Prospectus Supplement, the net proceeds from the sale of the Securities offered hereby will be used for working capital and general corporate purposes. Pending such application of the proceeds, the Company will invest the proceeds of this offering in certificates of deposit, United States government securities or certain other interest bearing securities.</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The Company began paying quarterly dividends on its Class A Common Stock in 1977. Since 1978, the Company has paid equal dividends on both the Class A Common Stock and the Class B Common Stock. Since December 1986, when the Class A Special Common Stock was issued, the Company has paid equal dividends on shares of all classes of its Common Stock. Since 1991, the Company has paid dividends aggregating $.14 per year per share of its Class A, Class A Special and Class B Common Stocks.</w:t>
      </w:r>
    </w:p>
    <w:p>
      <w:pPr>
        <w:spacing w:after="0" w:line="211" w:lineRule="exact"/>
        <w:rPr>
          <w:sz w:val="20"/>
          <w:szCs w:val="20"/>
          <w:color w:val="auto"/>
        </w:rPr>
      </w:pPr>
    </w:p>
    <w:p>
      <w:pPr>
        <w:ind w:right="2720" w:firstLine="527"/>
        <w:spacing w:after="0" w:line="237" w:lineRule="auto"/>
        <w:rPr>
          <w:sz w:val="20"/>
          <w:szCs w:val="20"/>
          <w:color w:val="auto"/>
        </w:rPr>
      </w:pPr>
      <w:r>
        <w:rPr>
          <w:rFonts w:ascii="Courier New" w:cs="Courier New" w:eastAsia="Courier New" w:hAnsi="Courier New"/>
          <w:sz w:val="18"/>
          <w:szCs w:val="18"/>
          <w:color w:val="auto"/>
        </w:rPr>
        <w:t>It is the intention of the Board of Directors to continue to pay regular quarterly dividends on shares of all classes of its Common Stock; however, the declaration and payment of future dividends on the Common Stock and any preferred stock subsequently issued and their amounts will be determined by the Board of Directors from time to time based upon the earnings, financial condition and capital needs of the Company and other factors.</w:t>
      </w:r>
    </w:p>
    <w:p>
      <w:pPr>
        <w:spacing w:after="0" w:line="204"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RATIO OF EARNINGS TO COMBINED FIXED CHARGES</w:t>
      </w:r>
    </w:p>
    <w:p>
      <w:pPr>
        <w:jc w:val="center"/>
        <w:ind w:right="2720"/>
        <w:spacing w:after="0" w:line="238" w:lineRule="auto"/>
        <w:rPr>
          <w:sz w:val="20"/>
          <w:szCs w:val="20"/>
          <w:color w:val="auto"/>
        </w:rPr>
      </w:pPr>
      <w:r>
        <w:rPr>
          <w:rFonts w:ascii="Courier New" w:cs="Courier New" w:eastAsia="Courier New" w:hAnsi="Courier New"/>
          <w:sz w:val="18"/>
          <w:szCs w:val="18"/>
          <w:color w:val="auto"/>
        </w:rPr>
        <w:t>AND PREFERRED STOCK DIVIDENDS</w:t>
      </w:r>
    </w:p>
    <w:p>
      <w:pPr>
        <w:spacing w:after="0" w:line="207" w:lineRule="exact"/>
        <w:rPr>
          <w:sz w:val="20"/>
          <w:szCs w:val="20"/>
          <w:color w:val="auto"/>
        </w:rPr>
      </w:pPr>
    </w:p>
    <w:p>
      <w:pPr>
        <w:ind w:right="2840"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Company's historical ratio of earnings to combined fixed charges and preferred stock dividends (1):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160" w:type="dxa"/>
            <w:vAlign w:val="bottom"/>
            <w:gridSpan w:val="2"/>
          </w:tcPr>
          <w:p>
            <w:pPr>
              <w:jc w:val="center"/>
              <w:ind w:left="32"/>
              <w:spacing w:after="0"/>
              <w:rPr>
                <w:sz w:val="20"/>
                <w:szCs w:val="20"/>
                <w:color w:val="auto"/>
              </w:rPr>
            </w:pPr>
            <w:r>
              <w:rPr>
                <w:rFonts w:ascii="Courier New" w:cs="Courier New" w:eastAsia="Courier New" w:hAnsi="Courier New"/>
                <w:sz w:val="18"/>
                <w:szCs w:val="18"/>
                <w:color w:val="auto"/>
                <w:w w:val="97"/>
              </w:rPr>
              <w:t>NINE MONTHS ENDED SEPTEMBER</w:t>
            </w:r>
          </w:p>
        </w:tc>
      </w:tr>
      <w:tr>
        <w:trPr>
          <w:trHeight w:val="203"/>
        </w:trPr>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YEAR ENDED DECEMBER 31,</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31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3"/>
              </w:rPr>
              <w:t>----------------------------------------</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1988</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1989</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1990</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1992</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1992</w:t>
            </w:r>
          </w:p>
        </w:tc>
        <w:tc>
          <w:tcPr>
            <w:tcW w:w="1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1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Ratio of earnings to</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w:t>
            </w:r>
          </w:p>
        </w:tc>
        <w:tc>
          <w:tcPr>
            <w:tcW w:w="1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currently has no shares of preferred stock outstanding.</w:t>
      </w:r>
    </w:p>
    <w:p>
      <w:pPr>
        <w:spacing w:after="0" w:line="207" w:lineRule="exact"/>
        <w:rPr>
          <w:rFonts w:ascii="Courier New" w:cs="Courier New" w:eastAsia="Courier New" w:hAnsi="Courier New"/>
          <w:sz w:val="18"/>
          <w:szCs w:val="18"/>
          <w:color w:val="auto"/>
        </w:rPr>
      </w:pPr>
    </w:p>
    <w:p>
      <w:pPr>
        <w:ind w:left="420" w:right="2620"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calculating the ratio of earnings to combined fixed charges and preferred stock dividends, earnings consist of net earnings before income taxes, extraordinary items, cumulative effect of accounting changes, equity in net losses of affiliates and fixed charges. Fixed charges consist of interest expense, preferred stock dividend requirements of a subsidiary to an affiliate and capitalized interest.</w:t>
      </w:r>
    </w:p>
    <w:p>
      <w:pPr>
        <w:spacing w:after="0" w:line="209" w:lineRule="exact"/>
        <w:rPr>
          <w:rFonts w:ascii="Courier New" w:cs="Courier New" w:eastAsia="Courier New" w:hAnsi="Courier New"/>
          <w:sz w:val="18"/>
          <w:szCs w:val="18"/>
          <w:color w:val="auto"/>
        </w:rPr>
      </w:pPr>
    </w:p>
    <w:p>
      <w:pPr>
        <w:ind w:left="420" w:right="2720"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as defined in Note 2 were inadequate to cover combined fixed charges and preferred stock dividends for these periods. The amount of the coverage deficiency was $33,887,000, $75,454,000, $103,292,000, $59,408,000 and $99,629,000 for the years ended December 31, 1988, 1989, 1990, 1991 and 1992, respectively, and $62,265,000 and $41,812,000 for the nine months ended September 30, 1992 and 1993, respectively.</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060"/>
          </w:cols>
          <w:pgMar w:left="240" w:top="312" w:right="599"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DEBENTURES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may offer under this Prospectus Senior Debentures, Senior Subordinated Debentures and Subordinated Debentures, any of which Debentures may be issued as convertible and/or exchangeable Debentures.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Debentures will represent unsecured general obligations of the Company, unless otherwise provided in the Prospectus Supplement. The Senior Debentures will be senior to all subordinated indebtedness of the Company, and pari passu with other unsecured, unsubordinated indebtedness of the Company. The Senior Subordinated Debentures will be subordinate in right of payment to the Senior Debentures and to certain other debt obligations of the Company, pari passu with certain other senior subordinated indebtedness of the Company and senior to certain subordinated indebtedness of the Company. The Subordinated Debentures will be subordinate in right of payment to the Senior Debentures, the Senior Subordinated Debentures and to certain other debt obligations of the Company and pari passu with certain other subordinated indebtedness of the Company.</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Substantially all of the Company's operations are conducted through subsidiaries and any right of the Company to receive assets of any of its subsidiaries upon liquidation or recapitalization of any such subsidiaries (and the consequent right of the Debentureholders to participate in those assets) will be subject to the claims of such subsidiaries' creditors. Even in the event that the Company is recognized as a creditor of a subsidiary, the Company's claims would still be subject to any security interest in the assets of such subsidiary and any indebtedness of such subsidiary senior to that of the Company. The Company's ability to service its indebtedness, including the Debentures, is dependent primarily upon the receipt of funds from its subsidiaries. The subsidiaries are separate legal entities and have no obligation to pay any amounts due pursuant to the Debentures. Certain legal, contractual and business considerations limit the Company's ability to receive funds from its subsidiaries in the form of loans, dividends, management fees or otherwise.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Senior Debentures will be issued under an Indenture to be executed by the Company and Morgan Guaranty Trust Company of New York, as Trustee (the "Senior Indenture"); the Senior Subordinated Debentures will be issued under an Indenture between the Company and Morgan Guaranty Trust Company of New York, as Trustee (the "Senior Subordinated Indenture") dated as of October 17, 1991 as amended; and the Subordinated Debentures will be issued under an Indenture between the Company and Bankers Trust Company, as Trustee (the "Subordinated Indenture") dated as of February 20, 1991 as amended. In this Prospectus, the Senior Indenture, the Senior Subordinated Indenture and the Subordinated Indenture are sometimes collectively referred to as the Indentures and the Trustee under the Senior Indenture, the Trustee under the Senior Subordinated Indenture and the Trustee under the Subordinated Indenture are sometimes collectively referred to as the Trustees and individually as a Trustee. The following summary of certain provisions of the Indentures does not purport to be complete and is subject to, and qualified in its entirety by, reference to all the provisions of the Indentures, including the definitions therein of certain terms. Wherever particular sections or defined terms of the Indentures are referred to, it is intended that such sections or defined terms shall be incorporated herein by reference. As used in the Indentures and in this section, the term the "Company" means Comcast Corporation without reference to its consolidated subsidiaries.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Indentures do not limit the aggregate principal amount of Debentures which may be issued thereunder and provide that Debentures may be issued in one or more series, in such form or forms, with such terms and up to the aggregate principal amount authorized from time to time by the Company. (Sections 2.1; 2.2 of the Indentures). Unless otherwise provided in the Prospectus Supplement, the Debentures may be presented for registration of transfer and exchange and for payment or, if applicable, for conversion and/or exchange at the office of the applicable Trustee, unless the Company appoints a different office or agency for such purpose. (Section 4.2 of the Indentures). At the option of the Company, the payment of interest may also be made by check mailed</w:t>
      </w:r>
    </w:p>
    <w:p>
      <w:pPr>
        <w:sectPr>
          <w:pgSz w:w="11900" w:h="16838" w:orient="portrait"/>
          <w:cols w:equalWidth="0" w:num="1">
            <w:col w:w="10219"/>
          </w:cols>
          <w:pgMar w:left="240" w:top="312" w:right="1440" w:bottom="1440" w:gutter="0" w:footer="0" w:header="0"/>
        </w:sectPr>
      </w:pPr>
    </w:p>
    <w:p>
      <w:pPr>
        <w:spacing w:after="0" w:line="18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to the address of the person entitled thereto as it appears in the Debenture register. (Section 4.1 of the Indentures).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applicable Prospectus Supplement will describe the following terms of any Debentures (the "Offered Debentures") in respect of which this Prospectus is being delivered (to the extent applicable to the Offered Debentures): (1) the designation (including whether they are Senior Debentures, Senior Subordinated Debentures or Subordinated Debentures and whether such Debentures are convertible and/or exchangeable), aggregate principal amount and authorized denominations, if other than denominations of $1,000 and any integral multiple thereof, of the Offered Debentures; (2) the percentage of the principal amount at which such Offered Debentures will be issued; (3) the date or dates (and whether fixed or extendable) on which the principal of the Offered Debentures is payable or the method of determination thereof; (4) the rate or rates at which the Offered Debentures will bear interest, if any, the method of calculating such rates, the date or dates from which such interest will accrue, the interest payment dates on which such interest shall be payable and the record dates for the determination of Debentureholders to whom interest will be payable; (5) the place or places where the principal of, premium, if any, and interest, if any, on the Offered Debentures will be payable; (6) any provisions relating to the issuance of the Offered Debentures at an original issue discount; (7) the price or prices at which, the period or periods within which, and the terms and conditions upon which the Offered Debentures may be redeemed, in whole or in part, at the option of the Company, pursuant to any sinking fund or otherwise (including the form or method of payment if other than in cash, which may include securities of other issuers); (8) the obligation, if any, of the Company to redeem, repay or purchase the Offered Debentures pursuant to any mandatory redemption, sinking fund or analogous provisions or at the option of the Debentureholder and the price or prices at which, the period or periods within which and the terms and conditions upon which the Offered Debentures will be redeemed, repaid or purchased, in whole or in part, pursuant to any such obligation (including the form or method of payment if other than in cash, which may include securities of other issuers), and any provisions for the remarketing of such Debentures; (9) if other than the principal amount thereof, the portion of the principal amount of the Offered Debentures which will be payable upon declaration of acceleration of the maturity thereof or provable in bankruptcy;</w:t>
      </w:r>
    </w:p>
    <w:p>
      <w:pPr>
        <w:spacing w:after="0" w:line="387" w:lineRule="exact"/>
        <w:rPr>
          <w:sz w:val="20"/>
          <w:szCs w:val="20"/>
          <w:color w:val="auto"/>
        </w:rPr>
      </w:pPr>
    </w:p>
    <w:p>
      <w:pPr>
        <w:ind w:right="1779" w:firstLine="8"/>
        <w:spacing w:after="0" w:line="269"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Events of Default in addition to or in lieu of those described herein and remedies therefor; (11) whether the Offered Debentures are convertible or exchangeable and, if so, the securities or rights into which the Offered Debentures are convertible or exchangeable (which may include other Debentures, Preferred Stock, Class A Common Stock, Class A Special Common Stock or other securities or rights of the Company (including rights to receive payment in cash or securities based on the value, rate or price of one or more specified commodities, currencies or indices) or exchangeable for securities of other issuers or a combination of the foregoing) and the terms and conditions upon which such conversion or exchange will be effected including the initial conversion or exchange price or rate, the conversion or exchange period and any other provision in addition to or in lieu of those described herein; (12) any trustees, authenticating or paying agents, transfer agents or registrars or any other agents with respect to the Offered Debentures; (13) the currency or currencies, including composite currencies, in which the Offered Debentures will be denominated if other than the currency of the United States of America; (14) if other than the coin or currency in which the Offered Debentures are denominated, the coin or currency in which payment of the principal of, premium, if any, or interest on the Offered Debentures will be payable; (15) if the principal of, premium, if any, or interest on the Offered Debentures are to be payable, at the election of the Company or a holder thereof, in a coin or currency other than that in which the Offered Debentures are denominated, the period or periods within which, and terms and conditions upon which, such election may be made; (16) if the amount of payments of principal of, premium, if any, and interest on the Offered Debentures may be determined with reference to the value, rate or price of one or more specified commodities, currencies or indices, the manner in which such amounts shall be determined; (17) whether and under what circumstances the Company will pay additional amounts on the Offered Debentures held by a person who is not a United States of America person in respect of any tax, assessment or governmental charge withheld or deducted and, if so, whether the Company will have the option to redeem such Debentures rather than pay such additional amounts; (18) if receipt of</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certificates or other documents or satisfaction of other conditions will be necessary for any purpose, including, without limitation, as a condition to the issuance of the Offered Debentures in definitive form (whether upon original issue or upon exchange of a temporary Debenture), the form and terms of such certificates, documents or conditions; (19) any other affirmative or negative covenants with respect to the Offered Debentures; (20) whether the Offered Debentures will be issued in whole or in part in the form of one or more Global Debentures and, in such case, the Depositary therefor and the circumstances under which any Global Debenture may be exchanged for Offered Debentures registered in the name of, and under which any transfer of such Global Debenture may be registered in the name of, any person other than the Depositary; and (21) any other specific terms of the Offered Debentures. (Section 2.2 of the Indentures).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Debentures will be exchangeable or transferable without charge therefor, but the Company may require payment of a sum sufficient to cover any tax or other governmental charge payable in connection therewith. (Sections 2.6; 2.10 of the Indentures).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Debentures may be issued and sold at a substantial discount below their principal amount or their redemption value. (Section 2.2 of the Indentures). If so issued, special federal income tax and other considerations applicable thereto, other than those described herein, will be described in the Prospectus Supplement relating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Subordinated Debentures will be subordinated and subject, to the extent and in the manner set forth in the Subordinated Indenture, in right of payment to the prior payment in full of all Senior Indebtedness as defined in the Subordinated Indenture. (Section 3.1 of the Subordinated Indenture). Senior Indebtedness is defined in the Subordinated Indenture as (a) the principal of and premium, if any, and interest on: (i) all indebtedness for money borrowed by the Company, whether outstanding on the date of the Indenture or thereafter created or incurred (other than the indebtedness with which the Subordinated Debentures will be pari passu, as described below); (ii) all indebtedness for money borrowed by another person, in which the Company has an equity interest or has the right to purchase an equity interest, and guaranteed directly or indirectly by the Company (whether such guarantee is outstanding on the date of the Indenture or thereafter created or incurred); and (iii) all indebtedness constituting purchase money indebtedness (as defined) for the payment of which the Company is directly or contingently liable (whether outstanding on the date of the Indenture or thereafter created or incurred); (b) any obligation to purchase or guarantee indebtedness of, to supply funds to or invest in, another person in which the Company has an equity interest or has the right to purchase an equity interest (whether such obligation is outstanding on the date of the Indenture or is thereafter created or incurred); (c) any obligation of the Company to any person in respect of surety or similar bonds issued by such person in connection with entering into, renewing or extending any cable television franchise granted by a governmental authority or any construction in respect of any cable television system by the Company or any other person in which the Company has an equity interest or has the right to purchase an equity interest; and (d) all renewals, extensions or refundings of any such obligations, indebtedness and guarantees; provided, however, that Senior Indebtedness shall not include (i) indebtedness with which the Subordinated Debentures will rank pari passu (as described below); or (ii) any obligation, indebtedness or guarantee which is created or evidenced by an instrument the terms of which expressly provide that such obligation, indebtedness or guarantee is subordinate to all other indebtedness of the Company or is not superior in right of payment or performance to the Subordinated Debentures, or that such obligation, indebtedness or guarantee is subordinate to senior indebtedness and senior indebtedness is defined in such instrument in substantially the same manner as senior indebtedness is defined in the indentures for the 7% Convertible Subordinated Debentures Due 2014 and the Zero Coupon Convertible Subordinated Notes Due 1995, unless the definition of senior indebtedness expressly provides that such obligation, indebtedness or guarantee is not subordinate to the Subordinated Debentures or is superior in right of payment or performance to the Subordinated Debentures. (Section 1.1 of the Subordinated Indenture). As of September 30, 1993, there were no 7% Convertible Subordinated Debentures Due 2014 outstanding.</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987"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Senior Subordinated Debentures will be subordinated and subject, to the extent and in the manner set forth in the Senior Subordinated Indenture, in right of payment to the prior payment in full of all Senior Indebtedness as defined in the Senior Subordinated Indenture. (Section 3.1 of the Senior Subordinated Indenture). Senior Indebtedness is defined in the Senior Subordinated Indenture in the same manner as Senior Indebtedness is defined in the Subordinated Indenture except that Senior Indebtedness as defined in the Senior Subordinated Indenture does not include: (i) indebtedness with which the Senior Subordinated Debentures will rank pari passu (as described below); or</w:t>
      </w:r>
    </w:p>
    <w:p>
      <w:pPr>
        <w:spacing w:after="0" w:line="2" w:lineRule="exact"/>
        <w:rPr>
          <w:sz w:val="20"/>
          <w:szCs w:val="20"/>
          <w:color w:val="auto"/>
        </w:rPr>
      </w:pPr>
    </w:p>
    <w:p>
      <w:pPr>
        <w:ind w:right="17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indebtedness or guarantee which is created or evidenced by an instrument the terms of which expressly provide that such obligation, indebtedness or guarantee is subordinate to all other indebtedness of the Company or is not superior in right of payment or performance to the Senior Subordinated Debentures or that such obligation, indebtedness or guarantee is subordinate to senior indebtedness and senior indebtedness is defined in such instrument in substantially the same manner as senior indebtedness is defined in the indentures for the 11 7/8% Senior Subordinated Debentures Due 2004, the</w:t>
      </w:r>
    </w:p>
    <w:p>
      <w:pPr>
        <w:spacing w:after="0" w:line="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3/4% Senior Subordinated Debentures Due 2006, the 7% Convertible Subordinated Debentures Due 2014, the 2 3/4% Convertible Subordinated Debentures due 2003 and the Zero Coupon Convertible Subordinated Notes Due 1995, unless the definition of senior indebtedness expressly provides that such obligation, indebtedness or guarantee is not subordinate to the Senior Subordinated Debentures or is superior in right of payment or performance to the Senior Subordinated Debentures. (Section 1.1 of the Senior Subordinated Indenture). As of September 30, 1993, there were no 11 3/4% Senior Subordinated Debentures Due 2006, 7% Convertible Subordinated Debentures Due 2014 or 2 3/4% Convertible Subordinated Debentures Due 2003 outstanding.</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Subordinated Debentures shall rank pari passu with the 11 7/8% Senior Subordinated Debentures Due 2004, the 10 1/4% Senior Subordinated Debentures Due 2001, the 10 5/8% Senior Subordinated Debentures Due 2012 and the 9 1/2% Senior Subordinated Debentures Due 2008. The Subordinated Debentures shall rank pari passu with the 7% Convertible Subordinated Debentures Due 2001, the Zero Coupon Convertible Subordinated Notes Due 1995, the 3 3/8%/5 1/2% Step-up Convertible Subordinated Debentures Due 2005 and the 1 1/8% Discount Convertible Subordinated Debentures Due 2007.</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 September 30, 1993, and as adjusted to account for the subsequent issuance of the 1 1/8% Discount Convertible Subordinated Debentures Due 2007, the Company had approximately $4.8 billion of Senior Indebtedness and other indebtedness to which the Subordinated Debentures may be effectively subordinated and approximately $4.0 billion of Senior Indebtedness and other indebtedness to which the Senior Subordinated Debentures may be effectively subordinated. There is no limitation in the Indentures on the incurrence of additional Senior Indebtedness.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payment on account of the principal of, premium, if any, or interest on the Senior Subordinated Debentures or Subordinated Debentures may be made, if, at the time of such payment or immediately after giving effect thereto, there exists a default in payment of the principal of, premium, if any, or interest on any Senior Indebtedness (as defined in the Senior Subordinated Indenture or Subordinated Indenture, as applicable), whether at expressed maturity, acceleration thereof or otherwise, except as otherwise provided in the applicable Indenture. (Section 3.2 of the Senior Subordinated and Subordinated Indentures). Upon any payment or distribution of assets of the Company of any kind or character, upon any dissolution or winding up or total or partial liquidation or reorganization of the Company, whether voluntary or involuntary, in bankruptcy, insolvency or receivership, or upon an assignment for the benefit of creditors or any other marshalling of the assets and liabilities of the Company or otherwise, all principal of, premium, if any, and interest due on all Senior Indebtedness (including any outstanding Senior Debentures and, in the case of the Subordinated Debentures, any outstanding Senior Subordinated Indebtedness) must be paid or provided for in full before the holders of the Senior Subordinated or Subordinated Debentures are entitled to receive or retain any payment (Section 3.2 of the Senior Subordinated and Subordinated Indentures). Subject to the payment in full of all Senior Indebtedness (as defined in the Senior Subordinated Indenture or the Subordinated Indenture, as the case may be), the holders of the Senior Subordinated Debentures or Subordinated Debentures, as applicable, will be subrogated to the rights of the holders of Senior</w:t>
      </w:r>
    </w:p>
    <w:p>
      <w:pPr>
        <w:sectPr>
          <w:pgSz w:w="11900" w:h="16838" w:orient="portrait"/>
          <w:cols w:equalWidth="0" w:num="1">
            <w:col w:w="10219"/>
          </w:cols>
          <w:pgMar w:left="240" w:top="312" w:right="1440" w:bottom="987" w:gutter="0" w:footer="0" w:header="0"/>
        </w:sect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987"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Indebtedness (as respectively defined) to receive payments or distributions of assets of the Company applicable to Senior Indebtedness until the Senior Subordinated or Subordinated Debentures are paid in full. (Section 3.2 of the Senior Subordinated and Subordinated Indentures). By reason of such subordination, in the event of a distribution of assets upon insolvency, certain general creditors of the Company may recover more, ratably, than the holders of the Senior Subordinated or Subordinated Debentures.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DEBENTURES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terms, if any, on which Offered Debentures may be (mandatorily or otherwise) exchanged for or converted into other Debentures or shares of Preferred Stock, Class A Common Stock or Class A Special Common Stock or other securities or rights of the Company (including rights to receive payments in cash or securities based on the value, rate or price of one or more specified commodities, currencies or indices) or securities of other issuers or any combination of the foregoing will be set forth in the Prospectus Supplement for such Offered Debentures.</w:t>
      </w:r>
    </w:p>
    <w:p>
      <w:pPr>
        <w:spacing w:after="0" w:line="212"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Unless otherwise indicated in the Prospectus Supplement, the following provisions will apply to Offered Debentures that may be exchanged for or converted into stock of any class of the Company ("Capital Stock"):</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holder of any Debentures convertible into capital stock will have the right exercisable at any time during the time period specified in the Prospectus Supplement, unless previously redeemed by the Company, to convert such Debentures into shares of capital stock (which may include Preferred Stock, Class A Common Stock or Class A Special Common Stock) as specified in the Prospectus Supplement, at the conversion rate for each $1,000 principal amount of Debentures set forth in the Prospectus Supplement, subject to adjustment of $1,000. (Section 13.2 of the Indentures). In the case of Debentures called for redemption, conversion rights will expire at the close of business on the date fixed for the redemption as may be specified in the Prospectus Supplement, except that in the case of redemption at the option of the Debentureholder, if applicable, such right will terminate upon receipt of written notice of the exercise of such option. (Section 13.2 of the Indentures).</w:t>
      </w:r>
    </w:p>
    <w:p>
      <w:pPr>
        <w:spacing w:after="0" w:line="3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certain events, the conversion rate will be subject to adjustment as set forth in the Indentures. Such events include the issuance of shares of any class of Capital Stock of the Company as a dividend on the class of Capital Stock into which the Debentures of such series are convertible; subdivisions, combinations and reclassifications of the class of Capital Stock into which Debentures of such series are convertible; the issuance to all holders of the class of Capital Stock into which Debentures of such series are convertible of rights or warrants entitling the Debentureholders (for a period not exceeding 45 days) to subscribe for or purchase shares of such class of Capital Stock at a price per share less than the current market price per share of such class of Capital Stock (as defined in the Indentures); and the distribution to all holders of the class of Capital Stock into which Debentures of such series are convertible of evidences of indebtedness of the Company or of assets (excluding cash dividends paid from retained earnings and dividends payable in Capital Stock for which adjustment is made as referred to above) or subscription rights or warrants (other than those referred to above). No adjustment of the conversion rate will be required unless an adjustment would require a cumulative increase or decrease of at least 1% in such rate. (Section 13.5 of the Indentures). Fractional shares of Capital Stock will not be issued upon conversion but, in lieu thereof, the Company will pay a cash adjustment. Convertible Debentures surrendered for conversion between the record date for an interest payment, if any, and the interest payment date (except convertible Debentures called for redemption on a redemption date during such period) must be accompanied by payment of an amount equal to the interest thereon which the registered holder is to receive. (Article 13 of the Indentures).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Modifications of any Indenture with respect to the Debentures of any series may be made by the Company and the applicable Trustee with the consent of the holders of not less than 66 2/3% in aggregate principal amount of outstanding Debentures of such series; provided that no such modification may, without the consent of the holder of each Debenture of such series affected thereby, (1) extend the time or times of payment of the principal of, premium, if any, or interest on, any</w:t>
      </w:r>
    </w:p>
    <w:p>
      <w:pPr>
        <w:sectPr>
          <w:pgSz w:w="11900" w:h="16838" w:orient="portrait"/>
          <w:cols w:equalWidth="0" w:num="1">
            <w:col w:w="10219"/>
          </w:cols>
          <w:pgMar w:left="240" w:top="312" w:right="1440" w:bottom="581" w:gutter="0" w:footer="0" w:header="0"/>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581"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Debentures; (2) reduce the principal amount of, premium, if any, or the rate of interest on any Debentures (and/or such other amount or amounts as any Debentures or supplemental indentures with respect thereto may provide to be due and payable upon declaration of acceleration of the maturity thereof); (3) change the currency of payment of principal of, premium, if any, or the interest on any Debenture; (4) reduce any amount payable on redemption thereof, (5) alter or impair the right to convert or exchange the Debentures at the rate and upon the terms provided in the Indenture; (6) alter or impair the right to require redemption at the option of the holder; or (7) reduce the percentage of Debentures of any series, the vote of the holders of which is necessary to modify the Indenture. (Section 12.2 of the Indentures).</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Modifications of any Indenture with respect to the Debentures of any series may be made by the Company and the Trustee without the consent of the Debentureholders: (a) to add to the covenants and agreements of the Company or to surrender any right or power reserved to or conferred upon the Company in the Indenture; (b) to cure any ambiguity or to cure, correct or supplement any defect or inconsistent provision contained in the Indenture; (c) to make such provisions in regard to matters arising under the Indenture which may be necessary or desirable, or otherwise change the Indenture in any manner, which shall not adversely affect the interests of the Debentureholders of any series;</w:t>
      </w:r>
    </w:p>
    <w:p>
      <w:pPr>
        <w:spacing w:after="0" w:line="186" w:lineRule="exact"/>
        <w:rPr>
          <w:sz w:val="20"/>
          <w:szCs w:val="20"/>
          <w:color w:val="auto"/>
        </w:rPr>
      </w:pPr>
    </w:p>
    <w:p>
      <w:pPr>
        <w:ind w:right="1779" w:firstLine="8"/>
        <w:spacing w:after="0" w:line="238"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corporation to the Company and the assumption by the successor corporation of the covenants, agreements and obligations of the Company pursuant to the Indenture and to provide for the adjustment of conversion rights pursuant to Section 13.7 upon consolidation, merger, sale or conveyance of the Company; (e) to establish the form or terms of the Debentures of any series as permitted by the Indenture; (f) to change or eliminate any of the provisions of the Indenture, provided that any such change or elimination shall become effective only when there is no Debenture outstanding of any series created prior thereto which is entitled to the benefit of such provision; (g) to add or change any of the provisions of the Indenture to such extent as shall be necessary to permit or facilitate the issuance of Debentures in bearer form or to provide for uncertificated Debentures (so long as any "registration-required obligation" within the meaning of Section 163(f)(2) of the Internal Revenue Code of 1986, as amended (the "Code"), is in registered form for purposes of the Code); (h) to amend or supplement any provision contained in the Indenture, which was required to be contained in the Indenture in order for the Indenture to be qualified under the Trust Indenture Act of 1939, if the Trust Indenture Act of 1939 or regulations thereunder change what is so required to be included in qualified indentures, in any manner not inconsistent with what then may be required for such qualification; (i) to add any additional events of default; (j) to convey, transfer, assign, mortgage or pledge to the Trustee as security for the Debentures of one or more series any property or assets; or (k) to add to or change any of the provisions of the Indenture as contemplated in Section 11.7(b) relating to successor trustees. (Section 12.1 of the Indentures).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DEFAULTS AND NOTICE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are to be Events of Default with respect to Debentures of any series, unless it is either inapplicable to a particular series or is specifically deleted or modified for Debentures of a particular series, as described in the Prospectus Supplement: (1) failure to pay the principal of, or premium, if any, on any Debenture of such series when due and payable (whether at maturity, by call for redemption, through any mandatory sinking fund, by redemption at the option of the holder, by declaration of acceleration or otherwise, and, with respect to Debentures issued pursuant to the Senior Subordinated Indenture and the Subordinated Indenture, whether or not payment is prohibited by the subordination provisions of such Indentures); (2) failure to make a payment of any interest on any Debenture of such series when due, continued for 30 days (with respect to Debentures issued pursuant to the Senior Subordinated Indenture and the Subordinated Indenture, whether or not payment is prohibited by the subordination provisions of such Indentures); (3) failure of the Company to perform or observe any other covenants or agreements of the Company in the Indenture or in the Debentures of such series (other than agreements or covenants included in the Indentures solely for the benefit of a series of Debentures other than that series), continued for 90 days after written notice; (4) certain events of bankruptcy, insolvency or reorganization of the Company; and (5) as to Senior Subordinated and Subordinated Debentures, an event of default under any Senior Indebtedness (as</w:t>
      </w:r>
    </w:p>
    <w:p>
      <w:pPr>
        <w:sectPr>
          <w:pgSz w:w="11900" w:h="16838" w:orient="portrait"/>
          <w:cols w:equalWidth="0" w:num="1">
            <w:col w:w="10219"/>
          </w:cols>
          <w:pgMar w:left="240" w:top="312" w:right="1440" w:bottom="987"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987"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respectively defined) that has resulted in the acceleration of such indebtedness prior to the expressed maturity thereof, which acceleration has not been rescinded or annulled within 30 business days after written notice and which acceleration is not contested by the Company in good faith. If an Event of Default with respect to Debentures of any series shall happen and be continuing, the Trustee or the holders of not less than 25% in aggregate principal amount of the then outstanding Debentures of such series may declare the principal amount (or, if the Debentures of such series are issued at an original issue discount, such portion of the principal amount as may be specified in the terms of the Debentures of such series) of all Debentures of such series and/or such other amount or amounts as the Debentures or supplemental indenture with respect to such series may provide, to be due and payable immediately. (Section 7.1 of the Indentures).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Indentures provide that the Trustee will, within 90 days after the occurrence of a default, give to holders of Debentures of any series notice of all uncured defaults with respect to such series known to it; provided, however, that, except in the case of a default that results from the failure to make any payment of the principal of, premium, if any, or interest on the Debentures of any series, or in the payment of any mandatory sinking fund installment with respect to Debentures of such series, the Trustee may withhold such notice if it in good faith determines that the withholding of such notice is in the interest of the holders of Debentures of such series. (Section 11.3 of the Indentures).</w:t>
      </w:r>
    </w:p>
    <w:p>
      <w:pPr>
        <w:spacing w:after="0" w:line="18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Indentures contain a provision entitling the Trustee to be indemnified by holders of Debentures before proceeding to exercise any trust or power under the Indentures at the request of such holders. (Section 11.1 of the Indentures). The Indentures provide that the holders of a majority in aggregate principal amount of the then outstanding Debentures of any series may direct the time, method and place of conducting any proceedings for any remedy available to the Trustee or of exercising any trust or power conferred upon the Trustee with respect to the Debentures of such series, provided, however, that the Trustee may decline to follow any such direction if, among other reasons, the Trustee determines in good faith that the actions or proceedings as directed may not lawfully be taken, would involve the Trustee in personal liability or would be unduly prejudicial to the holders of the Debentures of such series not joining in such direction. (Section 7.6 of the Indentures). The right of a holder to institute a proceeding with respect to the Indenture is subject to certain conditions precedent including, without limitation, that the holders of a majority in aggregate principal amount of the Debentures of such series then outstanding make a written request upon the Trustee to exercise its powers under the Indenture, indemnify the Trustee and afford the Trustee reasonable opportunity to act but the holder has an absolute right to receipt of the principal of, premium, if any, and interest when due, to require conversion or exchange of Debentures if the Indentures provide for convertibility or exchangeability, at the option of the holder and to institute suit for the enforcement thereof. (Section 7.7 of the Indentures).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CONCERNING THE TRUSTEES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Bankers Trust Company is the trustee under the Subordinated Indenture pursuant to which the Company's 7% Convertible Subordinated Debentures Due 2001, the Company's 3 3/8%/5 1/2% Step-up Convertible Subordinated Debentures Due 2005 and the Company's 1 1/8% Discount Convertible Subordinated Debentures Due 2007 have been issued. Bankers Trust Company is also the trustee under indentures with respect to the Company's 10% Subordinated Debentures Due 2003 and the Company's Zero Coupon Convertible Subordinated Notes Due 1995. Morgan Guaranty Trust Company of New York is the trustee under the indenture with respect to the Company's 11 7/8% Senior Subordinated Debentures Due 2004 and under the Senior Subordinated Indenture pursuant to which the Company's 10 1/4% Senior Subordinated Debentures Due 2001, the Company's 10 5/8% Senior Subordinated Debentures Due 2012 and the Company's 9 1/2% Senior Subordinated Debentures Due 2008 have been issued.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TO HOLDERS OF DEBENTURES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Company intends to furnish to holders of Debentures all quarterly and annual reports which it furnishes to holders of the Company's Common Stock.</w:t>
      </w:r>
    </w:p>
    <w:p>
      <w:pPr>
        <w:sectPr>
          <w:pgSz w:w="11900" w:h="16838" w:orient="portrait"/>
          <w:cols w:equalWidth="0" w:num="1">
            <w:col w:w="10219"/>
          </w:cols>
          <w:pgMar w:left="240" w:top="312" w:right="1440" w:bottom="1440" w:gutter="0" w:footer="0" w:header="0"/>
        </w:sectPr>
      </w:pPr>
    </w:p>
    <w:p>
      <w:pPr>
        <w:spacing w:after="0" w:line="17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PREFERRED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of the Company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 The Company currently has no shares of preferred stock outstanding.</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applicable Prospectus Supplement will describe the following terms of any Preferred Stock in respect of which this Prospectus is being delivered (to the extent applicable to such Preferred Stock): (1) the specific designation, number of shares, seniority and purchase price; (2) any liquidation preference per share; (3) any date of maturity; (4) any redemption, repayment or sinking fund provisions; (5) any dividend rate or rates and the dates on which any such dividends will be payable (or the method by which such rates or dates will be determined); (6) any voting rights; (7) if other than the currency of the United States of America, the currency or currencies including composite currencies in which such Preferred Stock is denominated and/or in which payments will or may be payable; (8) the method by which amounts in respect of such Preferred Stock may be calculated and any commodities, currencies or indices, or value, rate or price, relevant to such calculation; (9) whether the Preferred Stock is convertible or exchangeable and, if so, the securities or rights into which such Preferred Stock is convertible or exchangeable (which may include other Preferred Stock, Debentures, Class A Common Stock, Class A Special Common Stock or other securities or rights of the Company (including rights to receive payment in cash or securities based on the value, rate or price of one or more specified commodities, currencies or indices) or securities of other issuers or a combination of the foregoing), and the terms and conditions upon which such conversions or exchanges will be effected including the initial conversion or exchange prices or rates, the conversion or exchange period and any other related provisions; (10) the place or places where dividends and other payments on the Preferred Stock will be payable; and (11) any additional voting, dividend, liquidation, redemption and other rights, preferences, privileges, limitations and restrictions.</w:t>
      </w:r>
    </w:p>
    <w:p>
      <w:pPr>
        <w:spacing w:after="0" w:line="21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As described under "Description of Depositary Shares," the Company may, at its option, elect to offer depositary shares ("Depositary Shares") evidenced by depositary receipts ("Depositary Receipts"), each representing an interest (to be specified in the Prospectus Supplement relating to the particular series of the Preferred Stock) in a share of the particular series of the Preferred Stock issued and deposited with a Depositary (as defined below).</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shares of Preferred Stock offered hereby, or issuable upon conversion, exchange or exercise of Securities, will, when issued, be fully paid and non-assessable. The Company has been advised that the Preferred Stock will be exempt from existing Pennsylvania personal property tax.</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DEPOSITARY SHARES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description set forth below and in any Prospectus Supplement of certain provisions of the Deposit Agreement (as defined below)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may, at its option, elect to have shares of Preferred Stock be represented by Depositary Shares. The shares of any series of the Preferred Stock underlying the Depositary Shares will be deposited under a separate deposit agreement (the "Deposit Agreement") between the Company and a bank or trust company selected by the Company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Unless otherwise specified in the Prospectus Supplement, a holder of Depositary Shares is not entitled to receive the shares of Preferred Stock underlying the Depositary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AND OTHER DISTRIBUTIONS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event of a distribution other than in cash, the Depositary will distribute property received by it to the record holders of Depositary Shares entitled thereto or the Depositary may, with the approval of the Company, sell such property and distribute the net proceeds from such sale to such holders.</w:t>
      </w:r>
    </w:p>
    <w:p>
      <w:pPr>
        <w:spacing w:after="0" w:line="182"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The Deposit Agreement also contains provisions relating to the manner in which any subscription or similar rights offered by the Company to holders of Preferred Stock shall be made available to holders of Depositary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AND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OF DEPOSITARY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the Company redeems Preferred Stock from the Depositary, the Depositary will redeem as of the same redemption date a</w:t>
      </w:r>
    </w:p>
    <w:p>
      <w:pPr>
        <w:sectPr>
          <w:pgSz w:w="11900" w:h="16838" w:orient="portrait"/>
          <w:cols w:equalWidth="0" w:num="1">
            <w:col w:w="10219"/>
          </w:cols>
          <w:pgMar w:left="240" w:top="312" w:right="1440" w:bottom="1440" w:gutter="0" w:footer="0" w:header="0"/>
        </w:sect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proportionate number of Depositary Shares representing the shares of Preferred Stock that were redeemed. If less than all the Depositary Shares are to be redeemed, the Depositary Shares to be redeemed will be selected by lot or pro rata as may be determined by the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the Company with the Depositary for any Depositary Shares which the holders thereof fail to redeem shall be returned to the Company after a period of two years from the date such funds are so deposited.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the Company will agree to take all action which may be deemed necessary by the Depositary in order to enable the Depositary to do so.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THE DEPOSIT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form of Depositary Receipt evidencing the Depositary Shares and any provision of the Deposit Agreement may at any time be amended by agreement between the Company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CHARGES OF DEPOSITARY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will pay all transfer and other taxes and governmental charges that arise solely from the existence of the depositary arrangements. The Company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or at the option of the Company, the Depositary, will forward to the holders of Depositary Shares all reports and communications from the Company which the Company is required to furnish to the holders of Preferred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Depositary nor the Company will be liable if it is prevented or delayed by law or any circumstances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 or Preferred Stock unless satisfactory indemnity has been furnished. The Company and the Depositary may rely upon written advice of counsel or accountants, or information provided by persons presenting Preferred Stock for deposit, holders of Depositary Shares or other persons believed to be competent and on documents believed to be genuine.</w:t>
      </w:r>
    </w:p>
    <w:p>
      <w:pPr>
        <w:sectPr>
          <w:pgSz w:w="11900" w:h="16838" w:orient="portrait"/>
          <w:cols w:equalWidth="0" w:num="1">
            <w:col w:w="10219"/>
          </w:cols>
          <w:pgMar w:left="240" w:top="312" w:right="1440" w:bottom="1440" w:gutter="0" w:footer="0" w:header="0"/>
        </w:sect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RESIGNATION AND REMOVAL OF DEPOSITARY; TERMINATION OF THE DEPOSIT AGREEMENT</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Depositary may resign at any time by delivering to the Company notice of its election to do so, and the Company may at any time remove the Depositary, any such resignation or removal to take effect upon the appointment of a successor Depositary and its acceptance of such appointment. Such successor Depositary will be appointed by the Company within 60 days after delivery of the notice of resignation or removal. The Deposit Agreement may be terminated at the direction of the Company or by the Depositary if a period of 90 days shall have expired after the Depositary has delivered to the Company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request of the Company, the Depositary shall deliver all books, records, certificates evidencing Preferred Stock, Depositary Receipts and other documents relating to the subject matter of the Depositary Agreement to the Company.</w:t>
      </w:r>
    </w:p>
    <w:p>
      <w:pPr>
        <w:spacing w:after="0" w:line="38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COMMON STOCK</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statements made under this caption include summaries of certain provisions contained in the Company's Articles of Incorporation and By-Laws. These statements do not purport to be complete and are qualified in their entirety by reference to such Articles of Incorporation and By-Laws.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three classes of Common Stock outstanding: Class A Special Common Stock, $1.00 par value per share; Class A Common Stock, $1.00 par value per share; and Class B Common Stock, $1.00 par value per share. There are currently 350,000,000 shares of Class A Special Common Stock, 200,000,000 shares of Class A Common Stock and 50,000,000 shares of Class B Common Stock authorized. At September 30, 1993, there were 98,416,602 shares of Class A Special Common Stock, 38,903,012 shares of Class A Common Stock and 8,786,250 shares of Class B Common Stock outstanding.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Subject to the preferential rights of any preferred stock then outstanding, the holders of Class A Special Common Stock, Class A Common Stock and Class B Common Stock are entitled to receive pro rata per share such cash dividends as from time to time may be declared by the Company's Board of Directors out of funds legally available therefor. Each class of the Company's Common Stock is to receive dividends, as declared, on an equal basis per share.</w:t>
      </w:r>
    </w:p>
    <w:p>
      <w:pPr>
        <w:spacing w:after="0" w:line="186"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holders of the Class A Special Common Stock are not entitled to vote in the election of directors or otherwise, except where class voting is required by applicable law or the Company's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w:t>
      </w:r>
    </w:p>
    <w:p>
      <w:pPr>
        <w:sectPr>
          <w:pgSz w:w="11900" w:h="16838" w:orient="portrait"/>
          <w:cols w:equalWidth="0" w:num="1">
            <w:col w:w="10219"/>
          </w:cols>
          <w:pgMar w:left="240" w:top="312" w:right="1440" w:bottom="1440" w:gutter="0" w:footer="0" w:header="0"/>
        </w:sect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Sural Corporation ("Sural") is the sole owner of all of the outstanding shares of the Company's Class B Common Stock (8,786,250 shares outstanding at September 30, 1993). As of such date, Sural also owns 1,845,037 shares of the Class A Common Stock and 86 shares of the Class A Special Common Stock. Based upon the number of shares of both classes of voting Common Stock outstanding at September 30, 1993, Sural is entitled to cast approximately 78% of the votes which all shareholders are entitled to cast. Ralph J. Roberts, the Chairman of the Board of Directors of the Company, controls Sural and, in addition, at September 30, 1993, was the beneficial owner of 769,729 shares of the Class A Special Common Stock and 363,282 shares of the Class A Common Stock, excluding shares issuable upon the exercise of options. In addition, as of such date, Mr. Roberts also held options to purchase 438,750 shares of Class B Common Stock and 2,230,519 shares of Class A Special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CLASS B COMMON STOCK</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Class B Common Stock is convertible share for share into either the Class A Common Stock or the Class A Special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PREFERENCE ON LIQUIDATION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of the liquidation, dissolution or winding up, either voluntary or involuntary, of the Company, the holders of Class A Special Common Stock, Class A Common Stock and Class B Common Stock are entitled to receive, subject to any liquidation preference of any preferred stock then outstanding, the remaining assets, if any, of the Company in proportion to the number of shares held by them without regard to class.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The Company has been advised that the Class A Special Common Stock and Class A Common Stock are exempt from existing Pennsylvania personal property tax.</w:t>
      </w:r>
    </w:p>
    <w:p>
      <w:pPr>
        <w:spacing w:after="0" w:line="39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transfer agent and registrar for the Company's Class A Special Common Stock and Class A Common Stock is The Bank of New York, One Wall Street, New York, New York 10286.</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DESCRIPTION OF WARRANTS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may issue Warrants to purchase Securities or other securities or rights of the Company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w:t>
      </w:r>
    </w:p>
    <w:p>
      <w:pPr>
        <w:sectPr>
          <w:pgSz w:w="11900" w:h="16838" w:orient="portrait"/>
          <w:cols w:equalWidth="0" w:num="1">
            <w:col w:w="10219"/>
          </w:cols>
          <w:pgMar w:left="240" w:top="312" w:right="1440" w:bottom="1440" w:gutter="0" w:footer="0" w:header="0"/>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separate warrant agreement (each a "Warrant Agreement") to be entered into between the Company and a warrant agent ("Warrant Agent"). The following sets forth certain general terms and provisions of the Warrants offered hereby. Further terms of the Warrants and the applicable Warrant Agreement are set forth in the applicable Prospectus Supplement.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applicable Prospectus Supplement will describe the following terms of any Warrants in respect of which this Prospectus is being delivered: (1) the title of such Warrants; (2) the aggregate number of such Warrants; (3) the price or prices at which such Warrants will be issued; (4) the currency or currencies, including composite currencies, in which the price of such Warrants may be payable; (5) the Securities or other securities or rights of the Company (including rights to receive payment in cash or securities based on the value, rate or price of one or more specified commodities, currencies or indices) or securities of other issuers or any combination of the foregoing purchasable upon exercise of such Warrants; (6) the price at which and the currency or currencies, including composite currencies, in which the Securities purchasable upon exercise of such Warrants may be purchased; (7) the date on which the right to exercise such Warrants shall commence and the date on which such right shall expire; (8) if applicable, the minimum or maximum amount of such Warrants which may be exercised at any one time; (9) if applicable, the designation and terms of the Securities with which such Warrants are issued and the number of such Warrants issued with each such Security; (10) if applicable, the date on and after which such Warrants and the related Securities will be separately transferable; (11) information with respect to book-entry procedures, if any;</w:t>
      </w:r>
    </w:p>
    <w:p>
      <w:pPr>
        <w:spacing w:after="0" w:line="192" w:lineRule="exact"/>
        <w:rPr>
          <w:sz w:val="20"/>
          <w:szCs w:val="20"/>
          <w:color w:val="auto"/>
        </w:rPr>
      </w:pPr>
    </w:p>
    <w:p>
      <w:pPr>
        <w:ind w:right="2199" w:firstLine="8"/>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a discussion of certain United States Federal income tax considerations; and (13) any other terms of such Warrants, including terms, procedures and limitations relating to the exchange and exercise of such Warrants.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TAXATION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following summary describes certain United States federal income tax consequences to initial holders of ownership and disposition of the Securities held as capital assets within the meaning of Section 1221 of the Code. This summary is based on the Internal Revenue Code of 1986, as amended to the date hereof (the "Code"), administrative pronouncements, judicial decisions and existing and proposed Treasury Regulations, including proposed regulations concerning the treatment of debt instruments issued with original issue discount (the "Proposed Regulations") changes to any of which subsequent to the date of this Prospectus may affect the tax consequences described herein. Although the Proposed Regulations, by their terms, do not apply to debt instruments issued prior to or within 60 days after they are published in final form, they represent the only current administrative guidance on certain issues affecting the appropriate tax treatment of the Debentures. It is possible that different rules will be contained in subsequent proposed, temporary or final regulations. This summary does not discuss all of the tax consequences that may be relevant to a holder in light of his particular circumstances or to holders subject to special rules, such as certain financial institutions, insurance companies, dealers in securities or foreign currencies, persons holding any such securities as a hedge against, or which are hedged against, currency risks, or United States Holders whose functional currency (as defined in Code Section 985) is not the U.S. dollar. Persons considering the purchase of Securities should consult their tax advisors with regard to the application of the United States federal income tax laws to their particular situations as well as any tax consequences arising under the laws of any state, local or foreign taxing jurisdiction.</w:t>
      </w:r>
    </w:p>
    <w:p>
      <w:pPr>
        <w:spacing w:after="0" w:line="39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used herein, the term "United States Holder" means an owner of Securities that is for United States federal income tax purposes (i) a citizen or resident of the United States, (ii) a corporation, partnership or other entity created or organized in or under the laws of the United States or any political subdivision thereof, or (iii) an estate or trust the income of which is subject to United States federal income taxation regardless of its source.</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used herein, the term "United States Alien Holder" means a holder of Securities that is, for United States federal income tax purposes, (i) a nonresident alien individual, (ii) a foreign corporation, (iii) a nonresident alien fiduciary of a foreign estate or trust or (iv) a foreign partnership one or</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more of the members of which is, for United States federal income tax purposes, a nonresident alien individual, a foreign corporation or a nonresident alien fiduciary of a foreign estate or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UNITED STATES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PAYMENTS OF INTEREST</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Interest payments under the Debentures (including payments received on the sale, exchange or retirement of Debentures attributable to accrued but unpaid interest) will generally be taxable to a United States Holder as ordinary interest income at the time it accrues or is received (or is made available for payment, if earlier) in accordance with the United States Holder's method of accounting for federal income tax purposes. Special rules governing the treatment of interest paid with respect to Original Issue Discount Debentures (as defined below), including certain Contingent Payment Debentures (as defined below), Debentures having a maximum or minimum interest rate limitation, Debentures that are denominated, or provide for payments in or indexed to a foreign currency ("Foreign Currency Debentures") and Debentures providing for payments of principal or interest linked to commodity prices, equity indices or other factors are described under "Original Issue Discount Debentures" and "Foreign Currency Debentures, Indexed Debentures and Debentures Linked to Commodity Prices, Equity Indices or Other Factors," below. Holders intending to purchase such Debentures should refer to the discussion relating to taxation in the applicable Prospectus Supplement.</w:t>
      </w: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SALE, EXCHANGE OR RETIREMENT OF DEBENTURES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Upon the sale, exchange or retirement of a Debenture, a United States Holder will recognize taxable gain or loss equal to the difference between the amount realized on the sale, exchange or retirement (not including any amount attributable to accrued but unpaid interest) and such Holder's adjusted tax basis in the Debenture. A United States Holder's adjusted tax basis in a Debenture will equal the cost of the Debenture to such Holder, increased by the amounts of any original issue discount previously included in income by the Holder with respect to such Debenture and reduced by any amortized premium and any principal payments received by the Holder and, in the case of an Original Issue Discount Debenture, by the amounts of any other payments that do not constitute "qualified stated interest" (as defined below).</w:t>
      </w:r>
    </w:p>
    <w:p>
      <w:pPr>
        <w:spacing w:after="0" w:line="39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Gain or loss realized on the sale, exchange or retirement of a Debenture generally will be capital gain or loss (except in the case of a short-term Original Issue Discount Debenture (as defined below), to the extent of any original issue discount not previously included in the Holder's taxable income), and will be long-term capital gain or loss if at the time of sale, exchange or retirement the Debenture has been held for more than one year. See "Original Issue Discount Debentures" below. Under current law, the excess of net long-term capital gains over net short-term capital losses is taxed at a lower rate than ordinary income for certain noncorporate taxpayers. The distinction between capital gain or loss and ordinary income or loss is also relevant for purposes of, among other things, limitations on the deductibility of capital losses. Notwithstanding the foregoing, gain or loss realized upon the sale, exchange or retirement of a Foreign Currency Debenture that is attributable to fluctuations in currency exchange rates will be ordinary income or loss which will not be treated as interest income or expense. In addition, under Code Sections 165(j) and 1287(a), a United States Holder of a Bearer Debenture or coupon generally will not be entitled to deduct any loss on such Bearer Debenture or coupon and must treat as ordinary income any gain realized on the sale or other disposition (including the receipt of principal) of such Bearer Debenture or coupon.</w:t>
      </w: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CONVERSION OF DEBENTURES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Holder of a Debenture convertible into shares of Preferred Stock, Class A Common Stock or Class A Special Common Stock or a combination of these will recognize no gain or loss on the conversion of the Debentures into such stock (except possibly to the extent such stock discharges accrued, but unpaid, interest) and will have an adjusted tax basis in such stock equal to the Holder's</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adjusted tax basis in the Debenture at the time of the conversion. If the Debentures are convertible into a combination of Preferred Stock, Class A Common Stock and Class A Special Common Stock, the Holder's adjusted tax basis in the Debenture at the time of conversion will be allocated to the Preferred Stock, Class A Common Stock and Class A Special Common Stock in proportion to their respective fair market values on the date of conversion. The holding period for such stock will include the holding period for the converted Debenture, except that the holding period of such stock allocable to accrued original issue discount (or possibly in the case of stock allocable to accrued, but unpaid, interest), if any, may commence on the day following the date of conversion.</w:t>
      </w:r>
    </w:p>
    <w:p>
      <w:pPr>
        <w:spacing w:after="0" w:line="18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Gain or loss will be recognized upon the receipt of cash paid in lieu of fractional shares of such stock to the extent of the difference between the amount of cash received and the amount of tax basis allocable to the fractional shares redeemed. The gain or loss generally will be treated as capital in nature provided the Debenture is held as a capital asset on the date of conversion.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 any time there is a change in the conversion rate or the securities issuable upon conversion under the anti-dilution provisions of the Indenture (other than to take account of a stock dividend or stock split), such change may be treated pursuant to Section 305 of the Code as a constructive distribution of stock to Holders of the Debentures at the time and if so the value of such change would be taxable as a dividend to the extent of the current and accumulated earnings and profits of the Company.</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ORIGINAL ISSUE DISCOUNT DEBENTURES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Code, a Debenture which is issued for an amount less than its stated redemption price at maturity will generally be considered to have been issued at an original issue discount for federal income tax purposes (an "Original Issue Discount Debenture"). The stated redemption price at maturity of a Debenture will equal the sum of all payments required under the Debenture other than certain contingent payments and payments of "qualified stated interest" (defined as a series of payments in cash or property (other than debt instruments of the issuer) unconditionally payable at least annually during the entire term of the Debenture and equal to the outstanding principal balance of the Debenture multiplied by a single fixed rate of interest, or a single qualified floating rate of interest, a single fixed rate followed by a single qualified floating rate, a single qualified floating rate followed by a second qualified floating rate, a single rate based on one or more qualified floating rates or a single rate based on the price of actively traded property or an index of the prices of such property, other than foreign currency). Special rules may apply if a floating rate Debenture is subject to a cap (or a floor) that is very likely to cause the interest rate in one or more accrual periods, known as of the issue date, to be significantly less (or more) than the overall expected return on such floating rate Debenture.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difference between a Debenture's stated redemption price at maturity and its issue price is less than a de minimis amount, i.e., 1/4 of 1 percent of the stated redemption price at maturity multiplied by the number of complete years to maturity, then the Debenture will not be considered to have original issue discount.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United States Holders of Original Issue Discount Debentures will be required to include any payments of qualified stated interest in income at the time they are accrued or received (or made available for payment, if earlier), in accordance with the Holder's method of accounting for federal income tax purposes. United States Holders of Original Issue Discount Debentures that mature more than one year from their date of issuance will be required to include original issue discount in income for federal income tax purposes as it accrues (regardless of their general accounting methods), in accordance with a constant yield method based on a compounding of interest at the end of each accrual period. Under this method, United States Holders of Original Issue Discount Debentures generally will be required to include in income increasingly greater amounts of original issue discount in successive accrual periods.</w:t>
      </w:r>
    </w:p>
    <w:p>
      <w:pPr>
        <w:sectPr>
          <w:pgSz w:w="11900" w:h="16838" w:orient="portrait"/>
          <w:cols w:equalWidth="0" w:num="1">
            <w:col w:w="10219"/>
          </w:cols>
          <w:pgMar w:left="240" w:top="312" w:right="1440" w:bottom="1440" w:gutter="0" w:footer="0" w:header="0"/>
        </w:sect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2"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case of certain Debentures providing for variable or contingent interest that is not qualified stated interest, the Proposed Regulations provide that such Debentures ("Contingent Payment Debentures") will be treated as Original Issue Discount Debentures. Variable or contingent interest payments on Contingent Payment Debentures (other than payments of qualified stated interest) will generally be treated as contingent interest payments includible in income as the amount of such payments becomes fixed. If such payments are not due within six months of the date their amount becomes fixed, the right to receive such payments will be includible in income when their amount becomes fixed at a discounted values determined under Code Section 1274, and the remaining portion of such payments will be includible in income as original issue discount over the period between the date on which the payments are fixed and the date on which payment is due. If a Contingent Payment Debenture does not provide for fixed and unconditional payments at least equal to the issue price of the Debenture, a portion of any variable or contingent payments due prior to maturity may be treated as a payment of principal.</w:t>
      </w:r>
    </w:p>
    <w:p>
      <w:pPr>
        <w:spacing w:after="0" w:line="39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Holders purchasing Contingent Payment Debentures should carefully examine the applicable Prospectus Supplement as it relates to the particular terms of the Debentures being offered, and they should consult their tax advisors as to the federal income tax consequences of purchasing, holding and disposing of Contingent Payment Debentures with such terms, as the tax consequences will depend, in part, on the particular terms of the purchased Debentures.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general, a cash method United States Holder of an Original Issue Discount Debenture that matures one year or less from its date of issuance (a "short-term Original Issue Discount Debenture") is not required to accrue original issue discount for United States Federal income tax purposes unless it elects to do so. Holders who make such an election, Holders who report income for federal income tax purposes on the accrual method and certain other Holders, including banks and dealers in securities, are required to include original issue discount in income on such short-term Original Issue Discount Debentures as it accrues on a straight-line basis, unless an election is made to accrue the original issue discount according to a constant yield method based on daily compounding. In the case of Holders who are not required or who do not elect to include original issue discount in income currently, any gain realized on the sale, exchange or retirement of the short-term Original Issue Discount Debenture will be ordinary income to the extent of the original issue discount accrued on a straight-line basis (or, if elected, according to a constant yield method based on daily compounding) through the date of sale, exchange or retirement. In addition, such Holders will be required to defer deductions for any interest paid on indebtedness incurred to purchase or carry short-term Original Issue Discount Debentures in an amount not exceeding the deferred interest income, until such deferred interest income is recognized.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Certain of the Original Issue Discount Debentures may be redeemed prior to maturity. Original Issue Discount Debentures containing such a feature may be subject to rules that differ from the general rules discussed above. Purchasers of Original Issue Discount Debentures with such a feature should carefully examine the applicable Prospectus Supplement and should consult their tax advisors with respect to such a feature since the tax consequences with respect to original issue discount will depend, in part, on the particular terms and the particular features of the purchased Debenture.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 United States Holder purchases a Debenture for an amount that is greater than the amount payable at maturity, such Holder will be considered to have purchased such Debenture with "amortizable bond premium" equal in amount to such excess, and may elect (in accordance with applicable Code provisions) to amortize such premium, using a constant yield method based on a compounding of interest at the end of each accrual period, over the remaining term of the Debenture (where such Debenture is not optionally redeemable prior to its maturity date). If such Debenture may be optionally redeemed prior to maturity, the amount of amortizable bond premium is determined with reference to either the amount payable on maturity or, if it results in a smaller premium attributable to the period to the earlier redemption date, with reference to the amount payable on the earlier redemption date. A Holder who elects to amortize bond premium must reduce his tax basis in the Debenture by the amount of the premium amortized in any year. An election to amortize bond</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premium applies to all taxable debt obligations then owned and thereafter acquired by the taxpayer and may be revoked only with the consent of the Internal Revenue Service.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Proposed Regulations, which are not yet effective, a Holder that uses an accrual method of accounting may elect to include in gross income its entire return on a Debenture (i.e., the excess of all payments to be received on the Debenture over the amount paid for the Debenture by such Holder) in accordance with a constant yield method based on the compounding of interest at the end of each accrual period. Such an election for a Debenture with amortizable bond premium will result in a deemed election to amortize bond premium for all of the Holder's debt instruments with amortizable bond premium and may be revoked only with the permission of the Internal Revenue Service with respect to debt instruments acquired after revocation.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Finally, this discussion does not apply in the case of any Original Issue Discount Debentures which qualify as "applicable high-yield discount obligations" under Section 163(i) of the Code. United States Holders of Original Issue Discount Debentures which are "applicable high-yield discount obligations" may be subject to special rules which will be set forth in an applicable Prospectus Supplement. United States Holders should consult their own tax advisors as to the federal income tax consequences of holding such obligations.</w:t>
      </w:r>
    </w:p>
    <w:p>
      <w:pPr>
        <w:spacing w:after="0" w:line="18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Company will file with the Internal Revenue Service such information regarding the original issue discount that applicable Treasury regulations require.</w:t>
      </w:r>
    </w:p>
    <w:p>
      <w:pPr>
        <w:spacing w:after="0" w:line="209"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FOREIGN CURRENCY DEBENTURES, INDEXED DEBENTURES AND DEBENTURES LINKED TO COMMODITY PRICES, EQUITY INDICES OR OTHER FACTORS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United States federal income tax consequences to a Holder of the ownership and disposition of Foreign Currency Debentures, indexed Debentures or Debentures linked to commodity prices, equity indices or other factors (including Debentures exchangeable for property other than stock of the Company) may differ materially from those described herein, depending on the exact terms of such Debentures. Holders intending to purchase such Debentures should refer to the discussion relating to taxation in the applicable Prospectus Supplement.</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PAYMENTS OF DIVIDENDS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Distributions by the Company with respect to shares of the Class A Special Common Stock, Class A Common Stock or Preferred Stock (other than certain pro rata distributions of shares or rights with respect to shares) generally will constitute dividends for U.S. federal income tax purposes to the extent that such distributions are paid out of the Company's current and accumulated earnings and profits, as determined under U.S. federal tax principles, and may be eligible for the 70% dividends received deduction allowed to corporate shareholders.</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Prospective investors should consider the effect of (i) Section 246A of the Code, which reduces the dividends-received deduction allowed to a corporate shareholder which has incurred indebtedness that is "directly attributable" to an investment in portfolio stock; (ii) Section 246(c) of the Code, which disallows the dividends-received deduction, among other things, in respect of any share of stock that is held for 45 days or less; (iii) Section 1059 of the Code, which, under certain circumstances, reduces the basis of stock for the purposes of calculating gain or loss in a subsequent disposition by the portion of any "extraordinary dividend" that is eligible for the dividends-received deduction; and (iv) the corporate alternative minimum tax, which generally includes the amount of a corporate holder's dividends received deduction in the computation of alternative minimum taxable income. To the extent, if any, that the amount of any distribution by the Company exceeds the Company's current and accumulated earnings and profits as determined under U.S. federal income tax principles, such excess will be treated first as a tax-free return of the Holder's tax basis in the shares and thereafter as capital gain.</w:t>
      </w:r>
    </w:p>
    <w:p>
      <w:pPr>
        <w:sectPr>
          <w:pgSz w:w="11900" w:h="16838" w:orient="portrait"/>
          <w:cols w:equalWidth="0" w:num="1">
            <w:col w:w="10219"/>
          </w:cols>
          <w:pgMar w:left="240" w:top="312" w:right="1440" w:bottom="1440" w:gutter="0" w:footer="0" w:header="0"/>
        </w:sect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2"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GAIN OR LOSS ON DISPOSITION OF EQUITY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United States Holders generally will recognize capital gain or loss upon the sale, exchange or other disposition of shares of Preferred Stock, Class A Special Common Stock, Class A Common Stock, or Warrants equal to the difference between the amount realized on the sale, exchange or other disposition and such Holder's adjusted tax basis in such securities. In the case of a redemption of stock by the Company, however, gain or loss will be capital only if the redemption falls within one of the categories enumerated in Section 302(b) of the Code.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As a general rule, no gain or loss will be recognized to a United States Holder on the exercise of a Warrant to purchase securities. The tax basis of securities so acquired will be equal to the sum of the Holder's adjusted tax basis in the exercised Warrant and the exercise price, but the holding period of such securities will not include the holding period of the Warrant exercised.</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Section 305 of the Code, adjustments to the exercise price of Warrants to purchase equity securities which occur under certain circumstances, or the failure to make such adjustments, may result in a deemed dividend to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expiration of a Warrant, a United States Holder will recognize a loss equal to such Holder's tax basis in the Warrant. If the securities issuable upon exercise of the Warrant would have been a capital asset of the Holder if acquired by the Holder, such loss will be a capital loss.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current United States federal income tax law, a 31% backup withholding tax and information reporting requirements apply to certain payments of dividends, principal, premium and interest (including original issue discount) made to, and to the proceeds of sale of securities by, certain noncorporate United States persons.</w:t>
      </w:r>
    </w:p>
    <w:p>
      <w:pPr>
        <w:spacing w:after="0" w:line="209"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In the case of a United States Holder, backup withholding will apply only if the Holder (i) fails to furnish his Taxpayer Identification Number ("TIN"),</w:t>
      </w:r>
    </w:p>
    <w:p>
      <w:pPr>
        <w:ind w:right="1779" w:firstLine="8"/>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furnishes an incorrect TIN, (iii) is notified by the Internal Revenue Service that he has failed to properly report payments of interest and dividends or (iv) under certain circumstances, fails to certify that he is not subject to backup withholding. United States Holders should consult their tax advisors regarding their qualification for exemption from backup withholding and the procedure for obtaining such an exemption if applicable.</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amount of any backup withholding from a payment to a United States Holder will be allowed as a credit against such Holder's United States federal income tax liability and may entitle such Holder to a refund, provided that the required information is furnished to the Internal Revenue Service.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UNITED STATES ALIEN HOLDERS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Under present United States federal income and estate tax law, and subject to the discussions below concerning FIRPTA and backup withholding:</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Alien Holder of Securities will not be subject to United States federal income tax on gain realized on the sale, exchange or other disposition of Securities (including the receipt of cash in lieu of fractional shares upon conversion of a Security) unless (i) such Holder is an individual who is present in the United States for a period or periods aggregating 183 days or more in the taxable year of disposition, and certain other conditions are met, or (ii) the gain is effectively connected with a trade or business of the Holder in the United States or, if a tax treaty applies, is attributable to a United States permanent establishment of the Holder;</w:t>
      </w:r>
    </w:p>
    <w:p>
      <w:pPr>
        <w:spacing w:after="0" w:line="214"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principal, interest (including original issue discount, if any) and premium on the Debentures to any United States Alien Holder will not be subject to United States federal withholding tax provided that, in the case of interest, (i) such Holder does not own, actually or</w:t>
      </w:r>
    </w:p>
    <w:p>
      <w:pPr>
        <w:sectPr>
          <w:pgSz w:w="11900" w:h="16838" w:orient="portrait"/>
          <w:cols w:equalWidth="0" w:num="1">
            <w:col w:w="10219"/>
          </w:cols>
          <w:pgMar w:left="240" w:top="312" w:right="1440" w:bottom="581"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2" w:right="1440" w:bottom="581"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constructively, 10 percent or more of the total combined voting power of all classes of stock of the Company entitled to vote, is not a controlled foreign corporation related, directly or indirectly, to the Company through stock ownership, and is not a bank receiving interest described in Section 881(c)(3)(A) of the Code and (ii) if the Debenture is a Registered Debenture, the beneficial owner thereof fulfills the statement requirement set forth in Section 871(h) or Section 881(c) of the Code;</w:t>
      </w:r>
    </w:p>
    <w:p>
      <w:pPr>
        <w:spacing w:after="0" w:line="211" w:lineRule="exact"/>
        <w:rPr>
          <w:sz w:val="20"/>
          <w:szCs w:val="20"/>
          <w:color w:val="auto"/>
        </w:rPr>
      </w:pPr>
    </w:p>
    <w:p>
      <w:pPr>
        <w:ind w:left="540" w:right="1879" w:firstLine="521"/>
        <w:spacing w:after="0" w:line="237"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paid on shares of Preferred Stock, Class A Common Stock or Class A Special Common Stock to a United States Alien Holder will be subject to withholding tax at a rate of 30% or such lower rate as may be provided by an applicable tax treaty; and</w:t>
      </w:r>
    </w:p>
    <w:p>
      <w:pPr>
        <w:spacing w:after="0" w:line="207" w:lineRule="exact"/>
        <w:rPr>
          <w:rFonts w:ascii="Courier New" w:cs="Courier New" w:eastAsia="Courier New" w:hAnsi="Courier New"/>
          <w:sz w:val="18"/>
          <w:szCs w:val="18"/>
          <w:color w:val="auto"/>
        </w:rPr>
      </w:pPr>
    </w:p>
    <w:p>
      <w:pPr>
        <w:ind w:left="540" w:right="1999" w:firstLine="521"/>
        <w:spacing w:after="0" w:line="273" w:lineRule="auto"/>
        <w:tabs>
          <w:tab w:leader="none" w:pos="14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United States Federal income tax will be imposed upon the exercise of a Warrant or the conversion of a Security into shares of Preferred Stock, Class A Common Stock or Class A Special Common Stock, subject, with respect to the receipt of cash in lieu of fractional shares by certain Holders, to the limitation described in clause (a) above;</w:t>
      </w:r>
    </w:p>
    <w:p>
      <w:pPr>
        <w:spacing w:after="0" w:line="184"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Debenture or coupon held by an individual who at the time of his death is not a citizen or resident of the United States will not be subject to United States Federal estate tax as a result of such individual's death, provided that (i) the individual does not own, actually or constructively, 10 percent or more of the total combined voting power of all classes of stock of the Company entitled to vote and, (ii) at the time of such individual's death, payments with respect to such Debenture or coupon would not have been effectively connected to the conduct by such individual of a trade or business in the United States;</w:t>
      </w:r>
    </w:p>
    <w:p>
      <w:pPr>
        <w:spacing w:after="0" w:line="213"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Preferred Stock, Class A Special Common Stock, Class A Common Stock, or Warrants held by an individual at the time of his death (or theretofore transferred subject to certain retained rights or powers) may be subject to United States federal estate tax unless otherwise provided by an applicable tax treaty.</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Sections 871(h) and 881(c) of the Code require that, in order to obtain the portfolio interest exemption from withholding tax described in paragraph (b) above in the case of a Registered Debenture, either the beneficial owner of the Debenture or a securities clearing organization, bank or other financial institution that holds customers' securities in the ordinary course of its trade or business (a "Financial Institution") and that is holding the Debenture on behalf of such beneficial owner, files a statement with the withholding agent to the effect that the beneficial owner of the Debenture is not a United States Holder. Under temporary United States Treasury Regulations, such requirement will be fulfilled if the beneficial owner of a Debenture certifies on Internal Revenue Service Form W-8, under penalties of perjury, that it is not a United States Holder and provides its name and address, and any Financial Institution holding the Debenture on behalf of the beneficial owner, files a statement with the withholding agent to the effect that it has received such a statement from the Holder (and furnishes the withholding agent with a copy thereof).</w:t>
      </w:r>
    </w:p>
    <w:p>
      <w:pPr>
        <w:spacing w:after="0" w:line="3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a United States Alien Holder of Securities is engaged in a trade or business in the United States, and if interest (including original issue discount) or dividends on such Securities is effectively connected with the conduct of such trade or business, the United States Alien Holder, although exempt from the withholding tax discussed in paragraphs (b) and (c) above, will generally be subject to regular United States income tax on interest (including any original issue discount) or dividends on such Securities and on any gain realized on the sale, exchange or other disposition of such Securities in the same manner as if it were a United States Holder. See "Tax Consequences to United States Holders" above. Such a Holder will be required to provide to the Company a properly executed Internal Revenue Service Form 4224 in order to claim an exemption from withholding tax. In addition, if such United States Alien Holder is a foreign corporation, it may be subject to a branch profits tax equal to 30% of its effectively connected earnings and profits for the taxable year, subject to certain adjustments. For purposes of the branch profits tax, interest (including original issue discount) on dividends on and any gain recognized on the sale, exchange or other disposition of a Debenture or shares of Class A Common Stock, Class A Special Common Stock or Preferred Stock or Warrants will</w:t>
      </w:r>
    </w:p>
    <w:p>
      <w:pPr>
        <w:sectPr>
          <w:pgSz w:w="11900" w:h="16838" w:orient="portrait"/>
          <w:cols w:equalWidth="0" w:num="1">
            <w:col w:w="10219"/>
          </w:cols>
          <w:pgMar w:left="240" w:top="312" w:right="1440" w:bottom="1440" w:gutter="0" w:footer="0" w:header="0"/>
        </w:sect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2"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 included in the earnings and profits of such United States Alien Holder if such income is effectively connected with the conduct by the United States Alien Holder of a trade or business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FIRPTA CONSIDERATIONS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Under the Foreign Investment in Real Property Tax Act of 1980, as amended ("FIRPTA"), foreign persons generally are subject to United States federal income tax on capital gain realized on the disposition of any interest (other than solely as a creditor) in a corporation that is a United States real property holding corporation (a "USRPHC"). For this purpose, a foreign person is defined as any Holder who is a foreign corporation (other than certain foreign corporations that elect to be treated as domestic corporations), a non-resident alien individual, a non-resident fiduciary of a foreign estate or trust, or a foreign partnership. Under FIRPTA, a corporation is a USRPHC if the fair market value of the United States real property interests held by the corporation is 50 percent or more of the aggregate fair market value of the corporation's real property interests and other assets used or held for use in the corporation's trade or business, excluding assets held for future business needs.</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discussion of the U.S. federal tax consequences to United States Alien Holders set forth above assumes that none of the Securities will be considered interests in a USRPHC. No opinion is expressed as to whether the Company is currently or will become a USRPHC. If the Company were treated as a USRPHC, United States Alien Holders could be subject to United States federal income tax on gain or income, if any, realized on the sale or other disposition of convertible Debentures, Preferred Stock, Class A Common Stock, Class A Special Common Stock, or Warrants. However, gain realized on a disposition of stock in a USRPHC by a Holder that is not deemed to own more than five percent of such stock during the shorter of the five-year period preceding such disposition or such Holder's holding period will not be subject to United States federal income tax provided that such stock is "regularly traded on an established securities market" (within the meaning of section 897(c)(3) of the Code) at the time of disposition.</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transferee of an interest in a USRPHC is under a duty to withhold (generally at a rate of 10% of the amount realized by the transferor) if the transferor is a foreign person. Accordingly, if the Company were to determine that it may be or may have been a USRPHC, in the case of conversion, redemption or repurchase of any Debenture convertible into stock of the Company, or of Preferred Stock, Class A Special Common Stock, Class A Common Stock, or Warrants to purchase any such Securities, the Company intends to withhold to the extent required in the case of a foreign transferor unless the Holder furnishes to the Company a certification that (i) states that the Holder is not a foreign holder,</w:t>
      </w:r>
    </w:p>
    <w:p>
      <w:pPr>
        <w:spacing w:after="0" w:line="2" w:lineRule="exact"/>
        <w:rPr>
          <w:sz w:val="20"/>
          <w:szCs w:val="20"/>
          <w:color w:val="auto"/>
        </w:rPr>
      </w:pPr>
    </w:p>
    <w:p>
      <w:pPr>
        <w:ind w:right="1879" w:firstLine="8"/>
        <w:spacing w:after="0" w:line="237"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sets forth such person's name, identifying number and home address (in the case of an individual) or office address (in the case of an entity), and (iii) is signed under penalties of perjury. Any amount withheld pursuant to these rules will be creditable against such foreign person's United States federal income tax liability and may entitle such person to a refund, provided that the required information is furnished to the IRS.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United States Alien Holders of Securities should consult their tax advisors regarding the application of information reporting and backup withholding in their particular situations, the availability of an exemption therefrom, and the procedure for obtaining such an exemption, if available. Any amounts withheld from a payment to a Holder under the backup withholding rules will be allowed as a credit against such Holder's United States Federal income tax liability and may entitle such Holder to a refund, provided that the required information is furnished to the Internal Revenue Service.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FOREGOING DISCUSSION OF CERTAIN FEDERAL INCOME TAX CONSEQUENCES IS FOR GENERAL INFORMATION ONLY AND IS NOT TAX ADVICE. ACCORDINGLY, EACH PROSPECTIVE PURCHASER OF SECURITIES SHOULD CONSULT HIS OWN TAX ADVISOR WITH RESPECT TO THE TAX CONSEQUENCES OF THE ACQUISITION, OWNERSHIP AND DISPOSITION OF SUCH SECURITIES, INCLUDING THE APPLICABILITY AND EFFECT OF</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STATE, LOCAL AND FOREIGN TAX LAWS, AND OF CHANGES IN APPLICABLE TAX LAWS. PROSPECTIVE PURCHASERS SHOULD ALSO CAREFULLY REVIEW EACH PROSPECTUS SUPPLEMENT FOR ADDITIONAL AND/OR UPDATED INFORMATION REGARDING THE TAX CONSEQUENCES OF THE SECURITIES DESCRIBED THEREIN.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may sell Securities on a negotiated or competitive bid basis to or through underwriters or dealers, and also may sell Securities directly to other purchasers or through agents. Any such underwriter, dealer or agent involved in the offer and sale of Securities, and any applicable commissions, discounts and other items constituting compensation to such underwriters, dealer or agent, will be set forth in the Prospectus Supplement.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indicated in a Prospectus Supplement, the obligations of any underwriters to purchase Securities will be subject to certain conditions precedent and the underwriters will be obligated to purchase all of the applicable Securities if any are purchased. If a dealer is utilized in the sale, the Company will sell the Securities to the dealer as principal. The dealer may then resell the Securities to the public at varying prices to be determined by such dealer at the time of resale.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Offers to purchase Securities may be solicited by the Company or agents designated by the Company from time to time. Unless otherwise indicated in a Prospectus Supplement, any such agent will be acting on a best efforts basis for the period of its appointment.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Underwriters, dealers and agents that participate in the distribution of Securities may be deemed to be underwriters as that term is defined in the Securities Act of 1933 (the "Securities Act"), and any discounts or commissions received by them from the Company and any profits on the resale of the Securities by them may be deemed to be underwriting discounts and commissions under the Securities Act. Underwriters, dealers and agents may be entitled, under agreements entered into with the Company, to indemnification against and contribution toward certain civil liabilities, including liabilities under the Securities Act.</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so indicated in the Prospectus Supplement, the Company will authorize agents and underwriters to solicit offers by certain specified institutions to purchase Securities from the Company at the public offering price set forth in the Prospectus Supplement pursuant to delayed delivery contracts providing for payment and delivery on a specified date in the future. Institutions with whom such contracts, when authorized, may be made include commercial and savings banks, insurance companies, pension funds, investment companies, educational and charitable institutions and other institutions but shall in all cases be subject to the approval of the Company. Such contracts will be subject only to those conditions set forth in the Prospectus Supplement and the Prospectus Supplement will set forth the commission payable for solicitation of such contracts.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legality of the securities offered hereby will be passed upon for the Company by Arthur R. Block, Esquire, Deputy General Counsel of the Company, and for any underwriters or agents by Latham &amp; Watkins, Chicago, Illinois.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The consolidated financial statements of Comcast Corporation and subsidiaries incorporated in this prospectus by reference from the Company's Annual Report on Form 10-K for the year ended December 31, 1992 have been audited by Deloitte &amp; Touche, independent auditors, as stated in their report which is incorporated herein by reference, and has been so incorporated in reliance upon the report of such firm as experts in accounting and auditing.</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Storer Communications, Inc. and subsidiaries as of December 31, 1992 and 1991 and for each of the years in the three year period ended December 31, 1992, included as an exhibit to the Annual Report on Form 10-K of Comcast Corporation for the fiscal year ended December 31, 1992 and incorporated by reference in this Prospectus have been incorporated by reference herein in reliance upon the report of KPMG Peat Marwick, independent certified public accountants, incorporated by reference herein, and upon the authority of said firm as experts in auditing and accounting.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No dealer, salesperson or any other person has been authorized to give any information or to make any representations not contained in this Prospectus Supplement, or the accompanying Prospectus and, if given or made, such information or representations must not be relied upon as having been authorized by the Company, by the Underwriter or by any other person. This Prospectus Supplement and the accompanying Prospectus do not constitute an offer to sell or a solicitation of an offer to buy any of the securities offered hereby to any person or by anyone in any state in which such offer or solicitation may not lawfully be made. Neither the delivery of this Prospectus Supplement and the accompanying Prospectus, nor any sale made hereunder, shall, under any circumstances, create any implication that the information contained herein is correct as of any time subsequent to the date hereof.</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8"/>
          <w:szCs w:val="18"/>
          <w:color w:val="auto"/>
        </w:rPr>
        <w:t>Certain Considerations</w:t>
      </w:r>
      <w:r>
        <w:rPr>
          <w:sz w:val="20"/>
          <w:szCs w:val="20"/>
          <w:color w:val="auto"/>
        </w:rPr>
        <w:tab/>
      </w:r>
      <w:r>
        <w:rPr>
          <w:rFonts w:ascii="Courier New" w:cs="Courier New" w:eastAsia="Courier New" w:hAnsi="Courier New"/>
          <w:sz w:val="16"/>
          <w:szCs w:val="16"/>
          <w:color w:val="auto"/>
        </w:rPr>
        <w:t>S-2</w:t>
      </w:r>
    </w:p>
    <w:p>
      <w:pPr>
        <w:spacing w:after="0"/>
        <w:tabs>
          <w:tab w:leader="dot" w:pos="442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S-2</w:t>
      </w:r>
    </w:p>
    <w:p>
      <w:pPr>
        <w:spacing w:after="0"/>
        <w:tabs>
          <w:tab w:leader="dot" w:pos="44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S-2</w:t>
      </w:r>
    </w:p>
    <w:p>
      <w:pPr>
        <w:spacing w:after="0"/>
        <w:tabs>
          <w:tab w:leader="dot" w:pos="4420" w:val="left"/>
        </w:tabs>
        <w:rPr>
          <w:sz w:val="20"/>
          <w:szCs w:val="20"/>
          <w:color w:val="auto"/>
        </w:rPr>
      </w:pPr>
      <w:r>
        <w:rPr>
          <w:rFonts w:ascii="Courier New" w:cs="Courier New" w:eastAsia="Courier New" w:hAnsi="Courier New"/>
          <w:sz w:val="18"/>
          <w:szCs w:val="18"/>
          <w:color w:val="auto"/>
        </w:rPr>
        <w:t>Description of the Debentures</w:t>
      </w:r>
      <w:r>
        <w:rPr>
          <w:sz w:val="20"/>
          <w:szCs w:val="20"/>
          <w:color w:val="auto"/>
        </w:rPr>
        <w:tab/>
      </w:r>
      <w:r>
        <w:rPr>
          <w:rFonts w:ascii="Courier New" w:cs="Courier New" w:eastAsia="Courier New" w:hAnsi="Courier New"/>
          <w:sz w:val="16"/>
          <w:szCs w:val="16"/>
          <w:color w:val="auto"/>
        </w:rPr>
        <w:t>S-3</w:t>
      </w:r>
    </w:p>
    <w:p>
      <w:pPr>
        <w:spacing w:after="0"/>
        <w:tabs>
          <w:tab w:leader="dot" w:pos="4420" w:val="left"/>
        </w:tabs>
        <w:rPr>
          <w:sz w:val="20"/>
          <w:szCs w:val="20"/>
          <w:color w:val="auto"/>
        </w:rPr>
      </w:pP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6"/>
          <w:szCs w:val="16"/>
          <w:color w:val="auto"/>
        </w:rPr>
        <w:t>S-3</w:t>
      </w:r>
    </w:p>
    <w:p>
      <w:pPr>
        <w:spacing w:after="0"/>
        <w:tabs>
          <w:tab w:leader="dot" w:pos="44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S-4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Incorporation of Certain Documents by</w:t>
      </w:r>
    </w:p>
    <w:p>
      <w:pPr>
        <w:ind w:left="220"/>
        <w:spacing w:after="0"/>
        <w:tabs>
          <w:tab w:leader="dot" w:pos="462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2</w:t>
      </w:r>
    </w:p>
    <w:p>
      <w:pPr>
        <w:spacing w:after="0"/>
        <w:tabs>
          <w:tab w:leader="dot" w:pos="462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3</w:t>
      </w:r>
    </w:p>
    <w:p>
      <w:pPr>
        <w:spacing w:after="0"/>
        <w:tabs>
          <w:tab w:leader="dot" w:pos="462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4</w:t>
      </w:r>
    </w:p>
    <w:p>
      <w:pPr>
        <w:spacing w:after="0"/>
        <w:tabs>
          <w:tab w:leader="dot" w:pos="4620" w:val="left"/>
        </w:tabs>
        <w:rPr>
          <w:sz w:val="20"/>
          <w:szCs w:val="20"/>
          <w:color w:val="auto"/>
        </w:rPr>
      </w:pPr>
      <w:r>
        <w:rPr>
          <w:rFonts w:ascii="Courier New" w:cs="Courier New" w:eastAsia="Courier New" w:hAnsi="Courier New"/>
          <w:sz w:val="18"/>
          <w:szCs w:val="18"/>
          <w:color w:val="auto"/>
        </w:rPr>
        <w:t>Certain Considerations</w:t>
      </w:r>
      <w:r>
        <w:rPr>
          <w:sz w:val="20"/>
          <w:szCs w:val="20"/>
          <w:color w:val="auto"/>
        </w:rPr>
        <w:tab/>
      </w:r>
      <w:r>
        <w:rPr>
          <w:rFonts w:ascii="Courier New" w:cs="Courier New" w:eastAsia="Courier New" w:hAnsi="Courier New"/>
          <w:sz w:val="16"/>
          <w:szCs w:val="16"/>
          <w:color w:val="auto"/>
        </w:rPr>
        <w:t>4</w:t>
      </w:r>
    </w:p>
    <w:p>
      <w:pPr>
        <w:spacing w:after="0"/>
        <w:tabs>
          <w:tab w:leader="dot" w:pos="46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4</w:t>
      </w:r>
    </w:p>
    <w:p>
      <w:pPr>
        <w:spacing w:after="0"/>
        <w:tabs>
          <w:tab w:leader="dot" w:pos="4620" w:val="left"/>
        </w:tabs>
        <w:rPr>
          <w:sz w:val="20"/>
          <w:szCs w:val="20"/>
          <w:color w:val="auto"/>
        </w:rPr>
      </w:pPr>
      <w:r>
        <w:rPr>
          <w:rFonts w:ascii="Courier New" w:cs="Courier New" w:eastAsia="Courier New" w:hAnsi="Courier New"/>
          <w:sz w:val="18"/>
          <w:szCs w:val="18"/>
          <w:color w:val="auto"/>
        </w:rPr>
        <w:t>Dividend Policy</w:t>
      </w:r>
      <w:r>
        <w:rPr>
          <w:sz w:val="20"/>
          <w:szCs w:val="20"/>
          <w:color w:val="auto"/>
        </w:rPr>
        <w:tab/>
      </w:r>
      <w:r>
        <w:rPr>
          <w:rFonts w:ascii="Courier New" w:cs="Courier New" w:eastAsia="Courier New" w:hAnsi="Courier New"/>
          <w:sz w:val="16"/>
          <w:szCs w:val="16"/>
          <w:color w:val="auto"/>
        </w:rPr>
        <w:t>5</w:t>
      </w:r>
    </w:p>
    <w:p>
      <w:pPr>
        <w:spacing w:after="0"/>
        <w:rPr>
          <w:sz w:val="20"/>
          <w:szCs w:val="20"/>
          <w:color w:val="auto"/>
        </w:rPr>
      </w:pPr>
      <w:r>
        <w:rPr>
          <w:rFonts w:ascii="Courier New" w:cs="Courier New" w:eastAsia="Courier New" w:hAnsi="Courier New"/>
          <w:sz w:val="18"/>
          <w:szCs w:val="18"/>
          <w:color w:val="auto"/>
        </w:rPr>
        <w:t>Ratio of Earnings to Combined Fixed</w:t>
      </w:r>
    </w:p>
    <w:p>
      <w:pPr>
        <w:ind w:left="220"/>
        <w:spacing w:after="0" w:line="237" w:lineRule="auto"/>
        <w:rPr>
          <w:sz w:val="20"/>
          <w:szCs w:val="20"/>
          <w:color w:val="auto"/>
        </w:rPr>
      </w:pPr>
      <w:r>
        <w:rPr>
          <w:rFonts w:ascii="Courier New" w:cs="Courier New" w:eastAsia="Courier New" w:hAnsi="Courier New"/>
          <w:sz w:val="18"/>
          <w:szCs w:val="18"/>
          <w:color w:val="auto"/>
        </w:rPr>
        <w:t>Charges and Preferred Stock</w:t>
      </w:r>
    </w:p>
    <w:p>
      <w:pPr>
        <w:ind w:left="220"/>
        <w:spacing w:after="0"/>
        <w:tabs>
          <w:tab w:leader="dot" w:pos="4620" w:val="left"/>
        </w:tabs>
        <w:rPr>
          <w:sz w:val="20"/>
          <w:szCs w:val="20"/>
          <w:color w:val="auto"/>
        </w:rPr>
      </w:pPr>
      <w:r>
        <w:rPr>
          <w:rFonts w:ascii="Courier New" w:cs="Courier New" w:eastAsia="Courier New" w:hAnsi="Courier New"/>
          <w:sz w:val="18"/>
          <w:szCs w:val="18"/>
          <w:color w:val="auto"/>
        </w:rPr>
        <w:t>Dividends</w:t>
      </w:r>
      <w:r>
        <w:rPr>
          <w:sz w:val="20"/>
          <w:szCs w:val="20"/>
          <w:color w:val="auto"/>
        </w:rPr>
        <w:tab/>
      </w:r>
      <w:r>
        <w:rPr>
          <w:rFonts w:ascii="Courier New" w:cs="Courier New" w:eastAsia="Courier New" w:hAnsi="Courier New"/>
          <w:sz w:val="16"/>
          <w:szCs w:val="16"/>
          <w:color w:val="auto"/>
        </w:rPr>
        <w:t>5</w:t>
      </w:r>
    </w:p>
    <w:p>
      <w:pPr>
        <w:spacing w:after="0"/>
        <w:tabs>
          <w:tab w:leader="dot" w:pos="4620" w:val="left"/>
        </w:tabs>
        <w:rPr>
          <w:sz w:val="20"/>
          <w:szCs w:val="20"/>
          <w:color w:val="auto"/>
        </w:rPr>
      </w:pPr>
      <w:r>
        <w:rPr>
          <w:rFonts w:ascii="Courier New" w:cs="Courier New" w:eastAsia="Courier New" w:hAnsi="Courier New"/>
          <w:sz w:val="18"/>
          <w:szCs w:val="18"/>
          <w:color w:val="auto"/>
        </w:rPr>
        <w:t>Description of Debentures</w:t>
      </w:r>
      <w:r>
        <w:rPr>
          <w:sz w:val="20"/>
          <w:szCs w:val="20"/>
          <w:color w:val="auto"/>
        </w:rPr>
        <w:tab/>
      </w:r>
      <w:r>
        <w:rPr>
          <w:rFonts w:ascii="Courier New" w:cs="Courier New" w:eastAsia="Courier New" w:hAnsi="Courier New"/>
          <w:sz w:val="16"/>
          <w:szCs w:val="16"/>
          <w:color w:val="auto"/>
        </w:rPr>
        <w:t>6</w:t>
      </w:r>
    </w:p>
    <w:p>
      <w:pPr>
        <w:spacing w:after="0"/>
        <w:tabs>
          <w:tab w:leader="dot" w:pos="4520" w:val="left"/>
        </w:tabs>
        <w:rPr>
          <w:sz w:val="20"/>
          <w:szCs w:val="20"/>
          <w:color w:val="auto"/>
        </w:rPr>
      </w:pPr>
      <w:r>
        <w:rPr>
          <w:rFonts w:ascii="Courier New" w:cs="Courier New" w:eastAsia="Courier New" w:hAnsi="Courier New"/>
          <w:sz w:val="18"/>
          <w:szCs w:val="18"/>
          <w:color w:val="auto"/>
        </w:rPr>
        <w:t>Description of Preferred Stock</w:t>
      </w:r>
      <w:r>
        <w:rPr>
          <w:sz w:val="20"/>
          <w:szCs w:val="20"/>
          <w:color w:val="auto"/>
        </w:rPr>
        <w:tab/>
      </w:r>
      <w:r>
        <w:rPr>
          <w:rFonts w:ascii="Courier New" w:cs="Courier New" w:eastAsia="Courier New" w:hAnsi="Courier New"/>
          <w:sz w:val="16"/>
          <w:szCs w:val="16"/>
          <w:color w:val="auto"/>
        </w:rPr>
        <w:t>13</w:t>
      </w:r>
    </w:p>
    <w:p>
      <w:pPr>
        <w:spacing w:after="0"/>
        <w:tabs>
          <w:tab w:leader="dot" w:pos="4520" w:val="left"/>
        </w:tabs>
        <w:rPr>
          <w:sz w:val="20"/>
          <w:szCs w:val="20"/>
          <w:color w:val="auto"/>
        </w:rPr>
      </w:pPr>
      <w:r>
        <w:rPr>
          <w:rFonts w:ascii="Courier New" w:cs="Courier New" w:eastAsia="Courier New" w:hAnsi="Courier New"/>
          <w:sz w:val="18"/>
          <w:szCs w:val="18"/>
          <w:color w:val="auto"/>
        </w:rPr>
        <w:t>Description of Depositary Shares</w:t>
      </w:r>
      <w:r>
        <w:rPr>
          <w:sz w:val="20"/>
          <w:szCs w:val="20"/>
          <w:color w:val="auto"/>
        </w:rPr>
        <w:tab/>
      </w:r>
      <w:r>
        <w:rPr>
          <w:rFonts w:ascii="Courier New" w:cs="Courier New" w:eastAsia="Courier New" w:hAnsi="Courier New"/>
          <w:sz w:val="16"/>
          <w:szCs w:val="16"/>
          <w:color w:val="auto"/>
        </w:rPr>
        <w:t>14</w:t>
      </w:r>
    </w:p>
    <w:p>
      <w:pPr>
        <w:spacing w:after="0"/>
        <w:tabs>
          <w:tab w:leader="dot" w:pos="4520" w:val="left"/>
        </w:tabs>
        <w:rPr>
          <w:sz w:val="20"/>
          <w:szCs w:val="20"/>
          <w:color w:val="auto"/>
        </w:rPr>
      </w:pPr>
      <w:r>
        <w:rPr>
          <w:rFonts w:ascii="Courier New" w:cs="Courier New" w:eastAsia="Courier New" w:hAnsi="Courier New"/>
          <w:sz w:val="18"/>
          <w:szCs w:val="18"/>
          <w:color w:val="auto"/>
        </w:rPr>
        <w:t>Description of Common Stock</w:t>
      </w:r>
      <w:r>
        <w:rPr>
          <w:sz w:val="20"/>
          <w:szCs w:val="20"/>
          <w:color w:val="auto"/>
        </w:rPr>
        <w:tab/>
      </w:r>
      <w:r>
        <w:rPr>
          <w:rFonts w:ascii="Courier New" w:cs="Courier New" w:eastAsia="Courier New" w:hAnsi="Courier New"/>
          <w:sz w:val="16"/>
          <w:szCs w:val="16"/>
          <w:color w:val="auto"/>
        </w:rPr>
        <w:t>16</w:t>
      </w:r>
    </w:p>
    <w:p>
      <w:pPr>
        <w:spacing w:after="0"/>
        <w:tabs>
          <w:tab w:leader="dot" w:pos="4520" w:val="left"/>
        </w:tabs>
        <w:rPr>
          <w:sz w:val="20"/>
          <w:szCs w:val="20"/>
          <w:color w:val="auto"/>
        </w:rPr>
      </w:pPr>
      <w:r>
        <w:rPr>
          <w:rFonts w:ascii="Courier New" w:cs="Courier New" w:eastAsia="Courier New" w:hAnsi="Courier New"/>
          <w:sz w:val="18"/>
          <w:szCs w:val="18"/>
          <w:color w:val="auto"/>
        </w:rPr>
        <w:t>Description of Warrants</w:t>
      </w:r>
      <w:r>
        <w:rPr>
          <w:sz w:val="20"/>
          <w:szCs w:val="20"/>
          <w:color w:val="auto"/>
        </w:rPr>
        <w:tab/>
      </w:r>
      <w:r>
        <w:rPr>
          <w:rFonts w:ascii="Courier New" w:cs="Courier New" w:eastAsia="Courier New" w:hAnsi="Courier New"/>
          <w:sz w:val="16"/>
          <w:szCs w:val="16"/>
          <w:color w:val="auto"/>
        </w:rPr>
        <w:t>17</w:t>
      </w:r>
    </w:p>
    <w:p>
      <w:pPr>
        <w:spacing w:after="0"/>
        <w:tabs>
          <w:tab w:leader="dot" w:pos="4520" w:val="left"/>
        </w:tabs>
        <w:rPr>
          <w:sz w:val="20"/>
          <w:szCs w:val="20"/>
          <w:color w:val="auto"/>
        </w:rPr>
      </w:pPr>
      <w:r>
        <w:rPr>
          <w:rFonts w:ascii="Courier New" w:cs="Courier New" w:eastAsia="Courier New" w:hAnsi="Courier New"/>
          <w:sz w:val="18"/>
          <w:szCs w:val="18"/>
          <w:color w:val="auto"/>
        </w:rPr>
        <w:t>United States Taxation</w:t>
      </w:r>
      <w:r>
        <w:rPr>
          <w:sz w:val="20"/>
          <w:szCs w:val="20"/>
          <w:color w:val="auto"/>
        </w:rPr>
        <w:tab/>
      </w:r>
      <w:r>
        <w:rPr>
          <w:rFonts w:ascii="Courier New" w:cs="Courier New" w:eastAsia="Courier New" w:hAnsi="Courier New"/>
          <w:sz w:val="16"/>
          <w:szCs w:val="16"/>
          <w:color w:val="auto"/>
        </w:rPr>
        <w:t>18</w:t>
      </w:r>
    </w:p>
    <w:p>
      <w:pPr>
        <w:spacing w:after="0"/>
        <w:tabs>
          <w:tab w:leader="dot" w:pos="452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25</w:t>
      </w:r>
    </w:p>
    <w:p>
      <w:pPr>
        <w:spacing w:after="0"/>
        <w:tabs>
          <w:tab w:leader="dot" w:pos="452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6"/>
          <w:szCs w:val="16"/>
          <w:color w:val="auto"/>
        </w:rPr>
        <w:t>27</w:t>
      </w:r>
    </w:p>
    <w:p>
      <w:pPr>
        <w:spacing w:after="0"/>
        <w:tabs>
          <w:tab w:leader="dot" w:pos="45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CORP. LOGO]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9 3/8% SENIOR SUBORDINATED</w:t>
      </w:r>
    </w:p>
    <w:p>
      <w:pPr>
        <w:ind w:left="3160"/>
        <w:spacing w:after="0" w:line="238" w:lineRule="auto"/>
        <w:rPr>
          <w:sz w:val="20"/>
          <w:szCs w:val="20"/>
          <w:color w:val="auto"/>
        </w:rPr>
      </w:pPr>
      <w:r>
        <w:rPr>
          <w:rFonts w:ascii="Courier New" w:cs="Courier New" w:eastAsia="Courier New" w:hAnsi="Courier New"/>
          <w:sz w:val="18"/>
          <w:szCs w:val="18"/>
          <w:color w:val="auto"/>
        </w:rPr>
        <w:t>DEBENTURES DUE 2005</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PROSPECTUS SUPPLEMENT</w:t>
      </w:r>
    </w:p>
    <w:p>
      <w:pPr>
        <w:ind w:left="3580"/>
        <w:spacing w:after="0"/>
        <w:rPr>
          <w:sz w:val="20"/>
          <w:szCs w:val="20"/>
          <w:color w:val="auto"/>
        </w:rPr>
      </w:pPr>
      <w:r>
        <w:rPr>
          <w:rFonts w:ascii="Courier New" w:cs="Courier New" w:eastAsia="Courier New" w:hAnsi="Courier New"/>
          <w:sz w:val="18"/>
          <w:szCs w:val="18"/>
          <w:color w:val="auto"/>
        </w:rPr>
        <w:t>MAY 16, 1995</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LEHMAN BROTHERS</w:t>
      </w:r>
    </w:p>
    <w:p>
      <w:pPr>
        <w:spacing w:after="0" w:line="202"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12"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Roman"/>
      <w:start w:val="3"/>
    </w:lvl>
  </w:abstractNum>
  <w:abstractNum w:abstractNumId="1">
    <w:nsid w:val="515F007C"/>
    <w:multiLevelType w:val="hybridMultilevel"/>
    <w:lvl w:ilvl="0">
      <w:lvlJc w:val="left"/>
      <w:lvlText w:val="(%1)"/>
      <w:numFmt w:val="lowerRoman"/>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Roman"/>
      <w:start w:val="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3"/>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2019-12-12T23:03:37Z</dcterms:created>
  <dcterms:modified xsi:type="dcterms:W3CDTF">2019-12-12T23:03:37Z</dcterms:modified>
</cp:coreProperties>
</file>