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32"/>
          <w:szCs w:val="3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FACEBANK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143764108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4"/>
          <w:szCs w:val="24"/>
          <w:color w:val="auto"/>
        </w:rPr>
      </w:pPr>
    </w:p>
    <w:p>
      <w:pPr>
        <w:ind w:right="260" w:firstLine="332"/>
        <w:spacing w:after="0" w:line="323" w:lineRule="auto"/>
        <w:tabs>
          <w:tab w:leader="none" w:pos="45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4"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the </w:t>
      </w:r>
      <w:r>
        <w:rPr>
          <w:rFonts w:ascii="Arial" w:cs="Arial" w:eastAsia="Arial" w:hAnsi="Arial"/>
          <w:sz w:val="18"/>
          <w:szCs w:val="18"/>
          <w:b w:val="1"/>
          <w:bCs w:val="1"/>
          <w:i w:val="1"/>
          <w:iCs w:val="1"/>
          <w:color w:val="auto"/>
        </w:rPr>
        <w:t>Notes</w:t>
      </w:r>
      <w:r>
        <w:rPr>
          <w:rFonts w:ascii="Arial" w:cs="Arial" w:eastAsia="Arial" w:hAnsi="Arial"/>
          <w:sz w:val="18"/>
          <w:szCs w:val="18"/>
          <w:b w:val="1"/>
          <w:bCs w:val="1"/>
          <w:color w:val="auto"/>
        </w:rPr>
        <w:t>).</w:t>
      </w:r>
    </w:p>
    <w:p>
      <w:pPr>
        <w:spacing w:after="0" w:line="176" w:lineRule="exact"/>
        <w:rPr>
          <w:sz w:val="24"/>
          <w:szCs w:val="24"/>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320" w:top="73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143764108</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4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8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Comcast Corporation</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center"/>
              <w:ind w:left="50"/>
              <w:spacing w:after="0" w:line="163"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4"/>
                <w:szCs w:val="14"/>
                <w:color w:val="auto"/>
              </w:rPr>
            </w:pPr>
          </w:p>
        </w:tc>
        <w:tc>
          <w:tcPr>
            <w:tcW w:w="8040" w:type="dxa"/>
            <w:vAlign w:val="bottom"/>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4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ind w:left="1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w w:val="96"/>
              </w:rPr>
              <w:t>SEC USE ONLY</w:t>
            </w:r>
          </w:p>
        </w:tc>
        <w:tc>
          <w:tcPr>
            <w:tcW w:w="5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Pennsylvania</w:t>
            </w:r>
          </w:p>
        </w:tc>
        <w:tc>
          <w:tcPr>
            <w:tcW w:w="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34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6"/>
                <w:szCs w:val="16"/>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w w:val="93"/>
              </w:rPr>
              <w:t>2,982,309* (</w:t>
            </w:r>
            <w:r>
              <w:rPr>
                <w:rFonts w:ascii="Arial" w:cs="Arial" w:eastAsia="Arial" w:hAnsi="Arial"/>
                <w:sz w:val="18"/>
                <w:szCs w:val="18"/>
                <w:i w:val="1"/>
                <w:iCs w:val="1"/>
                <w:color w:val="auto"/>
                <w:w w:val="93"/>
              </w:rPr>
              <w:t>See Item 4</w:t>
            </w:r>
            <w:r>
              <w:rPr>
                <w:rFonts w:ascii="Arial" w:cs="Arial" w:eastAsia="Arial" w:hAnsi="Arial"/>
                <w:sz w:val="18"/>
                <w:szCs w:val="18"/>
                <w:color w:val="auto"/>
                <w:w w:val="93"/>
              </w:rPr>
              <w:t>)</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w w:val="94"/>
              </w:rPr>
              <w:t>SOLE DISPOSITIVE POWER</w:t>
            </w:r>
          </w:p>
        </w:tc>
        <w:tc>
          <w:tcPr>
            <w:tcW w:w="3800" w:type="dxa"/>
            <w:vAlign w:val="bottom"/>
            <w:vMerge w:val="restart"/>
          </w:tcPr>
          <w:p>
            <w:pPr>
              <w:jc w:val="right"/>
              <w:ind w:right="345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1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140" w:type="dxa"/>
            <w:vAlign w:val="bottom"/>
            <w:tcBorders>
              <w:bottom w:val="single" w:sz="8" w:color="auto"/>
            </w:tcBorders>
            <w:gridSpan w:val="2"/>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1"/>
              </w:rPr>
              <w:t>AGGREGATE AMOUNT</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4"/>
              </w:rPr>
              <w:t>7,455,772* (</w:t>
            </w:r>
            <w:r>
              <w:rPr>
                <w:rFonts w:ascii="Arial" w:cs="Arial" w:eastAsia="Arial" w:hAnsi="Arial"/>
                <w:sz w:val="18"/>
                <w:szCs w:val="18"/>
                <w:i w:val="1"/>
                <w:iCs w:val="1"/>
                <w:color w:val="auto"/>
                <w:w w:val="94"/>
              </w:rPr>
              <w:t>See Item 4</w:t>
            </w:r>
            <w:r>
              <w:rPr>
                <w:rFonts w:ascii="Arial" w:cs="Arial" w:eastAsia="Arial" w:hAnsi="Arial"/>
                <w:sz w:val="18"/>
                <w:szCs w:val="18"/>
                <w:color w:val="auto"/>
                <w:w w:val="94"/>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6"/>
                <w:szCs w:val="16"/>
                <w:color w:val="auto"/>
              </w:rPr>
            </w:pPr>
          </w:p>
        </w:tc>
        <w:tc>
          <w:tcPr>
            <w:tcW w:w="80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rPr>
              <w:t>CERTAIN SHARES</w:t>
            </w:r>
          </w:p>
        </w:tc>
        <w:tc>
          <w:tcPr>
            <w:tcW w:w="2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ind w:left="2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0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4" w:lineRule="auto"/>
        <w:tabs>
          <w:tab w:leader="none" w:pos="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April 1, 2020 based on 34,449,977 shares of common stock of the Issuer that were outstanding following the merger of fuboTV Acquisition Corp., a wholly-owned subsidiary of the Issuer, and fuboTV Inc. The amounts reported in this Schedule 13G represent 3,727,886 shares of the Issuer’s Series AA Convertible Preferred Stock (the “Preferred Stock”) owned by the Reporting Persons, which are entitled to 0.8 votes per share (2,982,309 votes) and convertible into 7,455,772 shares of common stock in connection with a bona fide transfer to a third party.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The amount of both classes of shares outstanding was provided to the Reporting Persons by the Issuer after giving effect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143764108</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4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8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Comcast Bidco Holdings Limited</w:t>
            </w: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center"/>
              <w:ind w:left="50"/>
              <w:spacing w:after="0" w:line="163"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4"/>
                <w:szCs w:val="14"/>
                <w:color w:val="auto"/>
              </w:rPr>
            </w:pPr>
          </w:p>
        </w:tc>
        <w:tc>
          <w:tcPr>
            <w:tcW w:w="8040" w:type="dxa"/>
            <w:vAlign w:val="bottom"/>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4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ind w:left="1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7"/>
              </w:rPr>
              <w:t>SEC USE ONLY</w:t>
            </w:r>
          </w:p>
        </w:tc>
        <w:tc>
          <w:tcPr>
            <w:tcW w:w="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4"/>
              </w:rPr>
              <w:t>England &amp; Wales</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34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w w:val="93"/>
              </w:rPr>
              <w:t>2,982,309* (</w:t>
            </w:r>
            <w:r>
              <w:rPr>
                <w:rFonts w:ascii="Arial" w:cs="Arial" w:eastAsia="Arial" w:hAnsi="Arial"/>
                <w:sz w:val="18"/>
                <w:szCs w:val="18"/>
                <w:i w:val="1"/>
                <w:iCs w:val="1"/>
                <w:color w:val="auto"/>
                <w:w w:val="93"/>
              </w:rPr>
              <w:t>See Item 4</w:t>
            </w:r>
            <w:r>
              <w:rPr>
                <w:rFonts w:ascii="Arial" w:cs="Arial" w:eastAsia="Arial" w:hAnsi="Arial"/>
                <w:sz w:val="18"/>
                <w:szCs w:val="18"/>
                <w:color w:val="auto"/>
                <w:w w:val="93"/>
              </w:rPr>
              <w:t>)</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w w:val="94"/>
              </w:rPr>
              <w:t>SOLE DISPOSITIVE POWER</w:t>
            </w:r>
          </w:p>
        </w:tc>
        <w:tc>
          <w:tcPr>
            <w:tcW w:w="3800" w:type="dxa"/>
            <w:vAlign w:val="bottom"/>
            <w:vMerge w:val="restart"/>
          </w:tcPr>
          <w:p>
            <w:pPr>
              <w:jc w:val="right"/>
              <w:ind w:right="345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1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140" w:type="dxa"/>
            <w:vAlign w:val="bottom"/>
            <w:tcBorders>
              <w:bottom w:val="single" w:sz="8" w:color="auto"/>
            </w:tcBorders>
            <w:gridSpan w:val="2"/>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1"/>
              </w:rPr>
              <w:t>AGGREGATE AMOUNT</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4"/>
              </w:rPr>
              <w:t>7,455,772* (</w:t>
            </w:r>
            <w:r>
              <w:rPr>
                <w:rFonts w:ascii="Arial" w:cs="Arial" w:eastAsia="Arial" w:hAnsi="Arial"/>
                <w:sz w:val="18"/>
                <w:szCs w:val="18"/>
                <w:i w:val="1"/>
                <w:iCs w:val="1"/>
                <w:color w:val="auto"/>
                <w:w w:val="94"/>
              </w:rPr>
              <w:t>See Item 4</w:t>
            </w:r>
            <w:r>
              <w:rPr>
                <w:rFonts w:ascii="Arial" w:cs="Arial" w:eastAsia="Arial" w:hAnsi="Arial"/>
                <w:sz w:val="18"/>
                <w:szCs w:val="18"/>
                <w:color w:val="auto"/>
                <w:w w:val="94"/>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6"/>
                <w:szCs w:val="16"/>
                <w:color w:val="auto"/>
              </w:rPr>
            </w:pPr>
          </w:p>
        </w:tc>
        <w:tc>
          <w:tcPr>
            <w:tcW w:w="80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rPr>
              <w:t>CERTAIN SHARES</w:t>
            </w:r>
          </w:p>
        </w:tc>
        <w:tc>
          <w:tcPr>
            <w:tcW w:w="2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ind w:left="2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0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FI</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39"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April 1, 2020 based on 34,449,977 shares of common stock of the Issuer that were outstanding following the merger of fuboTV Acquisition Corp., a wholly-owned subsidiary of the Issuer, and fuboTV Inc. The amounts reported in this Schedule 13G represent 3,727,886 shares of the Issuer’s Preferred Stock owned by the Reporting Persons, which are entitled to 0.8 votes per share (2,982,309 votes) and convertible into 7,455,772 shares of common stock in connection with a bona fide transfer to a third party.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The amount of both classes of shares outstanding was provided to the Reporting Persons by the Issuer after giving effect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143764108</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4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8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7"/>
              </w:rPr>
              <w:t>Comcast Bidco Limited</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center"/>
              <w:ind w:left="50"/>
              <w:spacing w:after="0" w:line="163"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4"/>
                <w:szCs w:val="14"/>
                <w:color w:val="auto"/>
              </w:rPr>
            </w:pPr>
          </w:p>
        </w:tc>
        <w:tc>
          <w:tcPr>
            <w:tcW w:w="8040" w:type="dxa"/>
            <w:vAlign w:val="bottom"/>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4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ind w:left="1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7"/>
              </w:rPr>
              <w:t>SEC USE ONLY</w:t>
            </w:r>
          </w:p>
        </w:tc>
        <w:tc>
          <w:tcPr>
            <w:tcW w:w="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4"/>
              </w:rPr>
              <w:t>England &amp; Wales</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34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w w:val="93"/>
              </w:rPr>
              <w:t>2,982,309* (</w:t>
            </w:r>
            <w:r>
              <w:rPr>
                <w:rFonts w:ascii="Arial" w:cs="Arial" w:eastAsia="Arial" w:hAnsi="Arial"/>
                <w:sz w:val="18"/>
                <w:szCs w:val="18"/>
                <w:i w:val="1"/>
                <w:iCs w:val="1"/>
                <w:color w:val="auto"/>
                <w:w w:val="93"/>
              </w:rPr>
              <w:t>See Item 4</w:t>
            </w:r>
            <w:r>
              <w:rPr>
                <w:rFonts w:ascii="Arial" w:cs="Arial" w:eastAsia="Arial" w:hAnsi="Arial"/>
                <w:sz w:val="18"/>
                <w:szCs w:val="18"/>
                <w:color w:val="auto"/>
                <w:w w:val="93"/>
              </w:rPr>
              <w:t>)</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w w:val="94"/>
              </w:rPr>
              <w:t>SOLE DISPOSITIVE POWER</w:t>
            </w:r>
          </w:p>
        </w:tc>
        <w:tc>
          <w:tcPr>
            <w:tcW w:w="3800" w:type="dxa"/>
            <w:vAlign w:val="bottom"/>
            <w:vMerge w:val="restart"/>
          </w:tcPr>
          <w:p>
            <w:pPr>
              <w:jc w:val="right"/>
              <w:ind w:right="345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1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140" w:type="dxa"/>
            <w:vAlign w:val="bottom"/>
            <w:tcBorders>
              <w:bottom w:val="single" w:sz="8" w:color="auto"/>
            </w:tcBorders>
            <w:gridSpan w:val="2"/>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1"/>
              </w:rPr>
              <w:t>AGGREGATE AMOUNT</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4"/>
              </w:rPr>
              <w:t>7,455,772* (</w:t>
            </w:r>
            <w:r>
              <w:rPr>
                <w:rFonts w:ascii="Arial" w:cs="Arial" w:eastAsia="Arial" w:hAnsi="Arial"/>
                <w:sz w:val="18"/>
                <w:szCs w:val="18"/>
                <w:i w:val="1"/>
                <w:iCs w:val="1"/>
                <w:color w:val="auto"/>
                <w:w w:val="94"/>
              </w:rPr>
              <w:t>See Item 4</w:t>
            </w:r>
            <w:r>
              <w:rPr>
                <w:rFonts w:ascii="Arial" w:cs="Arial" w:eastAsia="Arial" w:hAnsi="Arial"/>
                <w:sz w:val="18"/>
                <w:szCs w:val="18"/>
                <w:color w:val="auto"/>
                <w:w w:val="94"/>
              </w:rPr>
              <w:t>)</w:t>
            </w: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40" w:type="dxa"/>
            <w:vAlign w:val="bottom"/>
            <w:tcBorders>
              <w:bottom w:val="single" w:sz="8" w:color="auto"/>
            </w:tcBorders>
            <w:gridSpan w:val="5"/>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6"/>
                <w:szCs w:val="16"/>
                <w:color w:val="auto"/>
              </w:rPr>
            </w:pPr>
          </w:p>
        </w:tc>
        <w:tc>
          <w:tcPr>
            <w:tcW w:w="80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rPr>
              <w:t>CERTAIN SHARES</w:t>
            </w:r>
          </w:p>
        </w:tc>
        <w:tc>
          <w:tcPr>
            <w:tcW w:w="2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ind w:left="2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0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FI</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39"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April 1, 2020 based on 34,449,977 shares of common stock of the Issuer that were outstanding following the merger of fuboTV Acquisition Corp., a wholly-owned subsidiary of the Issuer, and fuboTV Inc. The amounts reported in this Schedule 13G represent 3,727,886 shares of the Issuer’s Preferred Stock owned by the Reporting Persons, which are entitled to 0.8 votes per share (2,982,309 votes) and convertible into 7,455,772 shares of common stock in connection with a bona fide transfer to a third party.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The amount of both classes of shares outstanding was provided to the Reporting Persons by the Issuer after giving effect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143764108</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4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8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Sky Limited</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center"/>
              <w:ind w:left="50"/>
              <w:spacing w:after="0" w:line="163"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4"/>
                <w:szCs w:val="14"/>
                <w:color w:val="auto"/>
              </w:rPr>
            </w:pPr>
          </w:p>
        </w:tc>
        <w:tc>
          <w:tcPr>
            <w:tcW w:w="8040" w:type="dxa"/>
            <w:vAlign w:val="bottom"/>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4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ind w:left="1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7"/>
              </w:rPr>
              <w:t>SEC USE ONLY</w:t>
            </w:r>
          </w:p>
        </w:tc>
        <w:tc>
          <w:tcPr>
            <w:tcW w:w="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4"/>
              </w:rPr>
              <w:t>England &amp; Wales</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34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w w:val="93"/>
              </w:rPr>
              <w:t>2,982,309* (</w:t>
            </w:r>
            <w:r>
              <w:rPr>
                <w:rFonts w:ascii="Arial" w:cs="Arial" w:eastAsia="Arial" w:hAnsi="Arial"/>
                <w:sz w:val="18"/>
                <w:szCs w:val="18"/>
                <w:i w:val="1"/>
                <w:iCs w:val="1"/>
                <w:color w:val="auto"/>
                <w:w w:val="93"/>
              </w:rPr>
              <w:t>See Item 4</w:t>
            </w:r>
            <w:r>
              <w:rPr>
                <w:rFonts w:ascii="Arial" w:cs="Arial" w:eastAsia="Arial" w:hAnsi="Arial"/>
                <w:sz w:val="18"/>
                <w:szCs w:val="18"/>
                <w:color w:val="auto"/>
                <w:w w:val="93"/>
              </w:rPr>
              <w:t>)</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w w:val="94"/>
              </w:rPr>
              <w:t>SOLE DISPOSITIVE POWER</w:t>
            </w:r>
          </w:p>
        </w:tc>
        <w:tc>
          <w:tcPr>
            <w:tcW w:w="3800" w:type="dxa"/>
            <w:vAlign w:val="bottom"/>
            <w:vMerge w:val="restart"/>
          </w:tcPr>
          <w:p>
            <w:pPr>
              <w:jc w:val="right"/>
              <w:ind w:right="345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1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140" w:type="dxa"/>
            <w:vAlign w:val="bottom"/>
            <w:tcBorders>
              <w:bottom w:val="single" w:sz="8" w:color="auto"/>
            </w:tcBorders>
            <w:gridSpan w:val="2"/>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1"/>
              </w:rPr>
              <w:t>AGGREGATE AMOUNT</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4"/>
              </w:rPr>
              <w:t>7,455,772* (</w:t>
            </w:r>
            <w:r>
              <w:rPr>
                <w:rFonts w:ascii="Arial" w:cs="Arial" w:eastAsia="Arial" w:hAnsi="Arial"/>
                <w:sz w:val="18"/>
                <w:szCs w:val="18"/>
                <w:i w:val="1"/>
                <w:iCs w:val="1"/>
                <w:color w:val="auto"/>
                <w:w w:val="94"/>
              </w:rPr>
              <w:t>See Item 4</w:t>
            </w:r>
            <w:r>
              <w:rPr>
                <w:rFonts w:ascii="Arial" w:cs="Arial" w:eastAsia="Arial" w:hAnsi="Arial"/>
                <w:sz w:val="18"/>
                <w:szCs w:val="18"/>
                <w:color w:val="auto"/>
                <w:w w:val="94"/>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6"/>
                <w:szCs w:val="16"/>
                <w:color w:val="auto"/>
              </w:rPr>
            </w:pPr>
          </w:p>
        </w:tc>
        <w:tc>
          <w:tcPr>
            <w:tcW w:w="80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rPr>
              <w:t>CERTAIN SHARES</w:t>
            </w:r>
          </w:p>
        </w:tc>
        <w:tc>
          <w:tcPr>
            <w:tcW w:w="2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ind w:left="2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0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FI</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39"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April 1, 2020 based on 34,449,977 shares of common stock of the Issuer that were outstanding following the merger of fuboTV Acquisition Corp., a wholly-owned subsidiary of the Issuer, and fuboTV Inc. The amounts reported in this Schedule 13G represent 3,727,886 shares of the Issuer’s Preferred Stock owned by the Reporting Persons, which are entitled to 0.8 votes per share (2,982,309 votes) and convertible into 7,455,772 shares of common stock in connection with a bona fide transfer to a third party.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The amount of both classes of shares outstanding was provided to the Reporting Persons by the Issuer after giving effect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143764108</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4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8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Sky UK Limited</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center"/>
              <w:ind w:left="50"/>
              <w:spacing w:after="0" w:line="163"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4"/>
                <w:szCs w:val="14"/>
                <w:color w:val="auto"/>
              </w:rPr>
            </w:pPr>
          </w:p>
        </w:tc>
        <w:tc>
          <w:tcPr>
            <w:tcW w:w="8040" w:type="dxa"/>
            <w:vAlign w:val="bottom"/>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4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ind w:left="1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7"/>
              </w:rPr>
              <w:t>SEC USE ONLY</w:t>
            </w:r>
          </w:p>
        </w:tc>
        <w:tc>
          <w:tcPr>
            <w:tcW w:w="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4"/>
              </w:rPr>
              <w:t>England &amp; Wales</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34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w w:val="93"/>
              </w:rPr>
              <w:t>2,982,309* (</w:t>
            </w:r>
            <w:r>
              <w:rPr>
                <w:rFonts w:ascii="Arial" w:cs="Arial" w:eastAsia="Arial" w:hAnsi="Arial"/>
                <w:sz w:val="18"/>
                <w:szCs w:val="18"/>
                <w:i w:val="1"/>
                <w:iCs w:val="1"/>
                <w:color w:val="auto"/>
                <w:w w:val="93"/>
              </w:rPr>
              <w:t>See Item 4</w:t>
            </w:r>
            <w:r>
              <w:rPr>
                <w:rFonts w:ascii="Arial" w:cs="Arial" w:eastAsia="Arial" w:hAnsi="Arial"/>
                <w:sz w:val="18"/>
                <w:szCs w:val="18"/>
                <w:color w:val="auto"/>
                <w:w w:val="93"/>
              </w:rPr>
              <w:t>)</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w w:val="94"/>
              </w:rPr>
              <w:t>SOLE DISPOSITIVE POWER</w:t>
            </w:r>
          </w:p>
        </w:tc>
        <w:tc>
          <w:tcPr>
            <w:tcW w:w="3800" w:type="dxa"/>
            <w:vAlign w:val="bottom"/>
            <w:vMerge w:val="restart"/>
          </w:tcPr>
          <w:p>
            <w:pPr>
              <w:jc w:val="right"/>
              <w:ind w:right="345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1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140" w:type="dxa"/>
            <w:vAlign w:val="bottom"/>
            <w:tcBorders>
              <w:bottom w:val="single" w:sz="8" w:color="auto"/>
            </w:tcBorders>
            <w:gridSpan w:val="2"/>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1"/>
              </w:rPr>
              <w:t>AGGREGATE AMOUNT</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4"/>
              </w:rPr>
              <w:t>7,455,772* (</w:t>
            </w:r>
            <w:r>
              <w:rPr>
                <w:rFonts w:ascii="Arial" w:cs="Arial" w:eastAsia="Arial" w:hAnsi="Arial"/>
                <w:sz w:val="18"/>
                <w:szCs w:val="18"/>
                <w:i w:val="1"/>
                <w:iCs w:val="1"/>
                <w:color w:val="auto"/>
                <w:w w:val="94"/>
              </w:rPr>
              <w:t>See Item 4</w:t>
            </w:r>
            <w:r>
              <w:rPr>
                <w:rFonts w:ascii="Arial" w:cs="Arial" w:eastAsia="Arial" w:hAnsi="Arial"/>
                <w:sz w:val="18"/>
                <w:szCs w:val="18"/>
                <w:color w:val="auto"/>
                <w:w w:val="94"/>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6"/>
                <w:szCs w:val="16"/>
                <w:color w:val="auto"/>
              </w:rPr>
            </w:pPr>
          </w:p>
        </w:tc>
        <w:tc>
          <w:tcPr>
            <w:tcW w:w="80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rPr>
              <w:t>CERTAIN SHARES</w:t>
            </w:r>
          </w:p>
        </w:tc>
        <w:tc>
          <w:tcPr>
            <w:tcW w:w="2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tcBorders>
              <w:right w:val="single" w:sz="8" w:color="auto"/>
            </w:tcBorders>
            <w:vMerge w:val="restart"/>
          </w:tcPr>
          <w:p>
            <w:pPr>
              <w:ind w:left="2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6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0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FI</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39"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April 1, 2020 based on 34,449,977 shares of common stock of the Issuer that were outstanding following the merger of fuboTV Acquisition Corp., a wholly-owned subsidiary of the Issuer, and fuboTV Inc. The amounts reported in this Schedule 13G represent 3,727,886 shares of the Issuer’s Preferred Stock owned by the Reporting Persons, which are entitled to 0.8 votes per share (2,982,309 votes) and convertible into 7,455,772 shares of common stock in connection with a bona fide transfer to a third party.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The amount of both classes of shares outstanding was provided to the Reporting Persons by the Issuer after giving effect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143764108</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4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8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Sky Ventures Limited</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center"/>
              <w:ind w:left="50"/>
              <w:spacing w:after="0" w:line="163"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4"/>
                <w:szCs w:val="14"/>
                <w:color w:val="auto"/>
              </w:rPr>
            </w:pPr>
          </w:p>
        </w:tc>
        <w:tc>
          <w:tcPr>
            <w:tcW w:w="8040" w:type="dxa"/>
            <w:vAlign w:val="bottom"/>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4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Borders>
              <w:right w:val="single" w:sz="8" w:color="auto"/>
            </w:tcBorders>
          </w:tcPr>
          <w:p>
            <w:pPr>
              <w:ind w:left="1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7"/>
              </w:rPr>
              <w:t>SEC USE ONLY</w:t>
            </w:r>
          </w:p>
        </w:tc>
        <w:tc>
          <w:tcPr>
            <w:tcW w:w="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4"/>
              </w:rPr>
              <w:t>England &amp; Wales</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34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380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w w:val="93"/>
              </w:rPr>
              <w:t>2,982,309* (</w:t>
            </w:r>
            <w:r>
              <w:rPr>
                <w:rFonts w:ascii="Arial" w:cs="Arial" w:eastAsia="Arial" w:hAnsi="Arial"/>
                <w:sz w:val="18"/>
                <w:szCs w:val="18"/>
                <w:i w:val="1"/>
                <w:iCs w:val="1"/>
                <w:color w:val="auto"/>
                <w:w w:val="93"/>
              </w:rPr>
              <w:t>See Item 4</w:t>
            </w:r>
            <w:r>
              <w:rPr>
                <w:rFonts w:ascii="Arial" w:cs="Arial" w:eastAsia="Arial" w:hAnsi="Arial"/>
                <w:sz w:val="18"/>
                <w:szCs w:val="18"/>
                <w:color w:val="auto"/>
                <w:w w:val="93"/>
              </w:rPr>
              <w:t>)</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40" w:type="dxa"/>
            <w:vAlign w:val="bottom"/>
            <w:vMerge w:val="restart"/>
          </w:tcPr>
          <w:p>
            <w:pPr>
              <w:ind w:left="60"/>
              <w:spacing w:after="0"/>
              <w:rPr>
                <w:sz w:val="20"/>
                <w:szCs w:val="20"/>
                <w:color w:val="auto"/>
              </w:rPr>
            </w:pPr>
            <w:r>
              <w:rPr>
                <w:rFonts w:ascii="Arial" w:cs="Arial" w:eastAsia="Arial" w:hAnsi="Arial"/>
                <w:sz w:val="18"/>
                <w:szCs w:val="18"/>
                <w:color w:val="auto"/>
                <w:w w:val="94"/>
              </w:rPr>
              <w:t>SOLE DISPOSITIVE POWER</w:t>
            </w:r>
          </w:p>
        </w:tc>
        <w:tc>
          <w:tcPr>
            <w:tcW w:w="3800" w:type="dxa"/>
            <w:vAlign w:val="bottom"/>
            <w:vMerge w:val="restart"/>
          </w:tcPr>
          <w:p>
            <w:pPr>
              <w:jc w:val="right"/>
              <w:ind w:right="345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1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140" w:type="dxa"/>
            <w:vAlign w:val="bottom"/>
            <w:tcBorders>
              <w:bottom w:val="single" w:sz="8" w:color="auto"/>
            </w:tcBorders>
            <w:gridSpan w:val="2"/>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1"/>
              </w:rPr>
              <w:t>AGGREGATE AMOUNT</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4"/>
              </w:rPr>
              <w:t>7,455,772* (</w:t>
            </w:r>
            <w:r>
              <w:rPr>
                <w:rFonts w:ascii="Arial" w:cs="Arial" w:eastAsia="Arial" w:hAnsi="Arial"/>
                <w:sz w:val="18"/>
                <w:szCs w:val="18"/>
                <w:i w:val="1"/>
                <w:iCs w:val="1"/>
                <w:color w:val="auto"/>
                <w:w w:val="94"/>
              </w:rPr>
              <w:t>See Item 4</w:t>
            </w:r>
            <w:r>
              <w:rPr>
                <w:rFonts w:ascii="Arial" w:cs="Arial" w:eastAsia="Arial" w:hAnsi="Arial"/>
                <w:sz w:val="18"/>
                <w:szCs w:val="18"/>
                <w:color w:val="auto"/>
                <w:w w:val="94"/>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6"/>
                <w:szCs w:val="16"/>
                <w:color w:val="auto"/>
              </w:rPr>
            </w:pPr>
          </w:p>
        </w:tc>
        <w:tc>
          <w:tcPr>
            <w:tcW w:w="80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rPr>
              <w:t>CERTAIN SHARES</w:t>
            </w:r>
          </w:p>
        </w:tc>
        <w:tc>
          <w:tcPr>
            <w:tcW w:w="2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tcBorders>
              <w:right w:val="single" w:sz="8" w:color="auto"/>
            </w:tcBorders>
            <w:vMerge w:val="restart"/>
          </w:tcPr>
          <w:p>
            <w:pPr>
              <w:ind w:left="2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6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0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4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FI</w:t>
            </w: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April 1, 2020 based on 34,449,977 shares of common stock of the Issuer that were outstanding following the merger of fuboTV Acquisition Corp., a wholly-owned subsidiary of the Issuer, and fuboTV Inc. The amounts reported in this Schedule 13G represent 3,727,886 shares of the Issuer’s Preferred Stock owned by the Reporting Persons, which are entitled to 0.8 votes per share (2,982,309 votes) and convertible into 7,455,772 shares of common stock in connection with a bona fide transfer to a third party.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The amount of both classes of shares outstanding was provided to the Reporting Persons by the Issuer after giving effect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FaceBank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1115 Broadway,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Reporting Persons:</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Bidco Holdings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Bidco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Sky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Sky UK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Sky Ventures Limited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Sky Ventures Limited is the direct holder of the shares of Preferred Stock included in this Schedule 13G. Sky Ventures Limited is a wholly owned subsidiary of Sky UK Limited, which is a wholly owned subsidiary of Sky Limited, which is a wholly owned subsidiary of Comcast Bidco Limited, which is a wholly owned subsidiary of Comcast Bidco Holdings Limited, which is a wholly owned subsidiary of Comcast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Corporation: One Comcast Center, Philadelphia, Pennsylvania 19103-2838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Bidco Holdings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Bidco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Sky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Sky UK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Sky Ventures Limited: Sky Central Grant Way, Isleworth, Middlesex, TW7 5QD 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Comcast Corporation: Pennsylvania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Comcast Bidco Holdings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Comcast Bidco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Sky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Sky UK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Sky Ventures Limited: England &amp; Wales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143764108</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96" w:lineRule="exact"/>
        <w:rPr>
          <w:sz w:val="20"/>
          <w:szCs w:val="20"/>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980" w:right="280" w:hanging="648"/>
        <w:spacing w:after="0" w:line="239"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980" w:hanging="648"/>
        <w:spacing w:after="0" w:line="207" w:lineRule="exact"/>
        <w:tabs>
          <w:tab w:leader="none" w:pos="9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requested in this item is incorporated herein by reference to the cover pages to this Schedule 13G.</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7,455,772 shares of common stock of the Issuer are being reported as beneficially owned by the Reporting Persons as of April 1, 2020 because the Reporting Persons are deemed to beneficially own such shares as a result of their direct ownership of 3,727,886 shares of Preferred Stock, which are entitled to 0.8 votes per share (2,982,309 votes) and convertible into 7,455,772 shares of common stock in connection with a bona fide transfer to a third party.</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Based on 34,449,977 shares of common stock of the Issuer that were outstanding following the merger of fuboTV Acquisition Corp., a wholly-owned subsidiary of the Issuer, and fuboTV Inc. and assuming the Reporting Persons converted all of 3,727,886 shares of Preferred Stock into 7,455,772 shares of common stock in connection with a bona fide transfer to a third party and no other holders of shares of Preferred Stock have elected to convert, the 7,455,772 shares of the Issuer’s common stock reported as being beneficially owned by the Reporting Persons in this Schedule 13G would represent approximately 17.8% of the outstanding common stock of the Issuer.</w:t>
      </w:r>
    </w:p>
    <w:p>
      <w:pPr>
        <w:spacing w:after="0" w:line="188"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However, the Reporting Persons’ 3,727,886 shares of Preferred Stock represent 7.5% of the total number of all outstanding shares of the Issuer’s common stock (assuming the conversion of all 32,324,362 shares of Preferred Stock outstanding) and less than 5% of the total voting power of all outstanding shares of the Issuer’s common stock and Preferred Stock on a combined basis as of April 1, 2020 based on information provided by the Issuer.</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0" w:name="page11"/>
    <w:bookmarkEnd w:id="10"/>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10, 2020</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Senior Executive Vice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COMCAST BIDCO HOLDINGS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COMCAST BIDCO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SKY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SKY UK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Eatroff</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Authorized Attorney</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SKY VENTURES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Eatroff</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Authorized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April 10, 2020</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Senior Executive Vice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COMCAST BIDCO HOLDINGS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COMCAST BIDCO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SKY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J. Reid</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SKY UK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Eatroff</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Authorized Attorney</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SKY VENTURES LIMITED</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Eatroff</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tab/>
        <w:t>Authorized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2020-04-13T15:12:58Z</dcterms:created>
  <dcterms:modified xsi:type="dcterms:W3CDTF">2020-04-13T15:12:58Z</dcterms:modified>
</cp:coreProperties>
</file>