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646430</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0" w:lineRule="exact"/>
        <w:rPr>
          <w:sz w:val="24"/>
          <w:szCs w:val="24"/>
          <w:color w:val="auto"/>
        </w:rPr>
      </w:pPr>
    </w:p>
    <w:p>
      <w:pPr>
        <w:jc w:val="center"/>
        <w:ind w:right="-359"/>
        <w:spacing w:after="0"/>
        <w:rPr>
          <w:sz w:val="20"/>
          <w:szCs w:val="20"/>
          <w:color w:val="auto"/>
        </w:rPr>
      </w:pPr>
      <w:r>
        <w:rPr>
          <w:rFonts w:ascii="Arial" w:cs="Arial" w:eastAsia="Arial" w:hAnsi="Arial"/>
          <w:sz w:val="27"/>
          <w:szCs w:val="27"/>
          <w:b w:val="1"/>
          <w:bCs w:val="1"/>
          <w:color w:val="auto"/>
        </w:rPr>
        <w:t>SECURITIES AND EXCHANGE COMMISSION</w:t>
      </w:r>
    </w:p>
    <w:p>
      <w:pPr>
        <w:spacing w:after="0" w:line="14" w:lineRule="exact"/>
        <w:rPr>
          <w:sz w:val="24"/>
          <w:szCs w:val="24"/>
          <w:color w:val="auto"/>
        </w:rPr>
      </w:pPr>
    </w:p>
    <w:p>
      <w:pPr>
        <w:jc w:val="center"/>
        <w:ind w:right="-359"/>
        <w:spacing w:after="0"/>
        <w:rPr>
          <w:sz w:val="20"/>
          <w:szCs w:val="20"/>
          <w:color w:val="auto"/>
        </w:rPr>
      </w:pPr>
      <w:r>
        <w:rPr>
          <w:rFonts w:ascii="Arial" w:cs="Arial" w:eastAsia="Arial" w:hAnsi="Arial"/>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112395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00" w:type="dxa"/>
        <w:tblCellMar>
          <w:top w:w="0" w:type="dxa"/>
          <w:left w:w="0" w:type="dxa"/>
          <w:bottom w:w="0" w:type="dxa"/>
          <w:right w:w="0" w:type="dxa"/>
        </w:tblCellMar>
      </w:tblPr>
      <w:tr>
        <w:trPr>
          <w:trHeight w:val="351"/>
        </w:trPr>
        <w:tc>
          <w:tcPr>
            <w:tcW w:w="2540" w:type="dxa"/>
            <w:vAlign w:val="bottom"/>
          </w:tcPr>
          <w:p>
            <w:pPr>
              <w:spacing w:after="0"/>
              <w:rPr>
                <w:sz w:val="24"/>
                <w:szCs w:val="24"/>
                <w:color w:val="auto"/>
              </w:rPr>
            </w:pPr>
          </w:p>
        </w:tc>
        <w:tc>
          <w:tcPr>
            <w:tcW w:w="7120" w:type="dxa"/>
            <w:vAlign w:val="bottom"/>
          </w:tcPr>
          <w:p>
            <w:pPr>
              <w:jc w:val="center"/>
              <w:ind w:right="2263"/>
              <w:spacing w:after="0"/>
              <w:rPr>
                <w:sz w:val="20"/>
                <w:szCs w:val="20"/>
                <w:color w:val="auto"/>
              </w:rPr>
            </w:pPr>
            <w:r>
              <w:rPr>
                <w:rFonts w:ascii="Arial" w:cs="Arial" w:eastAsia="Arial" w:hAnsi="Arial"/>
                <w:sz w:val="27"/>
                <w:szCs w:val="27"/>
                <w:b w:val="1"/>
                <w:bCs w:val="1"/>
                <w:color w:val="auto"/>
              </w:rPr>
              <w:t>FORM 8-K</w:t>
            </w:r>
          </w:p>
        </w:tc>
      </w:tr>
      <w:tr>
        <w:trPr>
          <w:trHeight w:val="405"/>
        </w:trPr>
        <w:tc>
          <w:tcPr>
            <w:tcW w:w="2540" w:type="dxa"/>
            <w:vAlign w:val="bottom"/>
          </w:tcPr>
          <w:p>
            <w:pPr>
              <w:spacing w:after="0"/>
              <w:rPr>
                <w:sz w:val="24"/>
                <w:szCs w:val="24"/>
                <w:color w:val="auto"/>
              </w:rPr>
            </w:pPr>
          </w:p>
        </w:tc>
        <w:tc>
          <w:tcPr>
            <w:tcW w:w="7120" w:type="dxa"/>
            <w:vAlign w:val="bottom"/>
          </w:tcPr>
          <w:p>
            <w:pPr>
              <w:jc w:val="center"/>
              <w:ind w:right="2263"/>
              <w:spacing w:after="0"/>
              <w:rPr>
                <w:sz w:val="20"/>
                <w:szCs w:val="20"/>
                <w:color w:val="auto"/>
              </w:rPr>
            </w:pPr>
            <w:r>
              <w:rPr>
                <w:rFonts w:ascii="Arial" w:cs="Arial" w:eastAsia="Arial" w:hAnsi="Arial"/>
                <w:sz w:val="27"/>
                <w:szCs w:val="27"/>
                <w:b w:val="1"/>
                <w:bCs w:val="1"/>
                <w:color w:val="auto"/>
                <w:w w:val="99"/>
              </w:rPr>
              <w:t>CURRENT REPORT</w:t>
            </w:r>
          </w:p>
        </w:tc>
      </w:tr>
      <w:tr>
        <w:trPr>
          <w:trHeight w:val="324"/>
        </w:trPr>
        <w:tc>
          <w:tcPr>
            <w:tcW w:w="2540" w:type="dxa"/>
            <w:vAlign w:val="bottom"/>
          </w:tcPr>
          <w:p>
            <w:pPr>
              <w:spacing w:after="0"/>
              <w:rPr>
                <w:sz w:val="24"/>
                <w:szCs w:val="24"/>
                <w:color w:val="auto"/>
              </w:rPr>
            </w:pPr>
          </w:p>
        </w:tc>
        <w:tc>
          <w:tcPr>
            <w:tcW w:w="7120" w:type="dxa"/>
            <w:vAlign w:val="bottom"/>
          </w:tcPr>
          <w:p>
            <w:pPr>
              <w:jc w:val="center"/>
              <w:ind w:right="2263"/>
              <w:spacing w:after="0"/>
              <w:rPr>
                <w:sz w:val="20"/>
                <w:szCs w:val="20"/>
                <w:color w:val="auto"/>
              </w:rPr>
            </w:pPr>
            <w:r>
              <w:rPr>
                <w:rFonts w:ascii="Arial" w:cs="Arial" w:eastAsia="Arial" w:hAnsi="Arial"/>
                <w:sz w:val="27"/>
                <w:szCs w:val="27"/>
                <w:b w:val="1"/>
                <w:bCs w:val="1"/>
                <w:color w:val="auto"/>
                <w:w w:val="89"/>
              </w:rPr>
              <w:t>Pursuant to Section 13 or 15(d) of the</w:t>
            </w:r>
          </w:p>
        </w:tc>
      </w:tr>
      <w:tr>
        <w:trPr>
          <w:trHeight w:val="351"/>
        </w:trPr>
        <w:tc>
          <w:tcPr>
            <w:tcW w:w="2540" w:type="dxa"/>
            <w:vAlign w:val="bottom"/>
          </w:tcPr>
          <w:p>
            <w:pPr>
              <w:spacing w:after="0"/>
              <w:rPr>
                <w:sz w:val="24"/>
                <w:szCs w:val="24"/>
                <w:color w:val="auto"/>
              </w:rPr>
            </w:pPr>
          </w:p>
        </w:tc>
        <w:tc>
          <w:tcPr>
            <w:tcW w:w="7120" w:type="dxa"/>
            <w:vAlign w:val="bottom"/>
          </w:tcPr>
          <w:p>
            <w:pPr>
              <w:jc w:val="center"/>
              <w:ind w:right="2263"/>
              <w:spacing w:after="0"/>
              <w:rPr>
                <w:sz w:val="20"/>
                <w:szCs w:val="20"/>
                <w:color w:val="auto"/>
              </w:rPr>
            </w:pPr>
            <w:r>
              <w:rPr>
                <w:rFonts w:ascii="Arial" w:cs="Arial" w:eastAsia="Arial" w:hAnsi="Arial"/>
                <w:sz w:val="27"/>
                <w:szCs w:val="27"/>
                <w:b w:val="1"/>
                <w:bCs w:val="1"/>
                <w:color w:val="auto"/>
                <w:w w:val="88"/>
              </w:rPr>
              <w:t>Securities Exchange Act of 1934</w:t>
            </w:r>
          </w:p>
        </w:tc>
      </w:tr>
      <w:tr>
        <w:trPr>
          <w:trHeight w:val="447"/>
        </w:trPr>
        <w:tc>
          <w:tcPr>
            <w:tcW w:w="2540" w:type="dxa"/>
            <w:vAlign w:val="bottom"/>
          </w:tcPr>
          <w:p>
            <w:pPr>
              <w:spacing w:after="0"/>
              <w:rPr>
                <w:sz w:val="24"/>
                <w:szCs w:val="24"/>
                <w:color w:val="auto"/>
              </w:rPr>
            </w:pPr>
          </w:p>
        </w:tc>
        <w:tc>
          <w:tcPr>
            <w:tcW w:w="7120" w:type="dxa"/>
            <w:vAlign w:val="bottom"/>
          </w:tcPr>
          <w:p>
            <w:pPr>
              <w:jc w:val="center"/>
              <w:ind w:right="2263"/>
              <w:spacing w:after="0"/>
              <w:rPr>
                <w:sz w:val="20"/>
                <w:szCs w:val="20"/>
                <w:color w:val="auto"/>
              </w:rPr>
            </w:pPr>
            <w:r>
              <w:rPr>
                <w:rFonts w:ascii="Arial" w:cs="Arial" w:eastAsia="Arial" w:hAnsi="Arial"/>
                <w:sz w:val="18"/>
                <w:szCs w:val="18"/>
                <w:color w:val="auto"/>
                <w:w w:val="90"/>
              </w:rPr>
              <w:t>Date of report (Date of earliest event reported): June 2, 2021</w:t>
            </w:r>
          </w:p>
        </w:tc>
      </w:tr>
      <w:tr>
        <w:trPr>
          <w:trHeight w:val="440"/>
        </w:trPr>
        <w:tc>
          <w:tcPr>
            <w:tcW w:w="2540" w:type="dxa"/>
            <w:vAlign w:val="bottom"/>
          </w:tcPr>
          <w:p>
            <w:pPr>
              <w:spacing w:after="0"/>
              <w:rPr>
                <w:sz w:val="24"/>
                <w:szCs w:val="24"/>
                <w:color w:val="auto"/>
              </w:rPr>
            </w:pPr>
          </w:p>
        </w:tc>
        <w:tc>
          <w:tcPr>
            <w:tcW w:w="7120" w:type="dxa"/>
            <w:vAlign w:val="bottom"/>
          </w:tcPr>
          <w:p>
            <w:pPr>
              <w:jc w:val="center"/>
              <w:ind w:right="2263"/>
              <w:spacing w:after="0"/>
              <w:rPr>
                <w:sz w:val="20"/>
                <w:szCs w:val="20"/>
                <w:color w:val="auto"/>
              </w:rPr>
            </w:pPr>
            <w:r>
              <w:rPr>
                <w:rFonts w:ascii="Arial" w:cs="Arial" w:eastAsia="Arial" w:hAnsi="Arial"/>
                <w:sz w:val="29"/>
                <w:szCs w:val="29"/>
                <w:b w:val="1"/>
                <w:bCs w:val="1"/>
                <w:color w:val="auto"/>
                <w:w w:val="90"/>
              </w:rPr>
              <w:t>Comcast Corporation</w:t>
            </w:r>
          </w:p>
        </w:tc>
      </w:tr>
      <w:tr>
        <w:trPr>
          <w:trHeight w:val="140"/>
        </w:trPr>
        <w:tc>
          <w:tcPr>
            <w:tcW w:w="2540" w:type="dxa"/>
            <w:vAlign w:val="bottom"/>
          </w:tcPr>
          <w:p>
            <w:pPr>
              <w:spacing w:after="0"/>
              <w:rPr>
                <w:sz w:val="12"/>
                <w:szCs w:val="12"/>
                <w:color w:val="auto"/>
              </w:rPr>
            </w:pPr>
          </w:p>
        </w:tc>
        <w:tc>
          <w:tcPr>
            <w:tcW w:w="7120" w:type="dxa"/>
            <w:vAlign w:val="bottom"/>
          </w:tcPr>
          <w:p>
            <w:pPr>
              <w:jc w:val="center"/>
              <w:ind w:right="2283"/>
              <w:spacing w:after="0" w:line="141"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540" w:type="dxa"/>
            <w:vAlign w:val="bottom"/>
          </w:tcPr>
          <w:p>
            <w:pPr>
              <w:spacing w:after="0"/>
              <w:rPr>
                <w:sz w:val="15"/>
                <w:szCs w:val="15"/>
                <w:color w:val="auto"/>
              </w:rPr>
            </w:pPr>
          </w:p>
        </w:tc>
        <w:tc>
          <w:tcPr>
            <w:tcW w:w="7120" w:type="dxa"/>
            <w:vAlign w:val="bottom"/>
          </w:tcPr>
          <w:p>
            <w:pPr>
              <w:jc w:val="center"/>
              <w:ind w:right="2283"/>
              <w:spacing w:after="0"/>
              <w:rPr>
                <w:sz w:val="20"/>
                <w:szCs w:val="20"/>
                <w:color w:val="auto"/>
              </w:rPr>
            </w:pPr>
            <w:r>
              <w:rPr>
                <w:rFonts w:ascii="Arial" w:cs="Arial" w:eastAsia="Arial" w:hAnsi="Arial"/>
                <w:sz w:val="14"/>
                <w:szCs w:val="14"/>
                <w:color w:val="auto"/>
                <w:w w:val="93"/>
              </w:rPr>
              <w:t>as Specified in its Charter)</w:t>
            </w:r>
          </w:p>
        </w:tc>
      </w:tr>
      <w:tr>
        <w:trPr>
          <w:trHeight w:val="380"/>
        </w:trPr>
        <w:tc>
          <w:tcPr>
            <w:tcW w:w="2540" w:type="dxa"/>
            <w:vAlign w:val="bottom"/>
          </w:tcPr>
          <w:p>
            <w:pPr>
              <w:spacing w:after="0"/>
              <w:rPr>
                <w:sz w:val="24"/>
                <w:szCs w:val="24"/>
                <w:color w:val="auto"/>
              </w:rPr>
            </w:pPr>
          </w:p>
        </w:tc>
        <w:tc>
          <w:tcPr>
            <w:tcW w:w="7120" w:type="dxa"/>
            <w:vAlign w:val="bottom"/>
          </w:tcPr>
          <w:p>
            <w:pPr>
              <w:jc w:val="center"/>
              <w:ind w:right="2283"/>
              <w:spacing w:after="0"/>
              <w:rPr>
                <w:sz w:val="20"/>
                <w:szCs w:val="20"/>
                <w:color w:val="auto"/>
              </w:rPr>
            </w:pPr>
            <w:r>
              <w:rPr>
                <w:rFonts w:ascii="Arial" w:cs="Arial" w:eastAsia="Arial" w:hAnsi="Arial"/>
                <w:sz w:val="18"/>
                <w:szCs w:val="18"/>
                <w:b w:val="1"/>
                <w:bCs w:val="1"/>
                <w:color w:val="auto"/>
                <w:w w:val="88"/>
              </w:rPr>
              <w:t>Pennsylvania</w:t>
            </w:r>
          </w:p>
        </w:tc>
      </w:tr>
      <w:tr>
        <w:trPr>
          <w:trHeight w:val="182"/>
        </w:trPr>
        <w:tc>
          <w:tcPr>
            <w:tcW w:w="2540" w:type="dxa"/>
            <w:vAlign w:val="bottom"/>
          </w:tcPr>
          <w:p>
            <w:pPr>
              <w:spacing w:after="0"/>
              <w:rPr>
                <w:sz w:val="15"/>
                <w:szCs w:val="15"/>
                <w:color w:val="auto"/>
              </w:rPr>
            </w:pPr>
          </w:p>
        </w:tc>
        <w:tc>
          <w:tcPr>
            <w:tcW w:w="7120" w:type="dxa"/>
            <w:vAlign w:val="bottom"/>
          </w:tcPr>
          <w:p>
            <w:pPr>
              <w:jc w:val="center"/>
              <w:ind w:right="2283"/>
              <w:spacing w:after="0"/>
              <w:rPr>
                <w:sz w:val="20"/>
                <w:szCs w:val="20"/>
                <w:color w:val="auto"/>
              </w:rPr>
            </w:pPr>
            <w:r>
              <w:rPr>
                <w:rFonts w:ascii="Arial" w:cs="Arial" w:eastAsia="Arial" w:hAnsi="Arial"/>
                <w:sz w:val="14"/>
                <w:szCs w:val="14"/>
                <w:color w:val="auto"/>
                <w:w w:val="94"/>
              </w:rPr>
              <w:t>(State or Other Jurisdiction of Incorporation)</w:t>
            </w:r>
          </w:p>
        </w:tc>
      </w:tr>
      <w:tr>
        <w:trPr>
          <w:trHeight w:val="385"/>
        </w:trPr>
        <w:tc>
          <w:tcPr>
            <w:tcW w:w="2540" w:type="dxa"/>
            <w:vAlign w:val="bottom"/>
          </w:tcPr>
          <w:p>
            <w:pPr>
              <w:jc w:val="center"/>
              <w:ind w:right="117"/>
              <w:spacing w:after="0"/>
              <w:rPr>
                <w:sz w:val="20"/>
                <w:szCs w:val="20"/>
                <w:color w:val="auto"/>
              </w:rPr>
            </w:pPr>
            <w:r>
              <w:rPr>
                <w:rFonts w:ascii="Arial" w:cs="Arial" w:eastAsia="Arial" w:hAnsi="Arial"/>
                <w:sz w:val="18"/>
                <w:szCs w:val="18"/>
                <w:b w:val="1"/>
                <w:bCs w:val="1"/>
                <w:color w:val="auto"/>
                <w:w w:val="90"/>
              </w:rPr>
              <w:t>001-32871</w:t>
            </w:r>
          </w:p>
        </w:tc>
        <w:tc>
          <w:tcPr>
            <w:tcW w:w="7120" w:type="dxa"/>
            <w:vAlign w:val="bottom"/>
          </w:tcPr>
          <w:p>
            <w:pPr>
              <w:jc w:val="center"/>
              <w:ind w:left="5023"/>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2540" w:type="dxa"/>
            <w:vAlign w:val="bottom"/>
          </w:tcPr>
          <w:p>
            <w:pPr>
              <w:jc w:val="center"/>
              <w:ind w:right="117"/>
              <w:spacing w:after="0"/>
              <w:rPr>
                <w:sz w:val="20"/>
                <w:szCs w:val="20"/>
                <w:color w:val="auto"/>
              </w:rPr>
            </w:pPr>
            <w:r>
              <w:rPr>
                <w:rFonts w:ascii="Arial" w:cs="Arial" w:eastAsia="Arial" w:hAnsi="Arial"/>
                <w:sz w:val="14"/>
                <w:szCs w:val="14"/>
                <w:color w:val="auto"/>
                <w:w w:val="94"/>
              </w:rPr>
              <w:t>(Commission File Number)</w:t>
            </w:r>
          </w:p>
        </w:tc>
        <w:tc>
          <w:tcPr>
            <w:tcW w:w="7120" w:type="dxa"/>
            <w:vAlign w:val="bottom"/>
          </w:tcPr>
          <w:p>
            <w:pPr>
              <w:jc w:val="center"/>
              <w:ind w:left="5043"/>
              <w:spacing w:after="0"/>
              <w:rPr>
                <w:sz w:val="20"/>
                <w:szCs w:val="20"/>
                <w:color w:val="auto"/>
              </w:rPr>
            </w:pPr>
            <w:r>
              <w:rPr>
                <w:rFonts w:ascii="Arial" w:cs="Arial" w:eastAsia="Arial" w:hAnsi="Arial"/>
                <w:sz w:val="14"/>
                <w:szCs w:val="14"/>
                <w:color w:val="auto"/>
                <w:w w:val="97"/>
              </w:rPr>
              <w:t>(IRS Employer Identification No.)</w:t>
            </w:r>
          </w:p>
        </w:tc>
      </w:tr>
      <w:tr>
        <w:trPr>
          <w:trHeight w:val="385"/>
        </w:trPr>
        <w:tc>
          <w:tcPr>
            <w:tcW w:w="2540" w:type="dxa"/>
            <w:vAlign w:val="bottom"/>
          </w:tcPr>
          <w:p>
            <w:pPr>
              <w:jc w:val="center"/>
              <w:ind w:right="117"/>
              <w:spacing w:after="0"/>
              <w:rPr>
                <w:sz w:val="20"/>
                <w:szCs w:val="20"/>
                <w:color w:val="auto"/>
              </w:rPr>
            </w:pPr>
            <w:r>
              <w:rPr>
                <w:rFonts w:ascii="Arial" w:cs="Arial" w:eastAsia="Arial" w:hAnsi="Arial"/>
                <w:sz w:val="18"/>
                <w:szCs w:val="18"/>
                <w:b w:val="1"/>
                <w:bCs w:val="1"/>
                <w:color w:val="auto"/>
                <w:w w:val="90"/>
              </w:rPr>
              <w:t>One Comcast Center</w:t>
            </w:r>
          </w:p>
        </w:tc>
        <w:tc>
          <w:tcPr>
            <w:tcW w:w="7120" w:type="dxa"/>
            <w:vAlign w:val="bottom"/>
          </w:tcPr>
          <w:p>
            <w:pPr>
              <w:spacing w:after="0"/>
              <w:rPr>
                <w:sz w:val="24"/>
                <w:szCs w:val="24"/>
                <w:color w:val="auto"/>
              </w:rPr>
            </w:pPr>
          </w:p>
        </w:tc>
      </w:tr>
      <w:tr>
        <w:trPr>
          <w:trHeight w:val="229"/>
        </w:trPr>
        <w:tc>
          <w:tcPr>
            <w:tcW w:w="2540" w:type="dxa"/>
            <w:vAlign w:val="bottom"/>
          </w:tcPr>
          <w:p>
            <w:pPr>
              <w:ind w:left="440"/>
              <w:spacing w:after="0"/>
              <w:rPr>
                <w:sz w:val="20"/>
                <w:szCs w:val="20"/>
                <w:color w:val="auto"/>
              </w:rPr>
            </w:pPr>
            <w:r>
              <w:rPr>
                <w:rFonts w:ascii="Arial" w:cs="Arial" w:eastAsia="Arial" w:hAnsi="Arial"/>
                <w:sz w:val="18"/>
                <w:szCs w:val="18"/>
                <w:b w:val="1"/>
                <w:bCs w:val="1"/>
                <w:color w:val="auto"/>
              </w:rPr>
              <w:t>Philadelphia, PA</w:t>
            </w:r>
          </w:p>
        </w:tc>
        <w:tc>
          <w:tcPr>
            <w:tcW w:w="7120" w:type="dxa"/>
            <w:vAlign w:val="bottom"/>
          </w:tcPr>
          <w:p>
            <w:pPr>
              <w:jc w:val="center"/>
              <w:ind w:left="5023"/>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2540" w:type="dxa"/>
            <w:vAlign w:val="bottom"/>
          </w:tcPr>
          <w:p>
            <w:pPr>
              <w:jc w:val="center"/>
              <w:ind w:right="117"/>
              <w:spacing w:after="0"/>
              <w:rPr>
                <w:sz w:val="20"/>
                <w:szCs w:val="20"/>
                <w:color w:val="auto"/>
              </w:rPr>
            </w:pPr>
            <w:r>
              <w:rPr>
                <w:rFonts w:ascii="Arial" w:cs="Arial" w:eastAsia="Arial" w:hAnsi="Arial"/>
                <w:sz w:val="14"/>
                <w:szCs w:val="14"/>
                <w:color w:val="auto"/>
                <w:w w:val="95"/>
              </w:rPr>
              <w:t>(Address of Principal Executive Offices)</w:t>
            </w:r>
          </w:p>
        </w:tc>
        <w:tc>
          <w:tcPr>
            <w:tcW w:w="7120" w:type="dxa"/>
            <w:vAlign w:val="bottom"/>
          </w:tcPr>
          <w:p>
            <w:pPr>
              <w:jc w:val="center"/>
              <w:ind w:left="5023"/>
              <w:spacing w:after="0"/>
              <w:rPr>
                <w:sz w:val="20"/>
                <w:szCs w:val="20"/>
                <w:color w:val="auto"/>
              </w:rPr>
            </w:pPr>
            <w:r>
              <w:rPr>
                <w:rFonts w:ascii="Arial" w:cs="Arial" w:eastAsia="Arial" w:hAnsi="Arial"/>
                <w:sz w:val="14"/>
                <w:szCs w:val="14"/>
                <w:color w:val="auto"/>
                <w:w w:val="96"/>
              </w:rPr>
              <w:t>(Zip Code)</w:t>
            </w:r>
          </w:p>
        </w:tc>
      </w:tr>
      <w:tr>
        <w:trPr>
          <w:trHeight w:val="323"/>
        </w:trPr>
        <w:tc>
          <w:tcPr>
            <w:tcW w:w="2540" w:type="dxa"/>
            <w:vAlign w:val="bottom"/>
          </w:tcPr>
          <w:p>
            <w:pPr>
              <w:spacing w:after="0"/>
              <w:rPr>
                <w:sz w:val="24"/>
                <w:szCs w:val="24"/>
                <w:color w:val="auto"/>
              </w:rPr>
            </w:pPr>
          </w:p>
        </w:tc>
        <w:tc>
          <w:tcPr>
            <w:tcW w:w="7120" w:type="dxa"/>
            <w:vAlign w:val="bottom"/>
          </w:tcPr>
          <w:p>
            <w:pPr>
              <w:jc w:val="center"/>
              <w:ind w:right="2263"/>
              <w:spacing w:after="0"/>
              <w:rPr>
                <w:sz w:val="20"/>
                <w:szCs w:val="20"/>
                <w:color w:val="auto"/>
              </w:rPr>
            </w:pPr>
            <w:r>
              <w:rPr>
                <w:rFonts w:ascii="Arial" w:cs="Arial" w:eastAsia="Arial" w:hAnsi="Arial"/>
                <w:sz w:val="14"/>
                <w:szCs w:val="14"/>
                <w:color w:val="auto"/>
                <w:w w:val="93"/>
              </w:rPr>
              <w:t xml:space="preserve">Registrant’s telephone number, including area code: </w:t>
            </w:r>
            <w:r>
              <w:rPr>
                <w:rFonts w:ascii="Arial" w:cs="Arial" w:eastAsia="Arial" w:hAnsi="Arial"/>
                <w:sz w:val="17"/>
                <w:szCs w:val="17"/>
                <w:b w:val="1"/>
                <w:bCs w:val="1"/>
                <w:color w:val="auto"/>
                <w:w w:val="93"/>
              </w:rPr>
              <w:t>(215) 286-1700</w:t>
            </w:r>
          </w:p>
        </w:tc>
      </w:tr>
      <w:tr>
        <w:trPr>
          <w:trHeight w:val="406"/>
        </w:trPr>
        <w:tc>
          <w:tcPr>
            <w:tcW w:w="2540" w:type="dxa"/>
            <w:vAlign w:val="bottom"/>
          </w:tcPr>
          <w:p>
            <w:pPr>
              <w:spacing w:after="0"/>
              <w:rPr>
                <w:sz w:val="24"/>
                <w:szCs w:val="24"/>
                <w:color w:val="auto"/>
              </w:rPr>
            </w:pPr>
          </w:p>
        </w:tc>
        <w:tc>
          <w:tcPr>
            <w:tcW w:w="7120" w:type="dxa"/>
            <w:vAlign w:val="bottom"/>
          </w:tcPr>
          <w:p>
            <w:pPr>
              <w:jc w:val="center"/>
              <w:ind w:right="2263"/>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22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63"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63"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Securities registered pursuant to Section 12(b) of the Act:</w:t>
            </w: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208"/>
        </w:trPr>
        <w:tc>
          <w:tcPr>
            <w:tcW w:w="4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Title of Each Class</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82"/>
        </w:trPr>
        <w:tc>
          <w:tcPr>
            <w:tcW w:w="47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Class A Common Stock, $0.01 par value</w:t>
            </w:r>
          </w:p>
        </w:tc>
        <w:tc>
          <w:tcPr>
            <w:tcW w:w="120" w:type="dxa"/>
            <w:vAlign w:val="bottom"/>
          </w:tcPr>
          <w:p>
            <w:pPr>
              <w:spacing w:after="0"/>
              <w:rPr>
                <w:sz w:val="15"/>
                <w:szCs w:val="15"/>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CMCSA</w:t>
            </w:r>
          </w:p>
        </w:tc>
        <w:tc>
          <w:tcPr>
            <w:tcW w:w="100" w:type="dxa"/>
            <w:vAlign w:val="bottom"/>
          </w:tcPr>
          <w:p>
            <w:pPr>
              <w:spacing w:after="0"/>
              <w:rPr>
                <w:sz w:val="15"/>
                <w:szCs w:val="15"/>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NASDAQ Global Select Market</w:t>
            </w:r>
          </w:p>
        </w:tc>
      </w:tr>
      <w:tr>
        <w:trPr>
          <w:trHeight w:val="184"/>
        </w:trPr>
        <w:tc>
          <w:tcPr>
            <w:tcW w:w="48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0.250% Notes due 2027</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CMCS27</w:t>
            </w:r>
          </w:p>
        </w:tc>
        <w:tc>
          <w:tcPr>
            <w:tcW w:w="368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8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1.500% Notes due 2029</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CMCS29</w:t>
            </w:r>
          </w:p>
        </w:tc>
        <w:tc>
          <w:tcPr>
            <w:tcW w:w="368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8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0.750% Notes due 2032</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CMCS32</w:t>
            </w:r>
          </w:p>
        </w:tc>
        <w:tc>
          <w:tcPr>
            <w:tcW w:w="368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8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1.875% Notes due 2036</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CMCS36</w:t>
            </w:r>
          </w:p>
        </w:tc>
        <w:tc>
          <w:tcPr>
            <w:tcW w:w="368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8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1.250% Notes due 2040</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CMCS40</w:t>
            </w:r>
          </w:p>
        </w:tc>
        <w:tc>
          <w:tcPr>
            <w:tcW w:w="368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8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9.455% Guaranteed Notes due 2022</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CMCSA/22</w:t>
            </w:r>
          </w:p>
        </w:tc>
        <w:tc>
          <w:tcPr>
            <w:tcW w:w="368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r>
        <w:trPr>
          <w:trHeight w:val="189"/>
        </w:trPr>
        <w:tc>
          <w:tcPr>
            <w:tcW w:w="48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5.50% Notes due 2029</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CCGBP29</w:t>
            </w:r>
          </w:p>
        </w:tc>
        <w:tc>
          <w:tcPr>
            <w:tcW w:w="368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r>
        <w:trPr>
          <w:trHeight w:val="189"/>
        </w:trPr>
        <w:tc>
          <w:tcPr>
            <w:tcW w:w="48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2.0% Exchangeable Subordinated Debentures due 2029</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CCZ</w:t>
            </w:r>
          </w:p>
        </w:tc>
        <w:tc>
          <w:tcPr>
            <w:tcW w:w="368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263"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58" w:lineRule="exact"/>
        <w:rPr>
          <w:sz w:val="24"/>
          <w:szCs w:val="24"/>
          <w:color w:val="auto"/>
        </w:rPr>
      </w:pPr>
    </w:p>
    <w:p>
      <w:pPr>
        <w:ind w:right="22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0900"/>
          </w:cols>
          <w:pgMar w:left="320" w:top="1421" w:right="6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56"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the annual meeting, our shareholders approved, or did not approve, the following proposals.</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4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number of votes cast for and against (or withheld) and the number of abstentions and broker non-votes with respect to each such proposal, as described in detail in Comcast Corporation’s definitive proxy statement dated April 23, 2021, are set forth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 All of the director nominees named in the proxy statement were elected to serve as directors for one-year terms.</w:t>
      </w:r>
    </w:p>
    <w:p>
      <w:pPr>
        <w:spacing w:after="0" w:line="154" w:lineRule="exact"/>
        <w:rPr>
          <w:sz w:val="20"/>
          <w:szCs w:val="20"/>
          <w:color w:val="auto"/>
        </w:rPr>
      </w:pPr>
    </w:p>
    <w:tbl>
      <w:tblPr>
        <w:tblLayout w:type="fixed"/>
        <w:tblInd w:w="340" w:type="dxa"/>
        <w:tblCellMar>
          <w:top w:w="0" w:type="dxa"/>
          <w:left w:w="0" w:type="dxa"/>
          <w:bottom w:w="0" w:type="dxa"/>
          <w:right w:w="0" w:type="dxa"/>
        </w:tblCellMar>
      </w:tblPr>
      <w:tr>
        <w:trPr>
          <w:trHeight w:val="248"/>
        </w:trPr>
        <w:tc>
          <w:tcPr>
            <w:tcW w:w="3580" w:type="dxa"/>
            <w:vAlign w:val="bottom"/>
          </w:tcPr>
          <w:p>
            <w:pPr>
              <w:ind w:left="120"/>
              <w:spacing w:after="0"/>
              <w:rPr>
                <w:sz w:val="20"/>
                <w:szCs w:val="20"/>
                <w:color w:val="auto"/>
              </w:rPr>
            </w:pPr>
            <w:r>
              <w:rPr>
                <w:rFonts w:ascii="Arial" w:cs="Arial" w:eastAsia="Arial" w:hAnsi="Arial"/>
                <w:sz w:val="18"/>
                <w:szCs w:val="18"/>
                <w:b w:val="1"/>
                <w:bCs w:val="1"/>
                <w:color w:val="auto"/>
              </w:rPr>
              <w:t>Director</w:t>
            </w:r>
          </w:p>
        </w:tc>
        <w:tc>
          <w:tcPr>
            <w:tcW w:w="3280" w:type="dxa"/>
            <w:vAlign w:val="bottom"/>
          </w:tcPr>
          <w:p>
            <w:pPr>
              <w:jc w:val="center"/>
              <w:ind w:left="1270"/>
              <w:spacing w:after="0"/>
              <w:rPr>
                <w:sz w:val="20"/>
                <w:szCs w:val="20"/>
                <w:color w:val="auto"/>
              </w:rPr>
            </w:pPr>
            <w:r>
              <w:rPr>
                <w:rFonts w:ascii="Arial" w:cs="Arial" w:eastAsia="Arial" w:hAnsi="Arial"/>
                <w:sz w:val="18"/>
                <w:szCs w:val="18"/>
                <w:b w:val="1"/>
                <w:bCs w:val="1"/>
                <w:color w:val="auto"/>
                <w:w w:val="96"/>
              </w:rPr>
              <w:t>For</w:t>
            </w:r>
          </w:p>
        </w:tc>
        <w:tc>
          <w:tcPr>
            <w:tcW w:w="1760" w:type="dxa"/>
            <w:vAlign w:val="bottom"/>
          </w:tcPr>
          <w:p>
            <w:pPr>
              <w:jc w:val="right"/>
              <w:ind w:right="430"/>
              <w:spacing w:after="0"/>
              <w:rPr>
                <w:sz w:val="20"/>
                <w:szCs w:val="20"/>
                <w:color w:val="auto"/>
              </w:rPr>
            </w:pPr>
            <w:r>
              <w:rPr>
                <w:rFonts w:ascii="Arial" w:cs="Arial" w:eastAsia="Arial" w:hAnsi="Arial"/>
                <w:sz w:val="18"/>
                <w:szCs w:val="18"/>
                <w:b w:val="1"/>
                <w:bCs w:val="1"/>
                <w:color w:val="auto"/>
              </w:rPr>
              <w:t>Withheld</w:t>
            </w:r>
          </w:p>
        </w:tc>
        <w:tc>
          <w:tcPr>
            <w:tcW w:w="2060" w:type="dxa"/>
            <w:vAlign w:val="bottom"/>
          </w:tcPr>
          <w:p>
            <w:pPr>
              <w:jc w:val="right"/>
              <w:ind w:right="35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35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ind w:left="120"/>
              <w:spacing w:after="0"/>
              <w:rPr>
                <w:sz w:val="20"/>
                <w:szCs w:val="20"/>
                <w:color w:val="auto"/>
              </w:rPr>
            </w:pPr>
            <w:r>
              <w:rPr>
                <w:rFonts w:ascii="Arial" w:cs="Arial" w:eastAsia="Arial" w:hAnsi="Arial"/>
                <w:sz w:val="18"/>
                <w:szCs w:val="18"/>
                <w:color w:val="auto"/>
              </w:rPr>
              <w:t>Kenneth J. Bacon</w:t>
            </w:r>
          </w:p>
        </w:tc>
        <w:tc>
          <w:tcPr>
            <w:tcW w:w="3280" w:type="dxa"/>
            <w:vAlign w:val="bottom"/>
          </w:tcPr>
          <w:p>
            <w:pPr>
              <w:jc w:val="center"/>
              <w:ind w:left="1250"/>
              <w:spacing w:after="0"/>
              <w:rPr>
                <w:sz w:val="20"/>
                <w:szCs w:val="20"/>
                <w:color w:val="auto"/>
              </w:rPr>
            </w:pPr>
            <w:r>
              <w:rPr>
                <w:rFonts w:ascii="Arial" w:cs="Arial" w:eastAsia="Arial" w:hAnsi="Arial"/>
                <w:sz w:val="18"/>
                <w:szCs w:val="18"/>
                <w:color w:val="auto"/>
                <w:w w:val="89"/>
              </w:rPr>
              <w:t>323,482,887</w:t>
            </w: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46,984,893</w:t>
            </w:r>
          </w:p>
        </w:tc>
        <w:tc>
          <w:tcPr>
            <w:tcW w:w="2060" w:type="dxa"/>
            <w:vAlign w:val="bottom"/>
          </w:tcPr>
          <w:p>
            <w:pPr>
              <w:jc w:val="right"/>
              <w:ind w:right="570"/>
              <w:spacing w:after="0"/>
              <w:rPr>
                <w:sz w:val="20"/>
                <w:szCs w:val="20"/>
                <w:color w:val="auto"/>
              </w:rPr>
            </w:pPr>
            <w:r>
              <w:rPr>
                <w:rFonts w:ascii="Arial" w:cs="Arial" w:eastAsia="Arial" w:hAnsi="Arial"/>
                <w:sz w:val="18"/>
                <w:szCs w:val="18"/>
                <w:color w:val="auto"/>
              </w:rPr>
              <w:t>20,884,491</w:t>
            </w:r>
          </w:p>
        </w:tc>
      </w:tr>
      <w:tr>
        <w:trPr>
          <w:trHeight w:val="270"/>
        </w:trPr>
        <w:tc>
          <w:tcPr>
            <w:tcW w:w="3580" w:type="dxa"/>
            <w:vAlign w:val="bottom"/>
          </w:tcPr>
          <w:p>
            <w:pPr>
              <w:ind w:left="120"/>
              <w:spacing w:after="0"/>
              <w:rPr>
                <w:sz w:val="20"/>
                <w:szCs w:val="20"/>
                <w:color w:val="auto"/>
              </w:rPr>
            </w:pPr>
            <w:r>
              <w:rPr>
                <w:rFonts w:ascii="Arial" w:cs="Arial" w:eastAsia="Arial" w:hAnsi="Arial"/>
                <w:sz w:val="18"/>
                <w:szCs w:val="18"/>
                <w:color w:val="auto"/>
              </w:rPr>
              <w:t>Madeline S. Bell</w:t>
            </w:r>
          </w:p>
        </w:tc>
        <w:tc>
          <w:tcPr>
            <w:tcW w:w="3280" w:type="dxa"/>
            <w:vAlign w:val="bottom"/>
          </w:tcPr>
          <w:p>
            <w:pPr>
              <w:jc w:val="center"/>
              <w:ind w:left="1250"/>
              <w:spacing w:after="0"/>
              <w:rPr>
                <w:sz w:val="20"/>
                <w:szCs w:val="20"/>
                <w:color w:val="auto"/>
              </w:rPr>
            </w:pPr>
            <w:r>
              <w:rPr>
                <w:rFonts w:ascii="Arial" w:cs="Arial" w:eastAsia="Arial" w:hAnsi="Arial"/>
                <w:sz w:val="18"/>
                <w:szCs w:val="18"/>
                <w:color w:val="auto"/>
                <w:w w:val="89"/>
              </w:rPr>
              <w:t>369,299,624</w:t>
            </w: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1,168,156</w:t>
            </w:r>
          </w:p>
        </w:tc>
        <w:tc>
          <w:tcPr>
            <w:tcW w:w="2060" w:type="dxa"/>
            <w:vAlign w:val="bottom"/>
          </w:tcPr>
          <w:p>
            <w:pPr>
              <w:jc w:val="right"/>
              <w:ind w:right="570"/>
              <w:spacing w:after="0"/>
              <w:rPr>
                <w:sz w:val="20"/>
                <w:szCs w:val="20"/>
                <w:color w:val="auto"/>
              </w:rPr>
            </w:pPr>
            <w:r>
              <w:rPr>
                <w:rFonts w:ascii="Arial" w:cs="Arial" w:eastAsia="Arial" w:hAnsi="Arial"/>
                <w:sz w:val="18"/>
                <w:szCs w:val="18"/>
                <w:color w:val="auto"/>
              </w:rPr>
              <w:t>20,884,491</w:t>
            </w:r>
          </w:p>
        </w:tc>
      </w:tr>
      <w:tr>
        <w:trPr>
          <w:trHeight w:val="270"/>
        </w:trPr>
        <w:tc>
          <w:tcPr>
            <w:tcW w:w="3580" w:type="dxa"/>
            <w:vAlign w:val="bottom"/>
          </w:tcPr>
          <w:p>
            <w:pPr>
              <w:ind w:left="120"/>
              <w:spacing w:after="0"/>
              <w:rPr>
                <w:sz w:val="20"/>
                <w:szCs w:val="20"/>
                <w:color w:val="auto"/>
              </w:rPr>
            </w:pPr>
            <w:r>
              <w:rPr>
                <w:rFonts w:ascii="Arial" w:cs="Arial" w:eastAsia="Arial" w:hAnsi="Arial"/>
                <w:sz w:val="18"/>
                <w:szCs w:val="18"/>
                <w:color w:val="auto"/>
              </w:rPr>
              <w:t>Naomi M. Bergman</w:t>
            </w:r>
          </w:p>
        </w:tc>
        <w:tc>
          <w:tcPr>
            <w:tcW w:w="3280" w:type="dxa"/>
            <w:vAlign w:val="bottom"/>
          </w:tcPr>
          <w:p>
            <w:pPr>
              <w:jc w:val="center"/>
              <w:ind w:left="1250"/>
              <w:spacing w:after="0"/>
              <w:rPr>
                <w:sz w:val="20"/>
                <w:szCs w:val="20"/>
                <w:color w:val="auto"/>
              </w:rPr>
            </w:pPr>
            <w:r>
              <w:rPr>
                <w:rFonts w:ascii="Arial" w:cs="Arial" w:eastAsia="Arial" w:hAnsi="Arial"/>
                <w:sz w:val="18"/>
                <w:szCs w:val="18"/>
                <w:color w:val="auto"/>
                <w:w w:val="89"/>
              </w:rPr>
              <w:t>369,665,534</w:t>
            </w: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802,246</w:t>
            </w:r>
          </w:p>
        </w:tc>
        <w:tc>
          <w:tcPr>
            <w:tcW w:w="2060" w:type="dxa"/>
            <w:vAlign w:val="bottom"/>
          </w:tcPr>
          <w:p>
            <w:pPr>
              <w:jc w:val="right"/>
              <w:ind w:right="570"/>
              <w:spacing w:after="0"/>
              <w:rPr>
                <w:sz w:val="20"/>
                <w:szCs w:val="20"/>
                <w:color w:val="auto"/>
              </w:rPr>
            </w:pPr>
            <w:r>
              <w:rPr>
                <w:rFonts w:ascii="Arial" w:cs="Arial" w:eastAsia="Arial" w:hAnsi="Arial"/>
                <w:sz w:val="18"/>
                <w:szCs w:val="18"/>
                <w:color w:val="auto"/>
              </w:rPr>
              <w:t>20,884,491</w:t>
            </w:r>
          </w:p>
        </w:tc>
      </w:tr>
      <w:tr>
        <w:trPr>
          <w:trHeight w:val="270"/>
        </w:trPr>
        <w:tc>
          <w:tcPr>
            <w:tcW w:w="3580" w:type="dxa"/>
            <w:vAlign w:val="bottom"/>
          </w:tcPr>
          <w:p>
            <w:pPr>
              <w:ind w:left="120"/>
              <w:spacing w:after="0"/>
              <w:rPr>
                <w:sz w:val="20"/>
                <w:szCs w:val="20"/>
                <w:color w:val="auto"/>
              </w:rPr>
            </w:pPr>
            <w:r>
              <w:rPr>
                <w:rFonts w:ascii="Arial" w:cs="Arial" w:eastAsia="Arial" w:hAnsi="Arial"/>
                <w:sz w:val="18"/>
                <w:szCs w:val="18"/>
                <w:color w:val="auto"/>
              </w:rPr>
              <w:t>Edward D. Breen</w:t>
            </w:r>
          </w:p>
        </w:tc>
        <w:tc>
          <w:tcPr>
            <w:tcW w:w="3280" w:type="dxa"/>
            <w:vAlign w:val="bottom"/>
          </w:tcPr>
          <w:p>
            <w:pPr>
              <w:jc w:val="center"/>
              <w:ind w:left="1250"/>
              <w:spacing w:after="0"/>
              <w:rPr>
                <w:sz w:val="20"/>
                <w:szCs w:val="20"/>
                <w:color w:val="auto"/>
              </w:rPr>
            </w:pPr>
            <w:r>
              <w:rPr>
                <w:rFonts w:ascii="Arial" w:cs="Arial" w:eastAsia="Arial" w:hAnsi="Arial"/>
                <w:sz w:val="18"/>
                <w:szCs w:val="18"/>
                <w:color w:val="auto"/>
                <w:w w:val="89"/>
              </w:rPr>
              <w:t>297,502,989</w:t>
            </w: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72,964,791</w:t>
            </w:r>
          </w:p>
        </w:tc>
        <w:tc>
          <w:tcPr>
            <w:tcW w:w="2060" w:type="dxa"/>
            <w:vAlign w:val="bottom"/>
          </w:tcPr>
          <w:p>
            <w:pPr>
              <w:jc w:val="right"/>
              <w:ind w:right="570"/>
              <w:spacing w:after="0"/>
              <w:rPr>
                <w:sz w:val="20"/>
                <w:szCs w:val="20"/>
                <w:color w:val="auto"/>
              </w:rPr>
            </w:pPr>
            <w:r>
              <w:rPr>
                <w:rFonts w:ascii="Arial" w:cs="Arial" w:eastAsia="Arial" w:hAnsi="Arial"/>
                <w:sz w:val="18"/>
                <w:szCs w:val="18"/>
                <w:color w:val="auto"/>
              </w:rPr>
              <w:t>20,884,491</w:t>
            </w:r>
          </w:p>
        </w:tc>
      </w:tr>
      <w:tr>
        <w:trPr>
          <w:trHeight w:val="270"/>
        </w:trPr>
        <w:tc>
          <w:tcPr>
            <w:tcW w:w="3580" w:type="dxa"/>
            <w:vAlign w:val="bottom"/>
          </w:tcPr>
          <w:p>
            <w:pPr>
              <w:ind w:left="120"/>
              <w:spacing w:after="0"/>
              <w:rPr>
                <w:sz w:val="20"/>
                <w:szCs w:val="20"/>
                <w:color w:val="auto"/>
              </w:rPr>
            </w:pPr>
            <w:r>
              <w:rPr>
                <w:rFonts w:ascii="Arial" w:cs="Arial" w:eastAsia="Arial" w:hAnsi="Arial"/>
                <w:sz w:val="18"/>
                <w:szCs w:val="18"/>
                <w:color w:val="auto"/>
              </w:rPr>
              <w:t>Gerald L. Hassell</w:t>
            </w:r>
          </w:p>
        </w:tc>
        <w:tc>
          <w:tcPr>
            <w:tcW w:w="3280" w:type="dxa"/>
            <w:vAlign w:val="bottom"/>
          </w:tcPr>
          <w:p>
            <w:pPr>
              <w:jc w:val="center"/>
              <w:ind w:left="1250"/>
              <w:spacing w:after="0"/>
              <w:rPr>
                <w:sz w:val="20"/>
                <w:szCs w:val="20"/>
                <w:color w:val="auto"/>
              </w:rPr>
            </w:pPr>
            <w:r>
              <w:rPr>
                <w:rFonts w:ascii="Arial" w:cs="Arial" w:eastAsia="Arial" w:hAnsi="Arial"/>
                <w:sz w:val="18"/>
                <w:szCs w:val="18"/>
                <w:color w:val="auto"/>
                <w:w w:val="89"/>
              </w:rPr>
              <w:t>363,728,099</w:t>
            </w: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6,739,681</w:t>
            </w:r>
          </w:p>
        </w:tc>
        <w:tc>
          <w:tcPr>
            <w:tcW w:w="2060" w:type="dxa"/>
            <w:vAlign w:val="bottom"/>
          </w:tcPr>
          <w:p>
            <w:pPr>
              <w:jc w:val="right"/>
              <w:ind w:right="570"/>
              <w:spacing w:after="0"/>
              <w:rPr>
                <w:sz w:val="20"/>
                <w:szCs w:val="20"/>
                <w:color w:val="auto"/>
              </w:rPr>
            </w:pPr>
            <w:r>
              <w:rPr>
                <w:rFonts w:ascii="Arial" w:cs="Arial" w:eastAsia="Arial" w:hAnsi="Arial"/>
                <w:sz w:val="18"/>
                <w:szCs w:val="18"/>
                <w:color w:val="auto"/>
              </w:rPr>
              <w:t>20,884,491</w:t>
            </w:r>
          </w:p>
        </w:tc>
      </w:tr>
      <w:tr>
        <w:trPr>
          <w:trHeight w:val="270"/>
        </w:trPr>
        <w:tc>
          <w:tcPr>
            <w:tcW w:w="3580" w:type="dxa"/>
            <w:vAlign w:val="bottom"/>
          </w:tcPr>
          <w:p>
            <w:pPr>
              <w:ind w:left="120"/>
              <w:spacing w:after="0"/>
              <w:rPr>
                <w:sz w:val="20"/>
                <w:szCs w:val="20"/>
                <w:color w:val="auto"/>
              </w:rPr>
            </w:pPr>
            <w:r>
              <w:rPr>
                <w:rFonts w:ascii="Arial" w:cs="Arial" w:eastAsia="Arial" w:hAnsi="Arial"/>
                <w:sz w:val="18"/>
                <w:szCs w:val="18"/>
                <w:color w:val="auto"/>
              </w:rPr>
              <w:t>Jeffrey A. Honickman</w:t>
            </w:r>
          </w:p>
        </w:tc>
        <w:tc>
          <w:tcPr>
            <w:tcW w:w="3280" w:type="dxa"/>
            <w:vAlign w:val="bottom"/>
          </w:tcPr>
          <w:p>
            <w:pPr>
              <w:jc w:val="center"/>
              <w:ind w:left="1250"/>
              <w:spacing w:after="0"/>
              <w:rPr>
                <w:sz w:val="20"/>
                <w:szCs w:val="20"/>
                <w:color w:val="auto"/>
              </w:rPr>
            </w:pPr>
            <w:r>
              <w:rPr>
                <w:rFonts w:ascii="Arial" w:cs="Arial" w:eastAsia="Arial" w:hAnsi="Arial"/>
                <w:sz w:val="18"/>
                <w:szCs w:val="18"/>
                <w:color w:val="auto"/>
                <w:w w:val="89"/>
              </w:rPr>
              <w:t>359,012,264</w:t>
            </w: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11,455,516</w:t>
            </w:r>
          </w:p>
        </w:tc>
        <w:tc>
          <w:tcPr>
            <w:tcW w:w="2060" w:type="dxa"/>
            <w:vAlign w:val="bottom"/>
          </w:tcPr>
          <w:p>
            <w:pPr>
              <w:jc w:val="right"/>
              <w:ind w:right="570"/>
              <w:spacing w:after="0"/>
              <w:rPr>
                <w:sz w:val="20"/>
                <w:szCs w:val="20"/>
                <w:color w:val="auto"/>
              </w:rPr>
            </w:pPr>
            <w:r>
              <w:rPr>
                <w:rFonts w:ascii="Arial" w:cs="Arial" w:eastAsia="Arial" w:hAnsi="Arial"/>
                <w:sz w:val="18"/>
                <w:szCs w:val="18"/>
                <w:color w:val="auto"/>
              </w:rPr>
              <w:t>20,884,491</w:t>
            </w:r>
          </w:p>
        </w:tc>
      </w:tr>
      <w:tr>
        <w:trPr>
          <w:trHeight w:val="270"/>
        </w:trPr>
        <w:tc>
          <w:tcPr>
            <w:tcW w:w="3580" w:type="dxa"/>
            <w:vAlign w:val="bottom"/>
          </w:tcPr>
          <w:p>
            <w:pPr>
              <w:ind w:left="120"/>
              <w:spacing w:after="0"/>
              <w:rPr>
                <w:sz w:val="20"/>
                <w:szCs w:val="20"/>
                <w:color w:val="auto"/>
              </w:rPr>
            </w:pPr>
            <w:r>
              <w:rPr>
                <w:rFonts w:ascii="Arial" w:cs="Arial" w:eastAsia="Arial" w:hAnsi="Arial"/>
                <w:sz w:val="18"/>
                <w:szCs w:val="18"/>
                <w:color w:val="auto"/>
              </w:rPr>
              <w:t>Maritza G. Montiel</w:t>
            </w:r>
          </w:p>
        </w:tc>
        <w:tc>
          <w:tcPr>
            <w:tcW w:w="3280" w:type="dxa"/>
            <w:vAlign w:val="bottom"/>
          </w:tcPr>
          <w:p>
            <w:pPr>
              <w:jc w:val="center"/>
              <w:ind w:left="1250"/>
              <w:spacing w:after="0"/>
              <w:rPr>
                <w:sz w:val="20"/>
                <w:szCs w:val="20"/>
                <w:color w:val="auto"/>
              </w:rPr>
            </w:pPr>
            <w:r>
              <w:rPr>
                <w:rFonts w:ascii="Arial" w:cs="Arial" w:eastAsia="Arial" w:hAnsi="Arial"/>
                <w:sz w:val="18"/>
                <w:szCs w:val="18"/>
                <w:color w:val="auto"/>
                <w:w w:val="89"/>
              </w:rPr>
              <w:t>365,607,561</w:t>
            </w: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4,860,219</w:t>
            </w:r>
          </w:p>
        </w:tc>
        <w:tc>
          <w:tcPr>
            <w:tcW w:w="2060" w:type="dxa"/>
            <w:vAlign w:val="bottom"/>
          </w:tcPr>
          <w:p>
            <w:pPr>
              <w:jc w:val="right"/>
              <w:ind w:right="570"/>
              <w:spacing w:after="0"/>
              <w:rPr>
                <w:sz w:val="20"/>
                <w:szCs w:val="20"/>
                <w:color w:val="auto"/>
              </w:rPr>
            </w:pPr>
            <w:r>
              <w:rPr>
                <w:rFonts w:ascii="Arial" w:cs="Arial" w:eastAsia="Arial" w:hAnsi="Arial"/>
                <w:sz w:val="18"/>
                <w:szCs w:val="18"/>
                <w:color w:val="auto"/>
              </w:rPr>
              <w:t>20,884,491</w:t>
            </w:r>
          </w:p>
        </w:tc>
      </w:tr>
      <w:tr>
        <w:trPr>
          <w:trHeight w:val="270"/>
        </w:trPr>
        <w:tc>
          <w:tcPr>
            <w:tcW w:w="3580" w:type="dxa"/>
            <w:vAlign w:val="bottom"/>
          </w:tcPr>
          <w:p>
            <w:pPr>
              <w:ind w:left="120"/>
              <w:spacing w:after="0"/>
              <w:rPr>
                <w:sz w:val="20"/>
                <w:szCs w:val="20"/>
                <w:color w:val="auto"/>
              </w:rPr>
            </w:pPr>
            <w:r>
              <w:rPr>
                <w:rFonts w:ascii="Arial" w:cs="Arial" w:eastAsia="Arial" w:hAnsi="Arial"/>
                <w:sz w:val="18"/>
                <w:szCs w:val="18"/>
                <w:color w:val="auto"/>
              </w:rPr>
              <w:t>Asuka Nakahara</w:t>
            </w:r>
          </w:p>
        </w:tc>
        <w:tc>
          <w:tcPr>
            <w:tcW w:w="3280" w:type="dxa"/>
            <w:vAlign w:val="bottom"/>
          </w:tcPr>
          <w:p>
            <w:pPr>
              <w:jc w:val="center"/>
              <w:ind w:left="1250"/>
              <w:spacing w:after="0"/>
              <w:rPr>
                <w:sz w:val="20"/>
                <w:szCs w:val="20"/>
                <w:color w:val="auto"/>
              </w:rPr>
            </w:pPr>
            <w:r>
              <w:rPr>
                <w:rFonts w:ascii="Arial" w:cs="Arial" w:eastAsia="Arial" w:hAnsi="Arial"/>
                <w:sz w:val="18"/>
                <w:szCs w:val="18"/>
                <w:color w:val="auto"/>
                <w:w w:val="89"/>
              </w:rPr>
              <w:t>368,890,197</w:t>
            </w: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1,577,583</w:t>
            </w:r>
          </w:p>
        </w:tc>
        <w:tc>
          <w:tcPr>
            <w:tcW w:w="2060" w:type="dxa"/>
            <w:vAlign w:val="bottom"/>
          </w:tcPr>
          <w:p>
            <w:pPr>
              <w:jc w:val="right"/>
              <w:ind w:right="570"/>
              <w:spacing w:after="0"/>
              <w:rPr>
                <w:sz w:val="20"/>
                <w:szCs w:val="20"/>
                <w:color w:val="auto"/>
              </w:rPr>
            </w:pPr>
            <w:r>
              <w:rPr>
                <w:rFonts w:ascii="Arial" w:cs="Arial" w:eastAsia="Arial" w:hAnsi="Arial"/>
                <w:sz w:val="18"/>
                <w:szCs w:val="18"/>
                <w:color w:val="auto"/>
              </w:rPr>
              <w:t>20,884,491</w:t>
            </w:r>
          </w:p>
        </w:tc>
      </w:tr>
      <w:tr>
        <w:trPr>
          <w:trHeight w:val="270"/>
        </w:trPr>
        <w:tc>
          <w:tcPr>
            <w:tcW w:w="3580" w:type="dxa"/>
            <w:vAlign w:val="bottom"/>
          </w:tcPr>
          <w:p>
            <w:pPr>
              <w:ind w:left="120"/>
              <w:spacing w:after="0"/>
              <w:rPr>
                <w:sz w:val="20"/>
                <w:szCs w:val="20"/>
                <w:color w:val="auto"/>
              </w:rPr>
            </w:pPr>
            <w:r>
              <w:rPr>
                <w:rFonts w:ascii="Arial" w:cs="Arial" w:eastAsia="Arial" w:hAnsi="Arial"/>
                <w:sz w:val="18"/>
                <w:szCs w:val="18"/>
                <w:color w:val="auto"/>
              </w:rPr>
              <w:t>David C. Novak</w:t>
            </w:r>
          </w:p>
        </w:tc>
        <w:tc>
          <w:tcPr>
            <w:tcW w:w="3280" w:type="dxa"/>
            <w:vAlign w:val="bottom"/>
          </w:tcPr>
          <w:p>
            <w:pPr>
              <w:jc w:val="center"/>
              <w:ind w:left="1250"/>
              <w:spacing w:after="0"/>
              <w:rPr>
                <w:sz w:val="20"/>
                <w:szCs w:val="20"/>
                <w:color w:val="auto"/>
              </w:rPr>
            </w:pPr>
            <w:r>
              <w:rPr>
                <w:rFonts w:ascii="Arial" w:cs="Arial" w:eastAsia="Arial" w:hAnsi="Arial"/>
                <w:sz w:val="18"/>
                <w:szCs w:val="18"/>
                <w:color w:val="auto"/>
                <w:w w:val="89"/>
              </w:rPr>
              <w:t>367,989,880</w:t>
            </w: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2,477,900</w:t>
            </w:r>
          </w:p>
        </w:tc>
        <w:tc>
          <w:tcPr>
            <w:tcW w:w="2060" w:type="dxa"/>
            <w:vAlign w:val="bottom"/>
          </w:tcPr>
          <w:p>
            <w:pPr>
              <w:jc w:val="right"/>
              <w:ind w:right="570"/>
              <w:spacing w:after="0"/>
              <w:rPr>
                <w:sz w:val="20"/>
                <w:szCs w:val="20"/>
                <w:color w:val="auto"/>
              </w:rPr>
            </w:pPr>
            <w:r>
              <w:rPr>
                <w:rFonts w:ascii="Arial" w:cs="Arial" w:eastAsia="Arial" w:hAnsi="Arial"/>
                <w:sz w:val="18"/>
                <w:szCs w:val="18"/>
                <w:color w:val="auto"/>
              </w:rPr>
              <w:t>20,884,491</w:t>
            </w:r>
          </w:p>
        </w:tc>
      </w:tr>
      <w:tr>
        <w:trPr>
          <w:trHeight w:val="270"/>
        </w:trPr>
        <w:tc>
          <w:tcPr>
            <w:tcW w:w="3580" w:type="dxa"/>
            <w:vAlign w:val="bottom"/>
          </w:tcPr>
          <w:p>
            <w:pPr>
              <w:ind w:left="120"/>
              <w:spacing w:after="0"/>
              <w:rPr>
                <w:sz w:val="20"/>
                <w:szCs w:val="20"/>
                <w:color w:val="auto"/>
              </w:rPr>
            </w:pPr>
            <w:r>
              <w:rPr>
                <w:rFonts w:ascii="Arial" w:cs="Arial" w:eastAsia="Arial" w:hAnsi="Arial"/>
                <w:sz w:val="18"/>
                <w:szCs w:val="18"/>
                <w:color w:val="auto"/>
              </w:rPr>
              <w:t>Brian L. Roberts</w:t>
            </w:r>
          </w:p>
        </w:tc>
        <w:tc>
          <w:tcPr>
            <w:tcW w:w="3280" w:type="dxa"/>
            <w:vAlign w:val="bottom"/>
          </w:tcPr>
          <w:p>
            <w:pPr>
              <w:jc w:val="center"/>
              <w:ind w:left="1250"/>
              <w:spacing w:after="0"/>
              <w:rPr>
                <w:sz w:val="20"/>
                <w:szCs w:val="20"/>
                <w:color w:val="auto"/>
              </w:rPr>
            </w:pPr>
            <w:r>
              <w:rPr>
                <w:rFonts w:ascii="Arial" w:cs="Arial" w:eastAsia="Arial" w:hAnsi="Arial"/>
                <w:sz w:val="18"/>
                <w:szCs w:val="18"/>
                <w:color w:val="auto"/>
                <w:w w:val="89"/>
              </w:rPr>
              <w:t>357,631,620</w:t>
            </w: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12,836,160</w:t>
            </w:r>
          </w:p>
        </w:tc>
        <w:tc>
          <w:tcPr>
            <w:tcW w:w="2060" w:type="dxa"/>
            <w:vAlign w:val="bottom"/>
          </w:tcPr>
          <w:p>
            <w:pPr>
              <w:jc w:val="right"/>
              <w:ind w:right="570"/>
              <w:spacing w:after="0"/>
              <w:rPr>
                <w:sz w:val="20"/>
                <w:szCs w:val="20"/>
                <w:color w:val="auto"/>
              </w:rPr>
            </w:pPr>
            <w:r>
              <w:rPr>
                <w:rFonts w:ascii="Arial" w:cs="Arial" w:eastAsia="Arial" w:hAnsi="Arial"/>
                <w:sz w:val="18"/>
                <w:szCs w:val="18"/>
                <w:color w:val="auto"/>
              </w:rPr>
              <w:t>20,884,491</w:t>
            </w: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gridSpan w:val="4"/>
          </w:tcPr>
          <w:p>
            <w:pPr>
              <w:spacing w:after="0"/>
              <w:rPr>
                <w:sz w:val="20"/>
                <w:szCs w:val="20"/>
                <w:color w:val="auto"/>
              </w:rPr>
            </w:pPr>
            <w:r>
              <w:rPr>
                <w:rFonts w:ascii="Arial" w:cs="Arial" w:eastAsia="Arial" w:hAnsi="Arial"/>
                <w:sz w:val="18"/>
                <w:szCs w:val="18"/>
                <w:color w:val="auto"/>
                <w:w w:val="98"/>
              </w:rPr>
              <w:t>(2) The advisory vote on our executive compensation, as described in the proxy statement, was approved.</w:t>
            </w:r>
          </w:p>
        </w:tc>
        <w:tc>
          <w:tcPr>
            <w:tcW w:w="268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266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For</w:t>
            </w:r>
          </w:p>
        </w:tc>
        <w:tc>
          <w:tcPr>
            <w:tcW w:w="27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Against</w:t>
            </w:r>
          </w:p>
        </w:tc>
        <w:tc>
          <w:tcPr>
            <w:tcW w:w="2640" w:type="dxa"/>
            <w:vAlign w:val="bottom"/>
          </w:tcPr>
          <w:p>
            <w:pPr>
              <w:ind w:left="1000"/>
              <w:spacing w:after="0"/>
              <w:rPr>
                <w:sz w:val="20"/>
                <w:szCs w:val="20"/>
                <w:color w:val="auto"/>
              </w:rPr>
            </w:pPr>
            <w:r>
              <w:rPr>
                <w:rFonts w:ascii="Arial" w:cs="Arial" w:eastAsia="Arial" w:hAnsi="Arial"/>
                <w:sz w:val="18"/>
                <w:szCs w:val="18"/>
                <w:b w:val="1"/>
                <w:bCs w:val="1"/>
                <w:color w:val="auto"/>
              </w:rPr>
              <w:t>Abstain</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3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237"/>
        </w:trPr>
        <w:tc>
          <w:tcPr>
            <w:tcW w:w="3000" w:type="dxa"/>
            <w:vAlign w:val="bottom"/>
            <w:gridSpan w:val="2"/>
          </w:tcPr>
          <w:p>
            <w:pPr>
              <w:jc w:val="right"/>
              <w:ind w:right="830"/>
              <w:spacing w:after="0"/>
              <w:rPr>
                <w:sz w:val="20"/>
                <w:szCs w:val="20"/>
                <w:color w:val="auto"/>
              </w:rPr>
            </w:pPr>
            <w:r>
              <w:rPr>
                <w:rFonts w:ascii="Arial" w:cs="Arial" w:eastAsia="Arial" w:hAnsi="Arial"/>
                <w:sz w:val="18"/>
                <w:szCs w:val="18"/>
                <w:color w:val="auto"/>
              </w:rPr>
              <w:t>324,029,837</w:t>
            </w:r>
          </w:p>
        </w:tc>
        <w:tc>
          <w:tcPr>
            <w:tcW w:w="2720" w:type="dxa"/>
            <w:vAlign w:val="bottom"/>
          </w:tcPr>
          <w:p>
            <w:pPr>
              <w:jc w:val="right"/>
              <w:ind w:right="910"/>
              <w:spacing w:after="0"/>
              <w:rPr>
                <w:sz w:val="20"/>
                <w:szCs w:val="20"/>
                <w:color w:val="auto"/>
              </w:rPr>
            </w:pPr>
            <w:r>
              <w:rPr>
                <w:rFonts w:ascii="Arial" w:cs="Arial" w:eastAsia="Arial" w:hAnsi="Arial"/>
                <w:sz w:val="18"/>
                <w:szCs w:val="18"/>
                <w:color w:val="auto"/>
              </w:rPr>
              <w:t>45,561,515</w:t>
            </w:r>
          </w:p>
        </w:tc>
        <w:tc>
          <w:tcPr>
            <w:tcW w:w="2640" w:type="dxa"/>
            <w:vAlign w:val="bottom"/>
          </w:tcPr>
          <w:p>
            <w:pPr>
              <w:ind w:left="1000"/>
              <w:spacing w:after="0"/>
              <w:rPr>
                <w:sz w:val="20"/>
                <w:szCs w:val="20"/>
                <w:color w:val="auto"/>
              </w:rPr>
            </w:pPr>
            <w:r>
              <w:rPr>
                <w:rFonts w:ascii="Arial" w:cs="Arial" w:eastAsia="Arial" w:hAnsi="Arial"/>
                <w:sz w:val="18"/>
                <w:szCs w:val="18"/>
                <w:color w:val="auto"/>
              </w:rPr>
              <w:t>876,426</w:t>
            </w:r>
          </w:p>
        </w:tc>
        <w:tc>
          <w:tcPr>
            <w:tcW w:w="2680" w:type="dxa"/>
            <w:vAlign w:val="bottom"/>
          </w:tcPr>
          <w:p>
            <w:pPr>
              <w:jc w:val="right"/>
              <w:ind w:right="810"/>
              <w:spacing w:after="0"/>
              <w:rPr>
                <w:sz w:val="20"/>
                <w:szCs w:val="20"/>
                <w:color w:val="auto"/>
              </w:rPr>
            </w:pPr>
            <w:r>
              <w:rPr>
                <w:rFonts w:ascii="Arial" w:cs="Arial" w:eastAsia="Arial" w:hAnsi="Arial"/>
                <w:sz w:val="18"/>
                <w:szCs w:val="18"/>
                <w:color w:val="auto"/>
              </w:rPr>
              <w:t>20,884,493</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color w:val="auto"/>
        </w:rPr>
        <w:t>(3) The appointment of Deloitte &amp; Touche LLP as our independent auditors for the 2021 fiscal year, as described in the proxy statement, was ratified.</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26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Against</w:t>
            </w:r>
          </w:p>
        </w:tc>
        <w:tc>
          <w:tcPr>
            <w:tcW w:w="2460" w:type="dxa"/>
            <w:vAlign w:val="bottom"/>
          </w:tcPr>
          <w:p>
            <w:pPr>
              <w:ind w:left="1000"/>
              <w:spacing w:after="0"/>
              <w:rPr>
                <w:sz w:val="20"/>
                <w:szCs w:val="20"/>
                <w:color w:val="auto"/>
              </w:rPr>
            </w:pPr>
            <w:r>
              <w:rPr>
                <w:rFonts w:ascii="Arial" w:cs="Arial" w:eastAsia="Arial" w:hAnsi="Arial"/>
                <w:sz w:val="18"/>
                <w:szCs w:val="18"/>
                <w:b w:val="1"/>
                <w:bCs w:val="1"/>
                <w:color w:val="auto"/>
              </w:rPr>
              <w:t>Abstain</w:t>
            </w:r>
          </w:p>
        </w:tc>
        <w:tc>
          <w:tcPr>
            <w:tcW w:w="286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Broker Non-Votes</w:t>
            </w:r>
          </w:p>
        </w:tc>
      </w:tr>
      <w:tr>
        <w:trPr>
          <w:trHeight w:val="27"/>
        </w:trPr>
        <w:tc>
          <w:tcPr>
            <w:tcW w:w="26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jc w:val="right"/>
              <w:ind w:right="850"/>
              <w:spacing w:after="0"/>
              <w:rPr>
                <w:sz w:val="20"/>
                <w:szCs w:val="20"/>
                <w:color w:val="auto"/>
              </w:rPr>
            </w:pPr>
            <w:r>
              <w:rPr>
                <w:rFonts w:ascii="Arial" w:cs="Arial" w:eastAsia="Arial" w:hAnsi="Arial"/>
                <w:sz w:val="18"/>
                <w:szCs w:val="18"/>
                <w:color w:val="auto"/>
              </w:rPr>
              <w:t>381,994,519</w:t>
            </w:r>
          </w:p>
        </w:tc>
        <w:tc>
          <w:tcPr>
            <w:tcW w:w="2680" w:type="dxa"/>
            <w:vAlign w:val="bottom"/>
          </w:tcPr>
          <w:p>
            <w:pPr>
              <w:jc w:val="right"/>
              <w:ind w:right="930"/>
              <w:spacing w:after="0"/>
              <w:rPr>
                <w:sz w:val="20"/>
                <w:szCs w:val="20"/>
                <w:color w:val="auto"/>
              </w:rPr>
            </w:pPr>
            <w:r>
              <w:rPr>
                <w:rFonts w:ascii="Arial" w:cs="Arial" w:eastAsia="Arial" w:hAnsi="Arial"/>
                <w:sz w:val="18"/>
                <w:szCs w:val="18"/>
                <w:color w:val="auto"/>
              </w:rPr>
              <w:t>9,193,157</w:t>
            </w:r>
          </w:p>
        </w:tc>
        <w:tc>
          <w:tcPr>
            <w:tcW w:w="2460" w:type="dxa"/>
            <w:vAlign w:val="bottom"/>
          </w:tcPr>
          <w:p>
            <w:pPr>
              <w:ind w:left="1020"/>
              <w:spacing w:after="0"/>
              <w:rPr>
                <w:sz w:val="20"/>
                <w:szCs w:val="20"/>
                <w:color w:val="auto"/>
              </w:rPr>
            </w:pPr>
            <w:r>
              <w:rPr>
                <w:rFonts w:ascii="Arial" w:cs="Arial" w:eastAsia="Arial" w:hAnsi="Arial"/>
                <w:sz w:val="18"/>
                <w:szCs w:val="18"/>
                <w:color w:val="auto"/>
              </w:rPr>
              <w:t>164,595</w:t>
            </w:r>
          </w:p>
        </w:tc>
        <w:tc>
          <w:tcPr>
            <w:tcW w:w="2860" w:type="dxa"/>
            <w:vAlign w:val="bottom"/>
          </w:tcPr>
          <w:p>
            <w:pPr>
              <w:jc w:val="center"/>
              <w:ind w:left="130"/>
              <w:spacing w:after="0"/>
              <w:rPr>
                <w:sz w:val="20"/>
                <w:szCs w:val="20"/>
                <w:color w:val="auto"/>
              </w:rPr>
            </w:pPr>
            <w:r>
              <w:rPr>
                <w:rFonts w:ascii="Arial" w:cs="Arial" w:eastAsia="Arial" w:hAnsi="Arial"/>
                <w:sz w:val="18"/>
                <w:szCs w:val="18"/>
                <w:color w:val="auto"/>
              </w:rPr>
              <w:t>N/A</w:t>
            </w:r>
          </w:p>
        </w:tc>
      </w:tr>
    </w:tbl>
    <w:p>
      <w:pPr>
        <w:spacing w:after="0" w:line="323" w:lineRule="exact"/>
        <w:rPr>
          <w:sz w:val="20"/>
          <w:szCs w:val="20"/>
          <w:color w:val="auto"/>
        </w:rPr>
      </w:pPr>
    </w:p>
    <w:p>
      <w:pPr>
        <w:ind w:left="340" w:hanging="332"/>
        <w:spacing w:after="0" w:line="277" w:lineRule="auto"/>
        <w:tabs>
          <w:tab w:leader="none" w:pos="334"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shareholder proposal to conduct an independent investigation and report on risks posed by failing to prevent sexual harassment, as described in the proxy statement, was not approved.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248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Abstain</w:t>
            </w:r>
          </w:p>
        </w:tc>
        <w:tc>
          <w:tcPr>
            <w:tcW w:w="3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Broker Non-Votes</w:t>
            </w:r>
          </w:p>
        </w:tc>
      </w:tr>
      <w:tr>
        <w:trPr>
          <w:trHeight w:val="27"/>
        </w:trPr>
        <w:tc>
          <w:tcPr>
            <w:tcW w:w="34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2940" w:type="dxa"/>
            <w:vAlign w:val="bottom"/>
            <w:gridSpan w:val="2"/>
          </w:tcPr>
          <w:p>
            <w:pPr>
              <w:jc w:val="right"/>
              <w:ind w:right="810"/>
              <w:spacing w:after="0"/>
              <w:rPr>
                <w:sz w:val="20"/>
                <w:szCs w:val="20"/>
                <w:color w:val="auto"/>
              </w:rPr>
            </w:pPr>
            <w:r>
              <w:rPr>
                <w:rFonts w:ascii="Arial" w:cs="Arial" w:eastAsia="Arial" w:hAnsi="Arial"/>
                <w:sz w:val="18"/>
                <w:szCs w:val="18"/>
                <w:color w:val="auto"/>
              </w:rPr>
              <w:t>80,857,397</w:t>
            </w:r>
          </w:p>
        </w:tc>
        <w:tc>
          <w:tcPr>
            <w:tcW w:w="2760" w:type="dxa"/>
            <w:vAlign w:val="bottom"/>
          </w:tcPr>
          <w:p>
            <w:pPr>
              <w:jc w:val="right"/>
              <w:ind w:right="850"/>
              <w:spacing w:after="0"/>
              <w:rPr>
                <w:sz w:val="20"/>
                <w:szCs w:val="20"/>
                <w:color w:val="auto"/>
              </w:rPr>
            </w:pPr>
            <w:r>
              <w:rPr>
                <w:rFonts w:ascii="Arial" w:cs="Arial" w:eastAsia="Arial" w:hAnsi="Arial"/>
                <w:sz w:val="18"/>
                <w:szCs w:val="18"/>
                <w:color w:val="auto"/>
              </w:rPr>
              <w:t>286,578,651</w:t>
            </w:r>
          </w:p>
        </w:tc>
        <w:tc>
          <w:tcPr>
            <w:tcW w:w="2480" w:type="dxa"/>
            <w:vAlign w:val="bottom"/>
          </w:tcPr>
          <w:p>
            <w:pPr>
              <w:jc w:val="right"/>
              <w:ind w:right="730"/>
              <w:spacing w:after="0"/>
              <w:rPr>
                <w:sz w:val="20"/>
                <w:szCs w:val="20"/>
                <w:color w:val="auto"/>
              </w:rPr>
            </w:pPr>
            <w:r>
              <w:rPr>
                <w:rFonts w:ascii="Arial" w:cs="Arial" w:eastAsia="Arial" w:hAnsi="Arial"/>
                <w:sz w:val="18"/>
                <w:szCs w:val="18"/>
                <w:color w:val="auto"/>
              </w:rPr>
              <w:t>3,031,730</w:t>
            </w:r>
          </w:p>
        </w:tc>
        <w:tc>
          <w:tcPr>
            <w:tcW w:w="2840" w:type="dxa"/>
            <w:vAlign w:val="bottom"/>
          </w:tcPr>
          <w:p>
            <w:pPr>
              <w:jc w:val="right"/>
              <w:ind w:right="830"/>
              <w:spacing w:after="0"/>
              <w:rPr>
                <w:sz w:val="20"/>
                <w:szCs w:val="20"/>
                <w:color w:val="auto"/>
              </w:rPr>
            </w:pPr>
            <w:r>
              <w:rPr>
                <w:rFonts w:ascii="Arial" w:cs="Arial" w:eastAsia="Arial" w:hAnsi="Arial"/>
                <w:sz w:val="18"/>
                <w:szCs w:val="18"/>
                <w:color w:val="auto"/>
              </w:rPr>
              <w:t>20,884,493</w:t>
            </w:r>
          </w:p>
        </w:tc>
        <w:tc>
          <w:tcPr>
            <w:tcW w:w="220" w:type="dxa"/>
            <w:vAlign w:val="bottom"/>
          </w:tcPr>
          <w:p>
            <w:pPr>
              <w:spacing w:after="0"/>
              <w:rPr>
                <w:sz w:val="20"/>
                <w:szCs w:val="20"/>
                <w:color w:val="auto"/>
              </w:rPr>
            </w:pPr>
          </w:p>
        </w:tc>
      </w:tr>
      <w:tr>
        <w:trPr>
          <w:trHeight w:val="2720"/>
        </w:trPr>
        <w:tc>
          <w:tcPr>
            <w:tcW w:w="3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7180" w:type="dxa"/>
            <w:vAlign w:val="bottom"/>
            <w:gridSpan w:val="2"/>
          </w:tcPr>
          <w:p>
            <w:pPr>
              <w:ind w:left="1640"/>
              <w:spacing w:after="0"/>
              <w:rPr>
                <w:sz w:val="20"/>
                <w:szCs w:val="20"/>
                <w:color w:val="auto"/>
              </w:rPr>
            </w:pPr>
            <w:r>
              <w:rPr>
                <w:rFonts w:ascii="Arial" w:cs="Arial" w:eastAsia="Arial" w:hAnsi="Arial"/>
                <w:sz w:val="18"/>
                <w:szCs w:val="18"/>
                <w:b w:val="1"/>
                <w:bCs w:val="1"/>
                <w:color w:val="auto"/>
              </w:rPr>
              <w:t>COMCAST CORPORATION</w:t>
            </w:r>
          </w:p>
        </w:tc>
      </w:tr>
      <w:tr>
        <w:trPr>
          <w:trHeight w:val="270"/>
        </w:trPr>
        <w:tc>
          <w:tcPr>
            <w:tcW w:w="3180" w:type="dxa"/>
            <w:vAlign w:val="bottom"/>
          </w:tcPr>
          <w:p>
            <w:pPr>
              <w:spacing w:after="0"/>
              <w:rPr>
                <w:sz w:val="20"/>
                <w:szCs w:val="20"/>
                <w:color w:val="auto"/>
              </w:rPr>
            </w:pPr>
            <w:r>
              <w:rPr>
                <w:rFonts w:ascii="Arial" w:cs="Arial" w:eastAsia="Arial" w:hAnsi="Arial"/>
                <w:sz w:val="18"/>
                <w:szCs w:val="18"/>
                <w:color w:val="auto"/>
              </w:rPr>
              <w:t>Date:   June 4, 2021</w:t>
            </w:r>
          </w:p>
        </w:tc>
        <w:tc>
          <w:tcPr>
            <w:tcW w:w="2400" w:type="dxa"/>
            <w:vAlign w:val="bottom"/>
          </w:tcPr>
          <w:p>
            <w:pPr>
              <w:ind w:left="162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J. Reid</w:t>
            </w:r>
          </w:p>
        </w:tc>
      </w:tr>
      <w:tr>
        <w:trPr>
          <w:trHeight w:val="224"/>
        </w:trPr>
        <w:tc>
          <w:tcPr>
            <w:tcW w:w="3180" w:type="dxa"/>
            <w:vAlign w:val="bottom"/>
          </w:tcPr>
          <w:p>
            <w:pPr>
              <w:spacing w:after="0"/>
              <w:rPr>
                <w:sz w:val="19"/>
                <w:szCs w:val="19"/>
                <w:color w:val="auto"/>
              </w:rPr>
            </w:pPr>
          </w:p>
        </w:tc>
        <w:tc>
          <w:tcPr>
            <w:tcW w:w="2400" w:type="dxa"/>
            <w:vAlign w:val="bottom"/>
          </w:tcPr>
          <w:p>
            <w:pPr>
              <w:ind w:left="1620"/>
              <w:spacing w:after="0"/>
              <w:rPr>
                <w:sz w:val="20"/>
                <w:szCs w:val="20"/>
                <w:color w:val="auto"/>
              </w:rPr>
            </w:pPr>
            <w:r>
              <w:rPr>
                <w:rFonts w:ascii="Arial" w:cs="Arial" w:eastAsia="Arial" w:hAnsi="Arial"/>
                <w:sz w:val="18"/>
                <w:szCs w:val="18"/>
                <w:color w:val="auto"/>
              </w:rPr>
              <w:t>Name:</w:t>
            </w:r>
          </w:p>
        </w:tc>
        <w:tc>
          <w:tcPr>
            <w:tcW w:w="4780" w:type="dxa"/>
            <w:vAlign w:val="bottom"/>
          </w:tcPr>
          <w:p>
            <w:pPr>
              <w:ind w:left="20"/>
              <w:spacing w:after="0"/>
              <w:rPr>
                <w:sz w:val="20"/>
                <w:szCs w:val="20"/>
                <w:color w:val="auto"/>
              </w:rPr>
            </w:pPr>
            <w:r>
              <w:rPr>
                <w:rFonts w:ascii="Arial" w:cs="Arial" w:eastAsia="Arial" w:hAnsi="Arial"/>
                <w:sz w:val="18"/>
                <w:szCs w:val="18"/>
                <w:color w:val="auto"/>
              </w:rPr>
              <w:t>Thomas J. Reid</w:t>
            </w:r>
          </w:p>
        </w:tc>
      </w:tr>
      <w:tr>
        <w:trPr>
          <w:trHeight w:val="256"/>
        </w:trPr>
        <w:tc>
          <w:tcPr>
            <w:tcW w:w="3180" w:type="dxa"/>
            <w:vAlign w:val="bottom"/>
          </w:tcPr>
          <w:p>
            <w:pPr>
              <w:spacing w:after="0"/>
              <w:rPr>
                <w:sz w:val="22"/>
                <w:szCs w:val="22"/>
                <w:color w:val="auto"/>
              </w:rPr>
            </w:pPr>
          </w:p>
        </w:tc>
        <w:tc>
          <w:tcPr>
            <w:tcW w:w="2400" w:type="dxa"/>
            <w:vAlign w:val="bottom"/>
          </w:tcPr>
          <w:p>
            <w:pPr>
              <w:ind w:left="1620"/>
              <w:spacing w:after="0"/>
              <w:rPr>
                <w:sz w:val="20"/>
                <w:szCs w:val="20"/>
                <w:color w:val="auto"/>
              </w:rPr>
            </w:pPr>
            <w:r>
              <w:rPr>
                <w:rFonts w:ascii="Arial" w:cs="Arial" w:eastAsia="Arial" w:hAnsi="Arial"/>
                <w:sz w:val="18"/>
                <w:szCs w:val="18"/>
                <w:color w:val="auto"/>
              </w:rPr>
              <w:t>Title:</w:t>
            </w:r>
          </w:p>
        </w:tc>
        <w:tc>
          <w:tcPr>
            <w:tcW w:w="4780" w:type="dxa"/>
            <w:vAlign w:val="bottom"/>
          </w:tcPr>
          <w:p>
            <w:pPr>
              <w:ind w:left="20"/>
              <w:spacing w:after="0"/>
              <w:rPr>
                <w:sz w:val="20"/>
                <w:szCs w:val="20"/>
                <w:color w:val="auto"/>
              </w:rPr>
            </w:pPr>
            <w:r>
              <w:rPr>
                <w:rFonts w:ascii="Arial" w:cs="Arial" w:eastAsia="Arial" w:hAnsi="Arial"/>
                <w:sz w:val="18"/>
                <w:szCs w:val="18"/>
                <w:color w:val="auto"/>
              </w:rPr>
              <w:t>Chief Legal Officer and Secretary</w:t>
            </w:r>
          </w:p>
        </w:tc>
      </w:tr>
    </w:tbl>
    <w:p>
      <w:pPr>
        <w:spacing w:after="0" w:line="1" w:lineRule="exact"/>
        <w:rPr>
          <w:sz w:val="20"/>
          <w:szCs w:val="20"/>
          <w:color w:val="auto"/>
        </w:rPr>
      </w:pPr>
    </w:p>
    <w:sectPr>
      <w:pgSz w:w="11900" w:h="16838" w:orient="portrait"/>
      <w:cols w:equalWidth="0" w:num="1">
        <w:col w:w="10600"/>
      </w:cols>
      <w:pgMar w:left="320" w:top="1417"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2021-06-04T14:43:21Z</dcterms:created>
  <dcterms:modified xsi:type="dcterms:W3CDTF">2021-06-04T14:43:21Z</dcterms:modified>
</cp:coreProperties>
</file>