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Number 333-266390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May 20, 2024</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p>
        </w:tc>
        <w:tc>
          <w:tcPr>
            <w:tcW w:w="848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COMCAST CORPORATION</w:t>
            </w:r>
          </w:p>
        </w:tc>
      </w:tr>
      <w:tr>
        <w:trPr>
          <w:trHeight w:val="626"/>
        </w:trPr>
        <w:tc>
          <w:tcPr>
            <w:tcW w:w="2720" w:type="dxa"/>
            <w:vAlign w:val="bottom"/>
          </w:tcPr>
          <w:p>
            <w:pPr>
              <w:spacing w:after="0"/>
              <w:rPr>
                <w:sz w:val="24"/>
                <w:szCs w:val="24"/>
                <w:color w:val="auto"/>
              </w:rPr>
            </w:pPr>
          </w:p>
        </w:tc>
        <w:tc>
          <w:tcPr>
            <w:tcW w:w="848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w w:val="99"/>
              </w:rPr>
              <w:t>$750,000,000 5.100% NOTES DUE 2029</w:t>
            </w:r>
          </w:p>
        </w:tc>
      </w:tr>
      <w:tr>
        <w:trPr>
          <w:trHeight w:val="216"/>
        </w:trPr>
        <w:tc>
          <w:tcPr>
            <w:tcW w:w="2720" w:type="dxa"/>
            <w:vAlign w:val="bottom"/>
          </w:tcPr>
          <w:p>
            <w:pPr>
              <w:spacing w:after="0"/>
              <w:rPr>
                <w:sz w:val="18"/>
                <w:szCs w:val="18"/>
                <w:color w:val="auto"/>
              </w:rPr>
            </w:pPr>
          </w:p>
        </w:tc>
        <w:tc>
          <w:tcPr>
            <w:tcW w:w="848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$1,300,000,000 5.300% NOTES DUE 2034</w:t>
            </w:r>
          </w:p>
        </w:tc>
      </w:tr>
      <w:tr>
        <w:trPr>
          <w:trHeight w:val="238"/>
        </w:trPr>
        <w:tc>
          <w:tcPr>
            <w:tcW w:w="2720" w:type="dxa"/>
            <w:vAlign w:val="bottom"/>
          </w:tcPr>
          <w:p>
            <w:pPr>
              <w:spacing w:after="0"/>
              <w:rPr>
                <w:sz w:val="20"/>
                <w:szCs w:val="20"/>
                <w:color w:val="auto"/>
              </w:rPr>
            </w:pPr>
          </w:p>
        </w:tc>
        <w:tc>
          <w:tcPr>
            <w:tcW w:w="848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9"/>
              </w:rPr>
              <w:t>$1,200,000,000 5.650% NOTES DUE 2054</w:t>
            </w:r>
          </w:p>
        </w:tc>
      </w:tr>
      <w:tr>
        <w:trPr>
          <w:trHeight w:val="432"/>
        </w:trPr>
        <w:tc>
          <w:tcPr>
            <w:tcW w:w="2720" w:type="dxa"/>
            <w:vAlign w:val="bottom"/>
          </w:tcPr>
          <w:p>
            <w:pPr>
              <w:spacing w:after="0"/>
              <w:rPr>
                <w:sz w:val="24"/>
                <w:szCs w:val="24"/>
                <w:color w:val="auto"/>
              </w:rPr>
            </w:pPr>
          </w:p>
        </w:tc>
        <w:tc>
          <w:tcPr>
            <w:tcW w:w="848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w w:val="98"/>
              </w:rPr>
              <w:t>Final Term Sheet</w:t>
            </w:r>
          </w:p>
        </w:tc>
      </w:tr>
      <w:tr>
        <w:trPr>
          <w:trHeight w:val="45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Guarantors</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Comcast Cable Communications, LLC and NBCUniversal Media, LLC</w:t>
            </w: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Issue of Securities</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5.100% Notes due 2029</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5.300% Notes due 2034</w:t>
            </w:r>
          </w:p>
        </w:tc>
      </w:tr>
      <w:tr>
        <w:trPr>
          <w:trHeight w:val="234"/>
        </w:trPr>
        <w:tc>
          <w:tcPr>
            <w:tcW w:w="272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5.650% Notes due 2054</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$2,000 and multiples of $1,000 in excess thereof</w:t>
            </w:r>
          </w:p>
        </w:tc>
      </w:tr>
      <w:tr>
        <w:trPr>
          <w:trHeight w:val="252"/>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Company intends to use the net proceeds from this offering, after deducting underwriters’ discount and</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expenses, for the repayment of some or all of its outstanding commercial paper, and for working capital and</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general corporate purposes. The Company’s outstanding commercial paper of $2.638 billion had a weighted</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average annual interest rate of approximately 5.521% and a weighted average remaining maturity of</w:t>
            </w:r>
          </w:p>
        </w:tc>
      </w:tr>
      <w:tr>
        <w:trPr>
          <w:trHeight w:val="234"/>
        </w:trPr>
        <w:tc>
          <w:tcPr>
            <w:tcW w:w="272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approximately 17 days as of May 17, 2024.</w:t>
            </w:r>
          </w:p>
        </w:tc>
      </w:tr>
      <w:tr>
        <w:trPr>
          <w:trHeight w:val="248"/>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Indenture</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Indenture dated as of September 18, 2013 by and among the Company, the guarantors named therein and The</w:t>
            </w:r>
          </w:p>
        </w:tc>
      </w:tr>
      <w:tr>
        <w:trPr>
          <w:trHeight w:val="220"/>
        </w:trPr>
        <w:tc>
          <w:tcPr>
            <w:tcW w:w="2720" w:type="dxa"/>
            <w:vAlign w:val="bottom"/>
          </w:tcPr>
          <w:p>
            <w:pPr>
              <w:spacing w:after="0"/>
              <w:rPr>
                <w:sz w:val="19"/>
                <w:szCs w:val="19"/>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amended by the First Supplemental Indenture dated</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 of November 17, 2015 by and among the Company, the guarantors named therein and the Trustee and as</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further amended by the Second Supplemental Indenture dated as of July 29, 2022 by and among the Company,</w:t>
            </w:r>
          </w:p>
        </w:tc>
      </w:tr>
      <w:tr>
        <w:trPr>
          <w:trHeight w:val="234"/>
        </w:trPr>
        <w:tc>
          <w:tcPr>
            <w:tcW w:w="272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guarantors named therein and the Trustee.</w:t>
            </w:r>
          </w:p>
        </w:tc>
      </w:tr>
      <w:tr>
        <w:trPr>
          <w:trHeight w:val="27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Bank of New York Mellon</w:t>
            </w:r>
          </w:p>
        </w:tc>
      </w:tr>
      <w:tr>
        <w:trPr>
          <w:trHeight w:val="34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Expected Ratings</w:t>
            </w:r>
            <w:r>
              <w:rPr>
                <w:rFonts w:ascii="Times New Roman" w:cs="Times New Roman" w:eastAsia="Times New Roman" w:hAnsi="Times New Roman"/>
                <w:sz w:val="29"/>
                <w:szCs w:val="29"/>
                <w:color w:val="auto"/>
                <w:vertAlign w:val="superscript"/>
              </w:rPr>
              <w:t>1</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Moody’s: A3; S&amp;P: A-; Fitch: A-</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Santander US Capital Markets LLC</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BNP Paribas Securities Corp.</w:t>
            </w:r>
          </w:p>
        </w:tc>
      </w:tr>
      <w:tr>
        <w:trPr>
          <w:trHeight w:val="216"/>
        </w:trPr>
        <w:tc>
          <w:tcPr>
            <w:tcW w:w="2720" w:type="dxa"/>
            <w:vAlign w:val="bottom"/>
          </w:tcPr>
          <w:p>
            <w:pPr>
              <w:spacing w:after="0"/>
              <w:rPr>
                <w:sz w:val="18"/>
                <w:szCs w:val="18"/>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Deutsche Bank Securities Inc.</w:t>
            </w:r>
          </w:p>
        </w:tc>
      </w:tr>
      <w:tr>
        <w:trPr>
          <w:trHeight w:val="234"/>
        </w:trPr>
        <w:tc>
          <w:tcPr>
            <w:tcW w:w="2720" w:type="dxa"/>
            <w:vAlign w:val="bottom"/>
          </w:tcPr>
          <w:p>
            <w:pPr>
              <w:spacing w:after="0"/>
              <w:rPr>
                <w:sz w:val="20"/>
                <w:szCs w:val="20"/>
                <w:color w:val="auto"/>
              </w:rPr>
            </w:pPr>
          </w:p>
        </w:tc>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TD Securities (USA)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071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70" w:lineRule="exact"/>
        <w:rPr>
          <w:sz w:val="24"/>
          <w:szCs w:val="24"/>
          <w:color w:val="auto"/>
        </w:rPr>
      </w:pPr>
    </w:p>
    <w:p>
      <w:pPr>
        <w:ind w:left="440" w:hanging="108"/>
        <w:spacing w:after="0"/>
        <w:tabs>
          <w:tab w:leader="none" w:pos="440" w:val="left"/>
        </w:tabs>
        <w:numPr>
          <w:ilvl w:val="0"/>
          <w:numId w:val="1"/>
        </w:numPr>
        <w:rPr>
          <w:rFonts w:ascii="Times New Roman" w:cs="Times New Roman" w:eastAsia="Times New Roman" w:hAnsi="Times New Roman"/>
          <w:sz w:val="30"/>
          <w:szCs w:val="30"/>
          <w:b w:val="1"/>
          <w:bCs w:val="1"/>
          <w:color w:val="auto"/>
          <w:vertAlign w:val="superscript"/>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5.100% Notes Due 2029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w:t>
      </w:r>
    </w:p>
    <w:p>
      <w:pPr>
        <w:spacing w:after="0" w:line="279" w:lineRule="exact"/>
        <w:rPr>
          <w:sz w:val="20"/>
          <w:szCs w:val="20"/>
          <w:color w:val="auto"/>
        </w:rPr>
      </w:pPr>
    </w:p>
    <w:p>
      <w:pPr>
        <w:ind w:right="120"/>
        <w:spacing w:after="0" w:line="320" w:lineRule="auto"/>
        <w:rPr>
          <w:sz w:val="20"/>
          <w:szCs w:val="20"/>
          <w:color w:val="auto"/>
        </w:rPr>
      </w:pPr>
      <w:r>
        <w:rPr>
          <w:rFonts w:ascii="Times New Roman" w:cs="Times New Roman" w:eastAsia="Times New Roman" w:hAnsi="Times New Roman"/>
          <w:sz w:val="18"/>
          <w:szCs w:val="18"/>
          <w:color w:val="auto"/>
        </w:rPr>
        <w:t>Interest Payment Dates Benchmark Treasury Benchmark Treasury Price/Yield Spread to Benchmark Treasury 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Americas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NatWest Markets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Intesa Sanpaolo IMI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Bancroft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Cabrera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Telsey Advisory Group LLC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2024 (T+2)</w:t>
      </w:r>
    </w:p>
    <w:p>
      <w:pPr>
        <w:spacing w:after="0" w:line="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Investing in the notes involves certain risks. See “Item 1A-Risk Factors” beginning on page 20 of the Company’s Annual Report on Form 10-K for the year ended December 31, 2023.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2029</w:t>
      </w:r>
    </w:p>
    <w:p>
      <w:pPr>
        <w:spacing w:after="0" w:line="6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5.100% per annum, accruing from May 22, 2024 (calculated on the basis of a 360-day year consisting of twelve 30-day months)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 and December 1, commencing December 1, 2024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UST 4.625% due April 30, 2029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100-22¼ / 4.466%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bps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5.116%</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500" w:space="720"/>
            <w:col w:w="7540"/>
          </w:cols>
          <w:pgMar w:left="320" w:top="607"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to May 1, 2029 (one (1) month prior to the maturity date of the 5.100% Notes due 2029) (the “</w:t>
            </w:r>
            <w:r>
              <w:rPr>
                <w:rFonts w:ascii="Times New Roman" w:cs="Times New Roman" w:eastAsia="Times New Roman" w:hAnsi="Times New Roman"/>
                <w:sz w:val="18"/>
                <w:szCs w:val="18"/>
                <w:b w:val="1"/>
                <w:bCs w:val="1"/>
                <w:color w:val="auto"/>
              </w:rPr>
              <w:t>2029 Par</w:t>
            </w:r>
          </w:p>
        </w:tc>
      </w:tr>
      <w:tr>
        <w:trPr>
          <w:trHeight w:val="220"/>
        </w:trPr>
        <w:tc>
          <w:tcPr>
            <w:tcW w:w="3180" w:type="dxa"/>
            <w:vAlign w:val="bottom"/>
          </w:tcPr>
          <w:p>
            <w:pPr>
              <w:spacing w:after="0"/>
              <w:rPr>
                <w:sz w:val="19"/>
                <w:szCs w:val="19"/>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Call Date</w:t>
            </w:r>
            <w:r>
              <w:rPr>
                <w:rFonts w:ascii="Times New Roman" w:cs="Times New Roman" w:eastAsia="Times New Roman" w:hAnsi="Times New Roman"/>
                <w:sz w:val="18"/>
                <w:szCs w:val="18"/>
                <w:color w:val="auto"/>
              </w:rPr>
              <w:t>”), the Company may redeem the 5.100% Notes due 2029 at its option, in whole or in part, at any</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time and from time to time, at a redemption price (expressed as a percentage of the principal amount and</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rounded to three decimal places) equal to the greater of: (1) (a) the sum of the present values of the remaining</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scheduled payments of principal and interest thereon discounted to the redemption date (assuming that the</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5.100% Notes due 2029 matured on the 2029 Par Call Date) on a semi-annual basis (assuming a 360-day year</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consisting of twelve 30-day months) at the Treasury Rate (as defined below) plus 10 basis points, less (b)</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accrued to the date of redemption, and (2) 100% of the principal amount of the 5.100% Notes due</w:t>
            </w:r>
          </w:p>
        </w:tc>
      </w:tr>
      <w:tr>
        <w:trPr>
          <w:trHeight w:val="234"/>
        </w:trPr>
        <w:tc>
          <w:tcPr>
            <w:tcW w:w="3180" w:type="dxa"/>
            <w:vAlign w:val="bottom"/>
          </w:tcPr>
          <w:p>
            <w:pPr>
              <w:spacing w:after="0"/>
              <w:rPr>
                <w:sz w:val="20"/>
                <w:szCs w:val="20"/>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2029 to be redeemed, plus, in either case, accrued and unpaid interest thereon to the redemption date.</w:t>
            </w:r>
          </w:p>
        </w:tc>
      </w:tr>
      <w:tr>
        <w:trPr>
          <w:trHeight w:val="414"/>
        </w:trPr>
        <w:tc>
          <w:tcPr>
            <w:tcW w:w="3180" w:type="dxa"/>
            <w:vAlign w:val="bottom"/>
          </w:tcPr>
          <w:p>
            <w:pPr>
              <w:spacing w:after="0"/>
              <w:rPr>
                <w:sz w:val="24"/>
                <w:szCs w:val="24"/>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or after the 2029 Par Call Date, the Company may redeem the 5.100% Notes due 2029, in whole or in part,</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any time and from time to time, at a redemption price equal to 100% of the principal amount of the 5.100%</w:t>
            </w:r>
          </w:p>
        </w:tc>
      </w:tr>
      <w:tr>
        <w:trPr>
          <w:trHeight w:val="234"/>
        </w:trPr>
        <w:tc>
          <w:tcPr>
            <w:tcW w:w="3180" w:type="dxa"/>
            <w:vAlign w:val="bottom"/>
          </w:tcPr>
          <w:p>
            <w:pPr>
              <w:spacing w:after="0"/>
              <w:rPr>
                <w:sz w:val="20"/>
                <w:szCs w:val="20"/>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2029 being redeemed plus accrued and unpaid interest thereon to the redemption date.</w:t>
            </w:r>
          </w:p>
        </w:tc>
      </w:tr>
      <w:tr>
        <w:trPr>
          <w:trHeight w:val="25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Additional Issuances</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unlimited amount of additional 5.100% Notes due 2029 may be issued. The 5.100% Notes due 2029 and</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additional 5.100% Notes due 2029 that may be issued may be treated as a single series for all purposes</w:t>
            </w:r>
          </w:p>
        </w:tc>
      </w:tr>
      <w:tr>
        <w:trPr>
          <w:trHeight w:val="234"/>
        </w:trPr>
        <w:tc>
          <w:tcPr>
            <w:tcW w:w="3180" w:type="dxa"/>
            <w:vAlign w:val="bottom"/>
          </w:tcPr>
          <w:p>
            <w:pPr>
              <w:spacing w:after="0"/>
              <w:rPr>
                <w:sz w:val="20"/>
                <w:szCs w:val="20"/>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the Indenture.</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20030N EH0 / US20030NEH08</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99.928% plus accrued interest, if any, from May 22, 2024</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Discount</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0.250%</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99.678% per $1,000 principal amount of 5.100% Notes due 2029; $747,585,000 total</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5.300% Notes Due 2034</w:t>
            </w:r>
          </w:p>
        </w:tc>
        <w:tc>
          <w:tcPr>
            <w:tcW w:w="806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$1,300,000,000</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1, 2034</w:t>
            </w:r>
          </w:p>
        </w:tc>
      </w:tr>
      <w:tr>
        <w:trPr>
          <w:trHeight w:val="25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5.300% per annum, accruing from May 22, 2024 (calculated on the basis of a 360-day year consisting of</w:t>
            </w:r>
          </w:p>
        </w:tc>
      </w:tr>
      <w:tr>
        <w:trPr>
          <w:trHeight w:val="234"/>
        </w:trPr>
        <w:tc>
          <w:tcPr>
            <w:tcW w:w="3180" w:type="dxa"/>
            <w:vAlign w:val="bottom"/>
          </w:tcPr>
          <w:p>
            <w:pPr>
              <w:spacing w:after="0"/>
              <w:rPr>
                <w:sz w:val="20"/>
                <w:szCs w:val="20"/>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twelve 30-day months)</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1 and December 1, commencing December 1, 2024</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UST 4.375% due May 15, 2034</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Price/Yield</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99-14+ / 4.443%</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+90 bps</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5.343%</w:t>
            </w:r>
          </w:p>
        </w:tc>
      </w:tr>
      <w:tr>
        <w:trPr>
          <w:trHeight w:val="351"/>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60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 to March 1, 2034 (three (3) months prior to the maturity date of the 5.300% Notes due 2034) (the “</w:t>
            </w:r>
            <w:r>
              <w:rPr>
                <w:rFonts w:ascii="Times New Roman" w:cs="Times New Roman" w:eastAsia="Times New Roman" w:hAnsi="Times New Roman"/>
                <w:sz w:val="18"/>
                <w:szCs w:val="18"/>
                <w:b w:val="1"/>
                <w:bCs w:val="1"/>
                <w:color w:val="auto"/>
              </w:rPr>
              <w:t>2034</w:t>
            </w:r>
          </w:p>
        </w:tc>
      </w:tr>
      <w:tr>
        <w:trPr>
          <w:trHeight w:val="220"/>
        </w:trPr>
        <w:tc>
          <w:tcPr>
            <w:tcW w:w="3180" w:type="dxa"/>
            <w:vAlign w:val="bottom"/>
          </w:tcPr>
          <w:p>
            <w:pPr>
              <w:spacing w:after="0"/>
              <w:rPr>
                <w:sz w:val="19"/>
                <w:szCs w:val="19"/>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Company may redeem the 5.300% Notes due 2034 at its option, in whole or in part, at</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time and from time to time, at a redemption price (expressed as a percentage of the principal amount and</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rounded to three decimal places) equal to the greater of: (1) (a) the sum of the present values of the remaining</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scheduled payments of principal and interest thereon discounted to the redemption date (assuming that the</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5.300% Notes due 2034 matured on the 2034 Par Call Date) on a semi-annual basis (assuming a 360-day year</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consisting of twelve 30-day months) at the Treasury Rate (as defined below) plus 15 basis points, less (b)</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accrued to the date of redemption, and (2) 100% of the principal amount of the 5.300% Notes due</w:t>
            </w:r>
          </w:p>
        </w:tc>
      </w:tr>
      <w:tr>
        <w:trPr>
          <w:trHeight w:val="234"/>
        </w:trPr>
        <w:tc>
          <w:tcPr>
            <w:tcW w:w="3180" w:type="dxa"/>
            <w:vAlign w:val="bottom"/>
          </w:tcPr>
          <w:p>
            <w:pPr>
              <w:spacing w:after="0"/>
              <w:rPr>
                <w:sz w:val="20"/>
                <w:szCs w:val="20"/>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2034 to be redeemed, plus, in either case, accrued and unpaid interest thereon to the redemption date.</w:t>
            </w:r>
          </w:p>
        </w:tc>
      </w:tr>
      <w:tr>
        <w:trPr>
          <w:trHeight w:val="414"/>
        </w:trPr>
        <w:tc>
          <w:tcPr>
            <w:tcW w:w="3180" w:type="dxa"/>
            <w:vAlign w:val="bottom"/>
          </w:tcPr>
          <w:p>
            <w:pPr>
              <w:spacing w:after="0"/>
              <w:rPr>
                <w:sz w:val="24"/>
                <w:szCs w:val="24"/>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or after the 2034 Par Call Date, the Company may redeem the 5.300% Notes due 2034, in whole or in part,</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any time and from time to time, at a redemption price equal to 100% of the principal amount of the 5.300%</w:t>
            </w:r>
          </w:p>
        </w:tc>
      </w:tr>
      <w:tr>
        <w:trPr>
          <w:trHeight w:val="234"/>
        </w:trPr>
        <w:tc>
          <w:tcPr>
            <w:tcW w:w="3180" w:type="dxa"/>
            <w:vAlign w:val="bottom"/>
          </w:tcPr>
          <w:p>
            <w:pPr>
              <w:spacing w:after="0"/>
              <w:rPr>
                <w:sz w:val="20"/>
                <w:szCs w:val="20"/>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2034 being redeemed plus accrued and unpaid interest thereon to the redemption date.</w:t>
            </w:r>
          </w:p>
        </w:tc>
      </w:tr>
      <w:tr>
        <w:trPr>
          <w:trHeight w:val="25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Additional Issuances</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unlimited amount of additional 5.300% Notes due 2034 may be issued. The 5.300% Notes due 2034 and</w:t>
            </w:r>
          </w:p>
        </w:tc>
      </w:tr>
      <w:tr>
        <w:trPr>
          <w:trHeight w:val="216"/>
        </w:trPr>
        <w:tc>
          <w:tcPr>
            <w:tcW w:w="3180" w:type="dxa"/>
            <w:vAlign w:val="bottom"/>
          </w:tcPr>
          <w:p>
            <w:pPr>
              <w:spacing w:after="0"/>
              <w:rPr>
                <w:sz w:val="18"/>
                <w:szCs w:val="18"/>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additional 5.300% Notes due 2034 that may be issued may be treated as a single series for all purposes</w:t>
            </w:r>
          </w:p>
        </w:tc>
      </w:tr>
      <w:tr>
        <w:trPr>
          <w:trHeight w:val="234"/>
        </w:trPr>
        <w:tc>
          <w:tcPr>
            <w:tcW w:w="3180" w:type="dxa"/>
            <w:vAlign w:val="bottom"/>
          </w:tcPr>
          <w:p>
            <w:pPr>
              <w:spacing w:after="0"/>
              <w:rPr>
                <w:sz w:val="20"/>
                <w:szCs w:val="20"/>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under the Indenture.</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CUSIP / ISIN</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20030N EJ6 / US20030NEJ63</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99.668% plus accrued interest, if any, from May 22, 2024</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Discount</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0.400%</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to Comcast, Before Expenses</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99.268% per $1,000 principal amount of 5.300% Notes due 2034; $1,290,484,000 total</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5.650% Notes Due 2054</w:t>
            </w:r>
          </w:p>
        </w:tc>
        <w:tc>
          <w:tcPr>
            <w:tcW w:w="8060" w:type="dxa"/>
            <w:vAlign w:val="bottom"/>
          </w:tcPr>
          <w:p>
            <w:pPr>
              <w:spacing w:after="0"/>
              <w:rPr>
                <w:sz w:val="23"/>
                <w:szCs w:val="23"/>
                <w:color w:val="auto"/>
              </w:rPr>
            </w:pP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$1,200,000,000</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1, 2054</w:t>
            </w:r>
          </w:p>
        </w:tc>
      </w:tr>
      <w:tr>
        <w:trPr>
          <w:trHeight w:val="25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5.650% per annum, accruing from May 22, 2024 (calculated on the basis of a 360-day year consisting of</w:t>
            </w:r>
          </w:p>
        </w:tc>
      </w:tr>
      <w:tr>
        <w:trPr>
          <w:trHeight w:val="234"/>
        </w:trPr>
        <w:tc>
          <w:tcPr>
            <w:tcW w:w="3180" w:type="dxa"/>
            <w:vAlign w:val="bottom"/>
          </w:tcPr>
          <w:p>
            <w:pPr>
              <w:spacing w:after="0"/>
              <w:rPr>
                <w:sz w:val="20"/>
                <w:szCs w:val="20"/>
                <w:color w:val="auto"/>
              </w:rPr>
            </w:pP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twelve 30-day months)</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1 and December 1, commencing December 1, 2024</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UST 4.250% due February 15, 2054</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Price/Yield</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94-20+ / 4.581%</w:t>
            </w:r>
          </w:p>
        </w:tc>
      </w:tr>
      <w:tr>
        <w:trPr>
          <w:trHeight w:val="351"/>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240"/>
          </w:cols>
          <w:pgMar w:left="320" w:top="60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+110 bps</w:t>
      </w:r>
    </w:p>
    <w:p>
      <w:pPr>
        <w:spacing w:after="0" w:line="75" w:lineRule="exact"/>
        <w:rPr>
          <w:sz w:val="20"/>
          <w:szCs w:val="20"/>
          <w:color w:val="auto"/>
        </w:rPr>
      </w:pPr>
    </w:p>
    <w:p>
      <w:pPr>
        <w:sectPr>
          <w:pgSz w:w="11900" w:h="16838" w:orient="portrait"/>
          <w:cols w:equalWidth="0" w:num="2">
            <w:col w:w="2500" w:space="720"/>
            <w:col w:w="8020"/>
          </w:cols>
          <w:pgMar w:left="320" w:top="607"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5.681%</w:t>
      </w:r>
    </w:p>
    <w:p>
      <w:pPr>
        <w:spacing w:after="0" w:line="59" w:lineRule="exact"/>
        <w:rPr>
          <w:sz w:val="20"/>
          <w:szCs w:val="20"/>
          <w:color w:val="auto"/>
        </w:rPr>
      </w:pPr>
    </w:p>
    <w:p>
      <w:pPr>
        <w:sectPr>
          <w:pgSz w:w="11900" w:h="16838" w:orient="portrait"/>
          <w:cols w:equalWidth="0" w:num="2">
            <w:col w:w="2500" w:space="720"/>
            <w:col w:w="8020"/>
          </w:cols>
          <w:pgMar w:left="320" w:top="607"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Prior to December 1, 2053 (six (6) months prior to the maturity date of the 5.650% Notes due 2054) (the “</w:t>
      </w:r>
      <w:r>
        <w:rPr>
          <w:rFonts w:ascii="Times New Roman" w:cs="Times New Roman" w:eastAsia="Times New Roman" w:hAnsi="Times New Roman"/>
          <w:sz w:val="18"/>
          <w:szCs w:val="18"/>
          <w:b w:val="1"/>
          <w:bCs w:val="1"/>
          <w:color w:val="auto"/>
        </w:rPr>
        <w:t>2054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Company may redeem the 5.650% Notes due 2054 at its option, in whole or in part,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time and from time to time, at a redemption price (expressed as a percentage of the principal amount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rounded to three decimal places) equal to the greater of: (1) (a) the sum of the present values of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payments of principal and interest thereon discounted to the redemption date (assuming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5.650% Notes due 2054 matured on the 2054 Par Call Date) on a semi-annual basis (assuming a 360-day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consisting of twelve 30-day months) at the Treasury Rate (as defined below) plus 20 basis points, less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accrued to the date of redemption, and (2) 100% of the principal amount of the 5.650% Notes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2054 to be redeemed, plus, in either case, accrued and unpaid interest thereon to the redemption date.</w:t>
      </w:r>
    </w:p>
    <w:p>
      <w:pPr>
        <w:spacing w:after="0" w:line="200" w:lineRule="exact"/>
        <w:rPr>
          <w:sz w:val="20"/>
          <w:szCs w:val="20"/>
          <w:color w:val="auto"/>
        </w:rPr>
      </w:pPr>
    </w:p>
    <w:p>
      <w:pPr>
        <w:sectPr>
          <w:pgSz w:w="11900" w:h="16838" w:orient="portrait"/>
          <w:cols w:equalWidth="0" w:num="2">
            <w:col w:w="2500" w:space="720"/>
            <w:col w:w="8020"/>
          </w:cols>
          <w:pgMar w:left="320" w:top="607" w:right="339" w:bottom="1440" w:gutter="0" w:footer="0" w:header="0"/>
          <w:type w:val="continuous"/>
        </w:sectPr>
      </w:pPr>
    </w:p>
    <w:p>
      <w:pPr>
        <w:spacing w:after="0" w:line="7" w:lineRule="exact"/>
        <w:rPr>
          <w:sz w:val="20"/>
          <w:szCs w:val="20"/>
          <w:color w:val="auto"/>
        </w:rPr>
      </w:pPr>
    </w:p>
    <w:p>
      <w:pPr>
        <w:jc w:val="both"/>
        <w:ind w:left="3220" w:right="60"/>
        <w:spacing w:after="0" w:line="266" w:lineRule="auto"/>
        <w:rPr>
          <w:sz w:val="20"/>
          <w:szCs w:val="20"/>
          <w:color w:val="auto"/>
        </w:rPr>
      </w:pPr>
      <w:r>
        <w:rPr>
          <w:rFonts w:ascii="Times New Roman" w:cs="Times New Roman" w:eastAsia="Times New Roman" w:hAnsi="Times New Roman"/>
          <w:sz w:val="18"/>
          <w:szCs w:val="18"/>
          <w:color w:val="auto"/>
        </w:rPr>
        <w:t>On or after the 2054 Par Call Date, the Company may redeem the 5.650% Notes due 2054, in whole or in part, at any time and from time to time, at a redemption price equal to 100% of the principal amount of the 5.650% Notes due 2054 being redeemed plus accrued and unpaid interest thereon to the redemption date.</w:t>
      </w:r>
    </w:p>
    <w:p>
      <w:pPr>
        <w:sectPr>
          <w:pgSz w:w="11900" w:h="16838" w:orient="portrait"/>
          <w:cols w:equalWidth="0" w:num="1">
            <w:col w:w="11240"/>
          </w:cols>
          <w:pgMar w:left="320" w:top="607" w:right="3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Issuances</w:t>
      </w:r>
    </w:p>
    <w:p>
      <w:pPr>
        <w:spacing w:after="0" w:line="20" w:lineRule="exact"/>
        <w:rPr>
          <w:sz w:val="20"/>
          <w:szCs w:val="20"/>
          <w:color w:val="auto"/>
        </w:rPr>
      </w:pPr>
      <w:r>
        <w:rPr>
          <w:sz w:val="20"/>
          <w:szCs w:val="20"/>
          <w:color w:val="auto"/>
        </w:rPr>
        <w:br w:type="column"/>
      </w: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An unlimited amount of additional 5.650% Notes due 2054 may be issued. The 5.650% Notes due 2054 and any additional 5.650% Notes due 2054 that may be issued may be treated as a single series for all purposes under the Indenture.</w:t>
      </w:r>
    </w:p>
    <w:p>
      <w:pPr>
        <w:spacing w:after="0" w:line="14" w:lineRule="exact"/>
        <w:rPr>
          <w:sz w:val="20"/>
          <w:szCs w:val="20"/>
          <w:color w:val="auto"/>
        </w:rPr>
      </w:pPr>
    </w:p>
    <w:p>
      <w:pPr>
        <w:sectPr>
          <w:pgSz w:w="11900" w:h="16838" w:orient="portrait"/>
          <w:cols w:equalWidth="0" w:num="2">
            <w:col w:w="2500" w:space="720"/>
            <w:col w:w="8020"/>
          </w:cols>
          <w:pgMar w:left="320" w:top="60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20030N EK3 / US20030NEK37</w:t>
      </w:r>
    </w:p>
    <w:p>
      <w:pPr>
        <w:spacing w:after="0" w:line="75" w:lineRule="exact"/>
        <w:rPr>
          <w:sz w:val="20"/>
          <w:szCs w:val="20"/>
          <w:color w:val="auto"/>
        </w:rPr>
      </w:pPr>
    </w:p>
    <w:p>
      <w:pPr>
        <w:sectPr>
          <w:pgSz w:w="11900" w:h="16838" w:orient="portrait"/>
          <w:cols w:equalWidth="0" w:num="2">
            <w:col w:w="2500" w:space="720"/>
            <w:col w:w="8020"/>
          </w:cols>
          <w:pgMar w:left="320" w:top="60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Public 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99.554% plus accrued interest, if any, from May 22, 2024</w:t>
      </w:r>
    </w:p>
    <w:p>
      <w:pPr>
        <w:spacing w:after="0" w:line="75" w:lineRule="exact"/>
        <w:rPr>
          <w:sz w:val="20"/>
          <w:szCs w:val="20"/>
          <w:color w:val="auto"/>
        </w:rPr>
      </w:pPr>
    </w:p>
    <w:p>
      <w:pPr>
        <w:sectPr>
          <w:pgSz w:w="11900" w:h="16838" w:orient="portrait"/>
          <w:cols w:equalWidth="0" w:num="2">
            <w:col w:w="2500" w:space="720"/>
            <w:col w:w="8020"/>
          </w:cols>
          <w:pgMar w:left="320" w:top="60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Underwriters’ Discount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0.750%</w:t>
      </w:r>
    </w:p>
    <w:p>
      <w:pPr>
        <w:spacing w:after="0" w:line="63" w:lineRule="exact"/>
        <w:rPr>
          <w:sz w:val="20"/>
          <w:szCs w:val="20"/>
          <w:color w:val="auto"/>
        </w:rPr>
      </w:pPr>
    </w:p>
    <w:p>
      <w:pPr>
        <w:sectPr>
          <w:pgSz w:w="11900" w:h="16838" w:orient="portrait"/>
          <w:cols w:equalWidth="0" w:num="2">
            <w:col w:w="2500" w:space="720"/>
            <w:col w:w="8020"/>
          </w:cols>
          <w:pgMar w:left="320" w:top="60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Proceeds to Comcast, Before Expenses 98.804% per $1,000 principal amount of 5.650% Notes due 2054; $1,185,648,000 total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“Treasury Rate” used for Optional Redemptions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22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Company shall select, as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 w:name="page6"/>
    <w:bookmarkEnd w:id="5"/>
    <w:p>
      <w:pPr>
        <w:spacing w:after="0" w:line="254" w:lineRule="auto"/>
        <w:rPr>
          <w:sz w:val="20"/>
          <w:szCs w:val="20"/>
          <w:color w:val="auto"/>
        </w:rPr>
      </w:pPr>
      <w:r>
        <w:rPr>
          <w:rFonts w:ascii="Times New Roman" w:cs="Times New Roman" w:eastAsia="Times New Roman" w:hAnsi="Times New Roman"/>
          <w:sz w:val="18"/>
          <w:szCs w:val="18"/>
          <w:color w:val="auto"/>
        </w:rPr>
        <w:t>applicable: (1) the yield for the Treasury constant maturity on H.15 exactly equal to the period from the redemption date to the applicable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9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Barclays Capital Inc. at 1-888-603-5847, Citigroup Global Markets Inc. at 1-800-831-9146 or Santander US Capital Markets LLC at 1-855-403-3636.</w:t>
      </w:r>
    </w:p>
    <w:p>
      <w:pPr>
        <w:spacing w:after="0" w:line="179"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2024-05-20T16:27:51Z</dcterms:created>
  <dcterms:modified xsi:type="dcterms:W3CDTF">2024-05-20T16:27:51Z</dcterms:modified>
</cp:coreProperties>
</file>