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225425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3, 2021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Comcast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560" w:type="dxa"/>
        <w:tblCellMar>
          <w:top w:w="0" w:type="dxa"/>
          <w:left w:w="0" w:type="dxa"/>
          <w:bottom w:w="0" w:type="dxa"/>
          <w:right w:w="0" w:type="dxa"/>
        </w:tblCellMar>
      </w:tblPr>
      <w:tr>
        <w:trPr>
          <w:trHeight w:val="220"/>
        </w:trPr>
        <w:tc>
          <w:tcPr>
            <w:tcW w:w="7460" w:type="dxa"/>
            <w:vAlign w:val="bottom"/>
          </w:tcPr>
          <w:p>
            <w:pPr>
              <w:jc w:val="center"/>
              <w:ind w:left="2590"/>
              <w:spacing w:after="0"/>
              <w:rPr>
                <w:sz w:val="20"/>
                <w:szCs w:val="20"/>
                <w:color w:val="auto"/>
              </w:rPr>
            </w:pPr>
            <w:r>
              <w:rPr>
                <w:rFonts w:ascii="Arial" w:cs="Arial" w:eastAsia="Arial" w:hAnsi="Arial"/>
                <w:sz w:val="18"/>
                <w:szCs w:val="18"/>
                <w:b w:val="1"/>
                <w:bCs w:val="1"/>
                <w:color w:val="auto"/>
                <w:w w:val="88"/>
              </w:rPr>
              <w:t>Pennsylvania</w:t>
            </w:r>
          </w:p>
        </w:tc>
        <w:tc>
          <w:tcPr>
            <w:tcW w:w="2500" w:type="dxa"/>
            <w:vAlign w:val="bottom"/>
          </w:tcPr>
          <w:p>
            <w:pPr>
              <w:spacing w:after="0"/>
              <w:rPr>
                <w:sz w:val="19"/>
                <w:szCs w:val="19"/>
                <w:color w:val="auto"/>
              </w:rPr>
            </w:pPr>
          </w:p>
        </w:tc>
      </w:tr>
      <w:tr>
        <w:trPr>
          <w:trHeight w:val="230"/>
        </w:trPr>
        <w:tc>
          <w:tcPr>
            <w:tcW w:w="7460" w:type="dxa"/>
            <w:vAlign w:val="bottom"/>
          </w:tcPr>
          <w:p>
            <w:pPr>
              <w:jc w:val="center"/>
              <w:ind w:left="2570"/>
              <w:spacing w:after="0"/>
              <w:rPr>
                <w:sz w:val="20"/>
                <w:szCs w:val="20"/>
                <w:color w:val="auto"/>
              </w:rPr>
            </w:pPr>
            <w:r>
              <w:rPr>
                <w:rFonts w:ascii="Arial" w:cs="Arial" w:eastAsia="Arial" w:hAnsi="Arial"/>
                <w:sz w:val="18"/>
                <w:szCs w:val="18"/>
                <w:color w:val="auto"/>
                <w:w w:val="92"/>
              </w:rPr>
              <w:t>(State or Other Jurisdiction of Incorporation)</w:t>
            </w:r>
          </w:p>
        </w:tc>
        <w:tc>
          <w:tcPr>
            <w:tcW w:w="2500" w:type="dxa"/>
            <w:vAlign w:val="bottom"/>
          </w:tcPr>
          <w:p>
            <w:pPr>
              <w:spacing w:after="0"/>
              <w:rPr>
                <w:sz w:val="20"/>
                <w:szCs w:val="20"/>
                <w:color w:val="auto"/>
              </w:rPr>
            </w:pPr>
          </w:p>
        </w:tc>
      </w:tr>
      <w:tr>
        <w:trPr>
          <w:trHeight w:val="445"/>
        </w:trPr>
        <w:tc>
          <w:tcPr>
            <w:tcW w:w="7460" w:type="dxa"/>
            <w:vAlign w:val="bottom"/>
          </w:tcPr>
          <w:p>
            <w:pPr>
              <w:jc w:val="center"/>
              <w:ind w:right="4430"/>
              <w:spacing w:after="0"/>
              <w:rPr>
                <w:sz w:val="20"/>
                <w:szCs w:val="20"/>
                <w:color w:val="auto"/>
              </w:rPr>
            </w:pPr>
            <w:r>
              <w:rPr>
                <w:rFonts w:ascii="Arial" w:cs="Arial" w:eastAsia="Arial" w:hAnsi="Arial"/>
                <w:sz w:val="18"/>
                <w:szCs w:val="18"/>
                <w:b w:val="1"/>
                <w:bCs w:val="1"/>
                <w:color w:val="auto"/>
                <w:w w:val="90"/>
              </w:rPr>
              <w:t>001-32871</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7460" w:type="dxa"/>
            <w:vAlign w:val="bottom"/>
          </w:tcPr>
          <w:p>
            <w:pPr>
              <w:jc w:val="center"/>
              <w:ind w:right="4430"/>
              <w:spacing w:after="0"/>
              <w:rPr>
                <w:sz w:val="20"/>
                <w:szCs w:val="20"/>
                <w:color w:val="auto"/>
              </w:rPr>
            </w:pPr>
            <w:r>
              <w:rPr>
                <w:rFonts w:ascii="Arial" w:cs="Arial" w:eastAsia="Arial" w:hAnsi="Arial"/>
                <w:sz w:val="18"/>
                <w:szCs w:val="18"/>
                <w:color w:val="auto"/>
                <w:w w:val="92"/>
              </w:rPr>
              <w:t>(Commission File Number)</w:t>
            </w:r>
          </w:p>
        </w:tc>
        <w:tc>
          <w:tcPr>
            <w:tcW w:w="25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41"/>
        </w:trPr>
        <w:tc>
          <w:tcPr>
            <w:tcW w:w="7460" w:type="dxa"/>
            <w:vAlign w:val="bottom"/>
          </w:tcPr>
          <w:p>
            <w:pPr>
              <w:jc w:val="center"/>
              <w:ind w:right="4430"/>
              <w:spacing w:after="0"/>
              <w:rPr>
                <w:sz w:val="20"/>
                <w:szCs w:val="20"/>
                <w:color w:val="auto"/>
              </w:rPr>
            </w:pPr>
            <w:r>
              <w:rPr>
                <w:rFonts w:ascii="Arial" w:cs="Arial" w:eastAsia="Arial" w:hAnsi="Arial"/>
                <w:sz w:val="18"/>
                <w:szCs w:val="18"/>
                <w:b w:val="1"/>
                <w:bCs w:val="1"/>
                <w:color w:val="auto"/>
                <w:w w:val="90"/>
              </w:rPr>
              <w:t>One Comcast Center</w:t>
            </w:r>
          </w:p>
        </w:tc>
        <w:tc>
          <w:tcPr>
            <w:tcW w:w="2500" w:type="dxa"/>
            <w:vAlign w:val="bottom"/>
          </w:tcPr>
          <w:p>
            <w:pPr>
              <w:spacing w:after="0"/>
              <w:rPr>
                <w:sz w:val="24"/>
                <w:szCs w:val="24"/>
                <w:color w:val="auto"/>
              </w:rPr>
            </w:pPr>
          </w:p>
        </w:tc>
      </w:tr>
      <w:tr>
        <w:trPr>
          <w:trHeight w:val="220"/>
        </w:trPr>
        <w:tc>
          <w:tcPr>
            <w:tcW w:w="7460" w:type="dxa"/>
            <w:vAlign w:val="bottom"/>
          </w:tcPr>
          <w:p>
            <w:pPr>
              <w:jc w:val="center"/>
              <w:ind w:right="4430"/>
              <w:spacing w:after="0"/>
              <w:rPr>
                <w:sz w:val="20"/>
                <w:szCs w:val="20"/>
                <w:color w:val="auto"/>
              </w:rPr>
            </w:pPr>
            <w:r>
              <w:rPr>
                <w:rFonts w:ascii="Arial" w:cs="Arial" w:eastAsia="Arial" w:hAnsi="Arial"/>
                <w:sz w:val="18"/>
                <w:szCs w:val="18"/>
                <w:b w:val="1"/>
                <w:bCs w:val="1"/>
                <w:color w:val="auto"/>
                <w:w w:val="92"/>
              </w:rPr>
              <w:t>Philadelphia, PA</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7460" w:type="dxa"/>
            <w:vAlign w:val="bottom"/>
          </w:tcPr>
          <w:p>
            <w:pPr>
              <w:jc w:val="center"/>
              <w:ind w:right="4430"/>
              <w:spacing w:after="0"/>
              <w:rPr>
                <w:sz w:val="20"/>
                <w:szCs w:val="20"/>
                <w:color w:val="auto"/>
              </w:rPr>
            </w:pPr>
            <w:r>
              <w:rPr>
                <w:rFonts w:ascii="Arial" w:cs="Arial" w:eastAsia="Arial" w:hAnsi="Arial"/>
                <w:sz w:val="18"/>
                <w:szCs w:val="18"/>
                <w:color w:val="auto"/>
                <w:w w:val="92"/>
              </w:rPr>
              <w:t>(Address of Principal Executive Offices)</w:t>
            </w:r>
          </w:p>
        </w:tc>
        <w:tc>
          <w:tcPr>
            <w:tcW w:w="25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59"/>
        </w:trPr>
        <w:tc>
          <w:tcPr>
            <w:tcW w:w="996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Registrant’s telephone number, including area code:(</w:t>
            </w:r>
            <w:r>
              <w:rPr>
                <w:rFonts w:ascii="Arial" w:cs="Arial" w:eastAsia="Arial" w:hAnsi="Arial"/>
                <w:sz w:val="18"/>
                <w:szCs w:val="18"/>
                <w:b w:val="1"/>
                <w:bCs w:val="1"/>
                <w:color w:val="auto"/>
                <w:w w:val="90"/>
              </w:rPr>
              <w:t>215) 286-1700</w:t>
            </w:r>
          </w:p>
        </w:tc>
      </w:tr>
      <w:tr>
        <w:trPr>
          <w:trHeight w:val="432"/>
        </w:trPr>
        <w:tc>
          <w:tcPr>
            <w:tcW w:w="7460" w:type="dxa"/>
            <w:vAlign w:val="bottom"/>
          </w:tcPr>
          <w:p>
            <w:pPr>
              <w:jc w:val="center"/>
              <w:ind w:left="259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50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Title of Each Class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195"/>
        </w:trPr>
        <w:tc>
          <w:tcPr>
            <w:tcW w:w="5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$0.01 par value</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CMCSA</w:t>
            </w:r>
          </w:p>
        </w:tc>
        <w:tc>
          <w:tcPr>
            <w:tcW w:w="120" w:type="dxa"/>
            <w:vAlign w:val="bottom"/>
          </w:tcPr>
          <w:p>
            <w:pPr>
              <w:spacing w:after="0"/>
              <w:rPr>
                <w:sz w:val="16"/>
                <w:szCs w:val="16"/>
                <w:color w:val="auto"/>
              </w:rPr>
            </w:pPr>
          </w:p>
        </w:tc>
        <w:tc>
          <w:tcPr>
            <w:tcW w:w="3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5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0.000% Notes due 2026</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CMCS26</w:t>
            </w:r>
          </w:p>
        </w:tc>
        <w:tc>
          <w:tcPr>
            <w:tcW w:w="39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5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0.250% Notes due 2027</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CMCS27</w:t>
            </w:r>
          </w:p>
        </w:tc>
        <w:tc>
          <w:tcPr>
            <w:tcW w:w="39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5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1.500% Notes due 2029</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CMCS29</w:t>
            </w:r>
          </w:p>
        </w:tc>
        <w:tc>
          <w:tcPr>
            <w:tcW w:w="39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5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0.250% Notes due 2029</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CMCS29A</w:t>
            </w:r>
          </w:p>
        </w:tc>
        <w:tc>
          <w:tcPr>
            <w:tcW w:w="39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5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0.750% Notes due 2032</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CMCS32</w:t>
            </w:r>
          </w:p>
        </w:tc>
        <w:tc>
          <w:tcPr>
            <w:tcW w:w="39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5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1.875% Notes due 2036</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CMCS36</w:t>
            </w:r>
          </w:p>
        </w:tc>
        <w:tc>
          <w:tcPr>
            <w:tcW w:w="39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5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1.250% Notes due 2040</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CMCS40</w:t>
            </w:r>
          </w:p>
        </w:tc>
        <w:tc>
          <w:tcPr>
            <w:tcW w:w="39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55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9.455% Guaranteed Notes due 2022</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CMCSA/22</w:t>
            </w: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55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5.50% Notes due 2029</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CCGBP29</w:t>
            </w: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5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2.0% Exchangeable Subordinated Debentures due 2029</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CCZ</w:t>
            </w: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7" w:right="339" w:bottom="968"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3, 2021, Comcast Corporation notified The Bank of New York Mellon, as trustee, that it will redeem its (1) $800,000,000 aggregate principal amount of 3.100% Notes due 2025 (the “</w:t>
      </w:r>
      <w:r>
        <w:rPr>
          <w:rFonts w:ascii="Arial" w:cs="Arial" w:eastAsia="Arial" w:hAnsi="Arial"/>
          <w:sz w:val="17"/>
          <w:szCs w:val="17"/>
          <w:u w:val="single" w:color="auto"/>
          <w:color w:val="auto"/>
        </w:rPr>
        <w:t>2025 Notes</w:t>
      </w:r>
      <w:r>
        <w:rPr>
          <w:rFonts w:ascii="Arial" w:cs="Arial" w:eastAsia="Arial" w:hAnsi="Arial"/>
          <w:sz w:val="17"/>
          <w:szCs w:val="17"/>
          <w:color w:val="auto"/>
        </w:rPr>
        <w:t>”) in full at the redemption price and (2) $1,200,000,000 aggregate principal amount of 3.60% Notes due 2024 (the “</w:t>
      </w:r>
      <w:r>
        <w:rPr>
          <w:rFonts w:ascii="Arial" w:cs="Arial" w:eastAsia="Arial" w:hAnsi="Arial"/>
          <w:sz w:val="17"/>
          <w:szCs w:val="17"/>
          <w:u w:val="single" w:color="auto"/>
          <w:color w:val="auto"/>
        </w:rPr>
        <w:t>2024 Notes</w:t>
      </w:r>
      <w:r>
        <w:rPr>
          <w:rFonts w:ascii="Arial" w:cs="Arial" w:eastAsia="Arial" w:hAnsi="Arial"/>
          <w:sz w:val="17"/>
          <w:szCs w:val="17"/>
          <w:color w:val="auto"/>
        </w:rPr>
        <w:t>” and together with the 2025 Notes, the “</w:t>
      </w:r>
      <w:r>
        <w:rPr>
          <w:rFonts w:ascii="Arial" w:cs="Arial" w:eastAsia="Arial" w:hAnsi="Arial"/>
          <w:sz w:val="17"/>
          <w:szCs w:val="17"/>
          <w:u w:val="single" w:color="auto"/>
          <w:color w:val="auto"/>
        </w:rPr>
        <w:t>Notes</w:t>
      </w:r>
      <w:r>
        <w:rPr>
          <w:rFonts w:ascii="Arial" w:cs="Arial" w:eastAsia="Arial" w:hAnsi="Arial"/>
          <w:sz w:val="17"/>
          <w:szCs w:val="17"/>
          <w:color w:val="auto"/>
        </w:rPr>
        <w:t>”) in full at the redemption price, in each case calculated in accordance with the indenture governing such Notes, plus accrued and unpaid interest. The redemption date for the Notes will be December 3,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Current Report on Form 8-K is not a notice of redemption for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240" w:type="dxa"/>
            <w:vAlign w:val="bottom"/>
            <w:gridSpan w:val="2"/>
          </w:tcPr>
          <w:p>
            <w:pPr>
              <w:ind w:left="220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4000" w:type="dxa"/>
            <w:vAlign w:val="bottom"/>
          </w:tcPr>
          <w:p>
            <w:pPr>
              <w:spacing w:after="0"/>
              <w:rPr>
                <w:sz w:val="20"/>
                <w:szCs w:val="20"/>
                <w:color w:val="auto"/>
              </w:rPr>
            </w:pPr>
            <w:r>
              <w:rPr>
                <w:rFonts w:ascii="Arial" w:cs="Arial" w:eastAsia="Arial" w:hAnsi="Arial"/>
                <w:sz w:val="18"/>
                <w:szCs w:val="18"/>
                <w:color w:val="auto"/>
              </w:rPr>
              <w:t>Date: November 3, 2021</w:t>
            </w:r>
          </w:p>
        </w:tc>
        <w:tc>
          <w:tcPr>
            <w:tcW w:w="7240" w:type="dxa"/>
            <w:vAlign w:val="bottom"/>
            <w:gridSpan w:val="2"/>
          </w:tcPr>
          <w:p>
            <w:pPr>
              <w:ind w:left="2200"/>
              <w:spacing w:after="0"/>
              <w:rPr>
                <w:sz w:val="20"/>
                <w:szCs w:val="20"/>
                <w:color w:val="auto"/>
              </w:rPr>
            </w:pPr>
            <w:r>
              <w:rPr>
                <w:rFonts w:ascii="Arial" w:cs="Arial" w:eastAsia="Arial" w:hAnsi="Arial"/>
                <w:sz w:val="18"/>
                <w:szCs w:val="18"/>
                <w:color w:val="auto"/>
              </w:rPr>
              <w:t>By:   /s/ Jason S. Armstrong</w:t>
            </w:r>
          </w:p>
        </w:tc>
      </w:tr>
      <w:tr>
        <w:trPr>
          <w:trHeight w:val="195"/>
        </w:trPr>
        <w:tc>
          <w:tcPr>
            <w:tcW w:w="40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Jason S. Armstrong</w:t>
            </w:r>
          </w:p>
        </w:tc>
      </w:tr>
      <w:tr>
        <w:trPr>
          <w:trHeight w:val="230"/>
        </w:trPr>
        <w:tc>
          <w:tcPr>
            <w:tcW w:w="40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Title:  Executive Vice President and Treasurer</w:t>
            </w:r>
          </w:p>
        </w:tc>
      </w:tr>
      <w:tr>
        <w:trPr>
          <w:trHeight w:val="783"/>
        </w:trPr>
        <w:tc>
          <w:tcPr>
            <w:tcW w:w="40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2021-11-03T16:15:29Z</dcterms:created>
  <dcterms:modified xsi:type="dcterms:W3CDTF">2021-11-03T16:15:29Z</dcterms:modified>
</cp:coreProperties>
</file>