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8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tc>
      </w:tr>
      <w:tr>
        <w:trPr>
          <w:trHeight w:val="216"/>
        </w:trPr>
        <w:tc>
          <w:tcPr>
            <w:tcW w:w="2580" w:type="dxa"/>
            <w:vAlign w:val="bottom"/>
          </w:tcPr>
          <w:p>
            <w:pPr>
              <w:spacing w:after="0"/>
              <w:rPr>
                <w:sz w:val="18"/>
                <w:szCs w:val="18"/>
                <w:color w:val="auto"/>
              </w:rPr>
            </w:pPr>
          </w:p>
        </w:tc>
        <w:tc>
          <w:tcPr>
            <w:tcW w:w="8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Number 333-266390</w:t>
            </w:r>
          </w:p>
        </w:tc>
      </w:tr>
      <w:tr>
        <w:trPr>
          <w:trHeight w:val="238"/>
        </w:trPr>
        <w:tc>
          <w:tcPr>
            <w:tcW w:w="2580" w:type="dxa"/>
            <w:vAlign w:val="bottom"/>
          </w:tcPr>
          <w:p>
            <w:pPr>
              <w:spacing w:after="0"/>
              <w:rPr>
                <w:sz w:val="20"/>
                <w:szCs w:val="20"/>
                <w:color w:val="auto"/>
              </w:rPr>
            </w:pPr>
          </w:p>
        </w:tc>
        <w:tc>
          <w:tcPr>
            <w:tcW w:w="8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7, 2023</w:t>
            </w:r>
          </w:p>
        </w:tc>
      </w:tr>
      <w:tr>
        <w:trPr>
          <w:trHeight w:val="432"/>
        </w:trPr>
        <w:tc>
          <w:tcPr>
            <w:tcW w:w="2580" w:type="dxa"/>
            <w:vAlign w:val="bottom"/>
          </w:tcPr>
          <w:p>
            <w:pPr>
              <w:spacing w:after="0"/>
              <w:rPr>
                <w:sz w:val="24"/>
                <w:szCs w:val="24"/>
                <w:color w:val="auto"/>
              </w:rPr>
            </w:pPr>
          </w:p>
        </w:tc>
        <w:tc>
          <w:tcPr>
            <w:tcW w:w="8660" w:type="dxa"/>
            <w:vAlign w:val="bottom"/>
          </w:tcPr>
          <w:p>
            <w:pPr>
              <w:jc w:val="center"/>
              <w:ind w:right="2490"/>
              <w:spacing w:after="0"/>
              <w:rPr>
                <w:sz w:val="20"/>
                <w:szCs w:val="20"/>
                <w:color w:val="auto"/>
              </w:rPr>
            </w:pPr>
            <w:r>
              <w:rPr>
                <w:rFonts w:ascii="Times New Roman" w:cs="Times New Roman" w:eastAsia="Times New Roman" w:hAnsi="Times New Roman"/>
                <w:sz w:val="18"/>
                <w:szCs w:val="18"/>
                <w:b w:val="1"/>
                <w:bCs w:val="1"/>
                <w:color w:val="auto"/>
                <w:w w:val="99"/>
              </w:rPr>
              <w:t>COMCAST CORPORATION</w:t>
            </w:r>
          </w:p>
        </w:tc>
      </w:tr>
      <w:tr>
        <w:trPr>
          <w:trHeight w:val="432"/>
        </w:trPr>
        <w:tc>
          <w:tcPr>
            <w:tcW w:w="2580" w:type="dxa"/>
            <w:vAlign w:val="bottom"/>
          </w:tcPr>
          <w:p>
            <w:pPr>
              <w:spacing w:after="0"/>
              <w:rPr>
                <w:sz w:val="24"/>
                <w:szCs w:val="24"/>
                <w:color w:val="auto"/>
              </w:rPr>
            </w:pPr>
          </w:p>
        </w:tc>
        <w:tc>
          <w:tcPr>
            <w:tcW w:w="8660" w:type="dxa"/>
            <w:vAlign w:val="bottom"/>
          </w:tcPr>
          <w:p>
            <w:pPr>
              <w:jc w:val="center"/>
              <w:ind w:right="2490"/>
              <w:spacing w:after="0"/>
              <w:rPr>
                <w:sz w:val="20"/>
                <w:szCs w:val="20"/>
                <w:color w:val="auto"/>
              </w:rPr>
            </w:pPr>
            <w:r>
              <w:rPr>
                <w:rFonts w:ascii="Times New Roman" w:cs="Times New Roman" w:eastAsia="Times New Roman" w:hAnsi="Times New Roman"/>
                <w:sz w:val="18"/>
                <w:szCs w:val="18"/>
                <w:b w:val="1"/>
                <w:bCs w:val="1"/>
                <w:color w:val="auto"/>
                <w:w w:val="99"/>
              </w:rPr>
              <w:t>$1,000,000,000 4.650% NOTES DUE 2033</w:t>
            </w:r>
          </w:p>
        </w:tc>
      </w:tr>
      <w:tr>
        <w:trPr>
          <w:trHeight w:val="432"/>
        </w:trPr>
        <w:tc>
          <w:tcPr>
            <w:tcW w:w="2580" w:type="dxa"/>
            <w:vAlign w:val="bottom"/>
          </w:tcPr>
          <w:p>
            <w:pPr>
              <w:spacing w:after="0"/>
              <w:rPr>
                <w:sz w:val="24"/>
                <w:szCs w:val="24"/>
                <w:color w:val="auto"/>
              </w:rPr>
            </w:pPr>
          </w:p>
        </w:tc>
        <w:tc>
          <w:tcPr>
            <w:tcW w:w="8660" w:type="dxa"/>
            <w:vAlign w:val="bottom"/>
          </w:tcPr>
          <w:p>
            <w:pPr>
              <w:jc w:val="center"/>
              <w:ind w:right="2490"/>
              <w:spacing w:after="0"/>
              <w:rPr>
                <w:sz w:val="20"/>
                <w:szCs w:val="20"/>
                <w:color w:val="auto"/>
              </w:rPr>
            </w:pPr>
            <w:r>
              <w:rPr>
                <w:rFonts w:ascii="Times New Roman" w:cs="Times New Roman" w:eastAsia="Times New Roman" w:hAnsi="Times New Roman"/>
                <w:sz w:val="18"/>
                <w:szCs w:val="18"/>
                <w:b w:val="1"/>
                <w:bCs w:val="1"/>
                <w:color w:val="auto"/>
                <w:w w:val="98"/>
              </w:rPr>
              <w:t>Final Term Sheet</w:t>
            </w:r>
          </w:p>
        </w:tc>
      </w:tr>
      <w:tr>
        <w:trPr>
          <w:trHeight w:val="499"/>
        </w:trPr>
        <w:tc>
          <w:tcPr>
            <w:tcW w:w="2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Issuer</w:t>
            </w: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Comcast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tc>
      </w:tr>
      <w:tr>
        <w:trPr>
          <w:trHeight w:val="351"/>
        </w:trPr>
        <w:tc>
          <w:tcPr>
            <w:tcW w:w="2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Guarantors</w:t>
            </w: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Comcast Cable Communications, LLC and NBCUniversal Media, LLC</w:t>
            </w:r>
          </w:p>
        </w:tc>
      </w:tr>
      <w:tr>
        <w:trPr>
          <w:trHeight w:val="351"/>
        </w:trPr>
        <w:tc>
          <w:tcPr>
            <w:tcW w:w="2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Issue of Securities</w:t>
            </w: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4.650% Notes due 2033</w:t>
            </w:r>
          </w:p>
        </w:tc>
      </w:tr>
      <w:tr>
        <w:trPr>
          <w:trHeight w:val="351"/>
        </w:trPr>
        <w:tc>
          <w:tcPr>
            <w:tcW w:w="2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Denominations</w:t>
            </w: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$2,000 and multiples of $1,000 in excess thereof</w:t>
            </w:r>
          </w:p>
        </w:tc>
      </w:tr>
      <w:tr>
        <w:trPr>
          <w:trHeight w:val="333"/>
        </w:trPr>
        <w:tc>
          <w:tcPr>
            <w:tcW w:w="2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Use of Proceeds</w:t>
            </w: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Company intends to allocate an amount equal to the net proceeds from this offering, after deducting the</w:t>
            </w:r>
          </w:p>
        </w:tc>
      </w:tr>
      <w:tr>
        <w:trPr>
          <w:trHeight w:val="216"/>
        </w:trPr>
        <w:tc>
          <w:tcPr>
            <w:tcW w:w="258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underwriting commission, fees and expenses, to the financing or refinancing, in whole or in part, of one or more</w:t>
            </w:r>
          </w:p>
        </w:tc>
      </w:tr>
      <w:tr>
        <w:trPr>
          <w:trHeight w:val="234"/>
        </w:trPr>
        <w:tc>
          <w:tcPr>
            <w:tcW w:w="2580" w:type="dxa"/>
            <w:vAlign w:val="bottom"/>
          </w:tcPr>
          <w:p>
            <w:pPr>
              <w:spacing w:after="0"/>
              <w:rPr>
                <w:sz w:val="20"/>
                <w:szCs w:val="20"/>
                <w:color w:val="auto"/>
              </w:rPr>
            </w:pP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Eligible Green Investments.</w:t>
            </w:r>
          </w:p>
        </w:tc>
      </w:tr>
      <w:tr>
        <w:trPr>
          <w:trHeight w:val="329"/>
        </w:trPr>
        <w:tc>
          <w:tcPr>
            <w:tcW w:w="2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Indenture</w:t>
            </w: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Indenture dated as of September 18, 2013 by and among the Company, the guarantors named therein and The</w:t>
            </w:r>
          </w:p>
        </w:tc>
      </w:tr>
      <w:tr>
        <w:trPr>
          <w:trHeight w:val="220"/>
        </w:trPr>
        <w:tc>
          <w:tcPr>
            <w:tcW w:w="2580" w:type="dxa"/>
            <w:vAlign w:val="bottom"/>
          </w:tcPr>
          <w:p>
            <w:pPr>
              <w:spacing w:after="0"/>
              <w:rPr>
                <w:sz w:val="19"/>
                <w:szCs w:val="19"/>
                <w:color w:val="auto"/>
              </w:rPr>
            </w:pP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Bank of New York Mellon,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amended by the First Supplemental Indenture dated as of</w:t>
            </w:r>
          </w:p>
        </w:tc>
      </w:tr>
      <w:tr>
        <w:trPr>
          <w:trHeight w:val="216"/>
        </w:trPr>
        <w:tc>
          <w:tcPr>
            <w:tcW w:w="258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November 17, 2015 by and among the Company, the guarantors named therein and the Trustee and as further</w:t>
            </w:r>
          </w:p>
        </w:tc>
      </w:tr>
      <w:tr>
        <w:trPr>
          <w:trHeight w:val="216"/>
        </w:trPr>
        <w:tc>
          <w:tcPr>
            <w:tcW w:w="258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amended by the Second Supplemental Indenture dated as of July 29, 2022 by and among the Company, the</w:t>
            </w:r>
          </w:p>
        </w:tc>
      </w:tr>
      <w:tr>
        <w:trPr>
          <w:trHeight w:val="234"/>
        </w:trPr>
        <w:tc>
          <w:tcPr>
            <w:tcW w:w="2580" w:type="dxa"/>
            <w:vAlign w:val="bottom"/>
          </w:tcPr>
          <w:p>
            <w:pPr>
              <w:spacing w:after="0"/>
              <w:rPr>
                <w:sz w:val="20"/>
                <w:szCs w:val="20"/>
                <w:color w:val="auto"/>
              </w:rPr>
            </w:pP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guarantors named therein and the Trustee.</w:t>
            </w:r>
          </w:p>
        </w:tc>
      </w:tr>
      <w:tr>
        <w:trPr>
          <w:trHeight w:val="351"/>
        </w:trPr>
        <w:tc>
          <w:tcPr>
            <w:tcW w:w="2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Trustee</w:t>
            </w: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Bank of New York Mellon</w:t>
            </w:r>
          </w:p>
        </w:tc>
      </w:tr>
      <w:tr>
        <w:trPr>
          <w:trHeight w:val="508"/>
        </w:trPr>
        <w:tc>
          <w:tcPr>
            <w:tcW w:w="2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Expected Ratings</w:t>
            </w:r>
            <w:r>
              <w:rPr>
                <w:rFonts w:ascii="Times New Roman" w:cs="Times New Roman" w:eastAsia="Times New Roman" w:hAnsi="Times New Roman"/>
                <w:sz w:val="29"/>
                <w:szCs w:val="29"/>
                <w:color w:val="auto"/>
                <w:vertAlign w:val="superscript"/>
              </w:rPr>
              <w:t>1</w:t>
            </w: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Moody’s: A3; S&amp;P: A-; Fitch: A-</w:t>
            </w:r>
          </w:p>
        </w:tc>
      </w:tr>
      <w:tr>
        <w:trPr>
          <w:trHeight w:val="216"/>
        </w:trPr>
        <w:tc>
          <w:tcPr>
            <w:tcW w:w="2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Joint Book-Running Managers</w:t>
            </w: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BofA Securities, Inc.</w:t>
            </w:r>
          </w:p>
        </w:tc>
      </w:tr>
      <w:tr>
        <w:trPr>
          <w:trHeight w:val="216"/>
        </w:trPr>
        <w:tc>
          <w:tcPr>
            <w:tcW w:w="258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Academy Securities, Inc.</w:t>
            </w:r>
          </w:p>
        </w:tc>
      </w:tr>
      <w:tr>
        <w:trPr>
          <w:trHeight w:val="216"/>
        </w:trPr>
        <w:tc>
          <w:tcPr>
            <w:tcW w:w="258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Loop Capital Markets LLC</w:t>
            </w:r>
          </w:p>
        </w:tc>
      </w:tr>
      <w:tr>
        <w:trPr>
          <w:trHeight w:val="216"/>
        </w:trPr>
        <w:tc>
          <w:tcPr>
            <w:tcW w:w="258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Samuel A. Ramirez &amp; Company, Inc.</w:t>
            </w:r>
          </w:p>
        </w:tc>
      </w:tr>
      <w:tr>
        <w:trPr>
          <w:trHeight w:val="234"/>
        </w:trPr>
        <w:tc>
          <w:tcPr>
            <w:tcW w:w="2580" w:type="dxa"/>
            <w:vAlign w:val="bottom"/>
          </w:tcPr>
          <w:p>
            <w:pPr>
              <w:spacing w:after="0"/>
              <w:rPr>
                <w:sz w:val="20"/>
                <w:szCs w:val="20"/>
                <w:color w:val="auto"/>
              </w:rPr>
            </w:pP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Siebert Williams Shank &amp; Co., LLC</w:t>
            </w:r>
          </w:p>
        </w:tc>
      </w:tr>
      <w:tr>
        <w:trPr>
          <w:trHeight w:val="333"/>
        </w:trPr>
        <w:tc>
          <w:tcPr>
            <w:tcW w:w="2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Co-Managers</w:t>
            </w: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American Veterans Group, PBC</w:t>
            </w:r>
          </w:p>
        </w:tc>
      </w:tr>
      <w:tr>
        <w:trPr>
          <w:trHeight w:val="216"/>
        </w:trPr>
        <w:tc>
          <w:tcPr>
            <w:tcW w:w="258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Bancroft Capital, LLC</w:t>
            </w:r>
          </w:p>
        </w:tc>
      </w:tr>
      <w:tr>
        <w:trPr>
          <w:trHeight w:val="216"/>
        </w:trPr>
        <w:tc>
          <w:tcPr>
            <w:tcW w:w="258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Blaylock Van, LLC</w:t>
            </w:r>
          </w:p>
        </w:tc>
      </w:tr>
      <w:tr>
        <w:trPr>
          <w:trHeight w:val="216"/>
        </w:trPr>
        <w:tc>
          <w:tcPr>
            <w:tcW w:w="258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Cabrera Capital Markets LLC</w:t>
            </w:r>
          </w:p>
        </w:tc>
      </w:tr>
      <w:tr>
        <w:trPr>
          <w:trHeight w:val="216"/>
        </w:trPr>
        <w:tc>
          <w:tcPr>
            <w:tcW w:w="258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CastleOak Securities, L.P.</w:t>
            </w:r>
          </w:p>
        </w:tc>
      </w:tr>
      <w:tr>
        <w:trPr>
          <w:trHeight w:val="216"/>
        </w:trPr>
        <w:tc>
          <w:tcPr>
            <w:tcW w:w="258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C.L. King &amp; Associates, Inc.</w:t>
            </w:r>
          </w:p>
        </w:tc>
      </w:tr>
      <w:tr>
        <w:trPr>
          <w:trHeight w:val="216"/>
        </w:trPr>
        <w:tc>
          <w:tcPr>
            <w:tcW w:w="258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Drexel Hamilton, LLC</w:t>
            </w:r>
          </w:p>
        </w:tc>
      </w:tr>
      <w:tr>
        <w:trPr>
          <w:trHeight w:val="216"/>
        </w:trPr>
        <w:tc>
          <w:tcPr>
            <w:tcW w:w="258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Mischler Financial Group, Inc.</w:t>
            </w:r>
          </w:p>
        </w:tc>
      </w:tr>
      <w:tr>
        <w:trPr>
          <w:trHeight w:val="216"/>
        </w:trPr>
        <w:tc>
          <w:tcPr>
            <w:tcW w:w="258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 Seelaus &amp; Co., LLC</w:t>
            </w:r>
          </w:p>
        </w:tc>
      </w:tr>
      <w:tr>
        <w:trPr>
          <w:trHeight w:val="234"/>
        </w:trPr>
        <w:tc>
          <w:tcPr>
            <w:tcW w:w="2580" w:type="dxa"/>
            <w:vAlign w:val="bottom"/>
          </w:tcPr>
          <w:p>
            <w:pPr>
              <w:spacing w:after="0"/>
              <w:rPr>
                <w:sz w:val="20"/>
                <w:szCs w:val="20"/>
                <w:color w:val="auto"/>
              </w:rPr>
            </w:pPr>
          </w:p>
        </w:tc>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Telsey Advisory Group LLC</w:t>
            </w:r>
          </w:p>
        </w:tc>
      </w:tr>
      <w:tr>
        <w:trPr>
          <w:trHeight w:val="52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w:t>
            </w:r>
          </w:p>
        </w:tc>
        <w:tc>
          <w:tcPr>
            <w:tcW w:w="8660" w:type="dxa"/>
            <w:vAlign w:val="bottom"/>
          </w:tcPr>
          <w:p>
            <w:pPr>
              <w:spacing w:after="0"/>
              <w:rPr>
                <w:sz w:val="24"/>
                <w:szCs w:val="24"/>
                <w:color w:val="auto"/>
              </w:rPr>
            </w:pPr>
          </w:p>
        </w:tc>
      </w:tr>
    </w:tbl>
    <w:p>
      <w:pPr>
        <w:spacing w:after="0" w:line="128" w:lineRule="exact"/>
        <w:rPr>
          <w:sz w:val="24"/>
          <w:szCs w:val="24"/>
          <w:color w:val="auto"/>
        </w:rPr>
      </w:pPr>
    </w:p>
    <w:p>
      <w:pPr>
        <w:ind w:left="460" w:hanging="128"/>
        <w:spacing w:after="0"/>
        <w:tabs>
          <w:tab w:leader="none" w:pos="46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A securities rating is not a recommendation to buy, sell or hold securities and may be subject to revision or withdrawal at any time.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Date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w:t>
      </w:r>
    </w:p>
    <w:p>
      <w:pPr>
        <w:spacing w:after="0" w:line="360" w:lineRule="exact"/>
        <w:rPr>
          <w:sz w:val="20"/>
          <w:szCs w:val="20"/>
          <w:color w:val="auto"/>
        </w:rPr>
      </w:pPr>
    </w:p>
    <w:p>
      <w:pPr>
        <w:ind w:right="20"/>
        <w:spacing w:after="0" w:line="413" w:lineRule="auto"/>
        <w:rPr>
          <w:sz w:val="20"/>
          <w:szCs w:val="20"/>
          <w:color w:val="auto"/>
        </w:rPr>
      </w:pPr>
      <w:r>
        <w:rPr>
          <w:rFonts w:ascii="Times New Roman" w:cs="Times New Roman" w:eastAsia="Times New Roman" w:hAnsi="Times New Roman"/>
          <w:sz w:val="18"/>
          <w:szCs w:val="18"/>
          <w:color w:val="auto"/>
        </w:rPr>
        <w:t>Interest Payment Dates Benchmark Treasury Benchmark Treasury Price/Yield Spread to Benchmark Treasury Yield to Maturity 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Issuances</w:t>
      </w:r>
    </w:p>
    <w:p>
      <w:pPr>
        <w:spacing w:after="0" w:line="200" w:lineRule="exact"/>
        <w:rPr>
          <w:sz w:val="20"/>
          <w:szCs w:val="20"/>
          <w:color w:val="auto"/>
        </w:rPr>
      </w:pPr>
    </w:p>
    <w:p>
      <w:pPr>
        <w:spacing w:after="0" w:line="376" w:lineRule="exact"/>
        <w:rPr>
          <w:sz w:val="20"/>
          <w:szCs w:val="20"/>
          <w:color w:val="auto"/>
        </w:rPr>
      </w:pPr>
    </w:p>
    <w:p>
      <w:pPr>
        <w:ind w:right="680"/>
        <w:spacing w:after="0" w:line="430" w:lineRule="auto"/>
        <w:rPr>
          <w:sz w:val="20"/>
          <w:szCs w:val="20"/>
          <w:color w:val="auto"/>
        </w:rPr>
      </w:pPr>
      <w:r>
        <w:rPr>
          <w:rFonts w:ascii="Times New Roman" w:cs="Times New Roman" w:eastAsia="Times New Roman" w:hAnsi="Times New Roman"/>
          <w:sz w:val="17"/>
          <w:szCs w:val="17"/>
          <w:color w:val="auto"/>
        </w:rPr>
        <w:t>CUSIP / ISIN Public Offering Price Underwriters’ Discount</w:t>
      </w:r>
    </w:p>
    <w:p>
      <w:pPr>
        <w:spacing w:after="0" w:line="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Proceeds to Comcast, Before Expenses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February 7, 2023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9, 2023 (T+2)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$1,000,000,000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2033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4.650% per annum, accruing from February 9, 2023 (calculated on the basis of a 360-day year consisting of twelve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30-day months)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and August 15, commencing August 15, 2023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UST 4.125% due November 15, 2032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103-24+ / 3.662%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bps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4.662%</w:t>
      </w:r>
    </w:p>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Prior to November 15, 2032 (three (3) months prior to the maturity date of the 4.650% Notes due 2033) (the “</w:t>
      </w:r>
      <w:r>
        <w:rPr>
          <w:rFonts w:ascii="Times New Roman" w:cs="Times New Roman" w:eastAsia="Times New Roman" w:hAnsi="Times New Roman"/>
          <w:sz w:val="18"/>
          <w:szCs w:val="18"/>
          <w:b w:val="1"/>
          <w:bCs w:val="1"/>
          <w:color w:val="auto"/>
        </w:rPr>
        <w:t>Par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Call Date</w:t>
      </w:r>
      <w:r>
        <w:rPr>
          <w:rFonts w:ascii="Times New Roman" w:cs="Times New Roman" w:eastAsia="Times New Roman" w:hAnsi="Times New Roman"/>
          <w:sz w:val="18"/>
          <w:szCs w:val="18"/>
          <w:color w:val="auto"/>
        </w:rPr>
        <w:t>”), the Company may redeem the 4.650% Notes due 2033 at its option, in whole or in part, at any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from time to time, at a redemption price (expressed as a percentage of the principal amount and rounded to three decimal places) equal to the greater of: (1) (a) the sum of the present values of the remaining scheduled payments of principal and interest thereon discounted to the redemption date (assuming that the 4.650% Notes due 2033 matured on the Par Call Date) on a semi-annual basis (assuming a 360-day year consisting of twelve 30-day months) at the Treasury Rate plus 15 basis points, less (b) interest accrued to the date of redemption, and (2) 100% of the principal amount of the 4.650% Notes due 2033 to be redeemed, plus, in either case, accrued and unpaid interest thereon to the redemption date.</w:t>
      </w:r>
    </w:p>
    <w:p>
      <w:pPr>
        <w:spacing w:after="0" w:line="1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Company may redeem the 4.650% Notes due 2033, in whole or in part, at any time and from time to time, at a redemption price equal to 100% of the principal amount of the 4.650% Notes due 2033 being redeemed plus accrued and unpaid interest thereon to the redemption date.</w:t>
      </w:r>
    </w:p>
    <w:p>
      <w:pPr>
        <w:spacing w:after="0" w:line="9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An unlimited amount of additional 4.650% Notes due 2033 may be issued. The 4.650% Notes due 2033 and any additional 4.650% Notes due 2033 that may be issued may be treated as a single series for all purposes under the Indenture.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20030N EC1 / US20030NEC11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99.904% plus accrued interest, if any, from February 9, 2023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0.400%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99.504% per $1,000 principal amount of 4.650% Notes due 2033; $995,040,000 total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2380" w:space="420"/>
            <w:col w:w="8280"/>
          </w:cols>
          <w:pgMar w:left="400" w:top="891" w:right="419" w:bottom="1440" w:gutter="0" w:footer="0" w:header="0"/>
        </w:sectPr>
      </w:pPr>
    </w:p>
    <w:bookmarkStart w:id="2" w:name="page3"/>
    <w:bookmarkEnd w:id="2"/>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Times New Roman" w:cs="Times New Roman" w:eastAsia="Times New Roman" w:hAnsi="Times New Roman"/>
          <w:sz w:val="18"/>
          <w:szCs w:val="18"/>
          <w:u w:val="single" w:color="auto"/>
          <w:color w:val="0000FF"/>
        </w:rPr>
        <w:t>www.sec.gov</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Alternatively, the issuer, any underwriter or any dealer participating in the offering will arrange to send you the prospectus if you request it by calling BofA Securities, Inc. at 800-294-1322, Academy Securities, Inc. at 646-736-3995, Loop Capital Markets at 312-913-4900, Samuel A. Ramirez &amp; Company, Inc. at 800-888-4086 and Siebert Williams Shank &amp; Co., LLC at 212-830-4536.</w:t>
      </w:r>
    </w:p>
    <w:p>
      <w:pPr>
        <w:spacing w:after="0" w:line="183" w:lineRule="exact"/>
        <w:rPr>
          <w:sz w:val="20"/>
          <w:szCs w:val="20"/>
          <w:color w:val="auto"/>
        </w:rPr>
      </w:pPr>
    </w:p>
    <w:p>
      <w:pPr>
        <w:ind w:right="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79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2023-02-07T15:46:08Z</dcterms:created>
  <dcterms:modified xsi:type="dcterms:W3CDTF">2023-02-07T15:46:08Z</dcterms:modified>
</cp:coreProperties>
</file>