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Date of report (Date of earliest event reported): February 28,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114300</wp:posOffset>
            </wp:positionV>
            <wp:extent cx="129476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w:t>
      </w:r>
    </w:p>
    <w:p>
      <w:pPr>
        <w:jc w:val="center"/>
        <w:ind w:right="-399"/>
        <w:spacing w:after="0"/>
        <w:rPr>
          <w:sz w:val="20"/>
          <w:szCs w:val="20"/>
          <w:color w:val="auto"/>
        </w:rPr>
      </w:pPr>
      <w:r>
        <w:rPr>
          <w:rFonts w:ascii="Arial" w:cs="Arial" w:eastAsia="Arial" w:hAnsi="Arial"/>
          <w:sz w:val="14"/>
          <w:szCs w:val="14"/>
          <w:b w:val="1"/>
          <w:bCs w:val="1"/>
          <w:color w:val="auto"/>
        </w:rPr>
        <w:t>as Specified in Charter)</w:t>
      </w:r>
    </w:p>
    <w:p>
      <w:pPr>
        <w:spacing w:after="0" w:line="13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000-50093</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120015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February 28, 2006, the Compensation Committee of the Board of Directors of Comcast Corporation (the “Company”) established 2006 performance targets under each of the Company’s 2002 Executive Cash Bonus Plan and 2002 Supplemental Cash Bonus Plan (collectively, the “Bonus Plans”). The Bonus Plans provide for the payment to eligible employees, including the Company’s executive officers, of annual incentive compensation. The awards for Mr. Brian L. Roberts, Mr. Stephen B. Burke, Mr. Ralph J. Roberts, Mr. Lawrence S. Smith, Mr. David L. Cohen and Mr. John R. Alchin with respect to 2006 will be determined using targets based on increases in the Company’s cash flow. Under the 2002 Executive Cash Bonus Plan, the Compensation Committee established two separate increase in cash flow targets. If the Company achieves the first target, each executive officer named above will receive two-thirds of his target bonus amount and if the Company achieves the second target, each executive officer named above will receive 100% of his target bonus amount. If the Company does not achieve the first cash flow target, no payments will be made under this plan. Under the 2002 Supplemental Cash Bonus Plan, each executive officer named above is eligible to receive a bonus equal to 80 - 120% of target, depending on the cash flow achieved. If the Company does not achieve a certain level of cash flow, no payments will be made under this plan. At this same meeting, the Compensation Committee also set the 2006 target bonuses for the executive offers named above as follows: Mr. Brian L. Roberts and Mr. Burke, 135% of each individual’s base salary under the 2002 Executive Cash Bonus Plan and 165% of base salary under the 2002 Supplemental Bonus Plan; and the other executive officers named above, 75% of each individual’s base salary under the 2002 Executive Cash Bonus Plan and 50% of base salary under the 2002 Supplemental Cash Bonus Plan. The Company and the Compensation Committee may, for administrative reasons, adopt a bonus plan that restates the Bonus Plans in one plan document. If this occurs, the aggregate individual targets and performance goals described above for 2006 will not change.</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7800" w:type="dxa"/>
            <w:vAlign w:val="bottom"/>
            <w:gridSpan w:val="2"/>
          </w:tcPr>
          <w:p>
            <w:pPr>
              <w:ind w:left="2160"/>
              <w:spacing w:after="0"/>
              <w:rPr>
                <w:sz w:val="20"/>
                <w:szCs w:val="20"/>
                <w:color w:val="auto"/>
              </w:rPr>
            </w:pPr>
            <w:r>
              <w:rPr>
                <w:rFonts w:ascii="Arial" w:cs="Arial" w:eastAsia="Arial" w:hAnsi="Arial"/>
                <w:sz w:val="18"/>
                <w:szCs w:val="18"/>
                <w:b w:val="1"/>
                <w:bCs w:val="1"/>
                <w:color w:val="auto"/>
              </w:rPr>
              <w:t>COMCAST CORPORATION</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March 6, 2006</w:t>
            </w:r>
          </w:p>
        </w:tc>
        <w:tc>
          <w:tcPr>
            <w:tcW w:w="7800" w:type="dxa"/>
            <w:vAlign w:val="bottom"/>
            <w:gridSpan w:val="2"/>
          </w:tcPr>
          <w:p>
            <w:pPr>
              <w:ind w:left="2160"/>
              <w:spacing w:after="0"/>
              <w:rPr>
                <w:sz w:val="20"/>
                <w:szCs w:val="20"/>
                <w:color w:val="auto"/>
              </w:rPr>
            </w:pPr>
            <w:r>
              <w:rPr>
                <w:rFonts w:ascii="Arial" w:cs="Arial" w:eastAsia="Arial" w:hAnsi="Arial"/>
                <w:sz w:val="18"/>
                <w:szCs w:val="18"/>
                <w:color w:val="auto"/>
              </w:rPr>
              <w:t>By: /s/ Arthur R. Block</w:t>
            </w:r>
          </w:p>
        </w:tc>
      </w:tr>
      <w:tr>
        <w:trPr>
          <w:trHeight w:val="202"/>
        </w:trPr>
        <w:tc>
          <w:tcPr>
            <w:tcW w:w="36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38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Arthur R. Block</w:t>
            </w:r>
          </w:p>
        </w:tc>
      </w:tr>
      <w:tr>
        <w:trPr>
          <w:trHeight w:val="222"/>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Title:   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2019-12-12T04:27:54Z</dcterms:created>
  <dcterms:modified xsi:type="dcterms:W3CDTF">2019-12-12T04:27:54Z</dcterms:modified>
</cp:coreProperties>
</file>