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Courier New" w:cs="Courier New" w:eastAsia="Courier New" w:hAnsi="Courier New"/>
          <w:sz w:val="14"/>
          <w:szCs w:val="14"/>
          <w:color w:val="auto"/>
        </w:rPr>
        <w:t>As Filed with the Securities and Exchange Commission on June 7, 2001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__________</w:t>
      </w:r>
    </w:p>
    <w:p>
      <w:pPr>
        <w:spacing w:after="0" w:line="7" w:lineRule="exact"/>
        <w:rPr>
          <w:sz w:val="24"/>
          <w:szCs w:val="24"/>
          <w:color w:val="auto"/>
        </w:rPr>
      </w:pPr>
    </w:p>
    <w:p>
      <w:pPr>
        <w:jc w:val="center"/>
        <w:ind w:right="4820"/>
        <w:spacing w:after="0"/>
        <w:rPr>
          <w:sz w:val="20"/>
          <w:szCs w:val="20"/>
          <w:color w:val="auto"/>
        </w:rPr>
      </w:pPr>
      <w:r>
        <w:rPr>
          <w:rFonts w:ascii="Courier New" w:cs="Courier New" w:eastAsia="Courier New" w:hAnsi="Courier New"/>
          <w:sz w:val="14"/>
          <w:szCs w:val="14"/>
          <w:color w:val="auto"/>
        </w:rPr>
        <w:t>FORM S-8</w:t>
      </w:r>
    </w:p>
    <w:p>
      <w:pPr>
        <w:spacing w:after="0" w:line="7" w:lineRule="exact"/>
        <w:rPr>
          <w:sz w:val="24"/>
          <w:szCs w:val="24"/>
          <w:color w:val="auto"/>
        </w:rPr>
      </w:pPr>
    </w:p>
    <w:p>
      <w:pPr>
        <w:jc w:val="center"/>
        <w:ind w:right="482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__________</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(Exact name of registrant as specified in charter)</w:t>
      </w:r>
    </w:p>
    <w:p>
      <w:pPr>
        <w:sectPr>
          <w:pgSz w:w="11900" w:h="16838" w:orient="portrait"/>
          <w:cols w:equalWidth="0" w:num="1">
            <w:col w:w="11540"/>
          </w:cols>
          <w:pgMar w:left="220" w:top="561" w:right="139" w:bottom="1440" w:gutter="0" w:footer="0" w:header="0"/>
        </w:sectPr>
      </w:pPr>
    </w:p>
    <w:p>
      <w:pPr>
        <w:spacing w:after="0" w:line="173"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Pennsylvania</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280"/>
        <w:spacing w:after="0"/>
        <w:rPr>
          <w:sz w:val="20"/>
          <w:szCs w:val="20"/>
          <w:color w:val="auto"/>
        </w:rPr>
      </w:pPr>
      <w:r>
        <w:rPr>
          <w:rFonts w:ascii="Courier New" w:cs="Courier New" w:eastAsia="Courier New" w:hAnsi="Courier New"/>
          <w:sz w:val="14"/>
          <w:szCs w:val="14"/>
          <w:color w:val="auto"/>
        </w:rPr>
        <w:t>23-1709202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4"/>
          <w:szCs w:val="24"/>
          <w:color w:val="auto"/>
        </w:rPr>
      </w:pPr>
    </w:p>
    <w:p>
      <w:pPr>
        <w:sectPr>
          <w:pgSz w:w="11900" w:h="16838" w:orient="portrait"/>
          <w:cols w:equalWidth="0" w:num="2">
            <w:col w:w="3020" w:space="440"/>
            <w:col w:w="8080"/>
          </w:cols>
          <w:pgMar w:left="220" w:top="561" w:right="139"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Philadelphia, PA 19102-2148</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(Address of principal executive offices)</w:t>
      </w:r>
    </w:p>
    <w:p>
      <w:pPr>
        <w:sectPr>
          <w:pgSz w:w="11900" w:h="16838" w:orient="portrait"/>
          <w:cols w:equalWidth="0" w:num="1">
            <w:col w:w="11540"/>
          </w:cols>
          <w:pgMar w:left="220" w:top="561" w:right="1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COMCAST CORPORATION 2001 EMPLOYEE STOCK PURCHASE PLAN</w:t>
      </w:r>
    </w:p>
    <w:p>
      <w:pPr>
        <w:spacing w:after="0" w:line="173"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(Full title of the plan)</w:t>
      </w:r>
    </w:p>
    <w:p>
      <w:pPr>
        <w:spacing w:after="0" w:line="173"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Arthur R. Block, Esquire</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Senior Vice President and General Counsel</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(Name and address of agent for service)</w:t>
      </w:r>
    </w:p>
    <w:p>
      <w:pPr>
        <w:spacing w:after="0" w:line="173" w:lineRule="exact"/>
        <w:rPr>
          <w:sz w:val="24"/>
          <w:szCs w:val="24"/>
          <w:color w:val="auto"/>
        </w:rPr>
      </w:pPr>
    </w:p>
    <w:p>
      <w:pPr>
        <w:jc w:val="center"/>
        <w:ind w:right="4800"/>
        <w:spacing w:after="0"/>
        <w:rPr>
          <w:sz w:val="20"/>
          <w:szCs w:val="20"/>
          <w:color w:val="auto"/>
        </w:rPr>
      </w:pPr>
      <w:r>
        <w:rPr>
          <w:rFonts w:ascii="Courier New" w:cs="Courier New" w:eastAsia="Courier New" w:hAnsi="Courier New"/>
          <w:sz w:val="14"/>
          <w:szCs w:val="14"/>
          <w:color w:val="auto"/>
        </w:rPr>
        <w:t>(215) 665-1700</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(Telephone number, including area code, of agent for service)</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__________</w:t>
      </w:r>
    </w:p>
    <w:p>
      <w:pPr>
        <w:spacing w:after="0" w:line="17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CALCULATION OF REGISTRATION FEE</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tabs>
          <w:tab w:leader="none" w:pos="3080" w:val="left"/>
          <w:tab w:leader="none" w:pos="4720" w:val="left"/>
          <w:tab w:leader="none" w:pos="7400" w:val="left"/>
          <w:tab w:leader="none" w:pos="9980" w:val="left"/>
        </w:tabs>
        <w:rPr>
          <w:sz w:val="20"/>
          <w:szCs w:val="20"/>
          <w:color w:val="auto"/>
        </w:rPr>
      </w:pPr>
      <w:r>
        <w:rPr>
          <w:rFonts w:ascii="Courier New" w:cs="Courier New" w:eastAsia="Courier New" w:hAnsi="Courier New"/>
          <w:sz w:val="14"/>
          <w:szCs w:val="14"/>
          <w:color w:val="auto"/>
        </w:rPr>
        <w:t>Title of securities to be</w:t>
      </w:r>
      <w:r>
        <w:rPr>
          <w:sz w:val="20"/>
          <w:szCs w:val="20"/>
          <w:color w:val="auto"/>
        </w:rPr>
        <w:tab/>
      </w:r>
      <w:r>
        <w:rPr>
          <w:rFonts w:ascii="Courier New" w:cs="Courier New" w:eastAsia="Courier New" w:hAnsi="Courier New"/>
          <w:sz w:val="14"/>
          <w:szCs w:val="14"/>
          <w:color w:val="auto"/>
        </w:rPr>
        <w:t>Amount to be</w:t>
      </w:r>
      <w:r>
        <w:rPr>
          <w:sz w:val="20"/>
          <w:szCs w:val="20"/>
          <w:color w:val="auto"/>
        </w:rPr>
        <w:tab/>
      </w:r>
      <w:r>
        <w:rPr>
          <w:rFonts w:ascii="Courier New" w:cs="Courier New" w:eastAsia="Courier New" w:hAnsi="Courier New"/>
          <w:sz w:val="14"/>
          <w:szCs w:val="14"/>
          <w:color w:val="auto"/>
        </w:rPr>
        <w:t>Proposed maximum offering</w:t>
      </w:r>
      <w:r>
        <w:rPr>
          <w:sz w:val="20"/>
          <w:szCs w:val="20"/>
          <w:color w:val="auto"/>
        </w:rPr>
        <w:tab/>
      </w:r>
      <w:r>
        <w:rPr>
          <w:rFonts w:ascii="Courier New" w:cs="Courier New" w:eastAsia="Courier New" w:hAnsi="Courier New"/>
          <w:sz w:val="14"/>
          <w:szCs w:val="14"/>
          <w:color w:val="auto"/>
        </w:rPr>
        <w:t>Proposed maximum aggregate</w:t>
      </w:r>
      <w:r>
        <w:rPr>
          <w:sz w:val="20"/>
          <w:szCs w:val="20"/>
          <w:color w:val="auto"/>
        </w:rPr>
        <w:tab/>
      </w:r>
      <w:r>
        <w:rPr>
          <w:rFonts w:ascii="Courier New" w:cs="Courier New" w:eastAsia="Courier New" w:hAnsi="Courier New"/>
          <w:sz w:val="14"/>
          <w:szCs w:val="14"/>
          <w:color w:val="auto"/>
        </w:rPr>
        <w:t>Amount of</w:t>
      </w:r>
    </w:p>
    <w:p>
      <w:pPr>
        <w:spacing w:after="0" w:line="7" w:lineRule="exact"/>
        <w:rPr>
          <w:sz w:val="24"/>
          <w:szCs w:val="24"/>
          <w:color w:val="auto"/>
        </w:rPr>
      </w:pPr>
    </w:p>
    <w:p>
      <w:pPr>
        <w:spacing w:after="0"/>
        <w:tabs>
          <w:tab w:leader="none" w:pos="3080" w:val="left"/>
          <w:tab w:leader="none" w:pos="4720" w:val="left"/>
          <w:tab w:leader="none" w:pos="7400" w:val="left"/>
          <w:tab w:leader="none" w:pos="9980" w:val="left"/>
        </w:tabs>
        <w:rPr>
          <w:sz w:val="20"/>
          <w:szCs w:val="20"/>
          <w:color w:val="auto"/>
        </w:rPr>
      </w:pPr>
      <w:r>
        <w:rPr>
          <w:rFonts w:ascii="Courier New" w:cs="Courier New" w:eastAsia="Courier New" w:hAnsi="Courier New"/>
          <w:sz w:val="14"/>
          <w:szCs w:val="14"/>
          <w:color w:val="auto"/>
        </w:rPr>
        <w:t>registered</w:t>
      </w:r>
      <w:r>
        <w:rPr>
          <w:sz w:val="20"/>
          <w:szCs w:val="20"/>
          <w:color w:val="auto"/>
        </w:rPr>
        <w:tab/>
      </w:r>
      <w:r>
        <w:rPr>
          <w:rFonts w:ascii="Courier New" w:cs="Courier New" w:eastAsia="Courier New" w:hAnsi="Courier New"/>
          <w:sz w:val="14"/>
          <w:szCs w:val="14"/>
          <w:color w:val="auto"/>
        </w:rPr>
        <w:t>registered (1)</w:t>
      </w:r>
      <w:r>
        <w:rPr>
          <w:sz w:val="20"/>
          <w:szCs w:val="20"/>
          <w:color w:val="auto"/>
        </w:rPr>
        <w:tab/>
      </w:r>
      <w:r>
        <w:rPr>
          <w:rFonts w:ascii="Courier New" w:cs="Courier New" w:eastAsia="Courier New" w:hAnsi="Courier New"/>
          <w:sz w:val="14"/>
          <w:szCs w:val="14"/>
          <w:color w:val="auto"/>
        </w:rPr>
        <w:t>price per share (2)</w:t>
      </w:r>
      <w:r>
        <w:rPr>
          <w:sz w:val="20"/>
          <w:szCs w:val="20"/>
          <w:color w:val="auto"/>
        </w:rPr>
        <w:tab/>
      </w:r>
      <w:r>
        <w:rPr>
          <w:rFonts w:ascii="Courier New" w:cs="Courier New" w:eastAsia="Courier New" w:hAnsi="Courier New"/>
          <w:sz w:val="14"/>
          <w:szCs w:val="14"/>
          <w:color w:val="auto"/>
        </w:rPr>
        <w:t>offering price (2)</w:t>
      </w:r>
      <w:r>
        <w:rPr>
          <w:sz w:val="20"/>
          <w:szCs w:val="20"/>
          <w:color w:val="auto"/>
        </w:rPr>
        <w:tab/>
      </w:r>
      <w:r>
        <w:rPr>
          <w:rFonts w:ascii="Courier New" w:cs="Courier New" w:eastAsia="Courier New" w:hAnsi="Courier New"/>
          <w:sz w:val="14"/>
          <w:szCs w:val="14"/>
          <w:color w:val="auto"/>
        </w:rPr>
        <w:t>registration fee</w:t>
      </w:r>
    </w:p>
    <w:p>
      <w:pPr>
        <w:spacing w:after="0" w:line="7" w:lineRule="exact"/>
        <w:rPr>
          <w:sz w:val="24"/>
          <w:szCs w:val="24"/>
          <w:color w:val="auto"/>
        </w:rPr>
      </w:pPr>
    </w:p>
    <w:p>
      <w:pPr>
        <w:ind w:left="1000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Class A</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Special Common Stock,</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4,250,000</w:t>
            </w:r>
          </w:p>
        </w:tc>
        <w:tc>
          <w:tcPr>
            <w:tcW w:w="24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$40.625</w:t>
            </w:r>
          </w:p>
        </w:tc>
        <w:tc>
          <w:tcPr>
            <w:tcW w:w="2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$172,656,250</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$43,164.06</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par</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value $1.00 per share</w:t>
            </w:r>
          </w:p>
        </w:tc>
        <w:tc>
          <w:tcPr>
            <w:tcW w:w="1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440" w:right="4820" w:hanging="432"/>
        <w:spacing w:after="0" w:line="251"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pursuant to Rule 416 under the Securities Act of 1933, this Registration Statement also covers such additional shares as may hereinafter be offered or issued to prevent dilution resulting from stock splits, stock dividends, recapitalizations or certain other capital adjustments.</w:t>
      </w:r>
    </w:p>
    <w:p>
      <w:pPr>
        <w:spacing w:after="0" w:line="164" w:lineRule="exact"/>
        <w:rPr>
          <w:rFonts w:ascii="Courier New" w:cs="Courier New" w:eastAsia="Courier New" w:hAnsi="Courier New"/>
          <w:sz w:val="14"/>
          <w:szCs w:val="14"/>
          <w:color w:val="auto"/>
        </w:rPr>
      </w:pPr>
    </w:p>
    <w:p>
      <w:pPr>
        <w:ind w:left="440" w:right="4820" w:hanging="432"/>
        <w:spacing w:after="0" w:line="252"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pursuant to paragraphs (c) and (h) of Rule 457 under the Securities Act of 1933 solely for the purpose of calculating the registration fee, based upon the average of the high and low sales prices of shares of Class A Special Common Stock on June 1, 2001.</w:t>
      </w:r>
    </w:p>
    <w:p>
      <w:pPr>
        <w:sectPr>
          <w:pgSz w:w="11900" w:h="16838" w:orient="portrait"/>
          <w:cols w:equalWidth="0" w:num="1">
            <w:col w:w="11540"/>
          </w:cols>
          <w:pgMar w:left="220" w:top="561" w:right="139" w:bottom="1440" w:gutter="0" w:footer="0" w:header="0"/>
          <w:type w:val="continuous"/>
        </w:sectPr>
      </w:pPr>
    </w:p>
    <w:bookmarkStart w:id="1" w:name="page2"/>
    <w:bookmarkEnd w:id="1"/>
    <w:p>
      <w:pPr>
        <w:ind w:left="3100"/>
        <w:spacing w:after="0"/>
        <w:rPr>
          <w:sz w:val="20"/>
          <w:szCs w:val="20"/>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INFORMATION REQUIRED IN THE SECTION 10(a) PROSPECTUS</w:t>
      </w:r>
    </w:p>
    <w:p>
      <w:pPr>
        <w:spacing w:after="0" w:line="173"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The information required by Part I of Form S-8 is included in documents to be given to the recipient of the securities registered hereby in accordance with Rule 428(b)(1) under the Securities Act of 1933, as amended.</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INFORMATION REQUIRED IN THE REGISTRATION STATEMENT</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Incorporation of Documents by Reference.</w:t>
      </w:r>
    </w:p>
    <w:p>
      <w:pPr>
        <w:spacing w:after="0" w:line="17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The following documents, as filed with the Securities and Exchange Commission (the "Commission") by Comcast Corporation (the "Registrant" or "Company"), are incorporated by reference in this Form S-8 Registration Statement (the "Registration Statement") and made a part hereof:</w:t>
      </w:r>
    </w:p>
    <w:p>
      <w:pPr>
        <w:spacing w:after="0" w:line="162" w:lineRule="exact"/>
        <w:rPr>
          <w:sz w:val="20"/>
          <w:szCs w:val="20"/>
          <w:color w:val="auto"/>
        </w:rPr>
      </w:pPr>
    </w:p>
    <w:p>
      <w:pPr>
        <w:ind w:right="3419" w:firstLine="1214"/>
        <w:spacing w:after="0" w:line="255" w:lineRule="auto"/>
        <w:tabs>
          <w:tab w:leader="none" w:pos="1636"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Annual Report on Form 10-K for the fiscal year ended December 31, 2000 (the "Form 10-K") as filed with the Commission.</w:t>
      </w:r>
    </w:p>
    <w:p>
      <w:pPr>
        <w:spacing w:after="0" w:line="159" w:lineRule="exact"/>
        <w:rPr>
          <w:rFonts w:ascii="Courier New" w:cs="Courier New" w:eastAsia="Courier New" w:hAnsi="Courier New"/>
          <w:sz w:val="14"/>
          <w:szCs w:val="14"/>
          <w:color w:val="auto"/>
        </w:rPr>
      </w:pPr>
    </w:p>
    <w:p>
      <w:pPr>
        <w:ind w:right="3599" w:firstLine="1214"/>
        <w:spacing w:after="0" w:line="255" w:lineRule="auto"/>
        <w:tabs>
          <w:tab w:leader="none" w:pos="1636"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Quarterly Report on Form 10-Q for the fiscal quarter ended March 31, 2001 (the "Form 10-Q") as filed with the Commission.</w:t>
      </w:r>
    </w:p>
    <w:p>
      <w:pPr>
        <w:spacing w:after="0" w:line="159" w:lineRule="exact"/>
        <w:rPr>
          <w:rFonts w:ascii="Courier New" w:cs="Courier New" w:eastAsia="Courier New" w:hAnsi="Courier New"/>
          <w:sz w:val="14"/>
          <w:szCs w:val="14"/>
          <w:color w:val="auto"/>
        </w:rPr>
      </w:pPr>
    </w:p>
    <w:p>
      <w:pPr>
        <w:ind w:right="3859" w:firstLine="1214"/>
        <w:spacing w:after="0" w:line="255" w:lineRule="auto"/>
        <w:tabs>
          <w:tab w:leader="none" w:pos="1636"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Current Report on Form 8-K filed with the Commission on January 4, 2001.</w:t>
      </w:r>
    </w:p>
    <w:p>
      <w:pPr>
        <w:spacing w:after="0" w:line="159" w:lineRule="exact"/>
        <w:rPr>
          <w:rFonts w:ascii="Courier New" w:cs="Courier New" w:eastAsia="Courier New" w:hAnsi="Courier New"/>
          <w:sz w:val="14"/>
          <w:szCs w:val="14"/>
          <w:color w:val="auto"/>
        </w:rPr>
      </w:pPr>
    </w:p>
    <w:p>
      <w:pPr>
        <w:ind w:right="3339" w:firstLine="1214"/>
        <w:spacing w:after="0" w:line="251" w:lineRule="auto"/>
        <w:tabs>
          <w:tab w:leader="none" w:pos="1636"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Class A Special Common Stock, $1.00 par value per share (the "Class A Special Common Stock") contained in the Company's registration statement on Form 8-A dated November 4, 1986 and as amended on Form 8-A/A filed on July 16, 1996 pursuant to Section 12(g) of the Securities Exchange Act of 1934 (the "1934 Act"), which contain descriptions of the Class A Special Common Stock of the Company, and any amendment or reports filed for the purpose of updating such descriptions.</w:t>
      </w:r>
    </w:p>
    <w:p>
      <w:pPr>
        <w:spacing w:after="0" w:line="164"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All documents filed by the Company pursuant to Sections 13(a), 13(c), 14 and 15(d) of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spacing w:after="0"/>
        <w:tabs>
          <w:tab w:leader="none" w:pos="760" w:val="left"/>
        </w:tabs>
        <w:rPr>
          <w:sz w:val="20"/>
          <w:szCs w:val="20"/>
          <w:color w:val="auto"/>
        </w:rPr>
      </w:pPr>
      <w:r>
        <w:rPr>
          <w:rFonts w:ascii="Courier New" w:cs="Courier New" w:eastAsia="Courier New" w:hAnsi="Courier New"/>
          <w:sz w:val="14"/>
          <w:szCs w:val="14"/>
          <w:color w:val="auto"/>
        </w:rPr>
        <w:t>Item 4.</w:t>
        <w:tab/>
        <w:t>Description of Securities</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Interests of Named Experts and Counsel</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Indemnification of Directors and Officers</w:t>
      </w:r>
    </w:p>
    <w:p>
      <w:pPr>
        <w:spacing w:after="0" w:line="17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162"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330"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Section 1744 provides that, unless ordered by a court, any indemnification under Section 1741 or 1742 shall be made by the corporation as authorized in the specific case upon a determination that the representative met the applicable standard of conduct set forth in those sections and such determination shall be made: (1) by the board of directors by majority vote of a quorum of directors not parties to the action or proceeding; (2) if a quorum is not obtainable and a majority of disinterested directors so directs, by independent legal counsel; or (3) by the shareholders.</w:t>
      </w:r>
    </w:p>
    <w:p>
      <w:pPr>
        <w:spacing w:after="0" w:line="164"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right="3859"/>
        <w:spacing w:after="0" w:line="255" w:lineRule="auto"/>
        <w:rPr>
          <w:sz w:val="20"/>
          <w:szCs w:val="20"/>
          <w:color w:val="auto"/>
        </w:rPr>
      </w:pPr>
      <w:r>
        <w:rPr>
          <w:rFonts w:ascii="Courier New" w:cs="Courier New" w:eastAsia="Courier New" w:hAnsi="Courier New"/>
          <w:sz w:val="14"/>
          <w:szCs w:val="14"/>
          <w:color w:val="auto"/>
        </w:rPr>
        <w:t>or on behalf of such person to repay such amount if it shall ultimately be determined that he is not entitled to be indemnified by the corporation.</w:t>
      </w:r>
    </w:p>
    <w:p>
      <w:pPr>
        <w:spacing w:after="0" w:line="160"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 may, but need not be, under the control of a trustee, or otherwise secure or insure in any manner its indemnification obligations.</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1747 grants a corporation the power to purchase and maintain insurance on behalf of any director or officer against any liability incurred by him in his capacity as officer or director, whether or not the corporation would have the power to indemnify him against that liability under this Subchapter of the BCL.</w:t>
      </w:r>
    </w:p>
    <w:p>
      <w:pPr>
        <w:spacing w:after="0" w:line="165"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Sections 1748 and 1749 extend the indemnification and advancement of expenses provisions contained in Sections 1741 through 1750 of the BCL to successor corporations in fundamental changes and to representatives serving as fiduciaries of employee benefit plans.</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1750 provides that the indemnification and advancement of expenses provided by, or granted pursuant to, Sections 1741 through 1750 of the BCL shall, unless otherwise provided when authorized or ratified, continue as to a person who has ceased to be a director, officer, employee or agent and shall inure to the benefit of the heirs and personal representatives of such person.</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7-2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7-2 may be made, however, in any case where the act or failure to act giving rise to the claim for indemnification is determined by a court to have constituted willful misconduct or recklessness.</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Section 7-2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7-2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right="3419"/>
        <w:spacing w:after="0" w:line="251" w:lineRule="auto"/>
        <w:rPr>
          <w:sz w:val="20"/>
          <w:szCs w:val="20"/>
          <w:color w:val="auto"/>
        </w:rPr>
      </w:pPr>
      <w:r>
        <w:rPr>
          <w:rFonts w:ascii="Courier New" w:cs="Courier New" w:eastAsia="Courier New" w:hAnsi="Courier New"/>
          <w:sz w:val="14"/>
          <w:szCs w:val="14"/>
          <w:color w:val="auto"/>
        </w:rPr>
        <w:t>obligations, whether arising under the By-laws or otherwise. Furthermore, Section 7-2 states that the Registrant may create a fund of any nature or otherwise may secure in any manner its indemnification obligations, whether arising under the By-laws or otherwise. Indemnification pursuant to Section 7-2 shall continue as to an indemnified person who has ceased to be a director or officer and shall inure to the benefit of his heirs, executors and administrators.</w:t>
      </w:r>
    </w:p>
    <w:p>
      <w:pPr>
        <w:spacing w:after="0" w:line="330"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Section 7-3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7-3. Furthermore, any repeal or amendment of the indemnification provisions of the By-laws adverse to any director or officer will apply only on a prospective basis. In addition, no repeal or amendment of the By-laws may affect the indemnification provisions of the By-laws so as to limit indemnification or the advancement of expenses in any manner unless adopted by</w:t>
      </w:r>
    </w:p>
    <w:p>
      <w:pPr>
        <w:spacing w:after="0" w:line="4" w:lineRule="exact"/>
        <w:rPr>
          <w:sz w:val="20"/>
          <w:szCs w:val="20"/>
          <w:color w:val="auto"/>
        </w:rPr>
      </w:pPr>
    </w:p>
    <w:p>
      <w:pPr>
        <w:ind w:right="3339" w:firstLine="8"/>
        <w:spacing w:after="0" w:line="251" w:lineRule="auto"/>
        <w:tabs>
          <w:tab w:leader="none" w:pos="34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65" w:lineRule="exact"/>
        <w:rPr>
          <w:sz w:val="20"/>
          <w:szCs w:val="20"/>
          <w:color w:val="auto"/>
        </w:rPr>
      </w:pPr>
    </w:p>
    <w:p>
      <w:pPr>
        <w:ind w:right="4119" w:firstLine="861"/>
        <w:spacing w:after="0" w:line="255" w:lineRule="auto"/>
        <w:rPr>
          <w:sz w:val="20"/>
          <w:szCs w:val="20"/>
          <w:color w:val="auto"/>
        </w:rPr>
      </w:pPr>
      <w:r>
        <w:rPr>
          <w:rFonts w:ascii="Courier New" w:cs="Courier New" w:eastAsia="Courier New" w:hAnsi="Courier New"/>
          <w:sz w:val="14"/>
          <w:szCs w:val="14"/>
          <w:color w:val="auto"/>
        </w:rPr>
        <w:t>The Registrant has purchased directors and officers liability insurance for its directors and officers.</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Exemption from Registration Claimed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Exhibits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following exhibits are filed as part of this Registration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Number</w:t>
        <w:tab/>
        <w:t>Exhibit</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 ------</w:t>
        <w:tab/>
        <w:t>-------</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Comcast Corporation 2001 Employee Stock Purchase Plan.</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Opinion of Pepper Hamilton LLP.</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Deloitte &amp; Touche LLP.</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KPMG LLP.</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Consent of Pepper Hamilton LLP (included in Exhibit 5.1 hereto).</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Power of Attorney (included on signature page).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spacing w:after="0"/>
        <w:tabs>
          <w:tab w:leader="none" w:pos="840" w:val="left"/>
        </w:tabs>
        <w:rPr>
          <w:sz w:val="20"/>
          <w:szCs w:val="20"/>
          <w:color w:val="auto"/>
        </w:rPr>
      </w:pPr>
      <w:r>
        <w:rPr>
          <w:rFonts w:ascii="Courier New" w:cs="Courier New" w:eastAsia="Courier New" w:hAnsi="Courier New"/>
          <w:sz w:val="14"/>
          <w:szCs w:val="14"/>
          <w:color w:val="auto"/>
        </w:rPr>
        <w:t>Item 9.</w:t>
        <w:tab/>
        <w:t>Undertakings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undersigned registrant hereby undertakes:</w:t>
      </w:r>
    </w:p>
    <w:p>
      <w:pPr>
        <w:spacing w:after="0" w:line="173" w:lineRule="exact"/>
        <w:rPr>
          <w:sz w:val="20"/>
          <w:szCs w:val="20"/>
          <w:color w:val="auto"/>
        </w:rPr>
      </w:pPr>
    </w:p>
    <w:p>
      <w:pPr>
        <w:ind w:right="3339" w:firstLine="870"/>
        <w:spacing w:after="0" w:line="252" w:lineRule="auto"/>
        <w:tabs>
          <w:tab w:leader="none" w:pos="129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pursuant to this Registration Statement, a post-effective amendment to this Registration Statement:</w:t>
      </w:r>
    </w:p>
    <w:p>
      <w:pPr>
        <w:spacing w:after="0" w:line="162" w:lineRule="exact"/>
        <w:rPr>
          <w:rFonts w:ascii="Courier New" w:cs="Courier New" w:eastAsia="Courier New" w:hAnsi="Courier New"/>
          <w:sz w:val="14"/>
          <w:szCs w:val="14"/>
          <w:color w:val="auto"/>
        </w:rPr>
      </w:pPr>
    </w:p>
    <w:p>
      <w:pPr>
        <w:ind w:right="3519" w:firstLine="1300"/>
        <w:spacing w:after="0" w:line="255" w:lineRule="auto"/>
        <w:tabs>
          <w:tab w:leader="none" w:pos="1809"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ind w:right="3339" w:firstLine="1300"/>
        <w:spacing w:after="0" w:line="251" w:lineRule="auto"/>
        <w:tabs>
          <w:tab w:leader="none" w:pos="1809"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aggregate, represent a fundamental change in the information set forth in this Registration Statement. Notwithstanding the foregoing, any increase or decrease in volume of securities offered (if the total dollar value of securities offered would not exceed that which is registered) and any deviation from the low or high end of the estimated maximum range may be reflected in the form of prospectus filed with the Commission pursuant to Rule 424(b) if, in the aggregate, the changes in volume and price represent no more than 20 percent change in the maximum aggregate offering price set forth in "Calculation of Registration Fee" table in the effective registration statement;</w:t>
      </w:r>
    </w:p>
    <w:p>
      <w:pPr>
        <w:spacing w:after="0" w:line="162" w:lineRule="exact"/>
        <w:rPr>
          <w:rFonts w:ascii="Courier New" w:cs="Courier New" w:eastAsia="Courier New" w:hAnsi="Courier New"/>
          <w:sz w:val="14"/>
          <w:szCs w:val="14"/>
          <w:color w:val="auto"/>
        </w:rPr>
      </w:pPr>
    </w:p>
    <w:p>
      <w:pPr>
        <w:ind w:right="3419" w:firstLine="1300"/>
        <w:spacing w:after="0" w:line="252" w:lineRule="auto"/>
        <w:tabs>
          <w:tab w:leader="none" w:pos="1809"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provided, however, that paragraphs (i) and (ii) above do not apply if the information required to be included in a post-effective amendment by those paragraphs is contained in periodic reports filed by the Registrant pursuant to Section 13 or 15(d) of the Securities Exchange Act of 1934 that are incorporated by reference in this Registration Statement.</w:t>
      </w:r>
    </w:p>
    <w:p>
      <w:pPr>
        <w:spacing w:after="0" w:line="165" w:lineRule="exact"/>
        <w:rPr>
          <w:sz w:val="20"/>
          <w:szCs w:val="20"/>
          <w:color w:val="auto"/>
        </w:rPr>
      </w:pPr>
    </w:p>
    <w:p>
      <w:pPr>
        <w:ind w:right="3339" w:firstLine="870"/>
        <w:spacing w:after="0" w:line="251" w:lineRule="auto"/>
        <w:tabs>
          <w:tab w:leader="none" w:pos="129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right="3779" w:firstLine="870"/>
        <w:spacing w:after="0" w:line="252" w:lineRule="auto"/>
        <w:tabs>
          <w:tab w:leader="none" w:pos="129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ind w:right="3339" w:firstLine="861"/>
        <w:spacing w:after="0" w:line="250"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 w:name="page8"/>
    <w:bookmarkEnd w:id="7"/>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Philadelphia, Pennsylvania, on June 6, 2001.</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3100"/>
        <w:spacing w:after="0"/>
        <w:tabs>
          <w:tab w:leader="none" w:pos="37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Lawrence J. Salva</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100"/>
        <w:spacing w:after="0"/>
        <w:tabs>
          <w:tab w:leader="none" w:pos="3700" w:val="left"/>
        </w:tabs>
        <w:rPr>
          <w:sz w:val="20"/>
          <w:szCs w:val="20"/>
          <w:color w:val="auto"/>
        </w:rPr>
      </w:pPr>
      <w:r>
        <w:rPr>
          <w:rFonts w:ascii="Courier New" w:cs="Courier New" w:eastAsia="Courier New" w:hAnsi="Courier New"/>
          <w:sz w:val="14"/>
          <w:szCs w:val="14"/>
          <w:color w:val="auto"/>
        </w:rPr>
        <w:t>Name:</w:t>
        <w:tab/>
        <w:t>Lawrence J. Salva, Senior Vice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President (Principal Accounting Officer)</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KNOW ALL MEN BY THESE PRESENTS, that each individual whose signature appears below constitutes and appoints Ralph J. Roberts, Brian L. Roberts, John R. Alchin, Stanley Wang, Lawrence J. Salva and Arthur R. Block, and each or any of them, his/her true and lawful attorney-in-fact and agent, with full power of substitution and resubstitution, for him/her and in his/her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he/she might or could do in person, hereby ratifying and confirming all that said attorneys-in-fact and agents, or any of them, or their, his/her substitutes or substitute, may lawfully do or cause to be done by virtue hereof.</w:t>
      </w:r>
    </w:p>
    <w:p>
      <w:pPr>
        <w:spacing w:after="0" w:line="172"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below by the following persons in the capacities and on the date indicated.</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center"/>
        <w:ind w:right="194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ectPr>
          <w:pgSz w:w="11900" w:h="16838" w:orient="portrait"/>
          <w:cols w:equalWidth="0" w:num="3">
            <w:col w:w="3680" w:space="720"/>
            <w:col w:w="2380" w:space="720"/>
            <w:col w:w="27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Ralph J.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of Directors;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June 6, 2001</w:t>
      </w:r>
    </w:p>
    <w:p>
      <w:pPr>
        <w:spacing w:after="0" w:line="7" w:lineRule="exact"/>
        <w:rPr>
          <w:sz w:val="20"/>
          <w:szCs w:val="20"/>
          <w:color w:val="auto"/>
        </w:rPr>
      </w:pPr>
    </w:p>
    <w:p>
      <w:pPr>
        <w:sectPr>
          <w:pgSz w:w="11900" w:h="16838" w:orient="portrait"/>
          <w:cols w:equalWidth="0" w:num="3">
            <w:col w:w="1960" w:space="720"/>
            <w:col w:w="3780" w:space="700"/>
            <w:col w:w="3079"/>
          </w:cols>
          <w:pgMar w:left="220" w:top="616" w:right="1440" w:bottom="1440" w:gutter="0" w:footer="0" w:header="0"/>
          <w:type w:val="continuous"/>
        </w:sect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Ralph J. Roberts</w:t>
      </w:r>
    </w:p>
    <w:p>
      <w:pPr>
        <w:spacing w:after="0" w:line="173" w:lineRule="exact"/>
        <w:rPr>
          <w:sz w:val="20"/>
          <w:szCs w:val="20"/>
          <w:color w:val="auto"/>
        </w:rPr>
      </w:pPr>
    </w:p>
    <w:p>
      <w:pPr>
        <w:spacing w:after="0"/>
        <w:tabs>
          <w:tab w:leader="none" w:pos="2660" w:val="left"/>
          <w:tab w:leader="none" w:pos="7140" w:val="left"/>
        </w:tabs>
        <w:rPr>
          <w:sz w:val="20"/>
          <w:szCs w:val="20"/>
          <w:color w:val="auto"/>
        </w:rPr>
      </w:pPr>
      <w:r>
        <w:rPr>
          <w:rFonts w:ascii="Courier New" w:cs="Courier New" w:eastAsia="Courier New" w:hAnsi="Courier New"/>
          <w:sz w:val="14"/>
          <w:szCs w:val="14"/>
          <w:color w:val="auto"/>
        </w:rPr>
        <w:t>/s/ Julian A. Brodsky</w:t>
      </w:r>
      <w:r>
        <w:rPr>
          <w:sz w:val="20"/>
          <w:szCs w:val="20"/>
          <w:color w:val="auto"/>
        </w:rPr>
        <w:tab/>
      </w:r>
      <w:r>
        <w:rPr>
          <w:rFonts w:ascii="Courier New" w:cs="Courier New" w:eastAsia="Courier New" w:hAnsi="Courier New"/>
          <w:sz w:val="14"/>
          <w:szCs w:val="14"/>
          <w:color w:val="auto"/>
        </w:rPr>
        <w:t>Vice Chairman of the Board of Directors;</w:t>
      </w:r>
      <w:r>
        <w:rPr>
          <w:sz w:val="20"/>
          <w:szCs w:val="20"/>
          <w:color w:val="auto"/>
        </w:rPr>
        <w:tab/>
      </w:r>
      <w:r>
        <w:rPr>
          <w:rFonts w:ascii="Courier New" w:cs="Courier New" w:eastAsia="Courier New" w:hAnsi="Courier New"/>
          <w:sz w:val="14"/>
          <w:szCs w:val="14"/>
          <w:color w:val="auto"/>
        </w:rPr>
        <w:t>June 6, 2001</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Julian A. Brodsky</w:t>
      </w:r>
    </w:p>
    <w:p>
      <w:pPr>
        <w:spacing w:after="0" w:line="173" w:lineRule="exact"/>
        <w:rPr>
          <w:sz w:val="20"/>
          <w:szCs w:val="20"/>
          <w:color w:val="auto"/>
        </w:rPr>
      </w:pPr>
    </w:p>
    <w:p>
      <w:pPr>
        <w:spacing w:after="0"/>
        <w:tabs>
          <w:tab w:leader="none" w:pos="2660" w:val="left"/>
          <w:tab w:leader="none" w:pos="7140" w:val="left"/>
        </w:tabs>
        <w:rPr>
          <w:sz w:val="20"/>
          <w:szCs w:val="20"/>
          <w:color w:val="auto"/>
        </w:rPr>
      </w:pPr>
      <w:r>
        <w:rPr>
          <w:rFonts w:ascii="Courier New" w:cs="Courier New" w:eastAsia="Courier New" w:hAnsi="Courier New"/>
          <w:sz w:val="14"/>
          <w:szCs w:val="14"/>
          <w:color w:val="auto"/>
        </w:rPr>
        <w:t>/s/ Brian L. Roberts</w:t>
      </w:r>
      <w:r>
        <w:rPr>
          <w:sz w:val="20"/>
          <w:szCs w:val="20"/>
          <w:color w:val="auto"/>
        </w:rPr>
        <w:tab/>
      </w:r>
      <w:r>
        <w:rPr>
          <w:rFonts w:ascii="Courier New" w:cs="Courier New" w:eastAsia="Courier New" w:hAnsi="Courier New"/>
          <w:sz w:val="14"/>
          <w:szCs w:val="14"/>
          <w:color w:val="auto"/>
        </w:rPr>
        <w:t>President; Director (Principal Executive Officer)</w:t>
      </w:r>
      <w:r>
        <w:rPr>
          <w:sz w:val="20"/>
          <w:szCs w:val="20"/>
          <w:color w:val="auto"/>
        </w:rPr>
        <w:tab/>
      </w:r>
      <w:r>
        <w:rPr>
          <w:rFonts w:ascii="Courier New" w:cs="Courier New" w:eastAsia="Courier New" w:hAnsi="Courier New"/>
          <w:sz w:val="14"/>
          <w:szCs w:val="14"/>
          <w:color w:val="auto"/>
        </w:rPr>
        <w:t>June 6, 2001</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Brian L. Roberts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/s/ John R. Alchin</w:t>
            </w:r>
          </w:p>
        </w:tc>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Executive Vice President; Treasurer (Principal</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June 6, 2001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Financial Officer)</w:t>
            </w:r>
          </w:p>
        </w:tc>
        <w:tc>
          <w:tcPr>
            <w:tcW w:w="13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/s/ Lawrence J. Salva</w:t>
            </w:r>
          </w:p>
        </w:tc>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Senior Vice President (Principal Accounting</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June 6, 2001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Officer)</w:t>
            </w:r>
          </w:p>
        </w:tc>
        <w:tc>
          <w:tcPr>
            <w:tcW w:w="13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Lawrence J. Salva</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/s/ Decker Anstrom</w:t>
            </w:r>
          </w:p>
        </w:tc>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June 6, 2001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Decker Anstrom</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/s/ Sheldon M. Bonovitz</w:t>
            </w:r>
          </w:p>
        </w:tc>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June 6, 2001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Sheldon M. Bonovitz</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/s/ Joseph L. Castle II</w:t>
            </w:r>
          </w:p>
        </w:tc>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June 6, 2001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Joseph L. Castle II</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/s/ Felix G. Rohatyn</w:t>
            </w:r>
          </w:p>
        </w:tc>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June 6, 2001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Felix G. Rohatyn</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/s/ Bernard C. Watson</w:t>
            </w:r>
          </w:p>
        </w:tc>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June 6, 2001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Bernard C. Watson</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/s/ Irving A. Wechsler</w:t>
            </w:r>
          </w:p>
        </w:tc>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June 6, 2001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Irving A. Wechsler</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/s/ Anne Wexler</w:t>
            </w:r>
          </w:p>
        </w:tc>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June 6, 2001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Anne Wexler</w:t>
            </w:r>
          </w:p>
        </w:tc>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97"/>
        </w:trPr>
        <w:tc>
          <w:tcPr>
            <w:tcW w:w="2600" w:type="dxa"/>
            <w:vAlign w:val="bottom"/>
          </w:tcPr>
          <w:p>
            <w:pPr>
              <w:spacing w:after="0"/>
              <w:rPr>
                <w:sz w:val="24"/>
                <w:szCs w:val="24"/>
                <w:color w:val="auto"/>
              </w:rPr>
            </w:pPr>
          </w:p>
        </w:tc>
        <w:tc>
          <w:tcPr>
            <w:tcW w:w="4300" w:type="dxa"/>
            <w:vAlign w:val="bottom"/>
          </w:tcPr>
          <w:p>
            <w:pPr>
              <w:ind w:left="680"/>
              <w:spacing w:after="0"/>
              <w:rPr>
                <w:sz w:val="20"/>
                <w:szCs w:val="20"/>
                <w:color w:val="auto"/>
              </w:rPr>
            </w:pPr>
            <w:r>
              <w:rPr>
                <w:rFonts w:ascii="Courier New" w:cs="Courier New" w:eastAsia="Courier New" w:hAnsi="Courier New"/>
                <w:sz w:val="14"/>
                <w:szCs w:val="14"/>
                <w:color w:val="auto"/>
              </w:rPr>
              <w:t>-9-</w:t>
            </w:r>
          </w:p>
        </w:tc>
        <w:tc>
          <w:tcPr>
            <w:tcW w:w="1300" w:type="dxa"/>
            <w:vAlign w:val="bottom"/>
          </w:tcPr>
          <w:p>
            <w:pPr>
              <w:spacing w:after="0"/>
              <w:rPr>
                <w:sz w:val="24"/>
                <w:szCs w:val="24"/>
                <w:color w:val="auto"/>
              </w:rPr>
            </w:pPr>
          </w:p>
        </w:tc>
      </w:tr>
    </w:tbl>
    <w:p>
      <w:pPr>
        <w:sectPr>
          <w:pgSz w:w="11900" w:h="16838" w:orient="portrait"/>
          <w:cols w:equalWidth="0" w:num="1">
            <w:col w:w="10239"/>
          </w:cols>
          <w:pgMar w:left="220" w:top="947"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0" w:type="dxa"/>
            <w:vAlign w:val="bottom"/>
          </w:tcPr>
          <w:p>
            <w:pPr>
              <w:ind w:left="820"/>
              <w:spacing w:after="0"/>
              <w:rPr>
                <w:sz w:val="20"/>
                <w:szCs w:val="20"/>
                <w:color w:val="auto"/>
              </w:rPr>
            </w:pPr>
            <w:r>
              <w:rPr>
                <w:rFonts w:ascii="Courier New" w:cs="Courier New" w:eastAsia="Courier New" w:hAnsi="Courier New"/>
                <w:sz w:val="14"/>
                <w:szCs w:val="14"/>
                <w:color w:val="auto"/>
              </w:rPr>
              <w:t>COMCAST CORPORATION</w:t>
            </w:r>
          </w:p>
        </w:tc>
      </w:tr>
      <w:tr>
        <w:trPr>
          <w:trHeight w:val="331"/>
        </w:trPr>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0" w:type="dxa"/>
            <w:vAlign w:val="bottom"/>
          </w:tcPr>
          <w:p>
            <w:pPr>
              <w:ind w:left="900"/>
              <w:spacing w:after="0"/>
              <w:rPr>
                <w:sz w:val="20"/>
                <w:szCs w:val="20"/>
                <w:color w:val="auto"/>
              </w:rPr>
            </w:pPr>
            <w:r>
              <w:rPr>
                <w:rFonts w:ascii="Courier New" w:cs="Courier New" w:eastAsia="Courier New" w:hAnsi="Courier New"/>
                <w:sz w:val="14"/>
                <w:szCs w:val="14"/>
                <w:color w:val="auto"/>
              </w:rPr>
              <w:t>INDEX TO EXHIBITS</w:t>
            </w:r>
          </w:p>
        </w:tc>
      </w:tr>
      <w:tr>
        <w:trPr>
          <w:trHeight w:val="497"/>
        </w:trPr>
        <w:tc>
          <w:tcPr>
            <w:tcW w:w="78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0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Document</w:t>
            </w:r>
          </w:p>
        </w:tc>
        <w:tc>
          <w:tcPr>
            <w:tcW w:w="460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600" w:type="dxa"/>
            <w:vAlign w:val="bottom"/>
          </w:tcPr>
          <w:p>
            <w:pPr>
              <w:spacing w:after="0"/>
              <w:rPr>
                <w:sz w:val="14"/>
                <w:szCs w:val="1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Comcast Corporation 2001 Employee Stock Purchase Plan.</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Opinion of</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Pepper Hamilton LLP.</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Consent of</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Deloitte &amp; Touche LLP.</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Consent of</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KPMG LLP.</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23.3</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Consent of</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Pepper Hamilton LLP (included in Exhibit 5.1 hereto).</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5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Power of Attorney (included on signature page).</w:t>
            </w:r>
          </w:p>
        </w:tc>
      </w:tr>
      <w:tr>
        <w:trPr>
          <w:trHeight w:val="331"/>
        </w:trPr>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0" w:type="dxa"/>
            <w:vAlign w:val="bottom"/>
          </w:tcPr>
          <w:p>
            <w:pPr>
              <w:ind w:left="1500"/>
              <w:spacing w:after="0"/>
              <w:rPr>
                <w:sz w:val="20"/>
                <w:szCs w:val="20"/>
                <w:color w:val="auto"/>
              </w:rPr>
            </w:pPr>
            <w:r>
              <w:rPr>
                <w:rFonts w:ascii="Courier New" w:cs="Courier New" w:eastAsia="Courier New" w:hAnsi="Courier New"/>
                <w:sz w:val="14"/>
                <w:szCs w:val="14"/>
                <w:color w:val="auto"/>
              </w:rPr>
              <w:t>-10-</w:t>
            </w:r>
          </w:p>
        </w:tc>
      </w:tr>
    </w:tbl>
    <w:p>
      <w:pPr>
        <w:sectPr>
          <w:pgSz w:w="11900" w:h="16838" w:orient="portrait"/>
          <w:cols w:equalWidth="0" w:num="1">
            <w:col w:w="10239"/>
          </w:cols>
          <w:pgMar w:left="220" w:top="616" w:right="1440" w:bottom="1440" w:gutter="0" w:footer="0" w:header="0"/>
        </w:sectPr>
      </w:pPr>
    </w:p>
    <w:bookmarkStart w:id="10" w:name="page11"/>
    <w:bookmarkEnd w:id="10"/>
    <w:p>
      <w:pPr>
        <w:jc w:val="right"/>
        <w:ind w:right="3339"/>
        <w:spacing w:after="0"/>
        <w:rPr>
          <w:sz w:val="20"/>
          <w:szCs w:val="20"/>
          <w:color w:val="auto"/>
        </w:rPr>
      </w:pPr>
      <w:r>
        <w:rPr>
          <w:rFonts w:ascii="Courier New" w:cs="Courier New" w:eastAsia="Courier New" w:hAnsi="Courier New"/>
          <w:sz w:val="14"/>
          <w:szCs w:val="14"/>
          <w:color w:val="auto"/>
        </w:rPr>
        <w:t>Exhibit 4.1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2001 EMPLOYEE STOCK PURCHASE PLAN</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(As Amended and Restated, Effective June 6, 2001)</w:t>
      </w:r>
    </w:p>
    <w:p>
      <w:pPr>
        <w:spacing w:after="0" w:line="338"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The Comcast Corporation 2001 Employee Stock Purchase Plan (the "Plan") is intended to encourage and facilitate the purchase of Shares of the Class A Special Common Stock of Comcast Corporation (the "Company"), by Eligible Employees of the Company and any Participating Companies, thereby providing such Eligible Employees with a personal stake in the Company and a long range inducement to remain in the employ of the Company and Participating Companies. It is the intention of the Company that the Plan qualify as an "employee stock purchase plan" within the meaning of section 423 of the Code.</w:t>
      </w:r>
    </w:p>
    <w:p>
      <w:pPr>
        <w:spacing w:after="0" w:line="164"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means a bookkeeping account established by the</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on behalf of a Participant to hold Payroll Deductions.</w:t>
      </w:r>
    </w:p>
    <w:p>
      <w:pPr>
        <w:spacing w:after="0" w:line="173" w:lineRule="exact"/>
        <w:rPr>
          <w:sz w:val="20"/>
          <w:szCs w:val="20"/>
          <w:color w:val="auto"/>
        </w:rPr>
      </w:pPr>
    </w:p>
    <w:p>
      <w:pPr>
        <w:ind w:left="1300" w:hanging="430"/>
        <w:spacing w:after="0"/>
        <w:tabs>
          <w:tab w:leader="none" w:pos="13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 Person</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64" w:lineRule="exact"/>
        <w:rPr>
          <w:sz w:val="20"/>
          <w:szCs w:val="20"/>
          <w:color w:val="auto"/>
        </w:rPr>
      </w:pPr>
    </w:p>
    <w:p>
      <w:pPr>
        <w:ind w:left="1300" w:hanging="430"/>
        <w:spacing w:after="0"/>
        <w:tabs>
          <w:tab w:leader="none" w:pos="13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"Brokerage Account" means the brokerage account established under</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Plan by the Company for each Participant, to which Shares purchased under the Plan shall be credited.</w:t>
      </w:r>
    </w:p>
    <w:p>
      <w:pPr>
        <w:spacing w:after="0" w:line="160" w:lineRule="exact"/>
        <w:rPr>
          <w:sz w:val="20"/>
          <w:szCs w:val="20"/>
          <w:color w:val="auto"/>
        </w:rPr>
      </w:pPr>
    </w:p>
    <w:p>
      <w:pPr>
        <w:ind w:left="1300" w:hanging="430"/>
        <w:spacing w:after="0"/>
        <w:tabs>
          <w:tab w:leader="none" w:pos="13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transactions as a result of which any Person who was a Third Party immediately before such transaction or series of transactions owns then-outstanding securities of the Company having more than 50 percent of the voting power for the election of directors of the Company.</w:t>
      </w:r>
    </w:p>
    <w:p>
      <w:pPr>
        <w:spacing w:after="0" w:line="162" w:lineRule="exact"/>
        <w:rPr>
          <w:sz w:val="20"/>
          <w:szCs w:val="20"/>
          <w:color w:val="auto"/>
        </w:rPr>
      </w:pPr>
    </w:p>
    <w:p>
      <w:pPr>
        <w:ind w:left="1300" w:hanging="430"/>
        <w:spacing w:after="0"/>
        <w:tabs>
          <w:tab w:leader="none" w:pos="13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Committee of the Board.</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Comcast Corporation.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11" w:name="page12"/>
    <w:bookmarkEnd w:id="11"/>
    <w:p>
      <w:pPr>
        <w:ind w:left="1300" w:hanging="430"/>
        <w:spacing w:after="0"/>
        <w:tabs>
          <w:tab w:leader="none" w:pos="13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means an Eligible Employee's wages as reported on</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W-2 (i.e., wages as defined in section 3401(a) of the Code and all other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64" w:lineRule="exact"/>
        <w:rPr>
          <w:sz w:val="20"/>
          <w:szCs w:val="20"/>
          <w:color w:val="auto"/>
        </w:rPr>
      </w:pPr>
    </w:p>
    <w:p>
      <w:pPr>
        <w:ind w:left="1300" w:hanging="430"/>
        <w:spacing w:after="0"/>
        <w:tabs>
          <w:tab w:leader="none" w:pos="13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Form" means the written or electronic form acceptable</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to the Committee which an Eligible Employee shall use to make an election to purchase Shares through Payroll Deductions pursuant to the Plan.</w:t>
      </w:r>
    </w:p>
    <w:p>
      <w:pPr>
        <w:spacing w:after="0" w:line="160" w:lineRule="exact"/>
        <w:rPr>
          <w:sz w:val="20"/>
          <w:szCs w:val="20"/>
          <w:color w:val="auto"/>
        </w:rPr>
      </w:pPr>
    </w:p>
    <w:p>
      <w:pPr>
        <w:ind w:left="1300" w:hanging="430"/>
        <w:spacing w:after="0"/>
        <w:tabs>
          <w:tab w:leader="none" w:pos="13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Employee" means an Employee who is not an Ineligible</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w:t>
      </w:r>
    </w:p>
    <w:p>
      <w:pPr>
        <w:spacing w:after="0" w:line="173" w:lineRule="exact"/>
        <w:rPr>
          <w:sz w:val="20"/>
          <w:szCs w:val="20"/>
          <w:color w:val="auto"/>
        </w:rPr>
      </w:pPr>
    </w:p>
    <w:p>
      <w:pPr>
        <w:ind w:left="1300" w:hanging="430"/>
        <w:spacing w:after="0"/>
        <w:tabs>
          <w:tab w:leader="none" w:pos="13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Employer" means the Company and any subsidiary of the</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within the meaning of section 424(f) of the Code.</w:t>
      </w:r>
    </w:p>
    <w:p>
      <w:pPr>
        <w:spacing w:after="0" w:line="173" w:lineRule="exact"/>
        <w:rPr>
          <w:sz w:val="20"/>
          <w:szCs w:val="20"/>
          <w:color w:val="auto"/>
        </w:rPr>
      </w:pPr>
    </w:p>
    <w:p>
      <w:pPr>
        <w:ind w:left="1300" w:hanging="430"/>
        <w:spacing w:after="0"/>
        <w:tabs>
          <w:tab w:leader="none" w:pos="13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means a person who is an employee of a Participating</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ind w:left="1300" w:hanging="430"/>
        <w:spacing w:after="0"/>
        <w:tabs>
          <w:tab w:leader="none" w:pos="13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the closing price per Share on the</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64" w:lineRule="exact"/>
        <w:rPr>
          <w:sz w:val="20"/>
          <w:szCs w:val="20"/>
          <w:color w:val="auto"/>
        </w:rPr>
      </w:pPr>
    </w:p>
    <w:p>
      <w:pPr>
        <w:ind w:left="1300" w:hanging="430"/>
        <w:spacing w:after="0"/>
        <w:tabs>
          <w:tab w:leader="none" w:pos="13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"Five Percent Owner" means an Employee who, with respect to a</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Participating Company, is described in section 423(b)(3) of the Code.</w:t>
      </w:r>
    </w:p>
    <w:p>
      <w:pPr>
        <w:spacing w:after="0" w:line="173" w:lineRule="exact"/>
        <w:rPr>
          <w:sz w:val="20"/>
          <w:szCs w:val="20"/>
          <w:color w:val="auto"/>
        </w:rPr>
      </w:pPr>
    </w:p>
    <w:p>
      <w:pPr>
        <w:ind w:left="1300" w:hanging="430"/>
        <w:spacing w:after="0"/>
        <w:tabs>
          <w:tab w:leader="none" w:pos="13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"Ineligible Employee" means an Employee who, as of an Offering</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Commencement Date:</w:t>
      </w:r>
    </w:p>
    <w:p>
      <w:pPr>
        <w:spacing w:after="0" w:line="173" w:lineRule="exact"/>
        <w:rPr>
          <w:sz w:val="20"/>
          <w:szCs w:val="20"/>
          <w:color w:val="auto"/>
        </w:rPr>
      </w:pPr>
    </w:p>
    <w:p>
      <w:pPr>
        <w:ind w:left="1740" w:hanging="440"/>
        <w:spacing w:after="0"/>
        <w:tabs>
          <w:tab w:leader="none" w:pos="17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Five Percent Owner;</w:t>
      </w:r>
    </w:p>
    <w:p>
      <w:pPr>
        <w:spacing w:after="0" w:line="172" w:lineRule="exact"/>
        <w:rPr>
          <w:rFonts w:ascii="Courier New" w:cs="Courier New" w:eastAsia="Courier New" w:hAnsi="Courier New"/>
          <w:sz w:val="14"/>
          <w:szCs w:val="14"/>
          <w:color w:val="auto"/>
        </w:rPr>
      </w:pPr>
    </w:p>
    <w:p>
      <w:pPr>
        <w:ind w:right="3339" w:firstLine="1300"/>
        <w:spacing w:after="0" w:line="255" w:lineRule="auto"/>
        <w:tabs>
          <w:tab w:leader="none" w:pos="1723"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been continuously employed by a Participating Company on a full-time basis for less than 90 days;</w:t>
      </w:r>
    </w:p>
    <w:p>
      <w:pPr>
        <w:spacing w:after="0" w:line="159" w:lineRule="exact"/>
        <w:rPr>
          <w:rFonts w:ascii="Courier New" w:cs="Courier New" w:eastAsia="Courier New" w:hAnsi="Courier New"/>
          <w:sz w:val="14"/>
          <w:szCs w:val="14"/>
          <w:color w:val="auto"/>
        </w:rPr>
      </w:pPr>
    </w:p>
    <w:p>
      <w:pPr>
        <w:ind w:right="3339" w:firstLine="1300"/>
        <w:spacing w:after="0" w:line="255" w:lineRule="auto"/>
        <w:tabs>
          <w:tab w:leader="none" w:pos="1723"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been continuously employed by a Participating Company on a part-time basis for less than one year; or</w:t>
      </w:r>
    </w:p>
    <w:p>
      <w:pPr>
        <w:spacing w:after="0" w:line="159" w:lineRule="exact"/>
        <w:rPr>
          <w:rFonts w:ascii="Courier New" w:cs="Courier New" w:eastAsia="Courier New" w:hAnsi="Courier New"/>
          <w:sz w:val="14"/>
          <w:szCs w:val="14"/>
          <w:color w:val="auto"/>
        </w:rPr>
      </w:pPr>
    </w:p>
    <w:p>
      <w:pPr>
        <w:ind w:left="1740" w:hanging="440"/>
        <w:spacing w:after="0"/>
        <w:tabs>
          <w:tab w:leader="none" w:pos="17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restricted from participating under Paragraph 3(b).</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For purposes of this Paragraph 2(p), an Employee is employed on a part-time basis if the Employee customarily works less than 20 hours per week. For purposes of this Paragraph 2(p),</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2" w:name="page13"/>
    <w:bookmarkEnd w:id="12"/>
    <w:p>
      <w:pPr>
        <w:ind w:right="3519"/>
        <w:spacing w:after="0" w:line="255" w:lineRule="auto"/>
        <w:rPr>
          <w:sz w:val="20"/>
          <w:szCs w:val="20"/>
          <w:color w:val="auto"/>
        </w:rPr>
      </w:pPr>
      <w:r>
        <w:rPr>
          <w:rFonts w:ascii="Courier New" w:cs="Courier New" w:eastAsia="Courier New" w:hAnsi="Courier New"/>
          <w:sz w:val="14"/>
          <w:szCs w:val="14"/>
          <w:color w:val="auto"/>
        </w:rPr>
        <w:t>an Employee is employed on a full-time basis if the Employee customarily works 20 or more hours per week.</w:t>
      </w:r>
    </w:p>
    <w:p>
      <w:pPr>
        <w:spacing w:after="0" w:line="160" w:lineRule="exact"/>
        <w:rPr>
          <w:sz w:val="20"/>
          <w:szCs w:val="20"/>
          <w:color w:val="auto"/>
        </w:rPr>
      </w:pPr>
    </w:p>
    <w:p>
      <w:pPr>
        <w:ind w:left="1300" w:hanging="430"/>
        <w:spacing w:after="0"/>
        <w:tabs>
          <w:tab w:leader="none" w:pos="13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means an offering of Shares by the Company to Eligible</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pursuant to the Plan.</w:t>
      </w:r>
    </w:p>
    <w:p>
      <w:pPr>
        <w:spacing w:after="0" w:line="173" w:lineRule="exact"/>
        <w:rPr>
          <w:sz w:val="20"/>
          <w:szCs w:val="20"/>
          <w:color w:val="auto"/>
        </w:rPr>
      </w:pPr>
    </w:p>
    <w:p>
      <w:pPr>
        <w:ind w:left="1300" w:hanging="430"/>
        <w:spacing w:after="0"/>
        <w:tabs>
          <w:tab w:leader="none" w:pos="13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Commencement Date" means the first day of each January</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 April 1, July 1 and October 1 beginning on or after Offerings are authorized by the Board or the Committee, until the Plan Termination Date, provided that the first Offering Commencement Date shall be August 1, 2001.</w:t>
      </w:r>
    </w:p>
    <w:p>
      <w:pPr>
        <w:spacing w:after="0" w:line="163" w:lineRule="exact"/>
        <w:rPr>
          <w:sz w:val="20"/>
          <w:szCs w:val="20"/>
          <w:color w:val="auto"/>
        </w:rPr>
      </w:pPr>
    </w:p>
    <w:p>
      <w:pPr>
        <w:ind w:left="1300" w:hanging="430"/>
        <w:spacing w:after="0"/>
        <w:tabs>
          <w:tab w:leader="none" w:pos="13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Period" means the period extending from an Offering</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Commencement Date through the following Offering Termination Date.</w:t>
      </w:r>
    </w:p>
    <w:p>
      <w:pPr>
        <w:spacing w:after="0" w:line="173" w:lineRule="exact"/>
        <w:rPr>
          <w:sz w:val="20"/>
          <w:szCs w:val="20"/>
          <w:color w:val="auto"/>
        </w:rPr>
      </w:pPr>
    </w:p>
    <w:p>
      <w:pPr>
        <w:ind w:left="1300" w:hanging="430"/>
        <w:spacing w:after="0"/>
        <w:tabs>
          <w:tab w:leader="none" w:pos="13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Termination Date" means the last day of each March,</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June, September and December following an Offering Commencement Date, or such other Offering Termination Date established in connection with a Terminating Event.</w:t>
      </w:r>
    </w:p>
    <w:p>
      <w:pPr>
        <w:spacing w:after="0" w:line="163" w:lineRule="exact"/>
        <w:rPr>
          <w:sz w:val="20"/>
          <w:szCs w:val="20"/>
          <w:color w:val="auto"/>
        </w:rPr>
      </w:pPr>
    </w:p>
    <w:p>
      <w:pPr>
        <w:ind w:left="1300" w:hanging="430"/>
        <w:spacing w:after="0"/>
        <w:tabs>
          <w:tab w:leader="none" w:pos="13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 Eligible Employee who has timely</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delivered an Election Form to the Committee in accordance with procedures established by the Committee.</w:t>
      </w:r>
    </w:p>
    <w:p>
      <w:pPr>
        <w:spacing w:after="0" w:line="160" w:lineRule="exact"/>
        <w:rPr>
          <w:sz w:val="20"/>
          <w:szCs w:val="20"/>
          <w:color w:val="auto"/>
        </w:rPr>
      </w:pPr>
    </w:p>
    <w:p>
      <w:pPr>
        <w:ind w:left="1300" w:hanging="430"/>
        <w:spacing w:after="0"/>
        <w:tabs>
          <w:tab w:leader="none" w:pos="13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"Participating Company" means, as provided in Schedule A to the</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Plan, the Eligible Employers, if any, that are approved by the Board or the Committee from time to time.</w:t>
      </w:r>
    </w:p>
    <w:p>
      <w:pPr>
        <w:spacing w:after="0" w:line="160" w:lineRule="exact"/>
        <w:rPr>
          <w:sz w:val="20"/>
          <w:szCs w:val="20"/>
          <w:color w:val="auto"/>
        </w:rPr>
      </w:pPr>
    </w:p>
    <w:p>
      <w:pPr>
        <w:ind w:left="1300" w:hanging="430"/>
        <w:spacing w:after="0"/>
        <w:tabs>
          <w:tab w:leader="none" w:pos="13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"Payroll Deductions" means amounts withheld from a Participant's</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pursuant to the Plan, as described in Paragraph 5.</w:t>
      </w:r>
    </w:p>
    <w:p>
      <w:pPr>
        <w:spacing w:after="0" w:line="173" w:lineRule="exact"/>
        <w:rPr>
          <w:sz w:val="20"/>
          <w:szCs w:val="20"/>
          <w:color w:val="auto"/>
        </w:rPr>
      </w:pPr>
    </w:p>
    <w:p>
      <w:pPr>
        <w:ind w:left="1300" w:hanging="430"/>
        <w:spacing w:after="0"/>
        <w:tabs>
          <w:tab w:leader="none" w:pos="13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a corporation, a partnership, an</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a trust or any other entity or organization.</w:t>
      </w:r>
    </w:p>
    <w:p>
      <w:pPr>
        <w:spacing w:after="0" w:line="173" w:lineRule="exact"/>
        <w:rPr>
          <w:sz w:val="20"/>
          <w:szCs w:val="20"/>
          <w:color w:val="auto"/>
        </w:rPr>
      </w:pPr>
    </w:p>
    <w:p>
      <w:pPr>
        <w:ind w:left="1300" w:hanging="430"/>
        <w:spacing w:after="0"/>
        <w:tabs>
          <w:tab w:leader="none" w:pos="13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Comcast Corporation 2001 Employee Stock Purchase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as set forth in this document, and as may be amended from time to time.</w:t>
      </w:r>
    </w:p>
    <w:p>
      <w:pPr>
        <w:spacing w:after="0" w:line="173" w:lineRule="exact"/>
        <w:rPr>
          <w:sz w:val="20"/>
          <w:szCs w:val="20"/>
          <w:color w:val="auto"/>
        </w:rPr>
      </w:pPr>
    </w:p>
    <w:p>
      <w:pPr>
        <w:ind w:left="1300" w:hanging="430"/>
        <w:spacing w:after="0"/>
        <w:tabs>
          <w:tab w:leader="none" w:pos="13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Termination Date" means the earlier of:</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1300"/>
        <w:spacing w:after="0" w:line="252" w:lineRule="auto"/>
        <w:tabs>
          <w:tab w:leader="none" w:pos="1723"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Offering Termination Date for the Offering in which the maximum number of Shares specified in Paragraph 9 have been issued pursuant to the Plan; or</w:t>
      </w:r>
    </w:p>
    <w:p>
      <w:pPr>
        <w:spacing w:after="0" w:line="162" w:lineRule="exact"/>
        <w:rPr>
          <w:rFonts w:ascii="Courier New" w:cs="Courier New" w:eastAsia="Courier New" w:hAnsi="Courier New"/>
          <w:sz w:val="14"/>
          <w:szCs w:val="14"/>
          <w:color w:val="auto"/>
        </w:rPr>
      </w:pPr>
    </w:p>
    <w:p>
      <w:pPr>
        <w:ind w:right="3519" w:firstLine="1300"/>
        <w:spacing w:after="0" w:line="255" w:lineRule="auto"/>
        <w:tabs>
          <w:tab w:leader="none" w:pos="1723"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as of which the Board or the Committee chooses to terminate the Plan as provided in Paragraph 14.</w:t>
      </w:r>
    </w:p>
    <w:p>
      <w:pPr>
        <w:spacing w:after="0" w:line="160" w:lineRule="exact"/>
        <w:rPr>
          <w:sz w:val="20"/>
          <w:szCs w:val="20"/>
          <w:color w:val="auto"/>
        </w:rPr>
      </w:pPr>
    </w:p>
    <w:p>
      <w:pPr>
        <w:ind w:left="1300" w:hanging="430"/>
        <w:spacing w:after="0"/>
        <w:tabs>
          <w:tab w:leader="none" w:pos="13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means 85 percent of the lesser of:  (1) the Fair</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3" w:name="page14"/>
    <w:bookmarkEnd w:id="13"/>
    <w:p>
      <w:pPr>
        <w:ind w:left="1300" w:hanging="430"/>
        <w:spacing w:after="0"/>
        <w:tabs>
          <w:tab w:leader="none" w:pos="13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Family."  Each of the following is a member of the</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Roberts Family:</w:t>
      </w:r>
    </w:p>
    <w:p>
      <w:pPr>
        <w:spacing w:after="0" w:line="173" w:lineRule="exact"/>
        <w:rPr>
          <w:sz w:val="20"/>
          <w:szCs w:val="20"/>
          <w:color w:val="auto"/>
        </w:rPr>
      </w:pPr>
    </w:p>
    <w:p>
      <w:pPr>
        <w:ind w:left="1740" w:hanging="440"/>
        <w:spacing w:after="0"/>
        <w:tabs>
          <w:tab w:leader="none" w:pos="174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Brian L. Roberts;</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lineal descendant of Brian L. Roberts; or</w:t>
      </w:r>
    </w:p>
    <w:p>
      <w:pPr>
        <w:spacing w:after="0" w:line="172" w:lineRule="exact"/>
        <w:rPr>
          <w:rFonts w:ascii="Courier New" w:cs="Courier New" w:eastAsia="Courier New" w:hAnsi="Courier New"/>
          <w:sz w:val="14"/>
          <w:szCs w:val="14"/>
          <w:color w:val="auto"/>
        </w:rPr>
      </w:pPr>
    </w:p>
    <w:p>
      <w:pPr>
        <w:ind w:right="3859" w:firstLine="1300"/>
        <w:spacing w:after="0" w:line="255" w:lineRule="auto"/>
        <w:tabs>
          <w:tab w:leader="none" w:pos="1723"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 of Brian L. Roberts and/or a lineal descendant or descendants of Brian L. Roberts.</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means shares of the Company's Class A Special Common</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par value, $1.00.</w:t>
      </w:r>
    </w:p>
    <w:p>
      <w:pPr>
        <w:spacing w:after="0" w:line="173" w:lineRule="exact"/>
        <w:rPr>
          <w:sz w:val="20"/>
          <w:szCs w:val="20"/>
          <w:color w:val="auto"/>
        </w:rPr>
      </w:pPr>
    </w:p>
    <w:p>
      <w:pPr>
        <w:ind w:left="1300" w:hanging="430"/>
        <w:spacing w:after="0"/>
        <w:tabs>
          <w:tab w:leader="none" w:pos="13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"Successor-in-Interest" means the Participant's executor or</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administrator, or such other person or entity to whom the Participant's rights under the Plan shall have passed by will or the laws of descent and distribution.</w:t>
      </w:r>
    </w:p>
    <w:p>
      <w:pPr>
        <w:spacing w:after="0" w:line="163" w:lineRule="exact"/>
        <w:rPr>
          <w:sz w:val="20"/>
          <w:szCs w:val="20"/>
          <w:color w:val="auto"/>
        </w:rPr>
      </w:pPr>
    </w:p>
    <w:p>
      <w:pPr>
        <w:ind w:left="1300" w:hanging="430"/>
        <w:spacing w:after="0"/>
        <w:tabs>
          <w:tab w:leader="none" w:pos="13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 means any of the following events:</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of the Company; or</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together with such Person's</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Affiliates, provided that the term "Third Party" shall not include the Company, an Affiliate of the Company or any member or members of the Roberts Family.</w:t>
      </w:r>
    </w:p>
    <w:p>
      <w:pPr>
        <w:spacing w:after="0" w:line="160" w:lineRule="exact"/>
        <w:rPr>
          <w:sz w:val="20"/>
          <w:szCs w:val="20"/>
          <w:color w:val="auto"/>
        </w:rPr>
      </w:pPr>
    </w:p>
    <w:p>
      <w:pPr>
        <w:ind w:left="1300" w:hanging="430"/>
        <w:spacing w:after="0"/>
        <w:tabs>
          <w:tab w:leader="none" w:pos="13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Form" means the written or electronic form</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acceptable to the Committee which an Employee shall use to discontinue participation during an Offering Period pursuant to Paragraph 7(b).</w:t>
      </w:r>
    </w:p>
    <w:p>
      <w:pPr>
        <w:spacing w:after="0" w:line="160" w:lineRule="exact"/>
        <w:rPr>
          <w:sz w:val="20"/>
          <w:szCs w:val="20"/>
          <w:color w:val="auto"/>
        </w:rPr>
      </w:pPr>
    </w:p>
    <w:p>
      <w:pPr>
        <w:ind w:left="860" w:hanging="852"/>
        <w:spacing w:after="0"/>
        <w:tabs>
          <w:tab w:leader="none" w:pos="8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hanging="430"/>
        <w:spacing w:after="0"/>
        <w:tabs>
          <w:tab w:leader="none" w:pos="13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Except to the extent participation is restricted</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under Paragraph 3(b), each Eligible Employee shall be eligible to participate in the Plan.</w:t>
      </w:r>
    </w:p>
    <w:p>
      <w:pPr>
        <w:spacing w:after="0" w:line="160" w:lineRule="exact"/>
        <w:rPr>
          <w:sz w:val="20"/>
          <w:szCs w:val="20"/>
          <w:color w:val="auto"/>
        </w:rPr>
      </w:pPr>
    </w:p>
    <w:p>
      <w:pPr>
        <w:ind w:left="1300" w:hanging="430"/>
        <w:spacing w:after="0"/>
        <w:tabs>
          <w:tab w:leader="none" w:pos="13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Participation.  Notwithstanding any provisions</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of the Plan to the contrary, no Employee shall be eligible to purchase Shares in an Offering to the extent that:</w:t>
      </w:r>
    </w:p>
    <w:p>
      <w:pPr>
        <w:spacing w:after="0" w:line="160" w:lineRule="exact"/>
        <w:rPr>
          <w:sz w:val="20"/>
          <w:szCs w:val="20"/>
          <w:color w:val="auto"/>
        </w:rPr>
      </w:pPr>
    </w:p>
    <w:p>
      <w:pPr>
        <w:ind w:right="3779" w:firstLine="1300"/>
        <w:spacing w:after="0" w:line="255" w:lineRule="auto"/>
        <w:tabs>
          <w:tab w:leader="none" w:pos="172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purchase of Shares, such Employee would be a Five Percent Owner; or</w:t>
      </w:r>
    </w:p>
    <w:p>
      <w:pPr>
        <w:spacing w:after="0" w:line="159" w:lineRule="exact"/>
        <w:rPr>
          <w:rFonts w:ascii="Courier New" w:cs="Courier New" w:eastAsia="Courier New" w:hAnsi="Courier New"/>
          <w:sz w:val="14"/>
          <w:szCs w:val="14"/>
          <w:color w:val="auto"/>
        </w:rPr>
      </w:pPr>
    </w:p>
    <w:p>
      <w:pPr>
        <w:ind w:right="3339" w:firstLine="1300"/>
        <w:spacing w:after="0" w:line="252" w:lineRule="auto"/>
        <w:tabs>
          <w:tab w:leader="none" w:pos="172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purchase of Shares would permit such Employee's rights to purchase stock under all employee stock purchase plans of the Participating Companies which meet the requirements of section 423(b) of the Code to accrue at a rate which exceeds $25,000 in fair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4" w:name="page15"/>
    <w:bookmarkEnd w:id="14"/>
    <w:p>
      <w:pPr>
        <w:ind w:right="3419"/>
        <w:spacing w:after="0" w:line="255" w:lineRule="auto"/>
        <w:rPr>
          <w:sz w:val="20"/>
          <w:szCs w:val="20"/>
          <w:color w:val="auto"/>
        </w:rPr>
      </w:pPr>
      <w:r>
        <w:rPr>
          <w:rFonts w:ascii="Courier New" w:cs="Courier New" w:eastAsia="Courier New" w:hAnsi="Courier New"/>
          <w:sz w:val="14"/>
          <w:szCs w:val="14"/>
          <w:color w:val="auto"/>
        </w:rPr>
        <w:t>market value (as determined pursuant to section 423(b)(8) of the Code) for each calendar year in which such right to purchase Shares is outstanding.</w:t>
      </w:r>
    </w:p>
    <w:p>
      <w:pPr>
        <w:spacing w:after="0" w:line="160" w:lineRule="exact"/>
        <w:rPr>
          <w:sz w:val="20"/>
          <w:szCs w:val="20"/>
          <w:color w:val="auto"/>
        </w:rPr>
      </w:pPr>
    </w:p>
    <w:p>
      <w:pPr>
        <w:ind w:left="860" w:hanging="421"/>
        <w:spacing w:after="0"/>
        <w:tabs>
          <w:tab w:leader="none" w:pos="8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of Participation.  An Eligible Employee shall become a</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64" w:lineRule="exact"/>
        <w:rPr>
          <w:sz w:val="20"/>
          <w:szCs w:val="20"/>
          <w:color w:val="auto"/>
        </w:rPr>
      </w:pPr>
    </w:p>
    <w:p>
      <w:pPr>
        <w:ind w:left="440" w:hanging="432"/>
        <w:spacing w:after="0"/>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Per Offering.</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338" w:lineRule="exact"/>
        <w:rPr>
          <w:sz w:val="20"/>
          <w:szCs w:val="20"/>
          <w:color w:val="auto"/>
        </w:rPr>
      </w:pPr>
    </w:p>
    <w:p>
      <w:pPr>
        <w:ind w:left="440" w:hanging="432"/>
        <w:spacing w:after="0"/>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Payroll Deductions.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hanging="421"/>
        <w:spacing w:after="0"/>
        <w:tabs>
          <w:tab w:leader="none" w:pos="8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Payroll Deductions.  On the Election Form, an Eligible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Employee may elect to have Payroll Deductions of not more than 10 percent of Compensation earned for each payroll period ending within the Offering Period, subject to the limitation that the maximum amount of Payroll Deductions for any Eligible Employee for any calendar year shall not exceed $10,000. The rules established by the Committee regarding Payroll Deductions, as reflected on the Election Form, shall be consistent with section 423(b)(5) of the Code.</w:t>
      </w:r>
    </w:p>
    <w:p>
      <w:pPr>
        <w:spacing w:after="0" w:line="164" w:lineRule="exact"/>
        <w:rPr>
          <w:sz w:val="20"/>
          <w:szCs w:val="20"/>
          <w:color w:val="auto"/>
        </w:rPr>
      </w:pPr>
    </w:p>
    <w:p>
      <w:pPr>
        <w:ind w:left="860" w:hanging="421"/>
        <w:spacing w:after="0"/>
        <w:tabs>
          <w:tab w:leader="none" w:pos="8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Accounts.  All Payroll Deductions with respect to a</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Participant pursuant to Paragraph 5(a) shall be credited to the Participant's Account under the Plan.</w:t>
      </w:r>
    </w:p>
    <w:p>
      <w:pPr>
        <w:spacing w:after="0" w:line="160" w:lineRule="exact"/>
        <w:rPr>
          <w:sz w:val="20"/>
          <w:szCs w:val="20"/>
          <w:color w:val="auto"/>
        </w:rPr>
      </w:pPr>
    </w:p>
    <w:p>
      <w:pPr>
        <w:ind w:left="860" w:hanging="421"/>
        <w:spacing w:after="0"/>
        <w:tabs>
          <w:tab w:leader="none" w:pos="8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Payroll Deductions.  A Participant may discontinue Payroll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5" w:name="page16"/>
    <w:bookmarkEnd w:id="15"/>
    <w:p>
      <w:pPr>
        <w:jc w:val="both"/>
        <w:ind w:right="3519"/>
        <w:spacing w:after="0" w:line="252" w:lineRule="auto"/>
        <w:rPr>
          <w:sz w:val="20"/>
          <w:szCs w:val="20"/>
          <w:color w:val="auto"/>
        </w:rPr>
      </w:pPr>
      <w:r>
        <w:rPr>
          <w:rFonts w:ascii="Courier New" w:cs="Courier New" w:eastAsia="Courier New" w:hAnsi="Courier New"/>
          <w:sz w:val="14"/>
          <w:szCs w:val="14"/>
          <w:color w:val="auto"/>
        </w:rPr>
        <w:t>established by the Committee) of such change to the Committee on or before the 15th day of the month immediately preceding the Offering Commencement Date for the Offering for which such change is effective.</w:t>
      </w:r>
    </w:p>
    <w:p>
      <w:pPr>
        <w:spacing w:after="0" w:line="163" w:lineRule="exact"/>
        <w:rPr>
          <w:sz w:val="20"/>
          <w:szCs w:val="20"/>
          <w:color w:val="auto"/>
        </w:rPr>
      </w:pPr>
    </w:p>
    <w:p>
      <w:pPr>
        <w:ind w:left="440" w:hanging="432"/>
        <w:spacing w:after="0"/>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Shares.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On each Offering Termination Date, each Participant shall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164" w:lineRule="exact"/>
        <w:rPr>
          <w:sz w:val="20"/>
          <w:szCs w:val="20"/>
          <w:color w:val="auto"/>
        </w:rPr>
      </w:pPr>
    </w:p>
    <w:p>
      <w:pPr>
        <w:ind w:left="860" w:hanging="421"/>
        <w:spacing w:after="0"/>
        <w:tabs>
          <w:tab w:leader="none" w:pos="8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Events.  The Company shall give Participants at least 30</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65" w:lineRule="exact"/>
        <w:rPr>
          <w:sz w:val="20"/>
          <w:szCs w:val="20"/>
          <w:color w:val="auto"/>
        </w:rPr>
      </w:pPr>
    </w:p>
    <w:p>
      <w:pPr>
        <w:ind w:left="860" w:hanging="421"/>
        <w:spacing w:after="0"/>
        <w:tabs>
          <w:tab w:leader="none" w:pos="8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and Minimum Number of Shares.  Fractional Shares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165" w:lineRule="exact"/>
        <w:rPr>
          <w:sz w:val="20"/>
          <w:szCs w:val="20"/>
          <w:color w:val="auto"/>
        </w:rPr>
      </w:pPr>
    </w:p>
    <w:p>
      <w:pPr>
        <w:ind w:left="860" w:hanging="421"/>
        <w:spacing w:after="0"/>
        <w:tabs>
          <w:tab w:leader="none" w:pos="8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Rights to Purchase Shares.  No right to purchase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62" w:lineRule="exact"/>
        <w:rPr>
          <w:sz w:val="20"/>
          <w:szCs w:val="20"/>
          <w:color w:val="auto"/>
        </w:rPr>
      </w:pPr>
    </w:p>
    <w:p>
      <w:pPr>
        <w:ind w:left="440" w:hanging="432"/>
        <w:spacing w:after="0"/>
        <w:tabs>
          <w:tab w:leader="none" w:pos="4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Participation.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Except as provided in Paragraph 7(c), no amounts shall be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distributed from Participants' Accounts during an Offering Period.</w:t>
      </w:r>
    </w:p>
    <w:p>
      <w:pPr>
        <w:spacing w:after="0" w:line="173" w:lineRule="exact"/>
        <w:rPr>
          <w:sz w:val="20"/>
          <w:szCs w:val="20"/>
          <w:color w:val="auto"/>
        </w:rPr>
      </w:pPr>
    </w:p>
    <w:p>
      <w:pPr>
        <w:ind w:left="860" w:hanging="421"/>
        <w:spacing w:after="0"/>
        <w:tabs>
          <w:tab w:leader="none" w:pos="8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Suspension of Participation.  A Participant may discontinue Payroll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6" w:name="page17"/>
    <w:bookmarkEnd w:id="16"/>
    <w:p>
      <w:pPr>
        <w:ind w:left="860" w:hanging="421"/>
        <w:spacing w:after="0"/>
        <w:tabs>
          <w:tab w:leader="none" w:pos="8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Upon termination of a Participant's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employment for any reason, all amounts credited to such Participant's Account shall be returned to the Participant, or, following the Participant's death, to the Participant's Successor-in-Interest.</w:t>
      </w:r>
    </w:p>
    <w:p>
      <w:pPr>
        <w:spacing w:after="0" w:line="163" w:lineRule="exact"/>
        <w:rPr>
          <w:sz w:val="20"/>
          <w:szCs w:val="20"/>
          <w:color w:val="auto"/>
        </w:rPr>
      </w:pPr>
    </w:p>
    <w:p>
      <w:pPr>
        <w:ind w:left="440" w:hanging="432"/>
        <w:spacing w:after="0"/>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No interest shall be paid or allowed with respect to Payroll Deductions paid into the Plan or credited to any Participant's Account.</w:t>
      </w:r>
    </w:p>
    <w:p>
      <w:pPr>
        <w:spacing w:after="0" w:line="160" w:lineRule="exact"/>
        <w:rPr>
          <w:sz w:val="20"/>
          <w:szCs w:val="20"/>
          <w:color w:val="auto"/>
        </w:rPr>
      </w:pPr>
    </w:p>
    <w:p>
      <w:pPr>
        <w:ind w:left="440" w:hanging="432"/>
        <w:spacing w:after="0"/>
        <w:tabs>
          <w:tab w:leader="none" w:pos="4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Number of Shares; Adjustments.  Subject to adjustment as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provided in this Paragraph 9, not more than 4,250,000 Shares in the aggregate may be issued pursuant to the Plan pursuant to Offerings under the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339" w:lineRule="exact"/>
        <w:rPr>
          <w:sz w:val="20"/>
          <w:szCs w:val="20"/>
          <w:color w:val="auto"/>
        </w:rPr>
      </w:pPr>
    </w:p>
    <w:p>
      <w:pPr>
        <w:ind w:left="860" w:hanging="421"/>
        <w:spacing w:after="0"/>
        <w:tabs>
          <w:tab w:leader="none" w:pos="8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Interest in Shares.  A Participant shall have no</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interest in Shares offered under the Plan until Shares are credited to the Participant's Brokerage Account.</w:t>
      </w:r>
    </w:p>
    <w:p>
      <w:pPr>
        <w:spacing w:after="0" w:line="160" w:lineRule="exact"/>
        <w:rPr>
          <w:sz w:val="20"/>
          <w:szCs w:val="20"/>
          <w:color w:val="auto"/>
        </w:rPr>
      </w:pPr>
    </w:p>
    <w:p>
      <w:pPr>
        <w:ind w:left="860" w:hanging="421"/>
        <w:spacing w:after="0"/>
        <w:tabs>
          <w:tab w:leader="none" w:pos="8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Crediting of Shares to Brokerage Account.  Shares purchased under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Plan shall be credited to the Participant's Brokerage Account as soon as practicable following the Offering Termination Date.</w:t>
      </w:r>
    </w:p>
    <w:p>
      <w:pPr>
        <w:spacing w:after="0" w:line="160" w:lineRule="exact"/>
        <w:rPr>
          <w:sz w:val="20"/>
          <w:szCs w:val="20"/>
          <w:color w:val="auto"/>
        </w:rPr>
      </w:pPr>
    </w:p>
    <w:p>
      <w:pPr>
        <w:ind w:left="860" w:hanging="421"/>
        <w:spacing w:after="0"/>
        <w:tabs>
          <w:tab w:leader="none" w:pos="8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Purchase.  The Board or the Committee may, in its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discretion, require as conditions to the purchase of any Shares under the Plan such conditions as it may deem necessary to assure that such purchase of Shares is in compliance with applicable securities laws.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7" w:name="page18"/>
    <w:bookmarkEnd w:id="17"/>
    <w:p>
      <w:pPr>
        <w:ind w:left="440" w:hanging="432"/>
        <w:spacing w:after="0"/>
        <w:tabs>
          <w:tab w:leader="none" w:pos="4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64" w:lineRule="exact"/>
        <w:rPr>
          <w:sz w:val="20"/>
          <w:szCs w:val="20"/>
          <w:color w:val="auto"/>
        </w:rPr>
      </w:pPr>
    </w:p>
    <w:p>
      <w:pPr>
        <w:ind w:left="440" w:hanging="432"/>
        <w:spacing w:after="0"/>
        <w:tabs>
          <w:tab w:leader="none" w:pos="4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164" w:lineRule="exact"/>
        <w:rPr>
          <w:sz w:val="20"/>
          <w:szCs w:val="20"/>
          <w:color w:val="auto"/>
        </w:rPr>
      </w:pPr>
    </w:p>
    <w:p>
      <w:pPr>
        <w:ind w:left="440" w:hanging="432"/>
        <w:spacing w:after="0"/>
        <w:tabs>
          <w:tab w:leader="none" w:pos="4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and Contributions Not to Affect Employment.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Plan shall not confer upon any Eligible Employee any right to continue in the employ of the Participating Companies.</w:t>
      </w:r>
    </w:p>
    <w:p>
      <w:pPr>
        <w:spacing w:after="0" w:line="160" w:lineRule="exact"/>
        <w:rPr>
          <w:sz w:val="20"/>
          <w:szCs w:val="20"/>
          <w:color w:val="auto"/>
        </w:rPr>
      </w:pPr>
    </w:p>
    <w:p>
      <w:pPr>
        <w:ind w:left="440" w:hanging="432"/>
        <w:spacing w:after="0"/>
        <w:tabs>
          <w:tab w:leader="none" w:pos="4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64" w:lineRule="exact"/>
        <w:rPr>
          <w:sz w:val="20"/>
          <w:szCs w:val="20"/>
          <w:color w:val="auto"/>
        </w:rPr>
      </w:pPr>
    </w:p>
    <w:p>
      <w:pPr>
        <w:ind w:left="440" w:hanging="432"/>
        <w:spacing w:after="0"/>
        <w:tabs>
          <w:tab w:leader="none" w:pos="4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Termination.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8" w:name="page19"/>
    <w:bookmarkEnd w:id="18"/>
    <w:p>
      <w:pPr>
        <w:ind w:left="440" w:hanging="432"/>
        <w:spacing w:after="0"/>
        <w:tabs>
          <w:tab w:leader="none" w:pos="4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Plan shall be effective on December 20, 2000, the date it was adopted by the Board, subject to approval by the Company's shareholders within one year of the adoption of the Plan by the Board. This amendment and restatement of the Plan is effective on June 6, 2001. Any rights to purchase Shares made available before the approval of the Plan by the Company's shareholders shall be expressly conditioned upon such approval, and no Share certificates shall be issued until such approval. If shareholder approval is not received within 12 months before or after the date of the initial adoption of the Plan by the Board, no Share certificates shall be issued and all amounts credited to Participants' Accounts with respect to such Shares shall be returned to Participants as soon as administratively practicable.</w:t>
      </w:r>
    </w:p>
    <w:p>
      <w:pPr>
        <w:spacing w:after="0" w:line="163" w:lineRule="exact"/>
        <w:rPr>
          <w:sz w:val="20"/>
          <w:szCs w:val="20"/>
          <w:color w:val="auto"/>
        </w:rPr>
      </w:pPr>
    </w:p>
    <w:p>
      <w:pPr>
        <w:ind w:left="440" w:hanging="432"/>
        <w:spacing w:after="0"/>
        <w:tabs>
          <w:tab w:leader="none" w:pos="4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and Other Regulations.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hanging="421"/>
        <w:spacing w:after="0"/>
        <w:tabs>
          <w:tab w:leader="none" w:pos="8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The purchase of Shares under the Plan shall be subject to</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all applicable laws, rules and regulations, and to such approvals by any governmental agencies as may be required.</w:t>
      </w:r>
    </w:p>
    <w:p>
      <w:pPr>
        <w:spacing w:after="0" w:line="160" w:lineRule="exact"/>
        <w:rPr>
          <w:sz w:val="20"/>
          <w:szCs w:val="20"/>
          <w:color w:val="auto"/>
        </w:rPr>
      </w:pPr>
    </w:p>
    <w:p>
      <w:pPr>
        <w:ind w:left="860" w:hanging="421"/>
        <w:spacing w:after="0"/>
        <w:tabs>
          <w:tab w:leader="none" w:pos="8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  The Committee shall have the power to make each</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65" w:lineRule="exact"/>
        <w:rPr>
          <w:sz w:val="20"/>
          <w:szCs w:val="20"/>
          <w:color w:val="auto"/>
        </w:rPr>
      </w:pPr>
    </w:p>
    <w:p>
      <w:pPr>
        <w:ind w:left="440" w:hanging="432"/>
        <w:spacing w:after="0"/>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Non-Alienation.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65" w:lineRule="exact"/>
        <w:rPr>
          <w:sz w:val="20"/>
          <w:szCs w:val="20"/>
          <w:color w:val="auto"/>
        </w:rPr>
      </w:pPr>
    </w:p>
    <w:p>
      <w:pPr>
        <w:ind w:left="440" w:hanging="432"/>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Any notice required or permitted hereunder shall be sufficiently given only if delivered personally, telecopied, or sent by first class mail, postage prepaid, and addressed: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9" w:name="page20"/>
    <w:bookmarkEnd w:id="19"/>
    <w:p>
      <w:pPr>
        <w:ind w:left="440"/>
        <w:spacing w:after="0"/>
        <w:rPr>
          <w:sz w:val="20"/>
          <w:szCs w:val="20"/>
          <w:color w:val="auto"/>
        </w:rPr>
      </w:pPr>
      <w:r>
        <w:rPr>
          <w:rFonts w:ascii="Courier New" w:cs="Courier New" w:eastAsia="Courier New" w:hAnsi="Courier New"/>
          <w:sz w:val="14"/>
          <w:szCs w:val="14"/>
          <w:color w:val="auto"/>
        </w:rPr>
        <w:t>If to the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Philadelphia, PA, 19102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Fax: 215-981-7794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Attention: General Counsel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 any other address provided pursuant to notice provided by the Committee.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Participant: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162" w:lineRule="exact"/>
        <w:rPr>
          <w:sz w:val="20"/>
          <w:szCs w:val="20"/>
          <w:color w:val="auto"/>
        </w:rPr>
      </w:pPr>
    </w:p>
    <w:p>
      <w:pPr>
        <w:ind w:left="520" w:hanging="512"/>
        <w:spacing w:after="0"/>
        <w:tabs>
          <w:tab w:leader="none" w:pos="52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Plan shall be binding upon and inure to the benefit of any successors or assigns of the Company.</w:t>
      </w:r>
    </w:p>
    <w:p>
      <w:pPr>
        <w:spacing w:after="0" w:line="160" w:lineRule="exact"/>
        <w:rPr>
          <w:sz w:val="20"/>
          <w:szCs w:val="20"/>
          <w:color w:val="auto"/>
        </w:rPr>
      </w:pPr>
    </w:p>
    <w:p>
      <w:pPr>
        <w:ind w:left="520" w:hanging="512"/>
        <w:spacing w:after="0"/>
        <w:tabs>
          <w:tab w:leader="none" w:pos="5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63" w:lineRule="exact"/>
        <w:rPr>
          <w:sz w:val="20"/>
          <w:szCs w:val="20"/>
          <w:color w:val="auto"/>
        </w:rPr>
      </w:pPr>
    </w:p>
    <w:p>
      <w:pPr>
        <w:ind w:left="520" w:hanging="512"/>
        <w:spacing w:after="0"/>
        <w:tabs>
          <w:tab w:leader="none" w:pos="5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The election by any Eligible Employee to participate in this Plan constitutes his or her acceptance of the terms of the Plan and his or her agreement to be bound hereby.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20" w:name="page21"/>
    <w:bookmarkEnd w:id="20"/>
    <w:p>
      <w:pPr>
        <w:ind w:left="440" w:hanging="432"/>
        <w:spacing w:after="0"/>
        <w:tabs>
          <w:tab w:leader="none" w:pos="4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7" w:lineRule="auto"/>
        <w:rPr>
          <w:sz w:val="20"/>
          <w:szCs w:val="20"/>
          <w:color w:val="auto"/>
        </w:rPr>
      </w:pPr>
      <w:r>
        <w:rPr>
          <w:rFonts w:ascii="Courier New" w:cs="Courier New" w:eastAsia="Courier New" w:hAnsi="Courier New"/>
          <w:sz w:val="14"/>
          <w:szCs w:val="14"/>
          <w:color w:val="auto"/>
        </w:rPr>
        <w:t>This Plan shall be construed in accordance with the laws of the Commonwealth of Pennsylvania, to the extent not preempted by applicable Federal law.</w:t>
      </w:r>
    </w:p>
    <w:p>
      <w:pPr>
        <w:spacing w:after="0" w:line="200" w:lineRule="exact"/>
        <w:rPr>
          <w:sz w:val="20"/>
          <w:szCs w:val="20"/>
          <w:color w:val="auto"/>
        </w:rPr>
      </w:pPr>
    </w:p>
    <w:p>
      <w:pPr>
        <w:spacing w:after="0" w:line="289"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Executed as of the 6th day of June, 2001.</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 /s/ Stanley Wang</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Attest: /s/ Arthur R. Block</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21" w:name="page22"/>
    <w:bookmarkEnd w:id="21"/>
    <w:p>
      <w:pPr>
        <w:ind w:left="2940"/>
        <w:spacing w:after="0"/>
        <w:rPr>
          <w:sz w:val="20"/>
          <w:szCs w:val="20"/>
          <w:color w:val="auto"/>
        </w:rPr>
      </w:pPr>
      <w:r>
        <w:rPr>
          <w:rFonts w:ascii="Courier New" w:cs="Courier New" w:eastAsia="Courier New" w:hAnsi="Courier New"/>
          <w:sz w:val="14"/>
          <w:szCs w:val="14"/>
          <w:color w:val="auto"/>
        </w:rPr>
        <w:t>SCHEDULE A</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Participating Companies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 Communications, Inc. and its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Online Communications, Inc.</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2" w:name="page23"/>
    <w:bookmarkEnd w:id="22"/>
    <w:p>
      <w:pPr>
        <w:jc w:val="right"/>
        <w:ind w:right="3339"/>
        <w:spacing w:after="0"/>
        <w:rPr>
          <w:sz w:val="20"/>
          <w:szCs w:val="20"/>
          <w:color w:val="auto"/>
        </w:rPr>
      </w:pPr>
      <w:r>
        <w:rPr>
          <w:rFonts w:ascii="Courier New" w:cs="Courier New" w:eastAsia="Courier New" w:hAnsi="Courier New"/>
          <w:sz w:val="14"/>
          <w:szCs w:val="14"/>
          <w:color w:val="auto"/>
        </w:rPr>
        <w:t>Exhibit 5.1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Pepper Hamilton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 Two Logan Square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Eighteenth and Arch Streets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PA 19103-2799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215.981.4000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215.981.4750</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June 6,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PA 19102-2148</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Comcast Corporation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Registration Statement on Form S-8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Registration Statement covers 4,250,000 shares of the Company's Class A Special Common Stock, par value $1.00 per share (the "Shares"), which may be issued pursuant to the Comcast Corporation 2001 Employee Stock Purchase Plan (the "Plan").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examined the Registration Statement, including the exhibits thereto, the Company's Articles of Incorporation, as amended, the Company's By-laws, the Plan and such certificates, records, statutes and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64"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Based on the foregoing, it is our opinion that the Shares, when issued and paid for in accordance with the terms of the Plan, will be validly issued, fully paid and non-assessable.</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The opinion set forth above is limited to the Business Corporation Law of the Commonwealth of Pennsylvania, as amended and the federal securities laws as in effect on the date hereof.</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In giving such consent, we do not thereby admit that we come within the category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23" w:name="page24"/>
    <w:bookmarkEnd w:id="23"/>
    <w:p>
      <w:pPr>
        <w:ind w:right="3419"/>
        <w:spacing w:after="0" w:line="257" w:lineRule="auto"/>
        <w:rPr>
          <w:sz w:val="20"/>
          <w:szCs w:val="20"/>
          <w:color w:val="auto"/>
        </w:rPr>
      </w:pPr>
      <w:r>
        <w:rPr>
          <w:rFonts w:ascii="Courier New" w:cs="Courier New" w:eastAsia="Courier New" w:hAnsi="Courier New"/>
          <w:sz w:val="14"/>
          <w:szCs w:val="14"/>
          <w:color w:val="auto"/>
        </w:rPr>
        <w:t>persons whose consent is required under Section 7 of the Securities Act of 1933 or the rules or regulations of the Securities and Exchange Commission thereunder.</w:t>
      </w:r>
    </w:p>
    <w:p>
      <w:pPr>
        <w:spacing w:after="0" w:line="32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Pepper Hamilton LLP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Pepper Hamilton LLP</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4" w:name="page25"/>
    <w:bookmarkEnd w:id="24"/>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Comcast Corporation and its subsidiaries on Form S-8 of our reports dated February 23, 2001, appearing in the Annual Report on Form 10-K of Comcast Corporation and its subsidiaries for the year ended December 31,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June</w:t>
        <w:tab/>
        <w:t>6, 2001</w:t>
      </w:r>
    </w:p>
    <w:p>
      <w:pPr>
        <w:sectPr>
          <w:pgSz w:w="11900" w:h="16838" w:orient="portrait"/>
          <w:cols w:equalWidth="0" w:num="1">
            <w:col w:w="10239"/>
          </w:cols>
          <w:pgMar w:left="220" w:top="473" w:right="1440" w:bottom="1440" w:gutter="0" w:footer="0" w:header="0"/>
        </w:sectPr>
      </w:pPr>
    </w:p>
    <w:bookmarkStart w:id="25" w:name="page26"/>
    <w:bookmarkEnd w:id="25"/>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incorporation by reference in the registration statement on Form S-8 of Comcast Corporation of our report dated February 3, 1999, with respect to the consolidated statements of operations and comprehensive income, shareholders' equity, and cash flows of QVC, Inc. and subsidiaries for the year ended December 31, 1998, which report is included as an exhibit to the Form 10-K of Comcast Corporation for the year ended December 31,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6, 2001</w:t>
      </w:r>
    </w:p>
    <w:sectPr>
      <w:pgSz w:w="11900" w:h="16838" w:orient="portrait"/>
      <w:cols w:equalWidth="0" w:num="1">
        <w:col w:w="10239"/>
      </w:cols>
      <w:pgMar w:left="2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1"/>
    </w:lvl>
  </w:abstractNum>
  <w:abstractNum w:abstractNumId="1">
    <w:nsid w:val="5E884ADC"/>
    <w:multiLevelType w:val="hybridMultilevel"/>
    <w:lvl w:ilvl="0">
      <w:lvlJc w:val="left"/>
      <w:lvlText w:val="(%1)"/>
      <w:numFmt w:val="lowerLetter"/>
      <w:start w:val="1"/>
    </w:lvl>
  </w:abstractNum>
  <w:abstractNum w:abstractNumId="2">
    <w:nsid w:val="51EAD36B"/>
    <w:multiLevelType w:val="hybridMultilevel"/>
    <w:lvl w:ilvl="0">
      <w:lvlJc w:val="left"/>
      <w:lvlText w:val="(%1)"/>
      <w:numFmt w:val="lowerLetter"/>
      <w:start w:val="1"/>
    </w:lvl>
  </w:abstractNum>
  <w:abstractNum w:abstractNumId="3">
    <w:nsid w:val="2D517796"/>
    <w:multiLevelType w:val="hybridMultilevel"/>
    <w:lvl w:ilvl="0">
      <w:lvlJc w:val="left"/>
      <w:lvlText w:val="(%1)"/>
      <w:numFmt w:val="decimal"/>
      <w:start w:val="1"/>
    </w:lvl>
    <w:lvl w:ilvl="1">
      <w:lvlJc w:val="left"/>
      <w:lvlText w:val="(%2)"/>
      <w:numFmt w:val="lowerRoman"/>
      <w:start w:val="1"/>
    </w:lvl>
  </w:abstractNum>
  <w:abstractNum w:abstractNumId="4">
    <w:nsid w:val="580BD78F"/>
    <w:multiLevelType w:val="hybridMultilevel"/>
    <w:lvl w:ilvl="0">
      <w:lvlJc w:val="left"/>
      <w:lvlText w:val="(%1)"/>
      <w:numFmt w:val="decimal"/>
      <w:start w:val="2"/>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decimal"/>
      <w:start w:val="2"/>
    </w:lvl>
    <w:lvl w:ilvl="1">
      <w:lvlJc w:val="left"/>
      <w:lvlText w:val="(%2)"/>
      <w:numFmt w:val="lowerLetter"/>
      <w:start w:val="1"/>
    </w:lvl>
  </w:abstractNum>
  <w:abstractNum w:abstractNumId="9">
    <w:nsid w:val="2A487CB0"/>
    <w:multiLevelType w:val="hybridMultilevel"/>
    <w:lvl w:ilvl="0">
      <w:lvlJc w:val="left"/>
      <w:lvlText w:val="(%1)"/>
      <w:numFmt w:val="lowerLetter"/>
      <w:start w:val="2"/>
    </w:lvl>
  </w:abstractNum>
  <w:abstractNum w:abstractNumId="10">
    <w:nsid w:val="1D4ED43B"/>
    <w:multiLevelType w:val="hybridMultilevel"/>
    <w:lvl w:ilvl="0">
      <w:lvlJc w:val="left"/>
      <w:lvlText w:val="(%1)"/>
      <w:numFmt w:val="lowerLetter"/>
      <w:start w:val="3"/>
    </w:lvl>
  </w:abstractNum>
  <w:abstractNum w:abstractNumId="11">
    <w:nsid w:val="725A06FB"/>
    <w:multiLevelType w:val="hybridMultilevel"/>
    <w:lvl w:ilvl="0">
      <w:lvlJc w:val="left"/>
      <w:lvlText w:val="(%1)"/>
      <w:numFmt w:val="lowerLetter"/>
      <w:start w:val="5"/>
    </w:lvl>
  </w:abstractNum>
  <w:abstractNum w:abstractNumId="12">
    <w:nsid w:val="2CD89A32"/>
    <w:multiLevelType w:val="hybridMultilevel"/>
    <w:lvl w:ilvl="0">
      <w:lvlJc w:val="left"/>
      <w:lvlText w:val="(%1)"/>
      <w:numFmt w:val="lowerLetter"/>
      <w:start w:val="6"/>
    </w:lvl>
  </w:abstractNum>
  <w:abstractNum w:abstractNumId="13">
    <w:nsid w:val="57E4CCAF"/>
    <w:multiLevelType w:val="hybridMultilevel"/>
    <w:lvl w:ilvl="0">
      <w:lvlJc w:val="left"/>
      <w:lvlText w:val="(%1)"/>
      <w:numFmt w:val="lowerRoman"/>
      <w:start w:val="1"/>
    </w:lvl>
  </w:abstractNum>
  <w:abstractNum w:abstractNumId="14">
    <w:nsid w:val="7A6D8D3C"/>
    <w:multiLevelType w:val="hybridMultilevel"/>
    <w:lvl w:ilvl="0">
      <w:lvlJc w:val="left"/>
      <w:lvlText w:val="(%1)"/>
      <w:numFmt w:val="lowerLetter"/>
      <w:start w:val="10"/>
    </w:lvl>
  </w:abstractNum>
  <w:abstractNum w:abstractNumId="15">
    <w:nsid w:val="4B588F54"/>
    <w:multiLevelType w:val="hybridMultilevel"/>
    <w:lvl w:ilvl="0">
      <w:lvlJc w:val="left"/>
      <w:lvlText w:val="(%1)"/>
      <w:numFmt w:val="lowerLetter"/>
      <w:start w:val="11"/>
    </w:lvl>
  </w:abstractNum>
  <w:abstractNum w:abstractNumId="16">
    <w:nsid w:val="542289EC"/>
    <w:multiLevelType w:val="hybridMultilevel"/>
    <w:lvl w:ilvl="0">
      <w:lvlJc w:val="left"/>
      <w:lvlText w:val="(%1)"/>
      <w:numFmt w:val="lowerLetter"/>
      <w:start w:val="12"/>
    </w:lvl>
  </w:abstractNum>
  <w:abstractNum w:abstractNumId="17">
    <w:nsid w:val="6DE91B18"/>
    <w:multiLevelType w:val="hybridMultilevel"/>
    <w:lvl w:ilvl="0">
      <w:lvlJc w:val="left"/>
      <w:lvlText w:val="(%1)"/>
      <w:numFmt w:val="lowerLetter"/>
      <w:start w:val="13"/>
    </w:lvl>
  </w:abstractNum>
  <w:abstractNum w:abstractNumId="18">
    <w:nsid w:val="38437FDB"/>
    <w:multiLevelType w:val="hybridMultilevel"/>
    <w:lvl w:ilvl="0">
      <w:lvlJc w:val="left"/>
      <w:lvlText w:val="(%1)"/>
      <w:numFmt w:val="lowerLetter"/>
      <w:start w:val="14"/>
    </w:lvl>
  </w:abstractNum>
  <w:abstractNum w:abstractNumId="19">
    <w:nsid w:val="7644A45C"/>
    <w:multiLevelType w:val="hybridMultilevel"/>
    <w:lvl w:ilvl="0">
      <w:lvlJc w:val="left"/>
      <w:lvlText w:val="(%1)"/>
      <w:numFmt w:val="lowerLetter"/>
      <w:start w:val="15"/>
    </w:lvl>
  </w:abstractNum>
  <w:abstractNum w:abstractNumId="20">
    <w:nsid w:val="32FFF902"/>
    <w:multiLevelType w:val="hybridMultilevel"/>
    <w:lvl w:ilvl="0">
      <w:lvlJc w:val="left"/>
      <w:lvlText w:val="(%1)"/>
      <w:numFmt w:val="lowerLetter"/>
      <w:start w:val="16"/>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lowerLetter"/>
      <w:start w:val="17"/>
    </w:lvl>
  </w:abstractNum>
  <w:abstractNum w:abstractNumId="23">
    <w:nsid w:val="749ABB43"/>
    <w:multiLevelType w:val="hybridMultilevel"/>
    <w:lvl w:ilvl="0">
      <w:lvlJc w:val="left"/>
      <w:lvlText w:val="(%1)"/>
      <w:numFmt w:val="lowerLetter"/>
      <w:start w:val="18"/>
    </w:lvl>
  </w:abstractNum>
  <w:abstractNum w:abstractNumId="24">
    <w:nsid w:val="3DC240FB"/>
    <w:multiLevelType w:val="hybridMultilevel"/>
    <w:lvl w:ilvl="0">
      <w:lvlJc w:val="left"/>
      <w:lvlText w:val="(%1)"/>
      <w:numFmt w:val="lowerLetter"/>
      <w:start w:val="19"/>
    </w:lvl>
  </w:abstractNum>
  <w:abstractNum w:abstractNumId="25">
    <w:nsid w:val="1BA026FA"/>
    <w:multiLevelType w:val="hybridMultilevel"/>
    <w:lvl w:ilvl="0">
      <w:lvlJc w:val="left"/>
      <w:lvlText w:val="(%1)"/>
      <w:numFmt w:val="lowerLetter"/>
      <w:start w:val="20"/>
    </w:lvl>
  </w:abstractNum>
  <w:abstractNum w:abstractNumId="26">
    <w:nsid w:val="79A1DEAA"/>
    <w:multiLevelType w:val="hybridMultilevel"/>
    <w:lvl w:ilvl="0">
      <w:lvlJc w:val="left"/>
      <w:lvlText w:val="(%1)"/>
      <w:numFmt w:val="lowerLetter"/>
      <w:start w:val="21"/>
    </w:lvl>
  </w:abstractNum>
  <w:abstractNum w:abstractNumId="27">
    <w:nsid w:val="75C6C33A"/>
    <w:multiLevelType w:val="hybridMultilevel"/>
    <w:lvl w:ilvl="0">
      <w:lvlJc w:val="left"/>
      <w:lvlText w:val="(%1)"/>
      <w:numFmt w:val="lowerRoman"/>
      <w:start w:val="5"/>
    </w:lvl>
  </w:abstractNum>
  <w:abstractNum w:abstractNumId="28">
    <w:nsid w:val="12E685FB"/>
    <w:multiLevelType w:val="hybridMultilevel"/>
    <w:lvl w:ilvl="0">
      <w:lvlJc w:val="left"/>
      <w:lvlText w:val="(%1)"/>
      <w:numFmt w:val="lowerLetter"/>
      <w:start w:val="23"/>
    </w:lvl>
  </w:abstractNum>
  <w:abstractNum w:abstractNumId="29">
    <w:nsid w:val="70C6A529"/>
    <w:multiLevelType w:val="hybridMultilevel"/>
    <w:lvl w:ilvl="0">
      <w:lvlJc w:val="left"/>
      <w:lvlText w:val="(%1)"/>
      <w:numFmt w:val="lowerRoman"/>
      <w:start w:val="10"/>
    </w:lvl>
  </w:abstractNum>
  <w:abstractNum w:abstractNumId="30">
    <w:nsid w:val="520EEDD1"/>
    <w:multiLevelType w:val="hybridMultilevel"/>
    <w:lvl w:ilvl="0">
      <w:lvlJc w:val="left"/>
      <w:lvlText w:val="(%1)"/>
      <w:numFmt w:val="lowerLetter"/>
      <w:start w:val="25"/>
    </w:lvl>
  </w:abstractNum>
  <w:abstractNum w:abstractNumId="31">
    <w:nsid w:val="374A3FE6"/>
    <w:multiLevelType w:val="hybridMultilevel"/>
    <w:lvl w:ilvl="0">
      <w:lvlJc w:val="left"/>
      <w:lvlText w:val="(%1)"/>
      <w:numFmt w:val="lowerLetter"/>
      <w:start w:val="26"/>
    </w:lvl>
    <w:lvl w:ilvl="1">
      <w:lvlJc w:val="left"/>
      <w:lvlText w:val="(%2)"/>
      <w:numFmt w:val="decimal"/>
      <w:start w:val="1"/>
    </w:lvl>
  </w:abstractNum>
  <w:abstractNum w:abstractNumId="32">
    <w:nsid w:val="4F4EF005"/>
    <w:multiLevelType w:val="hybridMultilevel"/>
    <w:lvl w:ilvl="0">
      <w:lvlJc w:val="left"/>
      <w:lvlText w:val="(%1)"/>
      <w:numFmt w:val="lowerLetter"/>
      <w:start w:val="27"/>
    </w:lvl>
  </w:abstractNum>
  <w:abstractNum w:abstractNumId="33">
    <w:nsid w:val="23F9C13C"/>
    <w:multiLevelType w:val="hybridMultilevel"/>
    <w:lvl w:ilvl="0">
      <w:lvlJc w:val="left"/>
      <w:lvlText w:val="(%1)"/>
      <w:numFmt w:val="lowerLetter"/>
      <w:start w:val="28"/>
    </w:lvl>
  </w:abstractNum>
  <w:abstractNum w:abstractNumId="34">
    <w:nsid w:val="649BB77C"/>
    <w:multiLevelType w:val="hybridMultilevel"/>
    <w:lvl w:ilvl="0">
      <w:lvlJc w:val="left"/>
      <w:lvlText w:val="%1"/>
      <w:numFmt w:val="lowerLetter"/>
      <w:start w:val="1"/>
    </w:lvl>
    <w:lvl w:ilvl="1">
      <w:lvlJc w:val="left"/>
      <w:lvlText w:val="(%2)"/>
      <w:numFmt w:val="decimal"/>
      <w:start w:val="1"/>
    </w:lvl>
  </w:abstractNum>
  <w:abstractNum w:abstractNumId="35">
    <w:nsid w:val="275AC794"/>
    <w:multiLevelType w:val="hybridMultilevel"/>
    <w:lvl w:ilvl="0">
      <w:lvlJc w:val="left"/>
      <w:lvlText w:val="(%1)"/>
      <w:numFmt w:val="lowerLetter"/>
      <w:start w:val="29"/>
    </w:lvl>
    <w:lvl w:ilvl="1">
      <w:lvlJc w:val="left"/>
      <w:lvlText w:val="%2"/>
      <w:numFmt w:val="decimal"/>
      <w:start w:val="1"/>
    </w:lvl>
  </w:abstractNum>
  <w:abstractNum w:abstractNumId="36">
    <w:nsid w:val="39386575"/>
    <w:multiLevelType w:val="hybridMultilevel"/>
    <w:lvl w:ilvl="0">
      <w:lvlJc w:val="left"/>
      <w:lvlText w:val="(%1)"/>
      <w:numFmt w:val="lowerLetter"/>
      <w:start w:val="30"/>
    </w:lvl>
  </w:abstractNum>
  <w:abstractNum w:abstractNumId="37">
    <w:nsid w:val="1CF10FD8"/>
    <w:multiLevelType w:val="hybridMultilevel"/>
    <w:lvl w:ilvl="0">
      <w:lvlJc w:val="left"/>
      <w:lvlText w:val="(%1)"/>
      <w:numFmt w:val="lowerLetter"/>
      <w:start w:val="31"/>
    </w:lvl>
    <w:lvl w:ilvl="1">
      <w:lvlJc w:val="left"/>
      <w:lvlText w:val="(%2)"/>
      <w:numFmt w:val="decimal"/>
      <w:start w:val="1"/>
    </w:lvl>
  </w:abstractNum>
  <w:abstractNum w:abstractNumId="38">
    <w:nsid w:val="180115BE"/>
    <w:multiLevelType w:val="hybridMultilevel"/>
    <w:lvl w:ilvl="0">
      <w:lvlJc w:val="left"/>
      <w:lvlText w:val="(%1)"/>
      <w:numFmt w:val="lowerLetter"/>
      <w:start w:val="33"/>
    </w:lvl>
  </w:abstractNum>
  <w:abstractNum w:abstractNumId="39">
    <w:nsid w:val="235BA861"/>
    <w:multiLevelType w:val="hybridMultilevel"/>
    <w:lvl w:ilvl="0">
      <w:lvlJc w:val="left"/>
      <w:lvlText w:val="%1."/>
      <w:numFmt w:val="decimal"/>
      <w:start w:val="3"/>
    </w:lvl>
  </w:abstractNum>
  <w:abstractNum w:abstractNumId="40">
    <w:nsid w:val="47398C89"/>
    <w:multiLevelType w:val="hybridMultilevel"/>
    <w:lvl w:ilvl="0">
      <w:lvlJc w:val="left"/>
      <w:lvlText w:val="(%1)"/>
      <w:numFmt w:val="lowerLetter"/>
      <w:start w:val="1"/>
    </w:lvl>
  </w:abstractNum>
  <w:abstractNum w:abstractNumId="41">
    <w:nsid w:val="354FE9F9"/>
    <w:multiLevelType w:val="hybridMultilevel"/>
    <w:lvl w:ilvl="0">
      <w:lvlJc w:val="left"/>
      <w:lvlText w:val="(%1)"/>
      <w:numFmt w:val="lowerLetter"/>
      <w:start w:val="2"/>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lowerLetter"/>
      <w:start w:val="3"/>
    </w:lvl>
  </w:abstractNum>
  <w:abstractNum w:abstractNumId="44">
    <w:nsid w:val="D34B6A8"/>
    <w:multiLevelType w:val="hybridMultilevel"/>
    <w:lvl w:ilvl="0">
      <w:lvlJc w:val="left"/>
      <w:lvlText w:val="%1."/>
      <w:numFmt w:val="decimal"/>
      <w:start w:val="4"/>
    </w:lvl>
  </w:abstractNum>
  <w:abstractNum w:abstractNumId="45">
    <w:nsid w:val="10233C99"/>
    <w:multiLevelType w:val="hybridMultilevel"/>
    <w:lvl w:ilvl="0">
      <w:lvlJc w:val="left"/>
      <w:lvlText w:val="%1."/>
      <w:numFmt w:val="decimal"/>
      <w:start w:val="5"/>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lowerLetter"/>
      <w:start w:val="2"/>
    </w:lvl>
  </w:abstractNum>
  <w:abstractNum w:abstractNumId="48">
    <w:nsid w:val="7E0C57B1"/>
    <w:multiLevelType w:val="hybridMultilevel"/>
    <w:lvl w:ilvl="0">
      <w:lvlJc w:val="left"/>
      <w:lvlText w:val="(%1)"/>
      <w:numFmt w:val="lowerLetter"/>
      <w:start w:val="3"/>
    </w:lvl>
  </w:abstractNum>
  <w:abstractNum w:abstractNumId="49">
    <w:nsid w:val="77AE35EB"/>
    <w:multiLevelType w:val="hybridMultilevel"/>
    <w:lvl w:ilvl="0">
      <w:lvlJc w:val="left"/>
      <w:lvlText w:val="%1."/>
      <w:numFmt w:val="decimal"/>
      <w:start w:val="6"/>
    </w:lvl>
    <w:lvl w:ilvl="1">
      <w:lvlJc w:val="left"/>
      <w:lvlText w:val="(%2)"/>
      <w:numFmt w:val="lowerLetter"/>
      <w:start w:val="1"/>
    </w:lvl>
  </w:abstractNum>
  <w:abstractNum w:abstractNumId="50">
    <w:nsid w:val="579BE4F1"/>
    <w:multiLevelType w:val="hybridMultilevel"/>
    <w:lvl w:ilvl="0">
      <w:lvlJc w:val="left"/>
      <w:lvlText w:val="(%1)"/>
      <w:numFmt w:val="lowerLetter"/>
      <w:start w:val="2"/>
    </w:lvl>
  </w:abstractNum>
  <w:abstractNum w:abstractNumId="51">
    <w:nsid w:val="310C50B3"/>
    <w:multiLevelType w:val="hybridMultilevel"/>
    <w:lvl w:ilvl="0">
      <w:lvlJc w:val="left"/>
      <w:lvlText w:val="(%1)"/>
      <w:numFmt w:val="lowerLetter"/>
      <w:start w:val="3"/>
    </w:lvl>
  </w:abstractNum>
  <w:abstractNum w:abstractNumId="52">
    <w:nsid w:val="5FF87E05"/>
    <w:multiLevelType w:val="hybridMultilevel"/>
    <w:lvl w:ilvl="0">
      <w:lvlJc w:val="left"/>
      <w:lvlText w:val="(%1)"/>
      <w:numFmt w:val="lowerLetter"/>
      <w:start w:val="4"/>
    </w:lvl>
  </w:abstractNum>
  <w:abstractNum w:abstractNumId="53">
    <w:nsid w:val="2F305DEF"/>
    <w:multiLevelType w:val="hybridMultilevel"/>
    <w:lvl w:ilvl="0">
      <w:lvlJc w:val="left"/>
      <w:lvlText w:val="%1."/>
      <w:numFmt w:val="decimal"/>
      <w:start w:val="7"/>
    </w:lvl>
    <w:lvl w:ilvl="1">
      <w:lvlJc w:val="left"/>
      <w:lvlText w:val="(%2)"/>
      <w:numFmt w:val="lowerLetter"/>
      <w:start w:val="1"/>
    </w:lvl>
  </w:abstractNum>
  <w:abstractNum w:abstractNumId="54">
    <w:nsid w:val="25A70BF7"/>
    <w:multiLevelType w:val="hybridMultilevel"/>
    <w:lvl w:ilvl="0">
      <w:lvlJc w:val="left"/>
      <w:lvlText w:val="(%1)"/>
      <w:numFmt w:val="lowerLetter"/>
      <w:start w:val="2"/>
    </w:lvl>
  </w:abstractNum>
  <w:abstractNum w:abstractNumId="55">
    <w:nsid w:val="1DBABF00"/>
    <w:multiLevelType w:val="hybridMultilevel"/>
    <w:lvl w:ilvl="0">
      <w:lvlJc w:val="left"/>
      <w:lvlText w:val="(%1)"/>
      <w:numFmt w:val="lowerLetter"/>
      <w:start w:val="3"/>
    </w:lvl>
  </w:abstractNum>
  <w:abstractNum w:abstractNumId="56">
    <w:nsid w:val="4AD084E9"/>
    <w:multiLevelType w:val="hybridMultilevel"/>
    <w:lvl w:ilvl="0">
      <w:lvlJc w:val="left"/>
      <w:lvlText w:val="%1."/>
      <w:numFmt w:val="decimal"/>
      <w:start w:val="8"/>
    </w:lvl>
  </w:abstractNum>
  <w:abstractNum w:abstractNumId="57">
    <w:nsid w:val="1F48EAA1"/>
    <w:multiLevelType w:val="hybridMultilevel"/>
    <w:lvl w:ilvl="0">
      <w:lvlJc w:val="left"/>
      <w:lvlText w:val="%1."/>
      <w:numFmt w:val="decimal"/>
      <w:start w:val="9"/>
    </w:lvl>
    <w:lvl w:ilvl="1">
      <w:lvlJc w:val="left"/>
      <w:lvlText w:val="(%2)"/>
      <w:numFmt w:val="lowerLetter"/>
      <w:start w:val="1"/>
    </w:lvl>
  </w:abstractNum>
  <w:abstractNum w:abstractNumId="58">
    <w:nsid w:val="1381823A"/>
    <w:multiLevelType w:val="hybridMultilevel"/>
    <w:lvl w:ilvl="0">
      <w:lvlJc w:val="left"/>
      <w:lvlText w:val="(%1)"/>
      <w:numFmt w:val="lowerLetter"/>
      <w:start w:val="2"/>
    </w:lvl>
  </w:abstractNum>
  <w:abstractNum w:abstractNumId="59">
    <w:nsid w:val="5DB70AE5"/>
    <w:multiLevelType w:val="hybridMultilevel"/>
    <w:lvl w:ilvl="0">
      <w:lvlJc w:val="left"/>
      <w:lvlText w:val="(%1)"/>
      <w:numFmt w:val="lowerLetter"/>
      <w:start w:val="3"/>
    </w:lvl>
  </w:abstractNum>
  <w:abstractNum w:abstractNumId="60">
    <w:nsid w:val="100F8FCA"/>
    <w:multiLevelType w:val="hybridMultilevel"/>
    <w:lvl w:ilvl="0">
      <w:lvlJc w:val="left"/>
      <w:lvlText w:val="(%1)"/>
      <w:numFmt w:val="lowerLetter"/>
      <w:start w:val="4"/>
    </w:lvl>
  </w:abstractNum>
  <w:abstractNum w:abstractNumId="61">
    <w:nsid w:val="6590700B"/>
    <w:multiLevelType w:val="hybridMultilevel"/>
    <w:lvl w:ilvl="0">
      <w:lvlJc w:val="left"/>
      <w:lvlText w:val="%1."/>
      <w:numFmt w:val="decimal"/>
      <w:start w:val="10"/>
    </w:lvl>
  </w:abstractNum>
  <w:abstractNum w:abstractNumId="62">
    <w:nsid w:val="15014ACB"/>
    <w:multiLevelType w:val="hybridMultilevel"/>
    <w:lvl w:ilvl="0">
      <w:lvlJc w:val="left"/>
      <w:lvlText w:val="%1."/>
      <w:numFmt w:val="decimal"/>
      <w:start w:val="11"/>
    </w:lvl>
  </w:abstractNum>
  <w:abstractNum w:abstractNumId="63">
    <w:nsid w:val="5F5E7FD0"/>
    <w:multiLevelType w:val="hybridMultilevel"/>
    <w:lvl w:ilvl="0">
      <w:lvlJc w:val="left"/>
      <w:lvlText w:val="%1."/>
      <w:numFmt w:val="decimal"/>
      <w:start w:val="12"/>
    </w:lvl>
  </w:abstractNum>
  <w:abstractNum w:abstractNumId="64">
    <w:nsid w:val="98A3148"/>
    <w:multiLevelType w:val="hybridMultilevel"/>
    <w:lvl w:ilvl="0">
      <w:lvlJc w:val="left"/>
      <w:lvlText w:val="%1."/>
      <w:numFmt w:val="decimal"/>
      <w:start w:val="13"/>
    </w:lvl>
  </w:abstractNum>
  <w:abstractNum w:abstractNumId="65">
    <w:nsid w:val="799D0247"/>
    <w:multiLevelType w:val="hybridMultilevel"/>
    <w:lvl w:ilvl="0">
      <w:lvlJc w:val="left"/>
      <w:lvlText w:val="%1."/>
      <w:numFmt w:val="decimal"/>
      <w:start w:val="14"/>
    </w:lvl>
  </w:abstractNum>
  <w:abstractNum w:abstractNumId="66">
    <w:nsid w:val="6B94764"/>
    <w:multiLevelType w:val="hybridMultilevel"/>
    <w:lvl w:ilvl="0">
      <w:lvlJc w:val="left"/>
      <w:lvlText w:val="%1."/>
      <w:numFmt w:val="decimal"/>
      <w:start w:val="15"/>
    </w:lvl>
  </w:abstractNum>
  <w:abstractNum w:abstractNumId="67">
    <w:nsid w:val="42C296BD"/>
    <w:multiLevelType w:val="hybridMultilevel"/>
    <w:lvl w:ilvl="0">
      <w:lvlJc w:val="left"/>
      <w:lvlText w:val="%1."/>
      <w:numFmt w:val="decimal"/>
      <w:start w:val="16"/>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lowerLetter"/>
      <w:start w:val="2"/>
    </w:lvl>
  </w:abstractNum>
  <w:abstractNum w:abstractNumId="70">
    <w:nsid w:val="661E3F1E"/>
    <w:multiLevelType w:val="hybridMultilevel"/>
    <w:lvl w:ilvl="0">
      <w:lvlJc w:val="left"/>
      <w:lvlText w:val="%1."/>
      <w:numFmt w:val="decimal"/>
      <w:start w:val="17"/>
    </w:lvl>
  </w:abstractNum>
  <w:abstractNum w:abstractNumId="71">
    <w:nsid w:val="5DC79EA8"/>
    <w:multiLevelType w:val="hybridMultilevel"/>
    <w:lvl w:ilvl="0">
      <w:lvlJc w:val="left"/>
      <w:lvlText w:val="%1."/>
      <w:numFmt w:val="decimal"/>
      <w:start w:val="18"/>
    </w:lvl>
  </w:abstractNum>
  <w:abstractNum w:abstractNumId="72">
    <w:nsid w:val="540A471C"/>
    <w:multiLevelType w:val="hybridMultilevel"/>
    <w:lvl w:ilvl="0">
      <w:lvlJc w:val="left"/>
      <w:lvlText w:val="%1."/>
      <w:numFmt w:val="decimal"/>
      <w:start w:val="19"/>
    </w:lvl>
  </w:abstractNum>
  <w:abstractNum w:abstractNumId="73">
    <w:nsid w:val="7BD3EE7B"/>
    <w:multiLevelType w:val="hybridMultilevel"/>
    <w:lvl w:ilvl="0">
      <w:lvlJc w:val="left"/>
      <w:lvlText w:val="%1."/>
      <w:numFmt w:val="decimal"/>
      <w:start w:val="20"/>
    </w:lvl>
  </w:abstractNum>
  <w:abstractNum w:abstractNumId="74">
    <w:nsid w:val="51D9C564"/>
    <w:multiLevelType w:val="hybridMultilevel"/>
    <w:lvl w:ilvl="0">
      <w:lvlJc w:val="left"/>
      <w:lvlText w:val="%1."/>
      <w:numFmt w:val="decimal"/>
      <w:start w:val="21"/>
    </w:lvl>
  </w:abstractNum>
  <w:abstractNum w:abstractNumId="75">
    <w:nsid w:val="613EFDC5"/>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2019-12-12T09:11:15Z</dcterms:created>
  <dcterms:modified xsi:type="dcterms:W3CDTF">2019-12-12T09:11:15Z</dcterms:modified>
</cp:coreProperties>
</file>