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233045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ind w:left="4200"/>
        <w:spacing w:after="0"/>
        <w:rPr>
          <w:sz w:val="20"/>
          <w:szCs w:val="20"/>
          <w:color w:val="auto"/>
        </w:rPr>
      </w:pPr>
      <w:r>
        <w:rPr>
          <w:rFonts w:ascii="Arial" w:cs="Arial" w:eastAsia="Arial" w:hAnsi="Arial"/>
          <w:sz w:val="32"/>
          <w:szCs w:val="32"/>
          <w:b w:val="1"/>
          <w:bCs w:val="1"/>
          <w:color w:val="auto"/>
        </w:rPr>
        <w:t>CURRENT REPORT</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Pursuant to Section 13 or 15(d) of</w:t>
      </w:r>
    </w:p>
    <w:p>
      <w:pPr>
        <w:jc w:val="center"/>
        <w:ind w:right="-59"/>
        <w:spacing w:after="0"/>
        <w:rPr>
          <w:sz w:val="20"/>
          <w:szCs w:val="20"/>
          <w:color w:val="auto"/>
        </w:rPr>
      </w:pPr>
      <w:r>
        <w:rPr>
          <w:rFonts w:ascii="Arial" w:cs="Arial" w:eastAsia="Arial" w:hAnsi="Arial"/>
          <w:sz w:val="32"/>
          <w:szCs w:val="32"/>
          <w:b w:val="1"/>
          <w:bCs w:val="1"/>
          <w:color w:val="auto"/>
        </w:rPr>
        <w:t>The Securities Exchange Act of 1934</w:t>
      </w:r>
    </w:p>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report (Date of earliest event reported): January 8, 2013</w:t>
      </w:r>
    </w:p>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Comcast Corporation</w:t>
      </w:r>
    </w:p>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1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Pennsylvania</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(State or other jurisdiction of incorporation)</w:t>
      </w:r>
    </w:p>
    <w:tbl>
      <w:tblPr>
        <w:tblLayout w:type="fixed"/>
        <w:tblInd w:w="1740" w:type="dxa"/>
        <w:tblCellMar>
          <w:top w:w="0" w:type="dxa"/>
          <w:left w:w="0" w:type="dxa"/>
          <w:bottom w:w="0" w:type="dxa"/>
          <w:right w:w="0" w:type="dxa"/>
        </w:tblCellMar>
      </w:tblPr>
      <w:tr>
        <w:trPr>
          <w:trHeight w:val="198"/>
        </w:trPr>
        <w:tc>
          <w:tcPr>
            <w:tcW w:w="4120" w:type="dxa"/>
            <w:vAlign w:val="bottom"/>
          </w:tcPr>
          <w:p>
            <w:pPr>
              <w:jc w:val="center"/>
              <w:ind w:right="1720"/>
              <w:spacing w:after="0" w:line="198" w:lineRule="exact"/>
              <w:rPr>
                <w:sz w:val="20"/>
                <w:szCs w:val="20"/>
                <w:color w:val="auto"/>
              </w:rPr>
            </w:pPr>
            <w:r>
              <w:rPr>
                <w:rFonts w:ascii="Arial" w:cs="Arial" w:eastAsia="Arial" w:hAnsi="Arial"/>
                <w:sz w:val="18"/>
                <w:szCs w:val="18"/>
                <w:b w:val="1"/>
                <w:bCs w:val="1"/>
                <w:color w:val="auto"/>
                <w:w w:val="88"/>
              </w:rPr>
              <w:t>001-32871</w:t>
            </w:r>
          </w:p>
        </w:tc>
        <w:tc>
          <w:tcPr>
            <w:tcW w:w="3780" w:type="dxa"/>
            <w:vAlign w:val="bottom"/>
          </w:tcPr>
          <w:p>
            <w:pPr>
              <w:jc w:val="center"/>
              <w:ind w:left="1722"/>
              <w:spacing w:after="0" w:line="198" w:lineRule="exact"/>
              <w:rPr>
                <w:sz w:val="20"/>
                <w:szCs w:val="20"/>
                <w:color w:val="auto"/>
              </w:rPr>
            </w:pPr>
            <w:r>
              <w:rPr>
                <w:rFonts w:ascii="Arial" w:cs="Arial" w:eastAsia="Arial" w:hAnsi="Arial"/>
                <w:sz w:val="18"/>
                <w:szCs w:val="18"/>
                <w:b w:val="1"/>
                <w:bCs w:val="1"/>
                <w:color w:val="auto"/>
                <w:w w:val="89"/>
              </w:rPr>
              <w:t>27-0000798</w:t>
            </w:r>
          </w:p>
        </w:tc>
      </w:tr>
      <w:tr>
        <w:trPr>
          <w:trHeight w:val="174"/>
        </w:trPr>
        <w:tc>
          <w:tcPr>
            <w:tcW w:w="4120" w:type="dxa"/>
            <w:vAlign w:val="bottom"/>
          </w:tcPr>
          <w:p>
            <w:pPr>
              <w:jc w:val="center"/>
              <w:ind w:right="1740"/>
              <w:spacing w:after="0"/>
              <w:rPr>
                <w:sz w:val="20"/>
                <w:szCs w:val="20"/>
                <w:color w:val="auto"/>
              </w:rPr>
            </w:pPr>
            <w:r>
              <w:rPr>
                <w:rFonts w:ascii="Arial" w:cs="Arial" w:eastAsia="Arial" w:hAnsi="Arial"/>
                <w:sz w:val="14"/>
                <w:szCs w:val="14"/>
                <w:b w:val="1"/>
                <w:bCs w:val="1"/>
                <w:color w:val="auto"/>
                <w:w w:val="88"/>
              </w:rPr>
              <w:t>(Commission File Number)</w:t>
            </w:r>
          </w:p>
        </w:tc>
        <w:tc>
          <w:tcPr>
            <w:tcW w:w="3780" w:type="dxa"/>
            <w:vAlign w:val="bottom"/>
          </w:tcPr>
          <w:p>
            <w:pPr>
              <w:jc w:val="center"/>
              <w:ind w:left="1722"/>
              <w:spacing w:after="0"/>
              <w:rPr>
                <w:sz w:val="20"/>
                <w:szCs w:val="20"/>
                <w:color w:val="auto"/>
              </w:rPr>
            </w:pPr>
            <w:r>
              <w:rPr>
                <w:rFonts w:ascii="Arial" w:cs="Arial" w:eastAsia="Arial" w:hAnsi="Arial"/>
                <w:sz w:val="14"/>
                <w:szCs w:val="14"/>
                <w:b w:val="1"/>
                <w:bCs w:val="1"/>
                <w:color w:val="auto"/>
                <w:w w:val="90"/>
              </w:rPr>
              <w:t>(IRS Employer Identification No.)</w:t>
            </w:r>
          </w:p>
        </w:tc>
      </w:tr>
      <w:tr>
        <w:trPr>
          <w:trHeight w:val="472"/>
        </w:trPr>
        <w:tc>
          <w:tcPr>
            <w:tcW w:w="4120" w:type="dxa"/>
            <w:vAlign w:val="bottom"/>
          </w:tcPr>
          <w:p>
            <w:pPr>
              <w:jc w:val="center"/>
              <w:ind w:right="1740"/>
              <w:spacing w:after="0"/>
              <w:rPr>
                <w:sz w:val="20"/>
                <w:szCs w:val="20"/>
                <w:color w:val="auto"/>
              </w:rPr>
            </w:pPr>
            <w:r>
              <w:rPr>
                <w:rFonts w:ascii="Arial" w:cs="Arial" w:eastAsia="Arial" w:hAnsi="Arial"/>
                <w:sz w:val="18"/>
                <w:szCs w:val="18"/>
                <w:b w:val="1"/>
                <w:bCs w:val="1"/>
                <w:color w:val="auto"/>
                <w:w w:val="88"/>
              </w:rPr>
              <w:t>One Comcast Center</w:t>
            </w:r>
          </w:p>
        </w:tc>
        <w:tc>
          <w:tcPr>
            <w:tcW w:w="3780" w:type="dxa"/>
            <w:vAlign w:val="bottom"/>
          </w:tcPr>
          <w:p>
            <w:pPr>
              <w:spacing w:after="0"/>
              <w:rPr>
                <w:sz w:val="24"/>
                <w:szCs w:val="24"/>
                <w:color w:val="auto"/>
              </w:rPr>
            </w:pPr>
          </w:p>
        </w:tc>
      </w:tr>
      <w:tr>
        <w:trPr>
          <w:trHeight w:val="231"/>
        </w:trPr>
        <w:tc>
          <w:tcPr>
            <w:tcW w:w="4120" w:type="dxa"/>
            <w:vAlign w:val="bottom"/>
          </w:tcPr>
          <w:p>
            <w:pPr>
              <w:jc w:val="center"/>
              <w:ind w:right="1740"/>
              <w:spacing w:after="0"/>
              <w:rPr>
                <w:sz w:val="20"/>
                <w:szCs w:val="20"/>
                <w:color w:val="auto"/>
              </w:rPr>
            </w:pPr>
            <w:r>
              <w:rPr>
                <w:rFonts w:ascii="Arial" w:cs="Arial" w:eastAsia="Arial" w:hAnsi="Arial"/>
                <w:sz w:val="18"/>
                <w:szCs w:val="18"/>
                <w:b w:val="1"/>
                <w:bCs w:val="1"/>
                <w:color w:val="auto"/>
                <w:w w:val="89"/>
              </w:rPr>
              <w:t>Philadelphia, PA</w:t>
            </w:r>
          </w:p>
        </w:tc>
        <w:tc>
          <w:tcPr>
            <w:tcW w:w="3780" w:type="dxa"/>
            <w:vAlign w:val="bottom"/>
          </w:tcPr>
          <w:p>
            <w:pPr>
              <w:jc w:val="center"/>
              <w:ind w:left="1722"/>
              <w:spacing w:after="0"/>
              <w:rPr>
                <w:sz w:val="20"/>
                <w:szCs w:val="20"/>
                <w:color w:val="auto"/>
              </w:rPr>
            </w:pPr>
            <w:r>
              <w:rPr>
                <w:rFonts w:ascii="Arial" w:cs="Arial" w:eastAsia="Arial" w:hAnsi="Arial"/>
                <w:sz w:val="18"/>
                <w:szCs w:val="18"/>
                <w:b w:val="1"/>
                <w:bCs w:val="1"/>
                <w:color w:val="auto"/>
                <w:w w:val="89"/>
              </w:rPr>
              <w:t>19103-2838</w:t>
            </w:r>
          </w:p>
        </w:tc>
      </w:tr>
      <w:tr>
        <w:trPr>
          <w:trHeight w:val="174"/>
        </w:trPr>
        <w:tc>
          <w:tcPr>
            <w:tcW w:w="4120" w:type="dxa"/>
            <w:vAlign w:val="bottom"/>
          </w:tcPr>
          <w:p>
            <w:pPr>
              <w:jc w:val="center"/>
              <w:ind w:right="174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80" w:type="dxa"/>
            <w:vAlign w:val="bottom"/>
          </w:tcPr>
          <w:p>
            <w:pPr>
              <w:jc w:val="center"/>
              <w:ind w:left="172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20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6" w:lineRule="exact"/>
        <w:rPr>
          <w:sz w:val="24"/>
          <w:szCs w:val="24"/>
          <w:color w:val="auto"/>
        </w:rPr>
      </w:pPr>
    </w:p>
    <w:p>
      <w:pPr>
        <w:ind w:firstLine="342"/>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5" w:lineRule="exact"/>
        <w:rPr>
          <w:sz w:val="24"/>
          <w:szCs w:val="24"/>
          <w:color w:val="auto"/>
        </w:rPr>
      </w:pPr>
    </w:p>
    <w:p>
      <w:pPr>
        <w:ind w:left="600" w:hanging="250"/>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00" w:hanging="250"/>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144" w:lineRule="exact"/>
        <w:rPr>
          <w:rFonts w:ascii="MS PGothic" w:cs="MS PGothic" w:eastAsia="MS PGothic" w:hAnsi="MS PGothic"/>
          <w:sz w:val="18"/>
          <w:szCs w:val="18"/>
          <w:color w:val="auto"/>
        </w:rPr>
      </w:pPr>
    </w:p>
    <w:p>
      <w:pPr>
        <w:ind w:left="600" w:hanging="250"/>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00" w:hanging="250"/>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625" w:right="299" w:bottom="1440" w:gutter="0" w:footer="0" w:header="0"/>
        </w:sectPr>
      </w:pPr>
    </w:p>
    <w:bookmarkStart w:id="1" w:name="page2"/>
    <w:bookmarkEnd w:id="1"/>
    <w:p>
      <w:pPr>
        <w:ind w:lef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50" w:lineRule="exact"/>
        <w:rPr>
          <w:sz w:val="20"/>
          <w:szCs w:val="20"/>
          <w:color w:val="auto"/>
        </w:rPr>
      </w:pPr>
    </w:p>
    <w:p>
      <w:pPr>
        <w:ind w:firstLine="342"/>
        <w:spacing w:after="0" w:line="287" w:lineRule="auto"/>
        <w:rPr>
          <w:sz w:val="20"/>
          <w:szCs w:val="20"/>
          <w:color w:val="auto"/>
        </w:rPr>
      </w:pPr>
      <w:r>
        <w:rPr>
          <w:rFonts w:ascii="Arial" w:cs="Arial" w:eastAsia="Arial" w:hAnsi="Arial"/>
          <w:sz w:val="16"/>
          <w:szCs w:val="16"/>
          <w:color w:val="auto"/>
        </w:rPr>
        <w:t>On January 14, 2013 Comcast Corporation (“Comcast”) expects to consummate the issuance and sale of $750,000,000 principal amount of its 2.850% Notes due 2023, $1,700,000,000 principal amount of its 4.250% Notes due 2033 and $500,000,000 principal amount of its 4.500% Notes due 2043 (collectively, the “Notes”), pursuant to an underwriting agreement dated January 8, 2013 among Comcast, the Cable Guarantors (defined below) and Barclays Capital Inc., Goldman, Sachs &amp; Co. and RBS Securities Inc., as representatives of the several underwriters named therein. The Notes will be issued pursuant to an Indenture dated as of January 7, 2003 (the “Indenture”) among Comcast, the cable guarantors named therein and The Bank of New York Mellon (formerly known as The Bank of New York), as trustee (the “Trustee”), as supplemented by the First Supplemental Indenture dated as of March 25, 2003 by and among Comcast, the cable guarantors named therein and the Trustee, and as further supplemented by the Second Supplemental Indenture dated as of August 31, 2009 by and among Comcast, the Cable Guarantors and the Trustee, and an officers’ certificate issued pursuant thereto. The Notes are guaranteed on an unsecured and unsubordinated basis by Comcast Cable Communications, LLC, Comcast Cable Holdings, LLC, Comcast MO Group, Inc. and Comcast MO of Delaware, LLC (the “Cable Guarantors”).</w:t>
      </w:r>
    </w:p>
    <w:p>
      <w:pPr>
        <w:spacing w:after="0" w:line="123" w:lineRule="exact"/>
        <w:rPr>
          <w:sz w:val="20"/>
          <w:szCs w:val="20"/>
          <w:color w:val="auto"/>
        </w:rPr>
      </w:pPr>
    </w:p>
    <w:p>
      <w:pPr>
        <w:ind w:right="300" w:firstLine="342"/>
        <w:spacing w:after="0" w:line="268" w:lineRule="auto"/>
        <w:rPr>
          <w:sz w:val="20"/>
          <w:szCs w:val="20"/>
          <w:color w:val="auto"/>
        </w:rPr>
      </w:pPr>
      <w:r>
        <w:rPr>
          <w:rFonts w:ascii="Arial" w:cs="Arial" w:eastAsia="Arial" w:hAnsi="Arial"/>
          <w:sz w:val="18"/>
          <w:szCs w:val="18"/>
          <w:color w:val="auto"/>
        </w:rPr>
        <w:t>The Notes are being offered pursuant to Comcast’s Registration Statement on Form S-3 filed on February 24, 2012 (Reg. No. 333-179678), including the prospectus contained therein, and a related prospectus supplement dated January 8, 2013.</w:t>
      </w:r>
    </w:p>
    <w:p>
      <w:pPr>
        <w:spacing w:after="0" w:line="132" w:lineRule="exact"/>
        <w:rPr>
          <w:sz w:val="20"/>
          <w:szCs w:val="20"/>
          <w:color w:val="auto"/>
        </w:rPr>
      </w:pPr>
    </w:p>
    <w:p>
      <w:pPr>
        <w:jc w:val="both"/>
        <w:ind w:right="180" w:firstLine="342"/>
        <w:spacing w:after="0" w:line="306" w:lineRule="auto"/>
        <w:rPr>
          <w:sz w:val="20"/>
          <w:szCs w:val="20"/>
          <w:color w:val="auto"/>
        </w:rPr>
      </w:pPr>
      <w:r>
        <w:rPr>
          <w:rFonts w:ascii="Arial" w:cs="Arial" w:eastAsia="Arial" w:hAnsi="Arial"/>
          <w:sz w:val="16"/>
          <w:szCs w:val="16"/>
          <w:color w:val="auto"/>
        </w:rPr>
        <w:t>The material terms and conditions of the Notes are set forth in the Form of Officers’ Certificate filed herewith as Exhibit 4.1 and incorporated by reference herein and in the Indenture filed as Exhibit 4.4 and the First Supplemental Indenture filed as Exhibit 4.5 to Comcast’s Annual Report on Form 10-K for the year ended December 31, 2008 and the Second Supplemental Indenture filed as Exhibit 4.1 to Comcast’s Current Report on Form 8-K filed on September 2, 2009.</w:t>
      </w:r>
    </w:p>
    <w:p>
      <w:pPr>
        <w:spacing w:after="0" w:line="33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Item 9.01(d)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1046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10920" w:type="dxa"/>
            <w:vAlign w:val="bottom"/>
            <w:gridSpan w:val="2"/>
          </w:tcPr>
          <w:p>
            <w:pPr>
              <w:ind w:left="460"/>
              <w:spacing w:after="0"/>
              <w:rPr>
                <w:sz w:val="20"/>
                <w:szCs w:val="20"/>
                <w:color w:val="auto"/>
              </w:rPr>
            </w:pPr>
            <w:r>
              <w:rPr>
                <w:rFonts w:ascii="Arial" w:cs="Arial" w:eastAsia="Arial" w:hAnsi="Arial"/>
                <w:sz w:val="14"/>
                <w:szCs w:val="14"/>
                <w:b w:val="1"/>
                <w:bCs w:val="1"/>
                <w:color w:val="auto"/>
              </w:rPr>
              <w:t>Description</w:t>
            </w:r>
          </w:p>
        </w:tc>
      </w:tr>
      <w:tr>
        <w:trPr>
          <w:trHeight w:val="209"/>
        </w:trPr>
        <w:tc>
          <w:tcPr>
            <w:tcW w:w="500" w:type="dxa"/>
            <w:vAlign w:val="bottom"/>
          </w:tcPr>
          <w:p>
            <w:pPr>
              <w:spacing w:after="0" w:line="202" w:lineRule="exact"/>
              <w:rPr>
                <w:sz w:val="20"/>
                <w:szCs w:val="20"/>
                <w:color w:val="auto"/>
              </w:rPr>
            </w:pPr>
            <w:r>
              <w:rPr>
                <w:rFonts w:ascii="Arial" w:cs="Arial" w:eastAsia="Arial" w:hAnsi="Arial"/>
                <w:sz w:val="18"/>
                <w:szCs w:val="18"/>
                <w:color w:val="auto"/>
              </w:rPr>
              <w:t>4.1</w:t>
            </w:r>
          </w:p>
        </w:tc>
        <w:tc>
          <w:tcPr>
            <w:tcW w:w="460" w:type="dxa"/>
            <w:vAlign w:val="bottom"/>
          </w:tcPr>
          <w:p>
            <w:pPr>
              <w:spacing w:after="0"/>
              <w:rPr>
                <w:sz w:val="18"/>
                <w:szCs w:val="18"/>
                <w:color w:val="auto"/>
              </w:rPr>
            </w:pPr>
          </w:p>
        </w:tc>
        <w:tc>
          <w:tcPr>
            <w:tcW w:w="10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Officers’ Certificate setting forth the terms of the Notes</w:t>
            </w: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Opinion of Arthur R. Block, Esq.</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5.2</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Opinion of Davis Polk &amp; Wardwell LLP</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Consent of Arthur R. Block, Esq. (contained in Exhibit 5.1)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Consent of Davis Polk &amp; Wardwell LLP (contained in Exhibit 5.2)</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50" w:lineRule="exact"/>
        <w:rPr>
          <w:sz w:val="20"/>
          <w:szCs w:val="20"/>
          <w:color w:val="auto"/>
        </w:rPr>
      </w:pPr>
    </w:p>
    <w:p>
      <w:pPr>
        <w:ind w:right="140" w:firstLine="342"/>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5"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COMCAST CORPORATION</w:t>
      </w:r>
    </w:p>
    <w:p>
      <w:pPr>
        <w:spacing w:after="0" w:line="330" w:lineRule="exact"/>
        <w:rPr>
          <w:sz w:val="20"/>
          <w:szCs w:val="20"/>
          <w:color w:val="auto"/>
        </w:rPr>
      </w:pPr>
    </w:p>
    <w:p>
      <w:pPr>
        <w:spacing w:after="0"/>
        <w:tabs>
          <w:tab w:leader="none" w:pos="540" w:val="left"/>
          <w:tab w:leader="none" w:pos="5820" w:val="left"/>
          <w:tab w:leader="none" w:pos="6280" w:val="left"/>
        </w:tabs>
        <w:rPr>
          <w:sz w:val="20"/>
          <w:szCs w:val="20"/>
          <w:color w:val="auto"/>
        </w:rPr>
      </w:pPr>
      <w:r>
        <w:rPr>
          <w:rFonts w:ascii="Arial" w:cs="Arial" w:eastAsia="Arial" w:hAnsi="Arial"/>
          <w:sz w:val="18"/>
          <w:szCs w:val="18"/>
          <w:color w:val="auto"/>
        </w:rPr>
        <w:t>Date:</w:t>
        <w:tab/>
        <w:t>January 9,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R. Block</w:t>
      </w:r>
    </w:p>
    <w:p>
      <w:pPr>
        <w:spacing w:after="0" w:line="17" w:lineRule="exact"/>
        <w:rPr>
          <w:sz w:val="20"/>
          <w:szCs w:val="20"/>
          <w:color w:val="auto"/>
        </w:rPr>
      </w:pPr>
    </w:p>
    <w:tbl>
      <w:tblPr>
        <w:tblLayout w:type="fixed"/>
        <w:tblInd w:w="6300" w:type="dxa"/>
        <w:tblCellMar>
          <w:top w:w="0" w:type="dxa"/>
          <w:left w:w="0" w:type="dxa"/>
          <w:bottom w:w="0" w:type="dxa"/>
          <w:right w:w="0" w:type="dxa"/>
        </w:tblCellMar>
      </w:tblPr>
      <w:tr>
        <w:trPr>
          <w:trHeight w:val="215"/>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Arthur R. Block</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OFFICERS’ CERTIFICATE]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14, 2013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Section 2.03 of the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 the cable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guarantors named therein and The Bank of New York Mellon (formerly known as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First Supplemental Indenture dated as of March 25, 2003 by and among the Company, the cable guarantors named therein and the Trustee, and as further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supplemented by the Second Supplemental Indenture dated as of August 31, 2009 by and among the Company, the cable guarantors named therein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Trustee, and guaranteed on an unsecured and unsubordinated basis by Comcast Cable Communications, LLC, Comcast Cable Holdings, LLC, Comcast MO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Group, Inc. and Comcast MO of Delaware, LLC, the undersigned officers of the Company do hereby certify, in connection with the issuance of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$750,000,000 aggregate principal amount of 2.850% Notes Due 2023 (the “</w:t>
      </w:r>
      <w:r>
        <w:rPr>
          <w:rFonts w:ascii="Arial" w:cs="Arial" w:eastAsia="Arial" w:hAnsi="Arial"/>
          <w:sz w:val="15"/>
          <w:szCs w:val="15"/>
          <w:b w:val="1"/>
          <w:bCs w:val="1"/>
          <w:color w:val="auto"/>
        </w:rPr>
        <w:t>2023 Notes</w:t>
      </w:r>
      <w:r>
        <w:rPr>
          <w:rFonts w:ascii="Arial" w:cs="Arial" w:eastAsia="Arial" w:hAnsi="Arial"/>
          <w:sz w:val="15"/>
          <w:szCs w:val="15"/>
          <w:color w:val="auto"/>
        </w:rPr>
        <w:t>”), $1,700,000,000 aggregate principal amount of 4.250% Notes Due 2033</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2033 Notes</w:t>
      </w:r>
      <w:r>
        <w:rPr>
          <w:rFonts w:ascii="Arial" w:cs="Arial" w:eastAsia="Arial" w:hAnsi="Arial"/>
          <w:sz w:val="16"/>
          <w:szCs w:val="16"/>
          <w:color w:val="auto"/>
        </w:rPr>
        <w:t>”) and $500,000,000 aggregate principal amount of 4.500% Notes Due 2043 (the “</w:t>
      </w:r>
      <w:r>
        <w:rPr>
          <w:rFonts w:ascii="Arial" w:cs="Arial" w:eastAsia="Arial" w:hAnsi="Arial"/>
          <w:sz w:val="16"/>
          <w:szCs w:val="16"/>
          <w:b w:val="1"/>
          <w:bCs w:val="1"/>
          <w:color w:val="auto"/>
        </w:rPr>
        <w:t>2043 Notes</w:t>
      </w:r>
      <w:r>
        <w:rPr>
          <w:rFonts w:ascii="Arial" w:cs="Arial" w:eastAsia="Arial" w:hAnsi="Arial"/>
          <w:sz w:val="16"/>
          <w:szCs w:val="16"/>
          <w:color w:val="auto"/>
        </w:rPr>
        <w:t>” and, together with the 2023 Notes and 2033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Notes, the “</w:t>
      </w:r>
      <w:r>
        <w:rPr>
          <w:rFonts w:ascii="Arial" w:cs="Arial" w:eastAsia="Arial" w:hAnsi="Arial"/>
          <w:sz w:val="18"/>
          <w:szCs w:val="18"/>
          <w:b w:val="1"/>
          <w:bCs w:val="1"/>
          <w:color w:val="auto"/>
        </w:rPr>
        <w:t>Notes</w:t>
      </w:r>
      <w:r>
        <w:rPr>
          <w:rFonts w:ascii="Arial" w:cs="Arial" w:eastAsia="Arial" w:hAnsi="Arial"/>
          <w:sz w:val="18"/>
          <w:szCs w:val="18"/>
          <w:color w:val="auto"/>
        </w:rPr>
        <w:t>”), that the terms of the Notes are as follows: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u w:val="single" w:color="auto"/>
                <w:color w:val="auto"/>
              </w:rPr>
              <w:t>850%</w:t>
            </w:r>
            <w:r>
              <w:rPr>
                <w:rFonts w:ascii="Arial" w:cs="Arial" w:eastAsia="Arial" w:hAnsi="Arial"/>
                <w:sz w:val="18"/>
                <w:szCs w:val="18"/>
                <w:b w:val="1"/>
                <w:bCs w:val="1"/>
                <w:color w:val="auto"/>
              </w:rPr>
              <w:t xml:space="preserve"> Notes Due 2023</w:t>
            </w:r>
          </w:p>
        </w:tc>
      </w:tr>
      <w:tr>
        <w:trPr>
          <w:trHeight w:val="20"/>
        </w:trPr>
        <w:tc>
          <w:tcPr>
            <w:tcW w:w="3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437"/>
        </w:trPr>
        <w:tc>
          <w:tcPr>
            <w:tcW w:w="312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8160" w:type="dxa"/>
            <w:vAlign w:val="bottom"/>
            <w:gridSpan w:val="3"/>
          </w:tcPr>
          <w:p>
            <w:pPr>
              <w:ind w:left="220"/>
              <w:spacing w:after="0"/>
              <w:rPr>
                <w:sz w:val="20"/>
                <w:szCs w:val="20"/>
                <w:color w:val="auto"/>
              </w:rPr>
            </w:pPr>
            <w:r>
              <w:rPr>
                <w:rFonts w:ascii="Arial" w:cs="Arial" w:eastAsia="Arial" w:hAnsi="Arial"/>
                <w:sz w:val="18"/>
                <w:szCs w:val="18"/>
                <w:color w:val="auto"/>
              </w:rPr>
              <w:t xml:space="preserve">2.850% Notes Due </w:t>
            </w:r>
            <w:r>
              <w:rPr>
                <w:rFonts w:ascii="Arial" w:cs="Arial" w:eastAsia="Arial" w:hAnsi="Arial"/>
                <w:sz w:val="18"/>
                <w:szCs w:val="18"/>
                <w:b w:val="1"/>
                <w:bCs w:val="1"/>
                <w:color w:val="auto"/>
              </w:rPr>
              <w:t>2023</w:t>
            </w:r>
          </w:p>
        </w:tc>
      </w:tr>
      <w:tr>
        <w:trPr>
          <w:trHeight w:val="324"/>
        </w:trPr>
        <w:tc>
          <w:tcPr>
            <w:tcW w:w="3120" w:type="dxa"/>
            <w:vAlign w:val="bottom"/>
          </w:tcPr>
          <w:p>
            <w:pPr>
              <w:spacing w:after="0"/>
              <w:rPr>
                <w:sz w:val="20"/>
                <w:szCs w:val="20"/>
                <w:color w:val="auto"/>
              </w:rPr>
            </w:pPr>
            <w:r>
              <w:rPr>
                <w:rFonts w:ascii="Arial" w:cs="Arial" w:eastAsia="Arial" w:hAnsi="Arial"/>
                <w:sz w:val="18"/>
                <w:szCs w:val="18"/>
                <w:i w:val="1"/>
                <w:iCs w:val="1"/>
                <w:color w:val="auto"/>
                <w:w w:val="97"/>
              </w:rPr>
              <w:t>Aggregate Principal Amount at Maturity:</w:t>
            </w:r>
          </w:p>
        </w:tc>
        <w:tc>
          <w:tcPr>
            <w:tcW w:w="1700" w:type="dxa"/>
            <w:vAlign w:val="bottom"/>
          </w:tcPr>
          <w:p>
            <w:pPr>
              <w:ind w:left="220"/>
              <w:spacing w:after="0"/>
              <w:rPr>
                <w:sz w:val="20"/>
                <w:szCs w:val="20"/>
                <w:color w:val="auto"/>
              </w:rPr>
            </w:pPr>
            <w:r>
              <w:rPr>
                <w:rFonts w:ascii="Arial" w:cs="Arial" w:eastAsia="Arial" w:hAnsi="Arial"/>
                <w:sz w:val="18"/>
                <w:szCs w:val="18"/>
                <w:color w:val="auto"/>
              </w:rPr>
              <w:t>$750,000,000</w:t>
            </w:r>
          </w:p>
        </w:tc>
        <w:tc>
          <w:tcPr>
            <w:tcW w:w="178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324"/>
        </w:trPr>
        <w:tc>
          <w:tcPr>
            <w:tcW w:w="312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8160" w:type="dxa"/>
            <w:vAlign w:val="bottom"/>
            <w:gridSpan w:val="3"/>
          </w:tcPr>
          <w:p>
            <w:pPr>
              <w:ind w:left="220"/>
              <w:spacing w:after="0"/>
              <w:rPr>
                <w:sz w:val="20"/>
                <w:szCs w:val="20"/>
                <w:color w:val="auto"/>
              </w:rPr>
            </w:pPr>
            <w:r>
              <w:rPr>
                <w:rFonts w:ascii="Arial" w:cs="Arial" w:eastAsia="Arial" w:hAnsi="Arial"/>
                <w:sz w:val="18"/>
                <w:szCs w:val="18"/>
                <w:color w:val="auto"/>
              </w:rPr>
              <w:t>January 15, 2023</w:t>
            </w:r>
          </w:p>
        </w:tc>
      </w:tr>
      <w:tr>
        <w:trPr>
          <w:trHeight w:val="324"/>
        </w:trPr>
        <w:tc>
          <w:tcPr>
            <w:tcW w:w="312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1700" w:type="dxa"/>
            <w:vAlign w:val="bottom"/>
          </w:tcPr>
          <w:p>
            <w:pPr>
              <w:ind w:left="220"/>
              <w:spacing w:after="0"/>
              <w:rPr>
                <w:sz w:val="20"/>
                <w:szCs w:val="20"/>
                <w:color w:val="auto"/>
              </w:rPr>
            </w:pPr>
            <w:r>
              <w:rPr>
                <w:rFonts w:ascii="Arial" w:cs="Arial" w:eastAsia="Arial" w:hAnsi="Arial"/>
                <w:sz w:val="18"/>
                <w:szCs w:val="18"/>
                <w:color w:val="auto"/>
              </w:rPr>
              <w:t>2.850%</w:t>
            </w:r>
          </w:p>
        </w:tc>
        <w:tc>
          <w:tcPr>
            <w:tcW w:w="178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318"/>
        </w:trPr>
        <w:tc>
          <w:tcPr>
            <w:tcW w:w="312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8160" w:type="dxa"/>
            <w:vAlign w:val="bottom"/>
            <w:gridSpan w:val="3"/>
          </w:tcPr>
          <w:p>
            <w:pPr>
              <w:ind w:left="220"/>
              <w:spacing w:after="0"/>
              <w:rPr>
                <w:sz w:val="20"/>
                <w:szCs w:val="20"/>
                <w:color w:val="auto"/>
              </w:rPr>
            </w:pPr>
            <w:r>
              <w:rPr>
                <w:rFonts w:ascii="Arial" w:cs="Arial" w:eastAsia="Arial" w:hAnsi="Arial"/>
                <w:sz w:val="18"/>
                <w:szCs w:val="18"/>
                <w:color w:val="auto"/>
                <w:w w:val="89"/>
              </w:rPr>
              <w:t>The Company may at its option redeem the 2023 Notes in whole or in part, at any time or from time to time prior</w:t>
            </w:r>
          </w:p>
        </w:tc>
      </w:tr>
      <w:tr>
        <w:trPr>
          <w:trHeight w:val="222"/>
        </w:trPr>
        <w:tc>
          <w:tcPr>
            <w:tcW w:w="3120" w:type="dxa"/>
            <w:vAlign w:val="bottom"/>
          </w:tcPr>
          <w:p>
            <w:pPr>
              <w:spacing w:after="0"/>
              <w:rPr>
                <w:sz w:val="19"/>
                <w:szCs w:val="19"/>
                <w:color w:val="auto"/>
              </w:rPr>
            </w:pPr>
          </w:p>
        </w:tc>
        <w:tc>
          <w:tcPr>
            <w:tcW w:w="8160" w:type="dxa"/>
            <w:vAlign w:val="bottom"/>
            <w:gridSpan w:val="3"/>
          </w:tcPr>
          <w:p>
            <w:pPr>
              <w:ind w:left="220"/>
              <w:spacing w:after="0"/>
              <w:rPr>
                <w:sz w:val="20"/>
                <w:szCs w:val="20"/>
                <w:color w:val="auto"/>
              </w:rPr>
            </w:pPr>
            <w:r>
              <w:rPr>
                <w:rFonts w:ascii="Arial" w:cs="Arial" w:eastAsia="Arial" w:hAnsi="Arial"/>
                <w:sz w:val="18"/>
                <w:szCs w:val="18"/>
                <w:color w:val="auto"/>
              </w:rPr>
              <w:t>to their maturity, on at</w:t>
            </w: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8300" w:type="dxa"/>
            <w:vAlign w:val="bottom"/>
            <w:gridSpan w:val="5"/>
          </w:tcPr>
          <w:p>
            <w:pPr>
              <w:ind w:left="220"/>
              <w:spacing w:after="0"/>
              <w:rPr>
                <w:sz w:val="20"/>
                <w:szCs w:val="20"/>
                <w:color w:val="auto"/>
              </w:rPr>
            </w:pPr>
            <w:r>
              <w:rPr>
                <w:rFonts w:ascii="Arial" w:cs="Arial" w:eastAsia="Arial" w:hAnsi="Arial"/>
                <w:sz w:val="18"/>
                <w:szCs w:val="18"/>
                <w:color w:val="auto"/>
                <w:w w:val="89"/>
              </w:rPr>
              <w:t>least 30 days, but not more than 60 days, prior notice mailed to the registered address of each holder of the 2023</w:t>
            </w:r>
          </w:p>
        </w:tc>
      </w:tr>
      <w:tr>
        <w:trPr>
          <w:trHeight w:val="216"/>
        </w:trPr>
        <w:tc>
          <w:tcPr>
            <w:tcW w:w="3120" w:type="dxa"/>
            <w:vAlign w:val="bottom"/>
          </w:tcPr>
          <w:p>
            <w:pPr>
              <w:spacing w:after="0"/>
              <w:rPr>
                <w:sz w:val="18"/>
                <w:szCs w:val="18"/>
                <w:color w:val="auto"/>
              </w:rPr>
            </w:pPr>
          </w:p>
        </w:tc>
        <w:tc>
          <w:tcPr>
            <w:tcW w:w="8300" w:type="dxa"/>
            <w:vAlign w:val="bottom"/>
            <w:gridSpan w:val="5"/>
          </w:tcPr>
          <w:p>
            <w:pPr>
              <w:ind w:left="220"/>
              <w:spacing w:after="0"/>
              <w:rPr>
                <w:sz w:val="20"/>
                <w:szCs w:val="20"/>
                <w:color w:val="auto"/>
              </w:rPr>
            </w:pPr>
            <w:r>
              <w:rPr>
                <w:rFonts w:ascii="Arial" w:cs="Arial" w:eastAsia="Arial" w:hAnsi="Arial"/>
                <w:sz w:val="18"/>
                <w:szCs w:val="18"/>
                <w:color w:val="auto"/>
                <w:w w:val="89"/>
              </w:rPr>
              <w:t>Notes, at a redemption price equal to the greater of (i) 100% of the principal amount of the 2023 Notes and (ii) the</w:t>
            </w:r>
          </w:p>
        </w:tc>
      </w:tr>
      <w:tr>
        <w:trPr>
          <w:trHeight w:val="216"/>
        </w:trPr>
        <w:tc>
          <w:tcPr>
            <w:tcW w:w="3120" w:type="dxa"/>
            <w:vAlign w:val="bottom"/>
          </w:tcPr>
          <w:p>
            <w:pPr>
              <w:spacing w:after="0"/>
              <w:rPr>
                <w:sz w:val="18"/>
                <w:szCs w:val="18"/>
                <w:color w:val="auto"/>
              </w:rPr>
            </w:pPr>
          </w:p>
        </w:tc>
        <w:tc>
          <w:tcPr>
            <w:tcW w:w="8300" w:type="dxa"/>
            <w:vAlign w:val="bottom"/>
            <w:gridSpan w:val="5"/>
          </w:tcPr>
          <w:p>
            <w:pPr>
              <w:ind w:left="220"/>
              <w:spacing w:after="0"/>
              <w:rPr>
                <w:sz w:val="20"/>
                <w:szCs w:val="20"/>
                <w:color w:val="auto"/>
              </w:rPr>
            </w:pPr>
            <w:r>
              <w:rPr>
                <w:rFonts w:ascii="Arial" w:cs="Arial" w:eastAsia="Arial" w:hAnsi="Arial"/>
                <w:sz w:val="18"/>
                <w:szCs w:val="18"/>
                <w:color w:val="auto"/>
                <w:w w:val="92"/>
              </w:rPr>
              <w:t>sum of the present values of the remaining scheduled payments of principal and interest thereon (exclusive of</w:t>
            </w:r>
          </w:p>
        </w:tc>
      </w:tr>
      <w:tr>
        <w:trPr>
          <w:trHeight w:val="216"/>
        </w:trPr>
        <w:tc>
          <w:tcPr>
            <w:tcW w:w="3120" w:type="dxa"/>
            <w:vAlign w:val="bottom"/>
          </w:tcPr>
          <w:p>
            <w:pPr>
              <w:spacing w:after="0"/>
              <w:rPr>
                <w:sz w:val="18"/>
                <w:szCs w:val="18"/>
                <w:color w:val="auto"/>
              </w:rPr>
            </w:pPr>
          </w:p>
        </w:tc>
        <w:tc>
          <w:tcPr>
            <w:tcW w:w="8300" w:type="dxa"/>
            <w:vAlign w:val="bottom"/>
            <w:gridSpan w:val="5"/>
          </w:tcPr>
          <w:p>
            <w:pPr>
              <w:ind w:left="220"/>
              <w:spacing w:after="0"/>
              <w:rPr>
                <w:sz w:val="20"/>
                <w:szCs w:val="20"/>
                <w:color w:val="auto"/>
              </w:rPr>
            </w:pPr>
            <w:r>
              <w:rPr>
                <w:rFonts w:ascii="Arial" w:cs="Arial" w:eastAsia="Arial" w:hAnsi="Arial"/>
                <w:sz w:val="18"/>
                <w:szCs w:val="18"/>
                <w:color w:val="auto"/>
                <w:w w:val="89"/>
              </w:rPr>
              <w:t>interest accrued to the date of redemption) discounted to the redemption date on a semiannual basis (assuming a</w:t>
            </w:r>
          </w:p>
        </w:tc>
      </w:tr>
      <w:tr>
        <w:trPr>
          <w:trHeight w:val="216"/>
        </w:trPr>
        <w:tc>
          <w:tcPr>
            <w:tcW w:w="3120" w:type="dxa"/>
            <w:vAlign w:val="bottom"/>
          </w:tcPr>
          <w:p>
            <w:pPr>
              <w:spacing w:after="0"/>
              <w:rPr>
                <w:sz w:val="18"/>
                <w:szCs w:val="18"/>
                <w:color w:val="auto"/>
              </w:rPr>
            </w:pPr>
          </w:p>
        </w:tc>
        <w:tc>
          <w:tcPr>
            <w:tcW w:w="8300" w:type="dxa"/>
            <w:vAlign w:val="bottom"/>
            <w:gridSpan w:val="5"/>
          </w:tcPr>
          <w:p>
            <w:pPr>
              <w:ind w:left="220"/>
              <w:spacing w:after="0"/>
              <w:rPr>
                <w:sz w:val="20"/>
                <w:szCs w:val="20"/>
                <w:color w:val="auto"/>
              </w:rPr>
            </w:pPr>
            <w:r>
              <w:rPr>
                <w:rFonts w:ascii="Arial" w:cs="Arial" w:eastAsia="Arial" w:hAnsi="Arial"/>
                <w:sz w:val="18"/>
                <w:szCs w:val="18"/>
                <w:color w:val="auto"/>
                <w:w w:val="92"/>
              </w:rPr>
              <w:t>360-day year consisting of twelve 30-day months) at the Treasury Rate (as defined in the 2023 Notes) plus 15</w:t>
            </w:r>
          </w:p>
        </w:tc>
      </w:tr>
      <w:tr>
        <w:trPr>
          <w:trHeight w:val="216"/>
        </w:trPr>
        <w:tc>
          <w:tcPr>
            <w:tcW w:w="3120" w:type="dxa"/>
            <w:vAlign w:val="bottom"/>
          </w:tcPr>
          <w:p>
            <w:pPr>
              <w:spacing w:after="0"/>
              <w:rPr>
                <w:sz w:val="18"/>
                <w:szCs w:val="18"/>
                <w:color w:val="auto"/>
              </w:rPr>
            </w:pPr>
          </w:p>
        </w:tc>
        <w:tc>
          <w:tcPr>
            <w:tcW w:w="8300" w:type="dxa"/>
            <w:vAlign w:val="bottom"/>
            <w:gridSpan w:val="5"/>
          </w:tcPr>
          <w:p>
            <w:pPr>
              <w:ind w:left="220"/>
              <w:spacing w:after="0"/>
              <w:rPr>
                <w:sz w:val="20"/>
                <w:szCs w:val="20"/>
                <w:color w:val="auto"/>
              </w:rPr>
            </w:pPr>
            <w:r>
              <w:rPr>
                <w:rFonts w:ascii="Arial" w:cs="Arial" w:eastAsia="Arial" w:hAnsi="Arial"/>
                <w:sz w:val="18"/>
                <w:szCs w:val="18"/>
                <w:color w:val="auto"/>
                <w:w w:val="92"/>
              </w:rPr>
              <w:t>basis points, plus, in each case, accrued and unpaid interest thereon to the date of redemption, and as further</w:t>
            </w:r>
          </w:p>
        </w:tc>
      </w:tr>
      <w:tr>
        <w:trPr>
          <w:trHeight w:val="222"/>
        </w:trPr>
        <w:tc>
          <w:tcPr>
            <w:tcW w:w="3120" w:type="dxa"/>
            <w:vAlign w:val="bottom"/>
          </w:tcPr>
          <w:p>
            <w:pPr>
              <w:spacing w:after="0"/>
              <w:rPr>
                <w:sz w:val="19"/>
                <w:szCs w:val="19"/>
                <w:color w:val="auto"/>
              </w:rPr>
            </w:pPr>
          </w:p>
        </w:tc>
        <w:tc>
          <w:tcPr>
            <w:tcW w:w="8300" w:type="dxa"/>
            <w:vAlign w:val="bottom"/>
            <w:gridSpan w:val="5"/>
          </w:tcPr>
          <w:p>
            <w:pPr>
              <w:ind w:left="220"/>
              <w:spacing w:after="0"/>
              <w:rPr>
                <w:sz w:val="20"/>
                <w:szCs w:val="20"/>
                <w:color w:val="auto"/>
              </w:rPr>
            </w:pPr>
            <w:r>
              <w:rPr>
                <w:rFonts w:ascii="Arial" w:cs="Arial" w:eastAsia="Arial" w:hAnsi="Arial"/>
                <w:sz w:val="18"/>
                <w:szCs w:val="18"/>
                <w:color w:val="auto"/>
              </w:rPr>
              <w:t>described in the Prospectus Supplement dated January 8, 2013.</w:t>
            </w:r>
          </w:p>
        </w:tc>
      </w:tr>
      <w:tr>
        <w:trPr>
          <w:trHeight w:val="318"/>
        </w:trPr>
        <w:tc>
          <w:tcPr>
            <w:tcW w:w="312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300" w:type="dxa"/>
            <w:vAlign w:val="bottom"/>
            <w:gridSpan w:val="5"/>
          </w:tcPr>
          <w:p>
            <w:pPr>
              <w:ind w:left="220"/>
              <w:spacing w:after="0"/>
              <w:rPr>
                <w:sz w:val="20"/>
                <w:szCs w:val="20"/>
                <w:color w:val="auto"/>
              </w:rPr>
            </w:pPr>
            <w:r>
              <w:rPr>
                <w:rFonts w:ascii="Arial" w:cs="Arial" w:eastAsia="Arial" w:hAnsi="Arial"/>
                <w:sz w:val="18"/>
                <w:szCs w:val="18"/>
                <w:color w:val="auto"/>
                <w:w w:val="88"/>
              </w:rPr>
              <w:t>The 2023 Notes need not be issued at the same time and the series may be reopened for issuance of an unlimited</w:t>
            </w:r>
          </w:p>
        </w:tc>
      </w:tr>
      <w:tr>
        <w:trPr>
          <w:trHeight w:val="216"/>
        </w:trPr>
        <w:tc>
          <w:tcPr>
            <w:tcW w:w="3120" w:type="dxa"/>
            <w:vAlign w:val="bottom"/>
          </w:tcPr>
          <w:p>
            <w:pPr>
              <w:spacing w:after="0"/>
              <w:rPr>
                <w:sz w:val="18"/>
                <w:szCs w:val="18"/>
                <w:color w:val="auto"/>
              </w:rPr>
            </w:pPr>
          </w:p>
        </w:tc>
        <w:tc>
          <w:tcPr>
            <w:tcW w:w="8300" w:type="dxa"/>
            <w:vAlign w:val="bottom"/>
            <w:gridSpan w:val="5"/>
          </w:tcPr>
          <w:p>
            <w:pPr>
              <w:ind w:left="220"/>
              <w:spacing w:after="0"/>
              <w:rPr>
                <w:sz w:val="20"/>
                <w:szCs w:val="20"/>
                <w:color w:val="auto"/>
              </w:rPr>
            </w:pPr>
            <w:r>
              <w:rPr>
                <w:rFonts w:ascii="Arial" w:cs="Arial" w:eastAsia="Arial" w:hAnsi="Arial"/>
                <w:sz w:val="18"/>
                <w:szCs w:val="18"/>
                <w:color w:val="auto"/>
                <w:w w:val="98"/>
              </w:rPr>
              <w:t>principal amount of additional 2023 Notes under this series. Additional 2023 Notes of this series will be</w:t>
            </w:r>
          </w:p>
        </w:tc>
      </w:tr>
      <w:tr>
        <w:trPr>
          <w:trHeight w:val="216"/>
        </w:trPr>
        <w:tc>
          <w:tcPr>
            <w:tcW w:w="3120" w:type="dxa"/>
            <w:vAlign w:val="bottom"/>
          </w:tcPr>
          <w:p>
            <w:pPr>
              <w:spacing w:after="0"/>
              <w:rPr>
                <w:sz w:val="18"/>
                <w:szCs w:val="18"/>
                <w:color w:val="auto"/>
              </w:rPr>
            </w:pPr>
          </w:p>
        </w:tc>
        <w:tc>
          <w:tcPr>
            <w:tcW w:w="8300" w:type="dxa"/>
            <w:vAlign w:val="bottom"/>
            <w:gridSpan w:val="5"/>
          </w:tcPr>
          <w:p>
            <w:pPr>
              <w:ind w:left="220"/>
              <w:spacing w:after="0"/>
              <w:rPr>
                <w:sz w:val="20"/>
                <w:szCs w:val="20"/>
                <w:color w:val="auto"/>
              </w:rPr>
            </w:pPr>
            <w:r>
              <w:rPr>
                <w:rFonts w:ascii="Arial" w:cs="Arial" w:eastAsia="Arial" w:hAnsi="Arial"/>
                <w:sz w:val="18"/>
                <w:szCs w:val="18"/>
                <w:color w:val="auto"/>
                <w:w w:val="97"/>
              </w:rPr>
              <w:t>consolidated with, and form a single series with, 2023 Notes then outstanding, including for purposes of</w:t>
            </w:r>
          </w:p>
        </w:tc>
      </w:tr>
      <w:tr>
        <w:trPr>
          <w:trHeight w:val="216"/>
        </w:trPr>
        <w:tc>
          <w:tcPr>
            <w:tcW w:w="3120" w:type="dxa"/>
            <w:vAlign w:val="bottom"/>
          </w:tcPr>
          <w:p>
            <w:pPr>
              <w:spacing w:after="0"/>
              <w:rPr>
                <w:sz w:val="18"/>
                <w:szCs w:val="18"/>
                <w:color w:val="auto"/>
              </w:rPr>
            </w:pPr>
          </w:p>
        </w:tc>
        <w:tc>
          <w:tcPr>
            <w:tcW w:w="8300" w:type="dxa"/>
            <w:vAlign w:val="bottom"/>
            <w:gridSpan w:val="5"/>
          </w:tcPr>
          <w:p>
            <w:pPr>
              <w:ind w:left="220"/>
              <w:spacing w:after="0"/>
              <w:rPr>
                <w:sz w:val="20"/>
                <w:szCs w:val="20"/>
                <w:color w:val="auto"/>
              </w:rPr>
            </w:pPr>
            <w:r>
              <w:rPr>
                <w:rFonts w:ascii="Arial" w:cs="Arial" w:eastAsia="Arial" w:hAnsi="Arial"/>
                <w:sz w:val="18"/>
                <w:szCs w:val="18"/>
                <w:color w:val="auto"/>
                <w:w w:val="96"/>
              </w:rPr>
              <w:t>determining whether the required percentage of the holders of record has given approval or consent to an</w:t>
            </w:r>
          </w:p>
        </w:tc>
      </w:tr>
      <w:tr>
        <w:trPr>
          <w:trHeight w:val="222"/>
        </w:trPr>
        <w:tc>
          <w:tcPr>
            <w:tcW w:w="3120" w:type="dxa"/>
            <w:vAlign w:val="bottom"/>
          </w:tcPr>
          <w:p>
            <w:pPr>
              <w:spacing w:after="0"/>
              <w:rPr>
                <w:sz w:val="19"/>
                <w:szCs w:val="19"/>
                <w:color w:val="auto"/>
              </w:rPr>
            </w:pPr>
          </w:p>
        </w:tc>
        <w:tc>
          <w:tcPr>
            <w:tcW w:w="8300" w:type="dxa"/>
            <w:vAlign w:val="bottom"/>
            <w:gridSpan w:val="5"/>
          </w:tcPr>
          <w:p>
            <w:pPr>
              <w:ind w:left="220"/>
              <w:spacing w:after="0"/>
              <w:rPr>
                <w:sz w:val="20"/>
                <w:szCs w:val="20"/>
                <w:color w:val="auto"/>
              </w:rPr>
            </w:pPr>
            <w:r>
              <w:rPr>
                <w:rFonts w:ascii="Arial" w:cs="Arial" w:eastAsia="Arial" w:hAnsi="Arial"/>
                <w:sz w:val="18"/>
                <w:szCs w:val="18"/>
                <w:color w:val="auto"/>
                <w:w w:val="99"/>
              </w:rPr>
              <w:t>amendment or waiver or joined in directing the Trustee to take certain actions on behalf of all holders.</w:t>
            </w:r>
          </w:p>
        </w:tc>
      </w:tr>
      <w:tr>
        <w:trPr>
          <w:trHeight w:val="324"/>
        </w:trPr>
        <w:tc>
          <w:tcPr>
            <w:tcW w:w="312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300" w:type="dxa"/>
            <w:vAlign w:val="bottom"/>
            <w:gridSpan w:val="5"/>
          </w:tcPr>
          <w:p>
            <w:pPr>
              <w:ind w:left="220"/>
              <w:spacing w:after="0"/>
              <w:rPr>
                <w:sz w:val="20"/>
                <w:szCs w:val="20"/>
                <w:color w:val="auto"/>
              </w:rPr>
            </w:pPr>
            <w:r>
              <w:rPr>
                <w:rFonts w:ascii="Arial" w:cs="Arial" w:eastAsia="Arial" w:hAnsi="Arial"/>
                <w:sz w:val="18"/>
                <w:szCs w:val="18"/>
                <w:color w:val="auto"/>
              </w:rPr>
              <w:t>None</w:t>
            </w:r>
          </w:p>
        </w:tc>
      </w:tr>
      <w:tr>
        <w:trPr>
          <w:trHeight w:val="324"/>
        </w:trPr>
        <w:tc>
          <w:tcPr>
            <w:tcW w:w="312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300" w:type="dxa"/>
            <w:vAlign w:val="bottom"/>
            <w:gridSpan w:val="5"/>
          </w:tcPr>
          <w:p>
            <w:pPr>
              <w:ind w:left="220"/>
              <w:spacing w:after="0"/>
              <w:rPr>
                <w:sz w:val="20"/>
                <w:szCs w:val="20"/>
                <w:color w:val="auto"/>
              </w:rPr>
            </w:pPr>
            <w:r>
              <w:rPr>
                <w:rFonts w:ascii="Arial" w:cs="Arial" w:eastAsia="Arial" w:hAnsi="Arial"/>
                <w:sz w:val="18"/>
                <w:szCs w:val="18"/>
                <w:color w:val="auto"/>
              </w:rPr>
              <w:t>None</w:t>
            </w:r>
          </w:p>
        </w:tc>
      </w:tr>
      <w:tr>
        <w:trPr>
          <w:trHeight w:val="312"/>
        </w:trPr>
        <w:tc>
          <w:tcPr>
            <w:tcW w:w="312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300" w:type="dxa"/>
            <w:vAlign w:val="bottom"/>
            <w:gridSpan w:val="5"/>
          </w:tcPr>
          <w:p>
            <w:pPr>
              <w:ind w:left="220"/>
              <w:spacing w:after="0"/>
              <w:rPr>
                <w:sz w:val="20"/>
                <w:szCs w:val="20"/>
                <w:color w:val="auto"/>
              </w:rPr>
            </w:pPr>
            <w:r>
              <w:rPr>
                <w:rFonts w:ascii="Arial" w:cs="Arial" w:eastAsia="Arial" w:hAnsi="Arial"/>
                <w:sz w:val="18"/>
                <w:szCs w:val="18"/>
                <w:color w:val="auto"/>
                <w:w w:val="87"/>
              </w:rPr>
              <w:t>The terms of the 2023 Notes shall include such other terms as are set forth in the Form of Notes Due 2023 attached</w:t>
            </w:r>
          </w:p>
        </w:tc>
      </w:tr>
      <w:tr>
        <w:trPr>
          <w:trHeight w:val="190"/>
        </w:trPr>
        <w:tc>
          <w:tcPr>
            <w:tcW w:w="3120" w:type="dxa"/>
            <w:vAlign w:val="bottom"/>
          </w:tcPr>
          <w:p>
            <w:pPr>
              <w:spacing w:after="0"/>
              <w:rPr>
                <w:sz w:val="16"/>
                <w:szCs w:val="16"/>
                <w:color w:val="auto"/>
              </w:rPr>
            </w:pPr>
          </w:p>
        </w:tc>
        <w:tc>
          <w:tcPr>
            <w:tcW w:w="8300" w:type="dxa"/>
            <w:vAlign w:val="bottom"/>
            <w:gridSpan w:val="5"/>
          </w:tcPr>
          <w:p>
            <w:pPr>
              <w:ind w:left="220"/>
              <w:spacing w:after="0" w:line="190" w:lineRule="exact"/>
              <w:rPr>
                <w:sz w:val="20"/>
                <w:szCs w:val="20"/>
                <w:color w:val="auto"/>
              </w:rPr>
            </w:pPr>
            <w:r>
              <w:rPr>
                <w:rFonts w:ascii="Arial" w:cs="Arial" w:eastAsia="Arial" w:hAnsi="Arial"/>
                <w:sz w:val="18"/>
                <w:szCs w:val="18"/>
                <w:color w:val="auto"/>
              </w:rPr>
              <w:t xml:space="preserve">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520"/>
        </w:trPr>
        <w:tc>
          <w:tcPr>
            <w:tcW w:w="3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u w:val="single" w:color="auto"/>
                <w:color w:val="auto"/>
              </w:rPr>
              <w:t>250%</w:t>
            </w:r>
            <w:r>
              <w:rPr>
                <w:rFonts w:ascii="Arial" w:cs="Arial" w:eastAsia="Arial" w:hAnsi="Arial"/>
                <w:sz w:val="18"/>
                <w:szCs w:val="18"/>
                <w:b w:val="1"/>
                <w:bCs w:val="1"/>
                <w:color w:val="auto"/>
              </w:rPr>
              <w:t xml:space="preserve"> Notes Due 2033</w:t>
            </w:r>
          </w:p>
        </w:tc>
      </w:tr>
      <w:tr>
        <w:trPr>
          <w:trHeight w:val="20"/>
        </w:trPr>
        <w:tc>
          <w:tcPr>
            <w:tcW w:w="31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545"/>
        </w:trPr>
        <w:tc>
          <w:tcPr>
            <w:tcW w:w="312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8300" w:type="dxa"/>
            <w:vAlign w:val="bottom"/>
            <w:gridSpan w:val="5"/>
          </w:tcPr>
          <w:p>
            <w:pPr>
              <w:ind w:left="220"/>
              <w:spacing w:after="0"/>
              <w:rPr>
                <w:sz w:val="20"/>
                <w:szCs w:val="20"/>
                <w:color w:val="auto"/>
              </w:rPr>
            </w:pPr>
            <w:r>
              <w:rPr>
                <w:rFonts w:ascii="Arial" w:cs="Arial" w:eastAsia="Arial" w:hAnsi="Arial"/>
                <w:sz w:val="18"/>
                <w:szCs w:val="18"/>
                <w:color w:val="auto"/>
              </w:rPr>
              <w:t>4.250% Notes Due 2033</w:t>
            </w:r>
          </w:p>
        </w:tc>
      </w:tr>
      <w:tr>
        <w:trPr>
          <w:trHeight w:val="324"/>
        </w:trPr>
        <w:tc>
          <w:tcPr>
            <w:tcW w:w="3120" w:type="dxa"/>
            <w:vAlign w:val="bottom"/>
          </w:tcPr>
          <w:p>
            <w:pPr>
              <w:spacing w:after="0"/>
              <w:rPr>
                <w:sz w:val="20"/>
                <w:szCs w:val="20"/>
                <w:color w:val="auto"/>
              </w:rPr>
            </w:pPr>
            <w:r>
              <w:rPr>
                <w:rFonts w:ascii="Arial" w:cs="Arial" w:eastAsia="Arial" w:hAnsi="Arial"/>
                <w:sz w:val="18"/>
                <w:szCs w:val="18"/>
                <w:i w:val="1"/>
                <w:iCs w:val="1"/>
                <w:color w:val="auto"/>
                <w:w w:val="97"/>
              </w:rPr>
              <w:t>Aggregate Principal Amount at Maturity:</w:t>
            </w:r>
          </w:p>
        </w:tc>
        <w:tc>
          <w:tcPr>
            <w:tcW w:w="1600" w:type="dxa"/>
            <w:vAlign w:val="bottom"/>
            <w:gridSpan w:val="2"/>
          </w:tcPr>
          <w:p>
            <w:pPr>
              <w:ind w:left="220"/>
              <w:spacing w:after="0"/>
              <w:rPr>
                <w:sz w:val="20"/>
                <w:szCs w:val="20"/>
                <w:color w:val="auto"/>
              </w:rPr>
            </w:pPr>
            <w:r>
              <w:rPr>
                <w:rFonts w:ascii="Arial" w:cs="Arial" w:eastAsia="Arial" w:hAnsi="Arial"/>
                <w:sz w:val="18"/>
                <w:szCs w:val="18"/>
                <w:color w:val="auto"/>
              </w:rPr>
              <w:t>$1,700,000,000</w:t>
            </w: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65"/>
        </w:trPr>
        <w:tc>
          <w:tcPr>
            <w:tcW w:w="3120" w:type="dxa"/>
            <w:vAlign w:val="bottom"/>
          </w:tcPr>
          <w:p>
            <w:pPr>
              <w:spacing w:after="0"/>
              <w:rPr>
                <w:sz w:val="24"/>
                <w:szCs w:val="24"/>
                <w:color w:val="auto"/>
              </w:rPr>
            </w:pPr>
          </w:p>
        </w:tc>
        <w:tc>
          <w:tcPr>
            <w:tcW w:w="3480" w:type="dxa"/>
            <w:vAlign w:val="bottom"/>
            <w:gridSpan w:val="4"/>
          </w:tcPr>
          <w:p>
            <w:pPr>
              <w:ind w:left="2560"/>
              <w:spacing w:after="0"/>
              <w:rPr>
                <w:sz w:val="20"/>
                <w:szCs w:val="20"/>
                <w:color w:val="auto"/>
              </w:rPr>
            </w:pPr>
            <w:r>
              <w:rPr>
                <w:rFonts w:ascii="Arial" w:cs="Arial" w:eastAsia="Arial" w:hAnsi="Arial"/>
                <w:sz w:val="18"/>
                <w:szCs w:val="18"/>
                <w:color w:val="auto"/>
              </w:rPr>
              <w:t>2</w:t>
            </w:r>
          </w:p>
        </w:tc>
        <w:tc>
          <w:tcPr>
            <w:tcW w:w="48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256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8860" w:type="dxa"/>
            <w:vAlign w:val="bottom"/>
            <w:gridSpan w:val="3"/>
          </w:tcPr>
          <w:p>
            <w:pPr>
              <w:ind w:left="780"/>
              <w:spacing w:after="0"/>
              <w:rPr>
                <w:sz w:val="20"/>
                <w:szCs w:val="20"/>
                <w:color w:val="auto"/>
              </w:rPr>
            </w:pPr>
            <w:r>
              <w:rPr>
                <w:rFonts w:ascii="Arial" w:cs="Arial" w:eastAsia="Arial" w:hAnsi="Arial"/>
                <w:sz w:val="18"/>
                <w:szCs w:val="18"/>
                <w:color w:val="auto"/>
              </w:rPr>
              <w:t>January 15, 2033</w:t>
            </w:r>
          </w:p>
        </w:tc>
      </w:tr>
      <w:tr>
        <w:trPr>
          <w:trHeight w:val="324"/>
        </w:trPr>
        <w:tc>
          <w:tcPr>
            <w:tcW w:w="256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1440" w:type="dxa"/>
            <w:vAlign w:val="bottom"/>
          </w:tcPr>
          <w:p>
            <w:pPr>
              <w:ind w:left="780"/>
              <w:spacing w:after="0"/>
              <w:rPr>
                <w:sz w:val="20"/>
                <w:szCs w:val="20"/>
                <w:color w:val="auto"/>
              </w:rPr>
            </w:pPr>
            <w:r>
              <w:rPr>
                <w:rFonts w:ascii="Arial" w:cs="Arial" w:eastAsia="Arial" w:hAnsi="Arial"/>
                <w:sz w:val="18"/>
                <w:szCs w:val="18"/>
                <w:color w:val="auto"/>
              </w:rPr>
              <w:t>4.250%</w:t>
            </w:r>
          </w:p>
        </w:tc>
        <w:tc>
          <w:tcPr>
            <w:tcW w:w="720" w:type="dxa"/>
            <w:vAlign w:val="bottom"/>
          </w:tcPr>
          <w:p>
            <w:pPr>
              <w:spacing w:after="0"/>
              <w:rPr>
                <w:sz w:val="24"/>
                <w:szCs w:val="24"/>
                <w:color w:val="auto"/>
              </w:rPr>
            </w:pPr>
          </w:p>
        </w:tc>
        <w:tc>
          <w:tcPr>
            <w:tcW w:w="6700" w:type="dxa"/>
            <w:vAlign w:val="bottom"/>
          </w:tcPr>
          <w:p>
            <w:pPr>
              <w:spacing w:after="0"/>
              <w:rPr>
                <w:sz w:val="24"/>
                <w:szCs w:val="24"/>
                <w:color w:val="auto"/>
              </w:rPr>
            </w:pPr>
          </w:p>
        </w:tc>
      </w:tr>
      <w:tr>
        <w:trPr>
          <w:trHeight w:val="318"/>
        </w:trPr>
        <w:tc>
          <w:tcPr>
            <w:tcW w:w="256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8860" w:type="dxa"/>
            <w:vAlign w:val="bottom"/>
            <w:gridSpan w:val="3"/>
          </w:tcPr>
          <w:p>
            <w:pPr>
              <w:ind w:left="780"/>
              <w:spacing w:after="0"/>
              <w:rPr>
                <w:sz w:val="20"/>
                <w:szCs w:val="20"/>
                <w:color w:val="auto"/>
              </w:rPr>
            </w:pPr>
            <w:r>
              <w:rPr>
                <w:rFonts w:ascii="Arial" w:cs="Arial" w:eastAsia="Arial" w:hAnsi="Arial"/>
                <w:sz w:val="18"/>
                <w:szCs w:val="18"/>
                <w:color w:val="auto"/>
                <w:w w:val="90"/>
              </w:rPr>
              <w:t>The Company may at its option redeem the 2033 Notes in whole or in part, at any time or from time to time prior</w:t>
            </w:r>
          </w:p>
        </w:tc>
      </w:tr>
      <w:tr>
        <w:trPr>
          <w:trHeight w:val="216"/>
        </w:trPr>
        <w:tc>
          <w:tcPr>
            <w:tcW w:w="2560" w:type="dxa"/>
            <w:vAlign w:val="bottom"/>
          </w:tcPr>
          <w:p>
            <w:pPr>
              <w:spacing w:after="0"/>
              <w:rPr>
                <w:sz w:val="18"/>
                <w:szCs w:val="18"/>
                <w:color w:val="auto"/>
              </w:rPr>
            </w:pPr>
          </w:p>
        </w:tc>
        <w:tc>
          <w:tcPr>
            <w:tcW w:w="8860" w:type="dxa"/>
            <w:vAlign w:val="bottom"/>
            <w:gridSpan w:val="3"/>
          </w:tcPr>
          <w:p>
            <w:pPr>
              <w:ind w:left="780"/>
              <w:spacing w:after="0"/>
              <w:rPr>
                <w:sz w:val="20"/>
                <w:szCs w:val="20"/>
                <w:color w:val="auto"/>
              </w:rPr>
            </w:pPr>
            <w:r>
              <w:rPr>
                <w:rFonts w:ascii="Arial" w:cs="Arial" w:eastAsia="Arial" w:hAnsi="Arial"/>
                <w:sz w:val="18"/>
                <w:szCs w:val="18"/>
                <w:color w:val="auto"/>
                <w:w w:val="91"/>
              </w:rPr>
              <w:t>to their maturity, on at least 30 days, but not more than 60 days, prior notice mailed to the registered address of</w:t>
            </w:r>
          </w:p>
        </w:tc>
      </w:tr>
      <w:tr>
        <w:trPr>
          <w:trHeight w:val="216"/>
        </w:trPr>
        <w:tc>
          <w:tcPr>
            <w:tcW w:w="2560" w:type="dxa"/>
            <w:vAlign w:val="bottom"/>
          </w:tcPr>
          <w:p>
            <w:pPr>
              <w:spacing w:after="0"/>
              <w:rPr>
                <w:sz w:val="18"/>
                <w:szCs w:val="18"/>
                <w:color w:val="auto"/>
              </w:rPr>
            </w:pPr>
          </w:p>
        </w:tc>
        <w:tc>
          <w:tcPr>
            <w:tcW w:w="8860" w:type="dxa"/>
            <w:vAlign w:val="bottom"/>
            <w:gridSpan w:val="3"/>
          </w:tcPr>
          <w:p>
            <w:pPr>
              <w:ind w:left="780"/>
              <w:spacing w:after="0"/>
              <w:rPr>
                <w:sz w:val="20"/>
                <w:szCs w:val="20"/>
                <w:color w:val="auto"/>
              </w:rPr>
            </w:pPr>
            <w:r>
              <w:rPr>
                <w:rFonts w:ascii="Arial" w:cs="Arial" w:eastAsia="Arial" w:hAnsi="Arial"/>
                <w:sz w:val="18"/>
                <w:szCs w:val="18"/>
                <w:color w:val="auto"/>
                <w:w w:val="88"/>
              </w:rPr>
              <w:t>each holder of the 2033 Notes, at a redemption price equal to the greater of (i) 100% of the principal amount of the</w:t>
            </w:r>
          </w:p>
        </w:tc>
      </w:tr>
      <w:tr>
        <w:trPr>
          <w:trHeight w:val="216"/>
        </w:trPr>
        <w:tc>
          <w:tcPr>
            <w:tcW w:w="2560" w:type="dxa"/>
            <w:vAlign w:val="bottom"/>
          </w:tcPr>
          <w:p>
            <w:pPr>
              <w:spacing w:after="0"/>
              <w:rPr>
                <w:sz w:val="18"/>
                <w:szCs w:val="18"/>
                <w:color w:val="auto"/>
              </w:rPr>
            </w:pPr>
          </w:p>
        </w:tc>
        <w:tc>
          <w:tcPr>
            <w:tcW w:w="8860" w:type="dxa"/>
            <w:vAlign w:val="bottom"/>
            <w:gridSpan w:val="3"/>
          </w:tcPr>
          <w:p>
            <w:pPr>
              <w:ind w:left="780"/>
              <w:spacing w:after="0"/>
              <w:rPr>
                <w:sz w:val="20"/>
                <w:szCs w:val="20"/>
                <w:color w:val="auto"/>
              </w:rPr>
            </w:pPr>
            <w:r>
              <w:rPr>
                <w:rFonts w:ascii="Arial" w:cs="Arial" w:eastAsia="Arial" w:hAnsi="Arial"/>
                <w:sz w:val="18"/>
                <w:szCs w:val="18"/>
                <w:color w:val="auto"/>
                <w:w w:val="90"/>
              </w:rPr>
              <w:t>2033 Notes and (ii) the sum of the present values of the remaining scheduled payments of principal and interest</w:t>
            </w:r>
          </w:p>
        </w:tc>
      </w:tr>
      <w:tr>
        <w:trPr>
          <w:trHeight w:val="216"/>
        </w:trPr>
        <w:tc>
          <w:tcPr>
            <w:tcW w:w="2560" w:type="dxa"/>
            <w:vAlign w:val="bottom"/>
          </w:tcPr>
          <w:p>
            <w:pPr>
              <w:spacing w:after="0"/>
              <w:rPr>
                <w:sz w:val="18"/>
                <w:szCs w:val="18"/>
                <w:color w:val="auto"/>
              </w:rPr>
            </w:pPr>
          </w:p>
        </w:tc>
        <w:tc>
          <w:tcPr>
            <w:tcW w:w="8860" w:type="dxa"/>
            <w:vAlign w:val="bottom"/>
            <w:gridSpan w:val="3"/>
          </w:tcPr>
          <w:p>
            <w:pPr>
              <w:ind w:left="780"/>
              <w:spacing w:after="0"/>
              <w:rPr>
                <w:sz w:val="20"/>
                <w:szCs w:val="20"/>
                <w:color w:val="auto"/>
              </w:rPr>
            </w:pPr>
            <w:r>
              <w:rPr>
                <w:rFonts w:ascii="Arial" w:cs="Arial" w:eastAsia="Arial" w:hAnsi="Arial"/>
                <w:sz w:val="18"/>
                <w:szCs w:val="18"/>
                <w:color w:val="auto"/>
                <w:w w:val="97"/>
              </w:rPr>
              <w:t>thereon (exclusive of interest accrued to the date of redemption) discounted to the redemption date on a</w:t>
            </w:r>
          </w:p>
        </w:tc>
      </w:tr>
      <w:tr>
        <w:trPr>
          <w:trHeight w:val="216"/>
        </w:trPr>
        <w:tc>
          <w:tcPr>
            <w:tcW w:w="2560" w:type="dxa"/>
            <w:vAlign w:val="bottom"/>
          </w:tcPr>
          <w:p>
            <w:pPr>
              <w:spacing w:after="0"/>
              <w:rPr>
                <w:sz w:val="18"/>
                <w:szCs w:val="18"/>
                <w:color w:val="auto"/>
              </w:rPr>
            </w:pPr>
          </w:p>
        </w:tc>
        <w:tc>
          <w:tcPr>
            <w:tcW w:w="8860" w:type="dxa"/>
            <w:vAlign w:val="bottom"/>
            <w:gridSpan w:val="3"/>
          </w:tcPr>
          <w:p>
            <w:pPr>
              <w:ind w:left="780"/>
              <w:spacing w:after="0"/>
              <w:rPr>
                <w:sz w:val="20"/>
                <w:szCs w:val="20"/>
                <w:color w:val="auto"/>
              </w:rPr>
            </w:pPr>
            <w:r>
              <w:rPr>
                <w:rFonts w:ascii="Arial" w:cs="Arial" w:eastAsia="Arial" w:hAnsi="Arial"/>
                <w:sz w:val="18"/>
                <w:szCs w:val="18"/>
                <w:color w:val="auto"/>
                <w:w w:val="88"/>
              </w:rPr>
              <w:t>semiannual basis (assuming a 360-day year consisting of twelve 30-day months) at the Treasury Rate (as defined</w:t>
            </w:r>
          </w:p>
        </w:tc>
      </w:tr>
      <w:tr>
        <w:trPr>
          <w:trHeight w:val="216"/>
        </w:trPr>
        <w:tc>
          <w:tcPr>
            <w:tcW w:w="2560" w:type="dxa"/>
            <w:vAlign w:val="bottom"/>
          </w:tcPr>
          <w:p>
            <w:pPr>
              <w:spacing w:after="0"/>
              <w:rPr>
                <w:sz w:val="18"/>
                <w:szCs w:val="18"/>
                <w:color w:val="auto"/>
              </w:rPr>
            </w:pPr>
          </w:p>
        </w:tc>
        <w:tc>
          <w:tcPr>
            <w:tcW w:w="8860" w:type="dxa"/>
            <w:vAlign w:val="bottom"/>
            <w:gridSpan w:val="3"/>
          </w:tcPr>
          <w:p>
            <w:pPr>
              <w:ind w:left="780"/>
              <w:spacing w:after="0"/>
              <w:rPr>
                <w:sz w:val="20"/>
                <w:szCs w:val="20"/>
                <w:color w:val="auto"/>
              </w:rPr>
            </w:pPr>
            <w:r>
              <w:rPr>
                <w:rFonts w:ascii="Arial" w:cs="Arial" w:eastAsia="Arial" w:hAnsi="Arial"/>
                <w:sz w:val="18"/>
                <w:szCs w:val="18"/>
                <w:color w:val="auto"/>
                <w:w w:val="92"/>
              </w:rPr>
              <w:t>in the 2033 Notes) plus 20 basis points, plus, in each case, accrued and unpaid interest thereon to the date of</w:t>
            </w:r>
          </w:p>
        </w:tc>
      </w:tr>
      <w:tr>
        <w:trPr>
          <w:trHeight w:val="222"/>
        </w:trPr>
        <w:tc>
          <w:tcPr>
            <w:tcW w:w="2560" w:type="dxa"/>
            <w:vAlign w:val="bottom"/>
          </w:tcPr>
          <w:p>
            <w:pPr>
              <w:spacing w:after="0"/>
              <w:rPr>
                <w:sz w:val="19"/>
                <w:szCs w:val="19"/>
                <w:color w:val="auto"/>
              </w:rPr>
            </w:pPr>
          </w:p>
        </w:tc>
        <w:tc>
          <w:tcPr>
            <w:tcW w:w="8860" w:type="dxa"/>
            <w:vAlign w:val="bottom"/>
            <w:gridSpan w:val="3"/>
          </w:tcPr>
          <w:p>
            <w:pPr>
              <w:ind w:left="780"/>
              <w:spacing w:after="0"/>
              <w:rPr>
                <w:sz w:val="20"/>
                <w:szCs w:val="20"/>
                <w:color w:val="auto"/>
              </w:rPr>
            </w:pPr>
            <w:r>
              <w:rPr>
                <w:rFonts w:ascii="Arial" w:cs="Arial" w:eastAsia="Arial" w:hAnsi="Arial"/>
                <w:sz w:val="18"/>
                <w:szCs w:val="18"/>
                <w:color w:val="auto"/>
              </w:rPr>
              <w:t>redemption, and as further described in the Prospectus Supplement dated January 8, 2013.</w:t>
            </w:r>
          </w:p>
        </w:tc>
      </w:tr>
      <w:tr>
        <w:trPr>
          <w:trHeight w:val="318"/>
        </w:trPr>
        <w:tc>
          <w:tcPr>
            <w:tcW w:w="256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860" w:type="dxa"/>
            <w:vAlign w:val="bottom"/>
            <w:gridSpan w:val="3"/>
          </w:tcPr>
          <w:p>
            <w:pPr>
              <w:ind w:left="780"/>
              <w:spacing w:after="0"/>
              <w:rPr>
                <w:sz w:val="20"/>
                <w:szCs w:val="20"/>
                <w:color w:val="auto"/>
              </w:rPr>
            </w:pPr>
            <w:r>
              <w:rPr>
                <w:rFonts w:ascii="Arial" w:cs="Arial" w:eastAsia="Arial" w:hAnsi="Arial"/>
                <w:sz w:val="18"/>
                <w:szCs w:val="18"/>
                <w:color w:val="auto"/>
                <w:w w:val="88"/>
              </w:rPr>
              <w:t>The 2033 Notes need not be issued at the same time and the series may be reopened for issuance of an unlimited</w:t>
            </w:r>
          </w:p>
        </w:tc>
      </w:tr>
      <w:tr>
        <w:trPr>
          <w:trHeight w:val="216"/>
        </w:trPr>
        <w:tc>
          <w:tcPr>
            <w:tcW w:w="2560" w:type="dxa"/>
            <w:vAlign w:val="bottom"/>
          </w:tcPr>
          <w:p>
            <w:pPr>
              <w:spacing w:after="0"/>
              <w:rPr>
                <w:sz w:val="18"/>
                <w:szCs w:val="18"/>
                <w:color w:val="auto"/>
              </w:rPr>
            </w:pPr>
          </w:p>
        </w:tc>
        <w:tc>
          <w:tcPr>
            <w:tcW w:w="8860" w:type="dxa"/>
            <w:vAlign w:val="bottom"/>
            <w:gridSpan w:val="3"/>
          </w:tcPr>
          <w:p>
            <w:pPr>
              <w:ind w:left="780"/>
              <w:spacing w:after="0"/>
              <w:rPr>
                <w:sz w:val="20"/>
                <w:szCs w:val="20"/>
                <w:color w:val="auto"/>
              </w:rPr>
            </w:pPr>
            <w:r>
              <w:rPr>
                <w:rFonts w:ascii="Arial" w:cs="Arial" w:eastAsia="Arial" w:hAnsi="Arial"/>
                <w:sz w:val="18"/>
                <w:szCs w:val="18"/>
                <w:color w:val="auto"/>
                <w:w w:val="98"/>
              </w:rPr>
              <w:t>principal amount of additional 2033 Notes under this series. Additional 2033 Notes of this series will be</w:t>
            </w:r>
          </w:p>
        </w:tc>
      </w:tr>
      <w:tr>
        <w:trPr>
          <w:trHeight w:val="216"/>
        </w:trPr>
        <w:tc>
          <w:tcPr>
            <w:tcW w:w="2560" w:type="dxa"/>
            <w:vAlign w:val="bottom"/>
          </w:tcPr>
          <w:p>
            <w:pPr>
              <w:spacing w:after="0"/>
              <w:rPr>
                <w:sz w:val="18"/>
                <w:szCs w:val="18"/>
                <w:color w:val="auto"/>
              </w:rPr>
            </w:pPr>
          </w:p>
        </w:tc>
        <w:tc>
          <w:tcPr>
            <w:tcW w:w="8860" w:type="dxa"/>
            <w:vAlign w:val="bottom"/>
            <w:gridSpan w:val="3"/>
          </w:tcPr>
          <w:p>
            <w:pPr>
              <w:ind w:left="780"/>
              <w:spacing w:after="0"/>
              <w:rPr>
                <w:sz w:val="20"/>
                <w:szCs w:val="20"/>
                <w:color w:val="auto"/>
              </w:rPr>
            </w:pPr>
            <w:r>
              <w:rPr>
                <w:rFonts w:ascii="Arial" w:cs="Arial" w:eastAsia="Arial" w:hAnsi="Arial"/>
                <w:sz w:val="18"/>
                <w:szCs w:val="18"/>
                <w:color w:val="auto"/>
                <w:w w:val="97"/>
              </w:rPr>
              <w:t>consolidated with, and form a single series with, 2033 Notes then outstanding, including for purposes of</w:t>
            </w:r>
          </w:p>
        </w:tc>
      </w:tr>
      <w:tr>
        <w:trPr>
          <w:trHeight w:val="216"/>
        </w:trPr>
        <w:tc>
          <w:tcPr>
            <w:tcW w:w="2560" w:type="dxa"/>
            <w:vAlign w:val="bottom"/>
          </w:tcPr>
          <w:p>
            <w:pPr>
              <w:spacing w:after="0"/>
              <w:rPr>
                <w:sz w:val="18"/>
                <w:szCs w:val="18"/>
                <w:color w:val="auto"/>
              </w:rPr>
            </w:pPr>
          </w:p>
        </w:tc>
        <w:tc>
          <w:tcPr>
            <w:tcW w:w="8860" w:type="dxa"/>
            <w:vAlign w:val="bottom"/>
            <w:gridSpan w:val="3"/>
          </w:tcPr>
          <w:p>
            <w:pPr>
              <w:ind w:left="780"/>
              <w:spacing w:after="0"/>
              <w:rPr>
                <w:sz w:val="20"/>
                <w:szCs w:val="20"/>
                <w:color w:val="auto"/>
              </w:rPr>
            </w:pPr>
            <w:r>
              <w:rPr>
                <w:rFonts w:ascii="Arial" w:cs="Arial" w:eastAsia="Arial" w:hAnsi="Arial"/>
                <w:sz w:val="18"/>
                <w:szCs w:val="18"/>
                <w:color w:val="auto"/>
                <w:w w:val="96"/>
              </w:rPr>
              <w:t>determining whether the required percentage of the holders of record has given approval or consent to an</w:t>
            </w:r>
          </w:p>
        </w:tc>
      </w:tr>
      <w:tr>
        <w:trPr>
          <w:trHeight w:val="222"/>
        </w:trPr>
        <w:tc>
          <w:tcPr>
            <w:tcW w:w="2560" w:type="dxa"/>
            <w:vAlign w:val="bottom"/>
          </w:tcPr>
          <w:p>
            <w:pPr>
              <w:spacing w:after="0"/>
              <w:rPr>
                <w:sz w:val="19"/>
                <w:szCs w:val="19"/>
                <w:color w:val="auto"/>
              </w:rPr>
            </w:pPr>
          </w:p>
        </w:tc>
        <w:tc>
          <w:tcPr>
            <w:tcW w:w="8860" w:type="dxa"/>
            <w:vAlign w:val="bottom"/>
            <w:gridSpan w:val="3"/>
          </w:tcPr>
          <w:p>
            <w:pPr>
              <w:ind w:left="780"/>
              <w:spacing w:after="0"/>
              <w:rPr>
                <w:sz w:val="20"/>
                <w:szCs w:val="20"/>
                <w:color w:val="auto"/>
              </w:rPr>
            </w:pPr>
            <w:r>
              <w:rPr>
                <w:rFonts w:ascii="Arial" w:cs="Arial" w:eastAsia="Arial" w:hAnsi="Arial"/>
                <w:sz w:val="18"/>
                <w:szCs w:val="18"/>
                <w:color w:val="auto"/>
                <w:w w:val="99"/>
              </w:rPr>
              <w:t>amendment or waiver or joined in directing the Trustee to take certain actions on behalf of all holders.</w:t>
            </w:r>
          </w:p>
        </w:tc>
      </w:tr>
      <w:tr>
        <w:trPr>
          <w:trHeight w:val="324"/>
        </w:trPr>
        <w:tc>
          <w:tcPr>
            <w:tcW w:w="256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860" w:type="dxa"/>
            <w:vAlign w:val="bottom"/>
            <w:gridSpan w:val="3"/>
          </w:tcPr>
          <w:p>
            <w:pPr>
              <w:ind w:left="780"/>
              <w:spacing w:after="0"/>
              <w:rPr>
                <w:sz w:val="20"/>
                <w:szCs w:val="20"/>
                <w:color w:val="auto"/>
              </w:rPr>
            </w:pPr>
            <w:r>
              <w:rPr>
                <w:rFonts w:ascii="Arial" w:cs="Arial" w:eastAsia="Arial" w:hAnsi="Arial"/>
                <w:sz w:val="18"/>
                <w:szCs w:val="18"/>
                <w:color w:val="auto"/>
              </w:rPr>
              <w:t>None</w:t>
            </w:r>
          </w:p>
        </w:tc>
      </w:tr>
      <w:tr>
        <w:trPr>
          <w:trHeight w:val="324"/>
        </w:trPr>
        <w:tc>
          <w:tcPr>
            <w:tcW w:w="256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860" w:type="dxa"/>
            <w:vAlign w:val="bottom"/>
            <w:gridSpan w:val="3"/>
          </w:tcPr>
          <w:p>
            <w:pPr>
              <w:ind w:left="780"/>
              <w:spacing w:after="0"/>
              <w:rPr>
                <w:sz w:val="20"/>
                <w:szCs w:val="20"/>
                <w:color w:val="auto"/>
              </w:rPr>
            </w:pPr>
            <w:r>
              <w:rPr>
                <w:rFonts w:ascii="Arial" w:cs="Arial" w:eastAsia="Arial" w:hAnsi="Arial"/>
                <w:sz w:val="18"/>
                <w:szCs w:val="18"/>
                <w:color w:val="auto"/>
              </w:rPr>
              <w:t>None</w:t>
            </w:r>
          </w:p>
        </w:tc>
      </w:tr>
      <w:tr>
        <w:trPr>
          <w:trHeight w:val="312"/>
        </w:trPr>
        <w:tc>
          <w:tcPr>
            <w:tcW w:w="256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860" w:type="dxa"/>
            <w:vAlign w:val="bottom"/>
            <w:gridSpan w:val="3"/>
          </w:tcPr>
          <w:p>
            <w:pPr>
              <w:ind w:left="780"/>
              <w:spacing w:after="0"/>
              <w:rPr>
                <w:sz w:val="20"/>
                <w:szCs w:val="20"/>
                <w:color w:val="auto"/>
              </w:rPr>
            </w:pPr>
            <w:r>
              <w:rPr>
                <w:rFonts w:ascii="Arial" w:cs="Arial" w:eastAsia="Arial" w:hAnsi="Arial"/>
                <w:sz w:val="18"/>
                <w:szCs w:val="18"/>
                <w:color w:val="auto"/>
                <w:w w:val="87"/>
              </w:rPr>
              <w:t>The terms of the 2033 Notes shall include such other terms as are set forth in the Form of Notes Due 2033 attached</w:t>
            </w:r>
          </w:p>
        </w:tc>
      </w:tr>
      <w:tr>
        <w:trPr>
          <w:trHeight w:val="190"/>
        </w:trPr>
        <w:tc>
          <w:tcPr>
            <w:tcW w:w="2560" w:type="dxa"/>
            <w:vAlign w:val="bottom"/>
          </w:tcPr>
          <w:p>
            <w:pPr>
              <w:spacing w:after="0"/>
              <w:rPr>
                <w:sz w:val="16"/>
                <w:szCs w:val="16"/>
                <w:color w:val="auto"/>
              </w:rPr>
            </w:pPr>
          </w:p>
        </w:tc>
        <w:tc>
          <w:tcPr>
            <w:tcW w:w="8860" w:type="dxa"/>
            <w:vAlign w:val="bottom"/>
            <w:gridSpan w:val="3"/>
          </w:tcPr>
          <w:p>
            <w:pPr>
              <w:ind w:left="780"/>
              <w:spacing w:after="0" w:line="190" w:lineRule="exact"/>
              <w:rPr>
                <w:sz w:val="20"/>
                <w:szCs w:val="20"/>
                <w:color w:val="auto"/>
              </w:rPr>
            </w:pPr>
            <w:r>
              <w:rPr>
                <w:rFonts w:ascii="Arial" w:cs="Arial" w:eastAsia="Arial" w:hAnsi="Arial"/>
                <w:sz w:val="18"/>
                <w:szCs w:val="18"/>
                <w:color w:val="auto"/>
              </w:rPr>
              <w:t xml:space="preserve">hereto as </w:t>
            </w:r>
            <w:r>
              <w:rPr>
                <w:rFonts w:ascii="Arial" w:cs="Arial" w:eastAsia="Arial" w:hAnsi="Arial"/>
                <w:sz w:val="18"/>
                <w:szCs w:val="18"/>
                <w:b w:val="1"/>
                <w:bCs w:val="1"/>
                <w:color w:val="auto"/>
              </w:rPr>
              <w:t>Exhibit B</w:t>
            </w:r>
            <w:r>
              <w:rPr>
                <w:rFonts w:ascii="Arial" w:cs="Arial" w:eastAsia="Arial" w:hAnsi="Arial"/>
                <w:sz w:val="18"/>
                <w:szCs w:val="18"/>
                <w:color w:val="auto"/>
              </w:rPr>
              <w:t>.</w:t>
            </w:r>
          </w:p>
        </w:tc>
      </w:tr>
      <w:tr>
        <w:trPr>
          <w:trHeight w:val="383"/>
        </w:trPr>
        <w:tc>
          <w:tcPr>
            <w:tcW w:w="2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700" w:type="dxa"/>
            <w:vAlign w:val="bottom"/>
          </w:tcPr>
          <w:p>
            <w:pPr>
              <w:jc w:val="right"/>
              <w:ind w:right="5572"/>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280" w:right="2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u w:val="single" w:color="auto"/>
                <w:color w:val="auto"/>
              </w:rPr>
              <w:t>500%</w:t>
            </w:r>
            <w:r>
              <w:rPr>
                <w:rFonts w:ascii="Arial" w:cs="Arial" w:eastAsia="Arial" w:hAnsi="Arial"/>
                <w:sz w:val="18"/>
                <w:szCs w:val="18"/>
                <w:b w:val="1"/>
                <w:bCs w:val="1"/>
                <w:color w:val="auto"/>
              </w:rPr>
              <w:t xml:space="preserve"> Notes Due 2043</w:t>
            </w:r>
          </w:p>
        </w:tc>
      </w:tr>
      <w:tr>
        <w:trPr>
          <w:trHeight w:val="20"/>
        </w:trPr>
        <w:tc>
          <w:tcPr>
            <w:tcW w:w="3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437"/>
        </w:trPr>
        <w:tc>
          <w:tcPr>
            <w:tcW w:w="312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8280" w:type="dxa"/>
            <w:vAlign w:val="bottom"/>
            <w:gridSpan w:val="3"/>
          </w:tcPr>
          <w:p>
            <w:pPr>
              <w:ind w:left="220"/>
              <w:spacing w:after="0"/>
              <w:rPr>
                <w:sz w:val="20"/>
                <w:szCs w:val="20"/>
                <w:color w:val="auto"/>
              </w:rPr>
            </w:pPr>
            <w:r>
              <w:rPr>
                <w:rFonts w:ascii="Arial" w:cs="Arial" w:eastAsia="Arial" w:hAnsi="Arial"/>
                <w:sz w:val="18"/>
                <w:szCs w:val="18"/>
                <w:color w:val="auto"/>
              </w:rPr>
              <w:t>4.500% Notes Due 2043</w:t>
            </w:r>
          </w:p>
        </w:tc>
      </w:tr>
      <w:tr>
        <w:trPr>
          <w:trHeight w:val="324"/>
        </w:trPr>
        <w:tc>
          <w:tcPr>
            <w:tcW w:w="3120" w:type="dxa"/>
            <w:vAlign w:val="bottom"/>
          </w:tcPr>
          <w:p>
            <w:pPr>
              <w:spacing w:after="0"/>
              <w:rPr>
                <w:sz w:val="20"/>
                <w:szCs w:val="20"/>
                <w:color w:val="auto"/>
              </w:rPr>
            </w:pPr>
            <w:r>
              <w:rPr>
                <w:rFonts w:ascii="Arial" w:cs="Arial" w:eastAsia="Arial" w:hAnsi="Arial"/>
                <w:sz w:val="18"/>
                <w:szCs w:val="18"/>
                <w:i w:val="1"/>
                <w:iCs w:val="1"/>
                <w:color w:val="auto"/>
                <w:w w:val="97"/>
              </w:rPr>
              <w:t>Aggregate Principal Amount at Maturity:</w:t>
            </w:r>
          </w:p>
        </w:tc>
        <w:tc>
          <w:tcPr>
            <w:tcW w:w="1700" w:type="dxa"/>
            <w:vAlign w:val="bottom"/>
          </w:tcPr>
          <w:p>
            <w:pPr>
              <w:ind w:left="220"/>
              <w:spacing w:after="0"/>
              <w:rPr>
                <w:sz w:val="20"/>
                <w:szCs w:val="20"/>
                <w:color w:val="auto"/>
              </w:rPr>
            </w:pPr>
            <w:r>
              <w:rPr>
                <w:rFonts w:ascii="Arial" w:cs="Arial" w:eastAsia="Arial" w:hAnsi="Arial"/>
                <w:sz w:val="18"/>
                <w:szCs w:val="18"/>
                <w:color w:val="auto"/>
              </w:rPr>
              <w:t>$500,000,000</w:t>
            </w:r>
          </w:p>
        </w:tc>
        <w:tc>
          <w:tcPr>
            <w:tcW w:w="17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324"/>
        </w:trPr>
        <w:tc>
          <w:tcPr>
            <w:tcW w:w="312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8280" w:type="dxa"/>
            <w:vAlign w:val="bottom"/>
            <w:gridSpan w:val="3"/>
          </w:tcPr>
          <w:p>
            <w:pPr>
              <w:ind w:left="220"/>
              <w:spacing w:after="0"/>
              <w:rPr>
                <w:sz w:val="20"/>
                <w:szCs w:val="20"/>
                <w:color w:val="auto"/>
              </w:rPr>
            </w:pPr>
            <w:r>
              <w:rPr>
                <w:rFonts w:ascii="Arial" w:cs="Arial" w:eastAsia="Arial" w:hAnsi="Arial"/>
                <w:sz w:val="18"/>
                <w:szCs w:val="18"/>
                <w:color w:val="auto"/>
              </w:rPr>
              <w:t>January 15, 2043</w:t>
            </w:r>
          </w:p>
        </w:tc>
      </w:tr>
      <w:tr>
        <w:trPr>
          <w:trHeight w:val="324"/>
        </w:trPr>
        <w:tc>
          <w:tcPr>
            <w:tcW w:w="312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1700" w:type="dxa"/>
            <w:vAlign w:val="bottom"/>
          </w:tcPr>
          <w:p>
            <w:pPr>
              <w:ind w:left="220"/>
              <w:spacing w:after="0"/>
              <w:rPr>
                <w:sz w:val="20"/>
                <w:szCs w:val="20"/>
                <w:color w:val="auto"/>
              </w:rPr>
            </w:pPr>
            <w:r>
              <w:rPr>
                <w:rFonts w:ascii="Arial" w:cs="Arial" w:eastAsia="Arial" w:hAnsi="Arial"/>
                <w:sz w:val="18"/>
                <w:szCs w:val="18"/>
                <w:color w:val="auto"/>
              </w:rPr>
              <w:t>4.500%</w:t>
            </w:r>
          </w:p>
        </w:tc>
        <w:tc>
          <w:tcPr>
            <w:tcW w:w="17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318"/>
        </w:trPr>
        <w:tc>
          <w:tcPr>
            <w:tcW w:w="312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8280" w:type="dxa"/>
            <w:vAlign w:val="bottom"/>
            <w:gridSpan w:val="3"/>
          </w:tcPr>
          <w:p>
            <w:pPr>
              <w:ind w:left="220"/>
              <w:spacing w:after="0"/>
              <w:rPr>
                <w:sz w:val="20"/>
                <w:szCs w:val="20"/>
                <w:color w:val="auto"/>
              </w:rPr>
            </w:pPr>
            <w:r>
              <w:rPr>
                <w:rFonts w:ascii="Arial" w:cs="Arial" w:eastAsia="Arial" w:hAnsi="Arial"/>
                <w:sz w:val="18"/>
                <w:szCs w:val="18"/>
                <w:color w:val="auto"/>
                <w:w w:val="90"/>
              </w:rPr>
              <w:t>The Company may at its option redeem the 2043 Notes in whole or in part, at any time or from time to time prior</w:t>
            </w:r>
          </w:p>
        </w:tc>
      </w:tr>
      <w:tr>
        <w:trPr>
          <w:trHeight w:val="216"/>
        </w:trPr>
        <w:tc>
          <w:tcPr>
            <w:tcW w:w="3120" w:type="dxa"/>
            <w:vAlign w:val="bottom"/>
          </w:tcPr>
          <w:p>
            <w:pPr>
              <w:spacing w:after="0"/>
              <w:rPr>
                <w:sz w:val="18"/>
                <w:szCs w:val="18"/>
                <w:color w:val="auto"/>
              </w:rPr>
            </w:pPr>
          </w:p>
        </w:tc>
        <w:tc>
          <w:tcPr>
            <w:tcW w:w="8280" w:type="dxa"/>
            <w:vAlign w:val="bottom"/>
            <w:gridSpan w:val="3"/>
          </w:tcPr>
          <w:p>
            <w:pPr>
              <w:ind w:left="220"/>
              <w:spacing w:after="0"/>
              <w:rPr>
                <w:sz w:val="20"/>
                <w:szCs w:val="20"/>
                <w:color w:val="auto"/>
              </w:rPr>
            </w:pPr>
            <w:r>
              <w:rPr>
                <w:rFonts w:ascii="Arial" w:cs="Arial" w:eastAsia="Arial" w:hAnsi="Arial"/>
                <w:sz w:val="18"/>
                <w:szCs w:val="18"/>
                <w:color w:val="auto"/>
                <w:w w:val="90"/>
              </w:rPr>
              <w:t>to their maturity, on at least 30 days, but not more than 60 days, prior notice mailed to the registered address of</w:t>
            </w:r>
          </w:p>
        </w:tc>
      </w:tr>
      <w:tr>
        <w:trPr>
          <w:trHeight w:val="216"/>
        </w:trPr>
        <w:tc>
          <w:tcPr>
            <w:tcW w:w="3120" w:type="dxa"/>
            <w:vAlign w:val="bottom"/>
          </w:tcPr>
          <w:p>
            <w:pPr>
              <w:spacing w:after="0"/>
              <w:rPr>
                <w:sz w:val="18"/>
                <w:szCs w:val="18"/>
                <w:color w:val="auto"/>
              </w:rPr>
            </w:pPr>
          </w:p>
        </w:tc>
        <w:tc>
          <w:tcPr>
            <w:tcW w:w="8280" w:type="dxa"/>
            <w:vAlign w:val="bottom"/>
            <w:gridSpan w:val="3"/>
          </w:tcPr>
          <w:p>
            <w:pPr>
              <w:ind w:left="220"/>
              <w:spacing w:after="0"/>
              <w:rPr>
                <w:sz w:val="20"/>
                <w:szCs w:val="20"/>
                <w:color w:val="auto"/>
              </w:rPr>
            </w:pPr>
            <w:r>
              <w:rPr>
                <w:rFonts w:ascii="Arial" w:cs="Arial" w:eastAsia="Arial" w:hAnsi="Arial"/>
                <w:sz w:val="18"/>
                <w:szCs w:val="18"/>
                <w:color w:val="auto"/>
                <w:w w:val="88"/>
              </w:rPr>
              <w:t>each holder of the 2043 Notes, at a redemption price equal to the greater of (i) 100% of the principal amount of the</w:t>
            </w:r>
          </w:p>
        </w:tc>
      </w:tr>
      <w:tr>
        <w:trPr>
          <w:trHeight w:val="216"/>
        </w:trPr>
        <w:tc>
          <w:tcPr>
            <w:tcW w:w="3120" w:type="dxa"/>
            <w:vAlign w:val="bottom"/>
          </w:tcPr>
          <w:p>
            <w:pPr>
              <w:spacing w:after="0"/>
              <w:rPr>
                <w:sz w:val="18"/>
                <w:szCs w:val="18"/>
                <w:color w:val="auto"/>
              </w:rPr>
            </w:pPr>
          </w:p>
        </w:tc>
        <w:tc>
          <w:tcPr>
            <w:tcW w:w="8280" w:type="dxa"/>
            <w:vAlign w:val="bottom"/>
            <w:gridSpan w:val="3"/>
          </w:tcPr>
          <w:p>
            <w:pPr>
              <w:ind w:left="220"/>
              <w:spacing w:after="0"/>
              <w:rPr>
                <w:sz w:val="20"/>
                <w:szCs w:val="20"/>
                <w:color w:val="auto"/>
              </w:rPr>
            </w:pPr>
            <w:r>
              <w:rPr>
                <w:rFonts w:ascii="Arial" w:cs="Arial" w:eastAsia="Arial" w:hAnsi="Arial"/>
                <w:sz w:val="18"/>
                <w:szCs w:val="18"/>
                <w:color w:val="auto"/>
                <w:w w:val="90"/>
              </w:rPr>
              <w:t>2043 Notes and (ii) the sum of the present values of the remaining scheduled payments of principal and interest</w:t>
            </w:r>
          </w:p>
        </w:tc>
      </w:tr>
      <w:tr>
        <w:trPr>
          <w:trHeight w:val="216"/>
        </w:trPr>
        <w:tc>
          <w:tcPr>
            <w:tcW w:w="3120" w:type="dxa"/>
            <w:vAlign w:val="bottom"/>
          </w:tcPr>
          <w:p>
            <w:pPr>
              <w:spacing w:after="0"/>
              <w:rPr>
                <w:sz w:val="18"/>
                <w:szCs w:val="18"/>
                <w:color w:val="auto"/>
              </w:rPr>
            </w:pPr>
          </w:p>
        </w:tc>
        <w:tc>
          <w:tcPr>
            <w:tcW w:w="8280" w:type="dxa"/>
            <w:vAlign w:val="bottom"/>
            <w:gridSpan w:val="3"/>
          </w:tcPr>
          <w:p>
            <w:pPr>
              <w:ind w:left="220"/>
              <w:spacing w:after="0"/>
              <w:rPr>
                <w:sz w:val="20"/>
                <w:szCs w:val="20"/>
                <w:color w:val="auto"/>
              </w:rPr>
            </w:pPr>
            <w:r>
              <w:rPr>
                <w:rFonts w:ascii="Arial" w:cs="Arial" w:eastAsia="Arial" w:hAnsi="Arial"/>
                <w:sz w:val="18"/>
                <w:szCs w:val="18"/>
                <w:color w:val="auto"/>
                <w:w w:val="97"/>
              </w:rPr>
              <w:t>thereon (exclusive of interest accrued to the date of redemption) discounted to the redemption date on a</w:t>
            </w:r>
          </w:p>
        </w:tc>
      </w:tr>
      <w:tr>
        <w:trPr>
          <w:trHeight w:val="216"/>
        </w:trPr>
        <w:tc>
          <w:tcPr>
            <w:tcW w:w="3120" w:type="dxa"/>
            <w:vAlign w:val="bottom"/>
          </w:tcPr>
          <w:p>
            <w:pPr>
              <w:spacing w:after="0"/>
              <w:rPr>
                <w:sz w:val="18"/>
                <w:szCs w:val="18"/>
                <w:color w:val="auto"/>
              </w:rPr>
            </w:pPr>
          </w:p>
        </w:tc>
        <w:tc>
          <w:tcPr>
            <w:tcW w:w="8280" w:type="dxa"/>
            <w:vAlign w:val="bottom"/>
            <w:gridSpan w:val="3"/>
          </w:tcPr>
          <w:p>
            <w:pPr>
              <w:ind w:left="220"/>
              <w:spacing w:after="0"/>
              <w:rPr>
                <w:sz w:val="20"/>
                <w:szCs w:val="20"/>
                <w:color w:val="auto"/>
              </w:rPr>
            </w:pPr>
            <w:r>
              <w:rPr>
                <w:rFonts w:ascii="Arial" w:cs="Arial" w:eastAsia="Arial" w:hAnsi="Arial"/>
                <w:sz w:val="18"/>
                <w:szCs w:val="18"/>
                <w:color w:val="auto"/>
                <w:w w:val="88"/>
              </w:rPr>
              <w:t>semiannual basis (assuming a 360-day year consisting of twelve 30-day months) at the Treasury Rate (as defined</w:t>
            </w:r>
          </w:p>
        </w:tc>
      </w:tr>
      <w:tr>
        <w:trPr>
          <w:trHeight w:val="216"/>
        </w:trPr>
        <w:tc>
          <w:tcPr>
            <w:tcW w:w="3120" w:type="dxa"/>
            <w:vAlign w:val="bottom"/>
          </w:tcPr>
          <w:p>
            <w:pPr>
              <w:spacing w:after="0"/>
              <w:rPr>
                <w:sz w:val="18"/>
                <w:szCs w:val="18"/>
                <w:color w:val="auto"/>
              </w:rPr>
            </w:pPr>
          </w:p>
        </w:tc>
        <w:tc>
          <w:tcPr>
            <w:tcW w:w="8280" w:type="dxa"/>
            <w:vAlign w:val="bottom"/>
            <w:gridSpan w:val="3"/>
          </w:tcPr>
          <w:p>
            <w:pPr>
              <w:ind w:left="220"/>
              <w:spacing w:after="0"/>
              <w:rPr>
                <w:sz w:val="20"/>
                <w:szCs w:val="20"/>
                <w:color w:val="auto"/>
              </w:rPr>
            </w:pPr>
            <w:r>
              <w:rPr>
                <w:rFonts w:ascii="Arial" w:cs="Arial" w:eastAsia="Arial" w:hAnsi="Arial"/>
                <w:sz w:val="18"/>
                <w:szCs w:val="18"/>
                <w:color w:val="auto"/>
                <w:w w:val="92"/>
              </w:rPr>
              <w:t>in the 2043 Notes) plus 25 basis points, plus, in each case, accrued and unpaid interest thereon to the date of</w:t>
            </w:r>
          </w:p>
        </w:tc>
      </w:tr>
      <w:tr>
        <w:trPr>
          <w:trHeight w:val="222"/>
        </w:trPr>
        <w:tc>
          <w:tcPr>
            <w:tcW w:w="3120" w:type="dxa"/>
            <w:vAlign w:val="bottom"/>
          </w:tcPr>
          <w:p>
            <w:pPr>
              <w:spacing w:after="0"/>
              <w:rPr>
                <w:sz w:val="19"/>
                <w:szCs w:val="19"/>
                <w:color w:val="auto"/>
              </w:rPr>
            </w:pPr>
          </w:p>
        </w:tc>
        <w:tc>
          <w:tcPr>
            <w:tcW w:w="8280" w:type="dxa"/>
            <w:vAlign w:val="bottom"/>
            <w:gridSpan w:val="3"/>
          </w:tcPr>
          <w:p>
            <w:pPr>
              <w:ind w:left="220"/>
              <w:spacing w:after="0"/>
              <w:rPr>
                <w:sz w:val="20"/>
                <w:szCs w:val="20"/>
                <w:color w:val="auto"/>
              </w:rPr>
            </w:pPr>
            <w:r>
              <w:rPr>
                <w:rFonts w:ascii="Arial" w:cs="Arial" w:eastAsia="Arial" w:hAnsi="Arial"/>
                <w:sz w:val="18"/>
                <w:szCs w:val="18"/>
                <w:color w:val="auto"/>
              </w:rPr>
              <w:t>redemption, and as further described in the Prospectus Supplement dated January 8, 2013.</w:t>
            </w:r>
          </w:p>
        </w:tc>
      </w:tr>
      <w:tr>
        <w:trPr>
          <w:trHeight w:val="318"/>
        </w:trPr>
        <w:tc>
          <w:tcPr>
            <w:tcW w:w="312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280" w:type="dxa"/>
            <w:vAlign w:val="bottom"/>
            <w:gridSpan w:val="3"/>
          </w:tcPr>
          <w:p>
            <w:pPr>
              <w:ind w:left="220"/>
              <w:spacing w:after="0"/>
              <w:rPr>
                <w:sz w:val="20"/>
                <w:szCs w:val="20"/>
                <w:color w:val="auto"/>
              </w:rPr>
            </w:pPr>
            <w:r>
              <w:rPr>
                <w:rFonts w:ascii="Arial" w:cs="Arial" w:eastAsia="Arial" w:hAnsi="Arial"/>
                <w:sz w:val="18"/>
                <w:szCs w:val="18"/>
                <w:color w:val="auto"/>
                <w:w w:val="88"/>
              </w:rPr>
              <w:t>The 2043 Notes need not be issued at the same time and the series may be reopened for issuance of an unlimited</w:t>
            </w:r>
          </w:p>
        </w:tc>
      </w:tr>
      <w:tr>
        <w:trPr>
          <w:trHeight w:val="216"/>
        </w:trPr>
        <w:tc>
          <w:tcPr>
            <w:tcW w:w="3120" w:type="dxa"/>
            <w:vAlign w:val="bottom"/>
          </w:tcPr>
          <w:p>
            <w:pPr>
              <w:spacing w:after="0"/>
              <w:rPr>
                <w:sz w:val="18"/>
                <w:szCs w:val="18"/>
                <w:color w:val="auto"/>
              </w:rPr>
            </w:pPr>
          </w:p>
        </w:tc>
        <w:tc>
          <w:tcPr>
            <w:tcW w:w="8280" w:type="dxa"/>
            <w:vAlign w:val="bottom"/>
            <w:gridSpan w:val="3"/>
          </w:tcPr>
          <w:p>
            <w:pPr>
              <w:ind w:left="220"/>
              <w:spacing w:after="0"/>
              <w:rPr>
                <w:sz w:val="20"/>
                <w:szCs w:val="20"/>
                <w:color w:val="auto"/>
              </w:rPr>
            </w:pPr>
            <w:r>
              <w:rPr>
                <w:rFonts w:ascii="Arial" w:cs="Arial" w:eastAsia="Arial" w:hAnsi="Arial"/>
                <w:sz w:val="18"/>
                <w:szCs w:val="18"/>
                <w:color w:val="auto"/>
                <w:w w:val="98"/>
              </w:rPr>
              <w:t>principal amount of additional 2043 Notes under this series. Additional 2043 Notes of this series will be</w:t>
            </w:r>
          </w:p>
        </w:tc>
      </w:tr>
      <w:tr>
        <w:trPr>
          <w:trHeight w:val="216"/>
        </w:trPr>
        <w:tc>
          <w:tcPr>
            <w:tcW w:w="3120" w:type="dxa"/>
            <w:vAlign w:val="bottom"/>
          </w:tcPr>
          <w:p>
            <w:pPr>
              <w:spacing w:after="0"/>
              <w:rPr>
                <w:sz w:val="18"/>
                <w:szCs w:val="18"/>
                <w:color w:val="auto"/>
              </w:rPr>
            </w:pPr>
          </w:p>
        </w:tc>
        <w:tc>
          <w:tcPr>
            <w:tcW w:w="8280" w:type="dxa"/>
            <w:vAlign w:val="bottom"/>
            <w:gridSpan w:val="3"/>
          </w:tcPr>
          <w:p>
            <w:pPr>
              <w:ind w:left="220"/>
              <w:spacing w:after="0"/>
              <w:rPr>
                <w:sz w:val="20"/>
                <w:szCs w:val="20"/>
                <w:color w:val="auto"/>
              </w:rPr>
            </w:pPr>
            <w:r>
              <w:rPr>
                <w:rFonts w:ascii="Arial" w:cs="Arial" w:eastAsia="Arial" w:hAnsi="Arial"/>
                <w:sz w:val="18"/>
                <w:szCs w:val="18"/>
                <w:color w:val="auto"/>
                <w:w w:val="97"/>
              </w:rPr>
              <w:t>consolidated with, and form a single series with, 2043 Notes then outstanding, including for purposes of</w:t>
            </w:r>
          </w:p>
        </w:tc>
      </w:tr>
      <w:tr>
        <w:trPr>
          <w:trHeight w:val="222"/>
        </w:trPr>
        <w:tc>
          <w:tcPr>
            <w:tcW w:w="3120" w:type="dxa"/>
            <w:vAlign w:val="bottom"/>
          </w:tcPr>
          <w:p>
            <w:pPr>
              <w:spacing w:after="0"/>
              <w:rPr>
                <w:sz w:val="19"/>
                <w:szCs w:val="19"/>
                <w:color w:val="auto"/>
              </w:rPr>
            </w:pPr>
          </w:p>
        </w:tc>
        <w:tc>
          <w:tcPr>
            <w:tcW w:w="8280" w:type="dxa"/>
            <w:vAlign w:val="bottom"/>
            <w:gridSpan w:val="3"/>
          </w:tcPr>
          <w:p>
            <w:pPr>
              <w:ind w:left="220"/>
              <w:spacing w:after="0"/>
              <w:rPr>
                <w:sz w:val="20"/>
                <w:szCs w:val="20"/>
                <w:color w:val="auto"/>
              </w:rPr>
            </w:pPr>
            <w:r>
              <w:rPr>
                <w:rFonts w:ascii="Arial" w:cs="Arial" w:eastAsia="Arial" w:hAnsi="Arial"/>
                <w:sz w:val="18"/>
                <w:szCs w:val="18"/>
                <w:color w:val="auto"/>
              </w:rPr>
              <w:t>determining whether the required percentage of the holders of record has</w:t>
            </w:r>
          </w:p>
        </w:tc>
      </w:tr>
      <w:tr>
        <w:trPr>
          <w:trHeight w:val="365"/>
        </w:trPr>
        <w:tc>
          <w:tcPr>
            <w:tcW w:w="3120" w:type="dxa"/>
            <w:vAlign w:val="bottom"/>
          </w:tcPr>
          <w:p>
            <w:pPr>
              <w:spacing w:after="0"/>
              <w:rPr>
                <w:sz w:val="24"/>
                <w:szCs w:val="24"/>
                <w:color w:val="auto"/>
              </w:rPr>
            </w:pPr>
          </w:p>
        </w:tc>
        <w:tc>
          <w:tcPr>
            <w:tcW w:w="3480" w:type="dxa"/>
            <w:vAlign w:val="bottom"/>
            <w:gridSpan w:val="2"/>
          </w:tcPr>
          <w:p>
            <w:pPr>
              <w:ind w:left="2560"/>
              <w:spacing w:after="0"/>
              <w:rPr>
                <w:sz w:val="20"/>
                <w:szCs w:val="20"/>
                <w:color w:val="auto"/>
              </w:rPr>
            </w:pPr>
            <w:r>
              <w:rPr>
                <w:rFonts w:ascii="Arial" w:cs="Arial" w:eastAsia="Arial" w:hAnsi="Arial"/>
                <w:sz w:val="18"/>
                <w:szCs w:val="18"/>
                <w:color w:val="auto"/>
              </w:rPr>
              <w:t>4</w:t>
            </w:r>
          </w:p>
        </w:tc>
        <w:tc>
          <w:tcPr>
            <w:tcW w:w="4800" w:type="dxa"/>
            <w:vAlign w:val="bottom"/>
          </w:tcPr>
          <w:p>
            <w:pPr>
              <w:spacing w:after="0"/>
              <w:rPr>
                <w:sz w:val="24"/>
                <w:szCs w:val="24"/>
                <w:color w:val="auto"/>
              </w:rPr>
            </w:pPr>
          </w:p>
        </w:tc>
      </w:tr>
    </w:tbl>
    <w:p>
      <w:pPr>
        <w:sectPr>
          <w:pgSz w:w="11900" w:h="16838" w:orient="portrait"/>
          <w:cols w:equalWidth="0" w:num="1">
            <w:col w:w="11400"/>
          </w:cols>
          <w:pgMar w:left="240" w:top="257" w:right="25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9220" w:type="dxa"/>
            <w:vAlign w:val="bottom"/>
            <w:gridSpan w:val="3"/>
          </w:tcPr>
          <w:p>
            <w:pPr>
              <w:ind w:left="1140"/>
              <w:spacing w:after="0"/>
              <w:rPr>
                <w:sz w:val="20"/>
                <w:szCs w:val="20"/>
                <w:color w:val="auto"/>
              </w:rPr>
            </w:pPr>
            <w:r>
              <w:rPr>
                <w:rFonts w:ascii="Arial" w:cs="Arial" w:eastAsia="Arial" w:hAnsi="Arial"/>
                <w:sz w:val="18"/>
                <w:szCs w:val="18"/>
                <w:color w:val="auto"/>
                <w:w w:val="89"/>
              </w:rPr>
              <w:t>given approval or consent to an amendment or waiver or joined in directing the Trustee to take certain actions on</w:t>
            </w:r>
          </w:p>
        </w:tc>
      </w:tr>
      <w:tr>
        <w:trPr>
          <w:trHeight w:val="222"/>
        </w:trPr>
        <w:tc>
          <w:tcPr>
            <w:tcW w:w="2200" w:type="dxa"/>
            <w:vAlign w:val="bottom"/>
          </w:tcPr>
          <w:p>
            <w:pPr>
              <w:spacing w:after="0"/>
              <w:rPr>
                <w:sz w:val="19"/>
                <w:szCs w:val="19"/>
                <w:color w:val="auto"/>
              </w:rPr>
            </w:pPr>
          </w:p>
        </w:tc>
        <w:tc>
          <w:tcPr>
            <w:tcW w:w="9220" w:type="dxa"/>
            <w:vAlign w:val="bottom"/>
            <w:gridSpan w:val="3"/>
          </w:tcPr>
          <w:p>
            <w:pPr>
              <w:ind w:left="1140"/>
              <w:spacing w:after="0"/>
              <w:rPr>
                <w:sz w:val="20"/>
                <w:szCs w:val="20"/>
                <w:color w:val="auto"/>
              </w:rPr>
            </w:pPr>
            <w:r>
              <w:rPr>
                <w:rFonts w:ascii="Arial" w:cs="Arial" w:eastAsia="Arial" w:hAnsi="Arial"/>
                <w:sz w:val="18"/>
                <w:szCs w:val="18"/>
                <w:color w:val="auto"/>
              </w:rPr>
              <w:t>behalf of all holders.</w:t>
            </w:r>
          </w:p>
        </w:tc>
      </w:tr>
      <w:tr>
        <w:trPr>
          <w:trHeight w:val="324"/>
        </w:trPr>
        <w:tc>
          <w:tcPr>
            <w:tcW w:w="220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9220" w:type="dxa"/>
            <w:vAlign w:val="bottom"/>
            <w:gridSpan w:val="3"/>
          </w:tcPr>
          <w:p>
            <w:pPr>
              <w:ind w:left="1140"/>
              <w:spacing w:after="0"/>
              <w:rPr>
                <w:sz w:val="20"/>
                <w:szCs w:val="20"/>
                <w:color w:val="auto"/>
              </w:rPr>
            </w:pPr>
            <w:r>
              <w:rPr>
                <w:rFonts w:ascii="Arial" w:cs="Arial" w:eastAsia="Arial" w:hAnsi="Arial"/>
                <w:sz w:val="18"/>
                <w:szCs w:val="18"/>
                <w:color w:val="auto"/>
              </w:rPr>
              <w:t>None</w:t>
            </w:r>
          </w:p>
        </w:tc>
      </w:tr>
      <w:tr>
        <w:trPr>
          <w:trHeight w:val="324"/>
        </w:trPr>
        <w:tc>
          <w:tcPr>
            <w:tcW w:w="220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9220" w:type="dxa"/>
            <w:vAlign w:val="bottom"/>
            <w:gridSpan w:val="3"/>
          </w:tcPr>
          <w:p>
            <w:pPr>
              <w:ind w:left="1140"/>
              <w:spacing w:after="0"/>
              <w:rPr>
                <w:sz w:val="20"/>
                <w:szCs w:val="20"/>
                <w:color w:val="auto"/>
              </w:rPr>
            </w:pPr>
            <w:r>
              <w:rPr>
                <w:rFonts w:ascii="Arial" w:cs="Arial" w:eastAsia="Arial" w:hAnsi="Arial"/>
                <w:sz w:val="18"/>
                <w:szCs w:val="18"/>
                <w:color w:val="auto"/>
              </w:rPr>
              <w:t>None</w:t>
            </w:r>
          </w:p>
        </w:tc>
      </w:tr>
      <w:tr>
        <w:trPr>
          <w:trHeight w:val="312"/>
        </w:trPr>
        <w:tc>
          <w:tcPr>
            <w:tcW w:w="220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9220" w:type="dxa"/>
            <w:vAlign w:val="bottom"/>
            <w:gridSpan w:val="3"/>
          </w:tcPr>
          <w:p>
            <w:pPr>
              <w:ind w:left="1140"/>
              <w:spacing w:after="0"/>
              <w:rPr>
                <w:sz w:val="20"/>
                <w:szCs w:val="20"/>
                <w:color w:val="auto"/>
              </w:rPr>
            </w:pPr>
            <w:r>
              <w:rPr>
                <w:rFonts w:ascii="Arial" w:cs="Arial" w:eastAsia="Arial" w:hAnsi="Arial"/>
                <w:sz w:val="18"/>
                <w:szCs w:val="18"/>
                <w:color w:val="auto"/>
                <w:w w:val="87"/>
              </w:rPr>
              <w:t>The terms of the 2043 Notes shall include such other terms as are set forth in the Form of Notes Due 2043 attached</w:t>
            </w:r>
          </w:p>
        </w:tc>
      </w:tr>
      <w:tr>
        <w:trPr>
          <w:trHeight w:val="190"/>
        </w:trPr>
        <w:tc>
          <w:tcPr>
            <w:tcW w:w="2200" w:type="dxa"/>
            <w:vAlign w:val="bottom"/>
          </w:tcPr>
          <w:p>
            <w:pPr>
              <w:spacing w:after="0"/>
              <w:rPr>
                <w:sz w:val="16"/>
                <w:szCs w:val="16"/>
                <w:color w:val="auto"/>
              </w:rPr>
            </w:pPr>
          </w:p>
        </w:tc>
        <w:tc>
          <w:tcPr>
            <w:tcW w:w="9220" w:type="dxa"/>
            <w:vAlign w:val="bottom"/>
            <w:gridSpan w:val="3"/>
          </w:tcPr>
          <w:p>
            <w:pPr>
              <w:ind w:left="1140"/>
              <w:spacing w:after="0" w:line="190" w:lineRule="exact"/>
              <w:rPr>
                <w:sz w:val="20"/>
                <w:szCs w:val="20"/>
                <w:color w:val="auto"/>
              </w:rPr>
            </w:pPr>
            <w:r>
              <w:rPr>
                <w:rFonts w:ascii="Arial" w:cs="Arial" w:eastAsia="Arial" w:hAnsi="Arial"/>
                <w:sz w:val="18"/>
                <w:szCs w:val="18"/>
                <w:color w:val="auto"/>
              </w:rPr>
              <w:t xml:space="preserve">hereto as </w:t>
            </w:r>
            <w:r>
              <w:rPr>
                <w:rFonts w:ascii="Arial" w:cs="Arial" w:eastAsia="Arial" w:hAnsi="Arial"/>
                <w:sz w:val="18"/>
                <w:szCs w:val="18"/>
                <w:b w:val="1"/>
                <w:bCs w:val="1"/>
                <w:color w:val="auto"/>
              </w:rPr>
              <w:t>Exhibit C</w:t>
            </w:r>
            <w:r>
              <w:rPr>
                <w:rFonts w:ascii="Arial" w:cs="Arial" w:eastAsia="Arial" w:hAnsi="Arial"/>
                <w:sz w:val="18"/>
                <w:szCs w:val="18"/>
                <w:color w:val="auto"/>
              </w:rPr>
              <w:t>.</w:t>
            </w:r>
          </w:p>
        </w:tc>
      </w:tr>
      <w:tr>
        <w:trPr>
          <w:trHeight w:val="20"/>
        </w:trPr>
        <w:tc>
          <w:tcPr>
            <w:tcW w:w="2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bl>
    <w:p>
      <w:pPr>
        <w:spacing w:after="0" w:line="181"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Each such officer has read and understands the provisions of the Indenture, as supplemented, and the definitions relating thereto. The statements made in this Officers’ Certificate are based upon the examination of the provisions of the Indenture, as supplemented, and upon the relevant books and records of the Company. In such officer’s opinion, he has made such examination or investigation as is necessary to enable such officer to express an informed opinion as to whether or not the covenants and conditions of such Indenture, as supplemented, relating to the issuance and authentication of the Notes have been complied with. In such officer’s opinion, such covenants and conditions have been complied with.</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officers of the Company have duly executed this certificate as of the date first set forth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10795</wp:posOffset>
            </wp:positionV>
            <wp:extent cx="26841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William E. Dordelman</w:t>
      </w:r>
    </w:p>
    <w:p>
      <w:pPr>
        <w:spacing w:after="0" w:line="15"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Senior Vice President and Treasurer</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10795</wp:posOffset>
            </wp:positionV>
            <wp:extent cx="26841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Arthur R. Block</w:t>
      </w:r>
    </w:p>
    <w:p>
      <w:pPr>
        <w:spacing w:after="0" w:line="15" w:lineRule="exact"/>
        <w:rPr>
          <w:sz w:val="20"/>
          <w:szCs w:val="20"/>
          <w:color w:val="auto"/>
        </w:rPr>
      </w:pPr>
    </w:p>
    <w:p>
      <w:pPr>
        <w:jc w:val="both"/>
        <w:ind w:left="6740"/>
        <w:spacing w:after="0"/>
        <w:tabs>
          <w:tab w:leader="none" w:pos="7300" w:val="left"/>
        </w:tabs>
        <w:rPr>
          <w:sz w:val="20"/>
          <w:szCs w:val="20"/>
          <w:color w:val="auto"/>
        </w:rPr>
      </w:pPr>
      <w:r>
        <w:rPr>
          <w:rFonts w:ascii="Arial" w:cs="Arial" w:eastAsia="Arial" w:hAnsi="Arial"/>
          <w:sz w:val="18"/>
          <w:szCs w:val="18"/>
          <w:color w:val="auto"/>
        </w:rPr>
        <w:t>Title:</w:t>
        <w:tab/>
        <w:t>Senior Vice President, General Counsel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400"/>
          </w:cols>
          <w:pgMar w:left="700" w:top="280" w:right="79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7"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[FORM OF NOTE DUE 2023]</w:t>
      </w:r>
    </w:p>
    <w:p>
      <w:pPr>
        <w:sectPr>
          <w:pgSz w:w="11900" w:h="16838" w:orient="portrait"/>
          <w:cols w:equalWidth="0" w:num="1">
            <w:col w:w="10220"/>
          </w:cols>
          <w:pgMar w:left="1440" w:top="274" w:right="239" w:bottom="1440" w:gutter="0" w:footer="0" w:header="0"/>
        </w:sectPr>
      </w:pPr>
    </w:p>
    <w:bookmarkStart w:id="10" w:name="page11"/>
    <w:bookmarkEnd w:id="10"/>
    <w:p>
      <w:pPr>
        <w:ind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2.850% Note Due 2023</w:t>
      </w:r>
    </w:p>
    <w:p>
      <w:pPr>
        <w:sectPr>
          <w:pgSz w:w="11900" w:h="16838" w:orient="portrait"/>
          <w:cols w:equalWidth="0" w:num="1">
            <w:col w:w="11420"/>
          </w:cols>
          <w:pgMar w:left="240" w:top="280"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CUSIP No.: 20030N BF7</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US20030NBF78</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9" w:lineRule="exact"/>
        <w:rPr>
          <w:sz w:val="20"/>
          <w:szCs w:val="20"/>
          <w:color w:val="auto"/>
        </w:rPr>
      </w:pPr>
    </w:p>
    <w:p>
      <w:pPr>
        <w:sectPr>
          <w:pgSz w:w="11900" w:h="16838" w:orient="portrait"/>
          <w:cols w:equalWidth="0" w:num="3">
            <w:col w:w="360" w:space="180"/>
            <w:col w:w="8240" w:space="720"/>
            <w:col w:w="1920"/>
          </w:cols>
          <w:pgMar w:left="240" w:top="280" w:right="239" w:bottom="1440" w:gutter="0" w:footer="0" w:header="0"/>
          <w:type w:val="continuous"/>
        </w:sectPr>
      </w:pPr>
    </w:p>
    <w:p>
      <w:pPr>
        <w:ind w:right="200" w:firstLine="456"/>
        <w:spacing w:after="0" w:line="275"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January 15, 2023.</w:t>
      </w:r>
    </w:p>
    <w:p>
      <w:pPr>
        <w:sectPr>
          <w:pgSz w:w="11900" w:h="16838" w:orient="portrait"/>
          <w:cols w:equalWidth="0" w:num="1">
            <w:col w:w="11420"/>
          </w:cols>
          <w:pgMar w:left="240" w:top="280" w:right="239" w:bottom="1440" w:gutter="0" w:footer="0" w:header="0"/>
          <w:type w:val="continuous"/>
        </w:sectPr>
      </w:pP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January 15 and July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July 15, 2013.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January 1 and July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Reference is made to the further provisions of this Security contained herein, which will for all purposes have the same effect as if set forth at this place.</w:t>
      </w:r>
    </w:p>
    <w:p>
      <w:pPr>
        <w:sectPr>
          <w:pgSz w:w="11900" w:h="16838" w:orient="portrait"/>
          <w:cols w:equalWidth="0" w:num="1">
            <w:col w:w="11420"/>
          </w:cols>
          <w:pgMar w:left="240" w:top="280" w:right="239" w:bottom="1440" w:gutter="0" w:footer="0" w:header="0"/>
          <w:type w:val="continuous"/>
        </w:sectPr>
      </w:pPr>
    </w:p>
    <w:bookmarkStart w:id="11" w:name="page12"/>
    <w:bookmarkEnd w:id="1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William E. Dordelman</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Senior Vice President and Treasurer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tbl>
      <w:tblPr>
        <w:tblLayout w:type="fixed"/>
        <w:tblInd w:w="380" w:type="dxa"/>
        <w:tblCellMar>
          <w:top w:w="0" w:type="dxa"/>
          <w:left w:w="0" w:type="dxa"/>
          <w:bottom w:w="0" w:type="dxa"/>
          <w:right w:w="0" w:type="dxa"/>
        </w:tblCellMar>
      </w:tblPr>
      <w:tr>
        <w:trPr>
          <w:trHeight w:val="217"/>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6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Arthur R. Block</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ind w:left="80"/>
              <w:spacing w:after="0"/>
              <w:rPr>
                <w:sz w:val="20"/>
                <w:szCs w:val="20"/>
                <w:color w:val="auto"/>
              </w:rPr>
            </w:pPr>
            <w:r>
              <w:rPr>
                <w:rFonts w:ascii="Arial" w:cs="Arial" w:eastAsia="Arial" w:hAnsi="Arial"/>
                <w:sz w:val="18"/>
                <w:szCs w:val="18"/>
                <w:color w:val="auto"/>
              </w:rPr>
              <w:t>Senior Vice President, General Counsel and</w:t>
            </w:r>
          </w:p>
        </w:tc>
      </w:tr>
      <w:tr>
        <w:trPr>
          <w:trHeight w:val="222"/>
        </w:trPr>
        <w:tc>
          <w:tcPr>
            <w:tcW w:w="560" w:type="dxa"/>
            <w:vAlign w:val="bottom"/>
          </w:tcPr>
          <w:p>
            <w:pPr>
              <w:spacing w:after="0"/>
              <w:rPr>
                <w:sz w:val="19"/>
                <w:szCs w:val="19"/>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rPr>
              <w:t>Secretary</w:t>
            </w:r>
          </w:p>
        </w:tc>
      </w:tr>
    </w:tbl>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12" w:name="page13"/>
    <w:bookmarkEnd w:id="1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14,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THE BANK OF NEW YORK MELLON,</w:t>
      </w:r>
    </w:p>
    <w:p>
      <w:pPr>
        <w:spacing w:after="0" w:line="38"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80" w:right="1440"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2.850% Note Due 2023</w:t>
      </w:r>
    </w:p>
    <w:p>
      <w:pPr>
        <w:spacing w:after="0" w:line="212"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w:t>
      </w:r>
    </w:p>
    <w:p>
      <w:pPr>
        <w:spacing w:after="0" w:line="84"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January 14, 2013. The Issuer will pay interest semi-annually in arrears on each Interest Payment Date, commencing July 15, 2013. Interest will be computed on the basis of a 360-day year of twelve 30-day months.</w:t>
      </w:r>
    </w:p>
    <w:p>
      <w:pPr>
        <w:spacing w:after="0" w:line="14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254"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(formerly known as The Bank of New York) (the “</w:t>
      </w:r>
      <w:r>
        <w:rPr>
          <w:rFonts w:ascii="Arial" w:cs="Arial" w:eastAsia="Arial" w:hAnsi="Arial"/>
          <w:sz w:val="16"/>
          <w:szCs w:val="16"/>
          <w:b w:val="1"/>
          <w:bCs w:val="1"/>
          <w:color w:val="auto"/>
        </w:rPr>
        <w:t>Trustee</w:t>
      </w:r>
      <w:r>
        <w:rPr>
          <w:rFonts w:ascii="Arial" w:cs="Arial" w:eastAsia="Arial" w:hAnsi="Arial"/>
          <w:sz w:val="16"/>
          <w:szCs w:val="16"/>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6"/>
          <w:szCs w:val="16"/>
          <w:b w:val="1"/>
          <w:bCs w:val="1"/>
          <w:color w:val="auto"/>
        </w:rPr>
        <w:t>U.S. Legal Tender</w:t>
      </w:r>
      <w:r>
        <w:rPr>
          <w:rFonts w:ascii="Arial" w:cs="Arial" w:eastAsia="Arial" w:hAnsi="Arial"/>
          <w:sz w:val="16"/>
          <w:szCs w:val="16"/>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249"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4" w:name="page15"/>
    <w:bookmarkEnd w:id="14"/>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w:t>
      </w:r>
    </w:p>
    <w:p>
      <w:pPr>
        <w:spacing w:after="0" w:line="8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Issuer issued the Securities under an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Issuer, the cable guarantors named therein and the Trustee, as supplemented by the First Supplemental Indenture dated as of March 25, 2003, by and among the Issuer, the cable guarantors named therein and the Trustee, and as further supplemented by the Second Supplemental Indenture dated as of August 31, 2009, by and among the Issuer, the cable guarantors named therein (the “</w:t>
      </w:r>
      <w:r>
        <w:rPr>
          <w:rFonts w:ascii="Arial" w:cs="Arial" w:eastAsia="Arial" w:hAnsi="Arial"/>
          <w:sz w:val="16"/>
          <w:szCs w:val="16"/>
          <w:b w:val="1"/>
          <w:bCs w:val="1"/>
          <w:color w:val="auto"/>
        </w:rPr>
        <w:t>Cable Guarantors</w:t>
      </w:r>
      <w:r>
        <w:rPr>
          <w:rFonts w:ascii="Arial" w:cs="Arial" w:eastAsia="Arial" w:hAnsi="Arial"/>
          <w:sz w:val="16"/>
          <w:szCs w:val="16"/>
          <w:color w:val="auto"/>
        </w:rPr>
        <w:t>”)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spacing w:after="0" w:line="24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Cable Guarantees.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Each Cable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28"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23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280" w:right="359" w:bottom="1440" w:gutter="0" w:footer="0" w:header="0"/>
        </w:sectPr>
      </w:pPr>
    </w:p>
    <w:bookmarkStart w:id="15" w:name="page16"/>
    <w:bookmarkEnd w:id="15"/>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Unclaimed Funds.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254"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Issuer and the Cable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228"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269"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Cable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228"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Redemption.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30 days, but not more than 60 days, prior notice mailed to the registered address of each Holder of the Securities, at a redemption price equal to the greater of (i) 100% of the principal amount of such Securities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the Treasury Rate, plus, in each case, 15 basis points plus accrued interest thereon to the date of redemption.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6" w:name="page17"/>
    <w:bookmarkEnd w:id="16"/>
    <w:p>
      <w:pPr>
        <w:jc w:val="both"/>
        <w:ind w:firstLine="45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32" w:lineRule="exact"/>
        <w:rPr>
          <w:sz w:val="20"/>
          <w:szCs w:val="20"/>
          <w:color w:val="auto"/>
        </w:rPr>
      </w:pPr>
    </w:p>
    <w:p>
      <w:pPr>
        <w:jc w:val="both"/>
        <w:ind w:right="4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Comparable Treasury Issue</w:t>
      </w:r>
      <w:r>
        <w:rPr>
          <w:rFonts w:ascii="Arial" w:cs="Arial" w:eastAsia="Arial" w:hAnsi="Arial"/>
          <w:sz w:val="15"/>
          <w:szCs w:val="15"/>
          <w:color w:val="auto"/>
        </w:rPr>
        <w:t>” means the United States Treasury security or securities selected by an Independent Investment Banker as having an actual or interpolated maturity comparable to the remaining term of the Securities to be redeemed that would be utilized, at the time of selection and in accordance with customary financial practice, in pricing new issues of corporate debt securities of a comparable maturity to the remaining term of such Securities.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171" w:lineRule="exact"/>
        <w:rPr>
          <w:sz w:val="20"/>
          <w:szCs w:val="20"/>
          <w:color w:val="auto"/>
        </w:rPr>
      </w:pPr>
    </w:p>
    <w:p>
      <w:pPr>
        <w:ind w:right="2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32"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Barclays Capital Inc., Goldman, Sachs &amp; Co., RBS Securities Inc., Deutsche Bank Securities Inc. and UBS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36"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4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4" w:right="299" w:bottom="1440" w:gutter="0" w:footer="0" w:header="0"/>
        </w:sectPr>
      </w:pPr>
    </w:p>
    <w:bookmarkStart w:id="17" w:name="page18"/>
    <w:bookmarkEnd w:id="17"/>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Defaults and Remedies.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Cable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Cable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Cable Guarantees except as provided in the Indenture. The Trustee is not obligated to enforce the Indenture, the Securities or the Cable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24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254"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No stockholder, director, officer, employee or incorporator, as such, of the Issuer, any Cable Guarantor or any successor Person thereof shall have any liability for any obligation under the Securities, the Cable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265"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93"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90"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Customary abbreviations may be used in the name of a Holder of a Security or an assignee, such as: TEN COM (= tenants in common), TEN ENT</w:t>
      </w:r>
    </w:p>
    <w:p>
      <w:pPr>
        <w:spacing w:after="0" w:line="3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 tenants by the entireties), JT TEN (= joint tenants with right of survivorship and not as tenants in common), CUST (= Custodian), and U/G/M/A (= Uniform Gifts to Minors Act).</w:t>
      </w:r>
    </w:p>
    <w:p>
      <w:pPr>
        <w:spacing w:after="0" w:line="259"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8" w:name="page19"/>
    <w:bookmarkEnd w:id="1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Securities as a convenience to the Holders of the Securities. No representation is made as to the accuracy of such numbers as printed on the Securities and reliance may be placed only on the other identification numbers printed hereon.</w:t>
      </w:r>
    </w:p>
    <w:p>
      <w:pPr>
        <w:spacing w:after="0" w:line="254"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240" w:top="280" w:right="57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700" w:type="dxa"/>
            <w:vAlign w:val="bottom"/>
            <w:gridSpan w:val="5"/>
          </w:tcPr>
          <w:p>
            <w:pPr>
              <w:jc w:val="center"/>
              <w:ind w:right="1700"/>
              <w:spacing w:after="0"/>
              <w:rPr>
                <w:sz w:val="20"/>
                <w:szCs w:val="20"/>
                <w:color w:val="auto"/>
              </w:rPr>
            </w:pPr>
            <w:r>
              <w:rPr>
                <w:rFonts w:ascii="Arial" w:cs="Arial" w:eastAsia="Arial" w:hAnsi="Arial"/>
                <w:sz w:val="18"/>
                <w:szCs w:val="18"/>
                <w:color w:val="auto"/>
                <w:w w:val="86"/>
              </w:rPr>
              <w:t>(Print or type name, address and zip code of assignee or transferee)</w:t>
            </w:r>
          </w:p>
        </w:tc>
      </w:tr>
      <w:tr>
        <w:trPr>
          <w:trHeight w:val="434"/>
        </w:trPr>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r>
        <w:trPr>
          <w:trHeight w:val="235"/>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700" w:type="dxa"/>
            <w:vAlign w:val="bottom"/>
            <w:gridSpan w:val="5"/>
          </w:tcPr>
          <w:p>
            <w:pPr>
              <w:jc w:val="center"/>
              <w:ind w:right="1720"/>
              <w:spacing w:after="0"/>
              <w:rPr>
                <w:sz w:val="20"/>
                <w:szCs w:val="20"/>
                <w:color w:val="auto"/>
              </w:rPr>
            </w:pPr>
            <w:r>
              <w:rPr>
                <w:rFonts w:ascii="Arial" w:cs="Arial" w:eastAsia="Arial" w:hAnsi="Arial"/>
                <w:sz w:val="18"/>
                <w:szCs w:val="18"/>
                <w:color w:val="auto"/>
                <w:w w:val="89"/>
              </w:rPr>
              <w:t>(Insert Social Security or other identifying number of assignee or transferee)</w:t>
            </w:r>
          </w:p>
        </w:tc>
      </w:tr>
      <w:tr>
        <w:trPr>
          <w:trHeight w:val="340"/>
        </w:trPr>
        <w:tc>
          <w:tcPr>
            <w:tcW w:w="1720" w:type="dxa"/>
            <w:vAlign w:val="bottom"/>
            <w:gridSpan w:val="2"/>
          </w:tcPr>
          <w:p>
            <w:pPr>
              <w:spacing w:after="0"/>
              <w:rPr>
                <w:sz w:val="20"/>
                <w:szCs w:val="20"/>
                <w:color w:val="auto"/>
              </w:rPr>
            </w:pPr>
            <w:r>
              <w:rPr>
                <w:rFonts w:ascii="Arial" w:cs="Arial" w:eastAsia="Arial" w:hAnsi="Arial"/>
                <w:sz w:val="18"/>
                <w:szCs w:val="18"/>
                <w:color w:val="auto"/>
                <w:w w:val="91"/>
              </w:rPr>
              <w:t>and irrevocably appoint</w:t>
            </w:r>
          </w:p>
        </w:tc>
        <w:tc>
          <w:tcPr>
            <w:tcW w:w="2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20" w:type="dxa"/>
            <w:vAlign w:val="bottom"/>
            <w:gridSpan w:val="3"/>
          </w:tcPr>
          <w:p>
            <w:pPr>
              <w:ind w:left="40"/>
              <w:spacing w:after="0"/>
              <w:rPr>
                <w:sz w:val="20"/>
                <w:szCs w:val="20"/>
                <w:color w:val="auto"/>
              </w:rPr>
            </w:pPr>
            <w:r>
              <w:rPr>
                <w:rFonts w:ascii="Arial" w:cs="Arial" w:eastAsia="Arial" w:hAnsi="Arial"/>
                <w:sz w:val="18"/>
                <w:szCs w:val="18"/>
                <w:color w:val="auto"/>
                <w:w w:val="89"/>
              </w:rPr>
              <w:t>agent to transfer this Security on the books of the Issuer. The agent may substitute another to act</w:t>
            </w:r>
          </w:p>
        </w:tc>
      </w:tr>
      <w:tr>
        <w:trPr>
          <w:trHeight w:val="235"/>
        </w:trPr>
        <w:tc>
          <w:tcPr>
            <w:tcW w:w="1720" w:type="dxa"/>
            <w:vAlign w:val="bottom"/>
            <w:gridSpan w:val="2"/>
          </w:tcPr>
          <w:p>
            <w:pPr>
              <w:spacing w:after="0"/>
              <w:rPr>
                <w:sz w:val="20"/>
                <w:szCs w:val="20"/>
                <w:color w:val="auto"/>
              </w:rPr>
            </w:pPr>
            <w:r>
              <w:rPr>
                <w:rFonts w:ascii="Arial" w:cs="Arial" w:eastAsia="Arial" w:hAnsi="Arial"/>
                <w:sz w:val="18"/>
                <w:szCs w:val="18"/>
                <w:color w:val="auto"/>
              </w:rPr>
              <w:t>for him.</w:t>
            </w:r>
          </w:p>
        </w:tc>
        <w:tc>
          <w:tcPr>
            <w:tcW w:w="2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421"/>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1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80" w:type="dxa"/>
            <w:vAlign w:val="bottom"/>
          </w:tcPr>
          <w:p>
            <w:pPr>
              <w:ind w:left="1240"/>
              <w:spacing w:after="0"/>
              <w:rPr>
                <w:sz w:val="20"/>
                <w:szCs w:val="20"/>
                <w:color w:val="auto"/>
              </w:rPr>
            </w:pPr>
            <w:r>
              <w:rPr>
                <w:rFonts w:ascii="Arial" w:cs="Arial" w:eastAsia="Arial" w:hAnsi="Arial"/>
                <w:sz w:val="18"/>
                <w:szCs w:val="18"/>
                <w:color w:val="auto"/>
              </w:rPr>
              <w:t>Signed:</w:t>
            </w:r>
          </w:p>
        </w:tc>
        <w:tc>
          <w:tcPr>
            <w:tcW w:w="4540" w:type="dxa"/>
            <w:vAlign w:val="bottom"/>
            <w:tcBorders>
              <w:bottom w:val="single" w:sz="8" w:color="auto"/>
            </w:tcBorders>
          </w:tcPr>
          <w:p>
            <w:pPr>
              <w:spacing w:after="0"/>
              <w:rPr>
                <w:sz w:val="24"/>
                <w:szCs w:val="24"/>
                <w:color w:val="auto"/>
              </w:rPr>
            </w:pPr>
          </w:p>
        </w:tc>
      </w:tr>
      <w:tr>
        <w:trPr>
          <w:trHeight w:val="215"/>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20" w:type="dxa"/>
            <w:vAlign w:val="bottom"/>
            <w:gridSpan w:val="2"/>
          </w:tcPr>
          <w:p>
            <w:pPr>
              <w:ind w:left="1880"/>
              <w:spacing w:after="0"/>
              <w:rPr>
                <w:sz w:val="20"/>
                <w:szCs w:val="20"/>
                <w:color w:val="auto"/>
              </w:rPr>
            </w:pPr>
            <w:r>
              <w:rPr>
                <w:rFonts w:ascii="Arial" w:cs="Arial" w:eastAsia="Arial" w:hAnsi="Arial"/>
                <w:sz w:val="18"/>
                <w:szCs w:val="18"/>
                <w:color w:val="auto"/>
                <w:w w:val="98"/>
              </w:rPr>
              <w:t>(Signed exactly as name appears on the other side of this</w:t>
            </w:r>
          </w:p>
        </w:tc>
      </w:tr>
      <w:tr>
        <w:trPr>
          <w:trHeight w:val="222"/>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20" w:type="dxa"/>
            <w:vAlign w:val="bottom"/>
            <w:gridSpan w:val="2"/>
          </w:tcPr>
          <w:p>
            <w:pPr>
              <w:ind w:left="1880"/>
              <w:spacing w:after="0"/>
              <w:rPr>
                <w:sz w:val="20"/>
                <w:szCs w:val="20"/>
                <w:color w:val="auto"/>
              </w:rPr>
            </w:pPr>
            <w:r>
              <w:rPr>
                <w:rFonts w:ascii="Arial" w:cs="Arial" w:eastAsia="Arial" w:hAnsi="Arial"/>
                <w:sz w:val="18"/>
                <w:szCs w:val="18"/>
                <w:color w:val="auto"/>
              </w:rPr>
              <w:t>Security)</w:t>
            </w:r>
          </w:p>
        </w:tc>
      </w:tr>
      <w:tr>
        <w:trPr>
          <w:trHeight w:val="420"/>
        </w:trPr>
        <w:tc>
          <w:tcPr>
            <w:tcW w:w="1720" w:type="dxa"/>
            <w:vAlign w:val="bottom"/>
            <w:gridSpan w:val="2"/>
          </w:tcPr>
          <w:p>
            <w:pPr>
              <w:spacing w:after="0"/>
              <w:rPr>
                <w:sz w:val="20"/>
                <w:szCs w:val="20"/>
                <w:color w:val="auto"/>
              </w:rPr>
            </w:pPr>
            <w:r>
              <w:rPr>
                <w:rFonts w:ascii="Arial" w:cs="Arial" w:eastAsia="Arial" w:hAnsi="Arial"/>
                <w:sz w:val="18"/>
                <w:szCs w:val="18"/>
                <w:color w:val="auto"/>
                <w:w w:val="98"/>
              </w:rPr>
              <w:t>Signature Guarantee:</w:t>
            </w:r>
          </w:p>
        </w:tc>
        <w:tc>
          <w:tcPr>
            <w:tcW w:w="26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7060" w:type="dxa"/>
            <w:vAlign w:val="bottom"/>
            <w:gridSpan w:val="4"/>
          </w:tcPr>
          <w:p>
            <w:pPr>
              <w:spacing w:after="0"/>
              <w:rPr>
                <w:sz w:val="20"/>
                <w:szCs w:val="20"/>
                <w:color w:val="auto"/>
              </w:rPr>
            </w:pPr>
            <w:r>
              <w:rPr>
                <w:rFonts w:ascii="Arial" w:cs="Arial" w:eastAsia="Arial" w:hAnsi="Arial"/>
                <w:sz w:val="18"/>
                <w:szCs w:val="18"/>
                <w:color w:val="auto"/>
                <w:w w:val="90"/>
              </w:rPr>
              <w:t>Participant in a recognized Signature Guarantee Medallion Program (or other signature guarantor</w:t>
            </w:r>
          </w:p>
        </w:tc>
      </w:tr>
      <w:tr>
        <w:trPr>
          <w:trHeight w:val="222"/>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18"/>
                <w:szCs w:val="18"/>
                <w:color w:val="auto"/>
              </w:rPr>
              <w:t>program reasonably acceptable to the Trustee)</w:t>
            </w:r>
          </w:p>
        </w:tc>
      </w:tr>
      <w:tr>
        <w:trPr>
          <w:trHeight w:val="365"/>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60" w:type="dxa"/>
            <w:vAlign w:val="bottom"/>
            <w:gridSpan w:val="4"/>
          </w:tcPr>
          <w:p>
            <w:pPr>
              <w:jc w:val="center"/>
              <w:ind w:left="2732"/>
              <w:spacing w:after="0"/>
              <w:rPr>
                <w:sz w:val="20"/>
                <w:szCs w:val="20"/>
                <w:color w:val="auto"/>
              </w:rPr>
            </w:pPr>
            <w:r>
              <w:rPr>
                <w:rFonts w:ascii="Arial" w:cs="Arial" w:eastAsia="Arial" w:hAnsi="Arial"/>
                <w:sz w:val="18"/>
                <w:szCs w:val="18"/>
                <w:color w:val="auto"/>
                <w:w w:val="89"/>
              </w:rPr>
              <w:t>10</w:t>
            </w:r>
          </w:p>
        </w:tc>
        <w:tc>
          <w:tcPr>
            <w:tcW w:w="45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77"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[FORM OF NOTE DUE 2033]</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20"/>
          </w:cols>
          <w:pgMar w:left="1440" w:top="274" w:right="239" w:bottom="1440" w:gutter="0" w:footer="0" w:header="0"/>
        </w:sectPr>
      </w:pPr>
    </w:p>
    <w:bookmarkStart w:id="21" w:name="page22"/>
    <w:bookmarkEnd w:id="21"/>
    <w:p>
      <w:pPr>
        <w:ind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4.250% Note Due 2033</w:t>
      </w:r>
    </w:p>
    <w:p>
      <w:pPr>
        <w:sectPr>
          <w:pgSz w:w="11900" w:h="16838" w:orient="portrait"/>
          <w:cols w:equalWidth="0" w:num="1">
            <w:col w:w="11420"/>
          </w:cols>
          <w:pgMar w:left="240" w:top="280"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CUSIP No.: 20030N BH3</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US20030NBH35</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9" w:lineRule="exact"/>
        <w:rPr>
          <w:sz w:val="20"/>
          <w:szCs w:val="20"/>
          <w:color w:val="auto"/>
        </w:rPr>
      </w:pPr>
    </w:p>
    <w:p>
      <w:pPr>
        <w:sectPr>
          <w:pgSz w:w="11900" w:h="16838" w:orient="portrait"/>
          <w:cols w:equalWidth="0" w:num="3">
            <w:col w:w="360" w:space="180"/>
            <w:col w:w="8220" w:space="720"/>
            <w:col w:w="1940"/>
          </w:cols>
          <w:pgMar w:left="240" w:top="280" w:right="239" w:bottom="1440" w:gutter="0" w:footer="0" w:header="0"/>
          <w:type w:val="continuous"/>
        </w:sectPr>
      </w:pPr>
    </w:p>
    <w:p>
      <w:pPr>
        <w:ind w:right="200" w:firstLine="456"/>
        <w:spacing w:after="0" w:line="275"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January 15, 2033.</w:t>
      </w:r>
    </w:p>
    <w:p>
      <w:pPr>
        <w:sectPr>
          <w:pgSz w:w="11900" w:h="16838" w:orient="portrait"/>
          <w:cols w:equalWidth="0" w:num="1">
            <w:col w:w="11420"/>
          </w:cols>
          <w:pgMar w:left="240" w:top="280" w:right="239" w:bottom="1440" w:gutter="0" w:footer="0" w:header="0"/>
          <w:type w:val="continuous"/>
        </w:sectPr>
      </w:pP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January 15 and July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July 15, 2013.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January 1 and July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Reference is made to the further provisions of this Security contained herein, which will for all purposes have the same effect as if set forth at this place.</w:t>
      </w:r>
    </w:p>
    <w:p>
      <w:pPr>
        <w:sectPr>
          <w:pgSz w:w="11900" w:h="16838" w:orient="portrait"/>
          <w:cols w:equalWidth="0" w:num="1">
            <w:col w:w="11420"/>
          </w:cols>
          <w:pgMar w:left="240" w:top="280" w:right="239" w:bottom="1440" w:gutter="0" w:footer="0" w:header="0"/>
          <w:type w:val="continuous"/>
        </w:sectPr>
      </w:pPr>
    </w:p>
    <w:bookmarkStart w:id="22" w:name="page23"/>
    <w:bookmarkEnd w:id="2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William E. Dordelman</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Senior Vice President and Treasurer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tbl>
      <w:tblPr>
        <w:tblLayout w:type="fixed"/>
        <w:tblInd w:w="380" w:type="dxa"/>
        <w:tblCellMar>
          <w:top w:w="0" w:type="dxa"/>
          <w:left w:w="0" w:type="dxa"/>
          <w:bottom w:w="0" w:type="dxa"/>
          <w:right w:w="0" w:type="dxa"/>
        </w:tblCellMar>
      </w:tblPr>
      <w:tr>
        <w:trPr>
          <w:trHeight w:val="217"/>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6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Arthur R. Block</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ind w:left="80"/>
              <w:spacing w:after="0"/>
              <w:rPr>
                <w:sz w:val="20"/>
                <w:szCs w:val="20"/>
                <w:color w:val="auto"/>
              </w:rPr>
            </w:pPr>
            <w:r>
              <w:rPr>
                <w:rFonts w:ascii="Arial" w:cs="Arial" w:eastAsia="Arial" w:hAnsi="Arial"/>
                <w:sz w:val="18"/>
                <w:szCs w:val="18"/>
                <w:color w:val="auto"/>
              </w:rPr>
              <w:t>Senior Vice President, General Counsel and</w:t>
            </w:r>
          </w:p>
        </w:tc>
      </w:tr>
      <w:tr>
        <w:trPr>
          <w:trHeight w:val="222"/>
        </w:trPr>
        <w:tc>
          <w:tcPr>
            <w:tcW w:w="560" w:type="dxa"/>
            <w:vAlign w:val="bottom"/>
          </w:tcPr>
          <w:p>
            <w:pPr>
              <w:spacing w:after="0"/>
              <w:rPr>
                <w:sz w:val="19"/>
                <w:szCs w:val="19"/>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rPr>
              <w:t>Secretary</w:t>
            </w:r>
          </w:p>
        </w:tc>
      </w:tr>
    </w:tbl>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14,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THE BANK OF NEW YORK MELLON,</w:t>
      </w:r>
    </w:p>
    <w:p>
      <w:pPr>
        <w:spacing w:after="0" w:line="38"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80" w:right="1440"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4.250% Note Due 2033</w:t>
      </w:r>
    </w:p>
    <w:p>
      <w:pPr>
        <w:spacing w:after="0" w:line="212"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w:t>
      </w:r>
    </w:p>
    <w:p>
      <w:pPr>
        <w:spacing w:after="0" w:line="84"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January 14, 2013. The Issuer will pay interest semi-annually in arrears on each Interest Payment Date, commencing July 15, 2013. Interest will be computed on the basis of a 360-day year of twelve 30-day months.</w:t>
      </w:r>
    </w:p>
    <w:p>
      <w:pPr>
        <w:spacing w:after="0" w:line="14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254"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(formerly known as The Bank of New York) (the “</w:t>
      </w:r>
      <w:r>
        <w:rPr>
          <w:rFonts w:ascii="Arial" w:cs="Arial" w:eastAsia="Arial" w:hAnsi="Arial"/>
          <w:sz w:val="16"/>
          <w:szCs w:val="16"/>
          <w:b w:val="1"/>
          <w:bCs w:val="1"/>
          <w:color w:val="auto"/>
        </w:rPr>
        <w:t>Trustee</w:t>
      </w:r>
      <w:r>
        <w:rPr>
          <w:rFonts w:ascii="Arial" w:cs="Arial" w:eastAsia="Arial" w:hAnsi="Arial"/>
          <w:sz w:val="16"/>
          <w:szCs w:val="16"/>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6"/>
          <w:szCs w:val="16"/>
          <w:b w:val="1"/>
          <w:bCs w:val="1"/>
          <w:color w:val="auto"/>
        </w:rPr>
        <w:t>U.S. Legal Tender</w:t>
      </w:r>
      <w:r>
        <w:rPr>
          <w:rFonts w:ascii="Arial" w:cs="Arial" w:eastAsia="Arial" w:hAnsi="Arial"/>
          <w:sz w:val="16"/>
          <w:szCs w:val="16"/>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25" w:name="page26"/>
    <w:bookmarkEnd w:id="25"/>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Paying Agent.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293"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Indenture.</w:t>
      </w:r>
    </w:p>
    <w:p>
      <w:pPr>
        <w:spacing w:after="0" w:line="8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Issuer issued the Securities under an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Issuer, the cable guarantors named therein and the Trustee, as supplemented by the First Supplemental Indenture dated as of March 25, 2003, by and among the Issuer, the cable guarantors named therein and the Trustee, and as further supplemented by the Second Supplemental Indenture dated as of August 31, 2009, by and among the Issuer, the cable guarantors named therein (the “</w:t>
      </w:r>
      <w:r>
        <w:rPr>
          <w:rFonts w:ascii="Arial" w:cs="Arial" w:eastAsia="Arial" w:hAnsi="Arial"/>
          <w:sz w:val="16"/>
          <w:szCs w:val="16"/>
          <w:b w:val="1"/>
          <w:bCs w:val="1"/>
          <w:color w:val="auto"/>
        </w:rPr>
        <w:t>Cable Guarantors</w:t>
      </w:r>
      <w:r>
        <w:rPr>
          <w:rFonts w:ascii="Arial" w:cs="Arial" w:eastAsia="Arial" w:hAnsi="Arial"/>
          <w:sz w:val="16"/>
          <w:szCs w:val="16"/>
          <w:color w:val="auto"/>
        </w:rPr>
        <w:t>”)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spacing w:after="0" w:line="240"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Cable Guarantees.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Each Cable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28"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280" w:right="359" w:bottom="1440" w:gutter="0" w:footer="0" w:header="0"/>
        </w:sectPr>
      </w:pPr>
    </w:p>
    <w:bookmarkStart w:id="26" w:name="page27"/>
    <w:bookmarkEnd w:id="26"/>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Persons Deemed Owners.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93"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254"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Issuer and the Cable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228"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269"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Cable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27" w:name="page28"/>
    <w:bookmarkEnd w:id="27"/>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Redemption.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30 days, but not more than 60 days, prior notice mailed to the registered address of each Holder of the Securities, at a redemption price equal to the greater of (i) 100% of the principal amount of such Securities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the Treasury Rate, plus, in each case, 20 basis points plus accrued interest thereon to the date of redemption.</w:t>
      </w:r>
    </w:p>
    <w:p>
      <w:pPr>
        <w:spacing w:after="0" w:line="110" w:lineRule="exact"/>
        <w:rPr>
          <w:sz w:val="20"/>
          <w:szCs w:val="20"/>
          <w:color w:val="auto"/>
        </w:rPr>
      </w:pPr>
    </w:p>
    <w:p>
      <w:pPr>
        <w:jc w:val="both"/>
        <w:ind w:right="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32" w:lineRule="exact"/>
        <w:rPr>
          <w:sz w:val="20"/>
          <w:szCs w:val="20"/>
          <w:color w:val="auto"/>
        </w:rPr>
      </w:pPr>
    </w:p>
    <w:p>
      <w:pPr>
        <w:jc w:val="both"/>
        <w:ind w:right="8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Comparable Treasury Issue</w:t>
      </w:r>
      <w:r>
        <w:rPr>
          <w:rFonts w:ascii="Arial" w:cs="Arial" w:eastAsia="Arial" w:hAnsi="Arial"/>
          <w:sz w:val="15"/>
          <w:szCs w:val="15"/>
          <w:color w:val="auto"/>
        </w:rPr>
        <w:t>” means the United States Treasury security or securities selected by an Independent Investment Banker as having an actual or interpolated maturity comparable to the remaining term of the Securities to be redeemed that would be utilized, at the time of selection and in accordance with customary financial practice, in pricing new issues of corporate debt securities of a comparable maturity to the remaining term of such Securities.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171" w:lineRule="exact"/>
        <w:rPr>
          <w:sz w:val="20"/>
          <w:szCs w:val="20"/>
          <w:color w:val="auto"/>
        </w:rPr>
      </w:pPr>
    </w:p>
    <w:p>
      <w:pPr>
        <w:ind w:right="3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32"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Barclays Capital Inc., Goldman, Sachs &amp; Co., RBS Securities Inc., Deutsche Bank Securities Inc. and UBS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36"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8" w:name="page29"/>
    <w:bookmarkEnd w:id="28"/>
    <w:p>
      <w:pPr>
        <w:ind w:right="10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w:t>
      </w:r>
    </w:p>
    <w:p>
      <w:pPr>
        <w:spacing w:after="0" w:line="264"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Cable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Cable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Cable Guarantees except as provided in the Indenture. The Trustee is not obligated to enforce the Indenture, the Securities or the Cable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241"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254"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No stockholder, director, officer, employee or incorporator, as such, of the Issuer, any Cable Guarantor or any successor Person thereof shall have any liability for any obligation under the Securities, the Cable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9" w:name="page30"/>
    <w:bookmarkEnd w:id="29"/>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Authentication.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93"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90"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Customary abbreviations may be used in the name of a Holder of a Security or an assignee, such as: TEN COM (= tenants in common), TEN ENT</w:t>
      </w:r>
    </w:p>
    <w:p>
      <w:pPr>
        <w:spacing w:after="0" w:line="3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tenants by the entireties), JT TEN (= joint tenants with right of survivorship and not as tenants in common), CUST (= Custodian), and U/G/M/A (= Uniform Gifts to Minors Act).</w:t>
      </w:r>
    </w:p>
    <w:p>
      <w:pPr>
        <w:spacing w:after="0" w:line="259"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262"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280" w:right="3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700" w:type="dxa"/>
            <w:vAlign w:val="bottom"/>
            <w:gridSpan w:val="5"/>
          </w:tcPr>
          <w:p>
            <w:pPr>
              <w:jc w:val="center"/>
              <w:ind w:right="1700"/>
              <w:spacing w:after="0"/>
              <w:rPr>
                <w:sz w:val="20"/>
                <w:szCs w:val="20"/>
                <w:color w:val="auto"/>
              </w:rPr>
            </w:pPr>
            <w:r>
              <w:rPr>
                <w:rFonts w:ascii="Arial" w:cs="Arial" w:eastAsia="Arial" w:hAnsi="Arial"/>
                <w:sz w:val="18"/>
                <w:szCs w:val="18"/>
                <w:color w:val="auto"/>
                <w:w w:val="86"/>
              </w:rPr>
              <w:t>(Print or type name, address and zip code of assignee or transferee)</w:t>
            </w:r>
          </w:p>
        </w:tc>
      </w:tr>
      <w:tr>
        <w:trPr>
          <w:trHeight w:val="434"/>
        </w:trPr>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r>
        <w:trPr>
          <w:trHeight w:val="235"/>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700" w:type="dxa"/>
            <w:vAlign w:val="bottom"/>
            <w:gridSpan w:val="5"/>
          </w:tcPr>
          <w:p>
            <w:pPr>
              <w:jc w:val="center"/>
              <w:ind w:right="1720"/>
              <w:spacing w:after="0"/>
              <w:rPr>
                <w:sz w:val="20"/>
                <w:szCs w:val="20"/>
                <w:color w:val="auto"/>
              </w:rPr>
            </w:pPr>
            <w:r>
              <w:rPr>
                <w:rFonts w:ascii="Arial" w:cs="Arial" w:eastAsia="Arial" w:hAnsi="Arial"/>
                <w:sz w:val="18"/>
                <w:szCs w:val="18"/>
                <w:color w:val="auto"/>
                <w:w w:val="89"/>
              </w:rPr>
              <w:t>(Insert Social Security or other identifying number of assignee or transferee)</w:t>
            </w:r>
          </w:p>
        </w:tc>
      </w:tr>
      <w:tr>
        <w:trPr>
          <w:trHeight w:val="340"/>
        </w:trPr>
        <w:tc>
          <w:tcPr>
            <w:tcW w:w="1720" w:type="dxa"/>
            <w:vAlign w:val="bottom"/>
            <w:gridSpan w:val="2"/>
          </w:tcPr>
          <w:p>
            <w:pPr>
              <w:spacing w:after="0"/>
              <w:rPr>
                <w:sz w:val="20"/>
                <w:szCs w:val="20"/>
                <w:color w:val="auto"/>
              </w:rPr>
            </w:pPr>
            <w:r>
              <w:rPr>
                <w:rFonts w:ascii="Arial" w:cs="Arial" w:eastAsia="Arial" w:hAnsi="Arial"/>
                <w:sz w:val="18"/>
                <w:szCs w:val="18"/>
                <w:color w:val="auto"/>
                <w:w w:val="91"/>
              </w:rPr>
              <w:t>and irrevocably appoint</w:t>
            </w:r>
          </w:p>
        </w:tc>
        <w:tc>
          <w:tcPr>
            <w:tcW w:w="2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20" w:type="dxa"/>
            <w:vAlign w:val="bottom"/>
            <w:gridSpan w:val="3"/>
          </w:tcPr>
          <w:p>
            <w:pPr>
              <w:ind w:left="40"/>
              <w:spacing w:after="0"/>
              <w:rPr>
                <w:sz w:val="20"/>
                <w:szCs w:val="20"/>
                <w:color w:val="auto"/>
              </w:rPr>
            </w:pPr>
            <w:r>
              <w:rPr>
                <w:rFonts w:ascii="Arial" w:cs="Arial" w:eastAsia="Arial" w:hAnsi="Arial"/>
                <w:sz w:val="18"/>
                <w:szCs w:val="18"/>
                <w:color w:val="auto"/>
                <w:w w:val="89"/>
              </w:rPr>
              <w:t>agent to transfer this Security on the books of the Issuer. The agent may substitute another to act</w:t>
            </w:r>
          </w:p>
        </w:tc>
      </w:tr>
      <w:tr>
        <w:trPr>
          <w:trHeight w:val="235"/>
        </w:trPr>
        <w:tc>
          <w:tcPr>
            <w:tcW w:w="1720" w:type="dxa"/>
            <w:vAlign w:val="bottom"/>
            <w:gridSpan w:val="2"/>
          </w:tcPr>
          <w:p>
            <w:pPr>
              <w:spacing w:after="0"/>
              <w:rPr>
                <w:sz w:val="20"/>
                <w:szCs w:val="20"/>
                <w:color w:val="auto"/>
              </w:rPr>
            </w:pPr>
            <w:r>
              <w:rPr>
                <w:rFonts w:ascii="Arial" w:cs="Arial" w:eastAsia="Arial" w:hAnsi="Arial"/>
                <w:sz w:val="18"/>
                <w:szCs w:val="18"/>
                <w:color w:val="auto"/>
              </w:rPr>
              <w:t>for him.</w:t>
            </w:r>
          </w:p>
        </w:tc>
        <w:tc>
          <w:tcPr>
            <w:tcW w:w="2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421"/>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1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80" w:type="dxa"/>
            <w:vAlign w:val="bottom"/>
          </w:tcPr>
          <w:p>
            <w:pPr>
              <w:ind w:left="1240"/>
              <w:spacing w:after="0"/>
              <w:rPr>
                <w:sz w:val="20"/>
                <w:szCs w:val="20"/>
                <w:color w:val="auto"/>
              </w:rPr>
            </w:pPr>
            <w:r>
              <w:rPr>
                <w:rFonts w:ascii="Arial" w:cs="Arial" w:eastAsia="Arial" w:hAnsi="Arial"/>
                <w:sz w:val="18"/>
                <w:szCs w:val="18"/>
                <w:color w:val="auto"/>
              </w:rPr>
              <w:t>Signed:</w:t>
            </w:r>
          </w:p>
        </w:tc>
        <w:tc>
          <w:tcPr>
            <w:tcW w:w="4540" w:type="dxa"/>
            <w:vAlign w:val="bottom"/>
            <w:tcBorders>
              <w:bottom w:val="single" w:sz="8" w:color="auto"/>
            </w:tcBorders>
          </w:tcPr>
          <w:p>
            <w:pPr>
              <w:spacing w:after="0"/>
              <w:rPr>
                <w:sz w:val="24"/>
                <w:szCs w:val="24"/>
                <w:color w:val="auto"/>
              </w:rPr>
            </w:pPr>
          </w:p>
        </w:tc>
      </w:tr>
      <w:tr>
        <w:trPr>
          <w:trHeight w:val="215"/>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20" w:type="dxa"/>
            <w:vAlign w:val="bottom"/>
            <w:gridSpan w:val="2"/>
          </w:tcPr>
          <w:p>
            <w:pPr>
              <w:ind w:left="1880"/>
              <w:spacing w:after="0"/>
              <w:rPr>
                <w:sz w:val="20"/>
                <w:szCs w:val="20"/>
                <w:color w:val="auto"/>
              </w:rPr>
            </w:pPr>
            <w:r>
              <w:rPr>
                <w:rFonts w:ascii="Arial" w:cs="Arial" w:eastAsia="Arial" w:hAnsi="Arial"/>
                <w:sz w:val="18"/>
                <w:szCs w:val="18"/>
                <w:color w:val="auto"/>
                <w:w w:val="98"/>
              </w:rPr>
              <w:t>(Signed exactly as name appears on the other side of this</w:t>
            </w:r>
          </w:p>
        </w:tc>
      </w:tr>
      <w:tr>
        <w:trPr>
          <w:trHeight w:val="222"/>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20" w:type="dxa"/>
            <w:vAlign w:val="bottom"/>
            <w:gridSpan w:val="2"/>
          </w:tcPr>
          <w:p>
            <w:pPr>
              <w:ind w:left="1880"/>
              <w:spacing w:after="0"/>
              <w:rPr>
                <w:sz w:val="20"/>
                <w:szCs w:val="20"/>
                <w:color w:val="auto"/>
              </w:rPr>
            </w:pPr>
            <w:r>
              <w:rPr>
                <w:rFonts w:ascii="Arial" w:cs="Arial" w:eastAsia="Arial" w:hAnsi="Arial"/>
                <w:sz w:val="18"/>
                <w:szCs w:val="18"/>
                <w:color w:val="auto"/>
              </w:rPr>
              <w:t>Security)</w:t>
            </w:r>
          </w:p>
        </w:tc>
      </w:tr>
      <w:tr>
        <w:trPr>
          <w:trHeight w:val="420"/>
        </w:trPr>
        <w:tc>
          <w:tcPr>
            <w:tcW w:w="1720" w:type="dxa"/>
            <w:vAlign w:val="bottom"/>
            <w:gridSpan w:val="2"/>
          </w:tcPr>
          <w:p>
            <w:pPr>
              <w:spacing w:after="0"/>
              <w:rPr>
                <w:sz w:val="20"/>
                <w:szCs w:val="20"/>
                <w:color w:val="auto"/>
              </w:rPr>
            </w:pPr>
            <w:r>
              <w:rPr>
                <w:rFonts w:ascii="Arial" w:cs="Arial" w:eastAsia="Arial" w:hAnsi="Arial"/>
                <w:sz w:val="18"/>
                <w:szCs w:val="18"/>
                <w:color w:val="auto"/>
                <w:w w:val="98"/>
              </w:rPr>
              <w:t>Signature Guarantee:</w:t>
            </w:r>
          </w:p>
        </w:tc>
        <w:tc>
          <w:tcPr>
            <w:tcW w:w="26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7060" w:type="dxa"/>
            <w:vAlign w:val="bottom"/>
            <w:gridSpan w:val="4"/>
          </w:tcPr>
          <w:p>
            <w:pPr>
              <w:spacing w:after="0"/>
              <w:rPr>
                <w:sz w:val="20"/>
                <w:szCs w:val="20"/>
                <w:color w:val="auto"/>
              </w:rPr>
            </w:pPr>
            <w:r>
              <w:rPr>
                <w:rFonts w:ascii="Arial" w:cs="Arial" w:eastAsia="Arial" w:hAnsi="Arial"/>
                <w:sz w:val="18"/>
                <w:szCs w:val="18"/>
                <w:color w:val="auto"/>
                <w:w w:val="90"/>
              </w:rPr>
              <w:t>Participant in a recognized Signature Guarantee Medallion Program (or other signature guarantor</w:t>
            </w:r>
          </w:p>
        </w:tc>
      </w:tr>
      <w:tr>
        <w:trPr>
          <w:trHeight w:val="222"/>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18"/>
                <w:szCs w:val="18"/>
                <w:color w:val="auto"/>
              </w:rPr>
              <w:t>program reasonably acceptable to the Trustee)</w:t>
            </w:r>
          </w:p>
        </w:tc>
      </w:tr>
      <w:tr>
        <w:trPr>
          <w:trHeight w:val="365"/>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60" w:type="dxa"/>
            <w:vAlign w:val="bottom"/>
            <w:gridSpan w:val="4"/>
          </w:tcPr>
          <w:p>
            <w:pPr>
              <w:jc w:val="center"/>
              <w:ind w:left="2732"/>
              <w:spacing w:after="0"/>
              <w:rPr>
                <w:sz w:val="20"/>
                <w:szCs w:val="20"/>
                <w:color w:val="auto"/>
              </w:rPr>
            </w:pPr>
            <w:r>
              <w:rPr>
                <w:rFonts w:ascii="Arial" w:cs="Arial" w:eastAsia="Arial" w:hAnsi="Arial"/>
                <w:sz w:val="18"/>
                <w:szCs w:val="18"/>
                <w:color w:val="auto"/>
                <w:w w:val="89"/>
              </w:rPr>
              <w:t>10</w:t>
            </w:r>
          </w:p>
        </w:tc>
        <w:tc>
          <w:tcPr>
            <w:tcW w:w="45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177"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[FORM OF NOTE DUE 2043]</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20"/>
          </w:cols>
          <w:pgMar w:left="1440" w:top="274" w:right="239" w:bottom="1440" w:gutter="0" w:footer="0" w:header="0"/>
        </w:sectPr>
      </w:pPr>
    </w:p>
    <w:bookmarkStart w:id="32" w:name="page33"/>
    <w:bookmarkEnd w:id="32"/>
    <w:p>
      <w:pPr>
        <w:ind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4.500% Note Due 2043</w:t>
      </w:r>
    </w:p>
    <w:p>
      <w:pPr>
        <w:sectPr>
          <w:pgSz w:w="11900" w:h="16838" w:orient="portrait"/>
          <w:cols w:equalWidth="0" w:num="1">
            <w:col w:w="11420"/>
          </w:cols>
          <w:pgMar w:left="240" w:top="280"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CUSIP No.: 20030N BG5</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US20030NBG51</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9" w:lineRule="exact"/>
        <w:rPr>
          <w:sz w:val="20"/>
          <w:szCs w:val="20"/>
          <w:color w:val="auto"/>
        </w:rPr>
      </w:pPr>
    </w:p>
    <w:p>
      <w:pPr>
        <w:sectPr>
          <w:pgSz w:w="11900" w:h="16838" w:orient="portrait"/>
          <w:cols w:equalWidth="0" w:num="3">
            <w:col w:w="360" w:space="180"/>
            <w:col w:w="8220" w:space="720"/>
            <w:col w:w="1940"/>
          </w:cols>
          <w:pgMar w:left="240" w:top="280" w:right="239" w:bottom="1440" w:gutter="0" w:footer="0" w:header="0"/>
          <w:type w:val="continuous"/>
        </w:sectPr>
      </w:pPr>
    </w:p>
    <w:p>
      <w:pPr>
        <w:ind w:right="200" w:firstLine="456"/>
        <w:spacing w:after="0" w:line="275"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January 15, 2043.</w:t>
      </w:r>
    </w:p>
    <w:p>
      <w:pPr>
        <w:sectPr>
          <w:pgSz w:w="11900" w:h="16838" w:orient="portrait"/>
          <w:cols w:equalWidth="0" w:num="1">
            <w:col w:w="11420"/>
          </w:cols>
          <w:pgMar w:left="240" w:top="280" w:right="239" w:bottom="1440" w:gutter="0" w:footer="0" w:header="0"/>
          <w:type w:val="continuous"/>
        </w:sectPr>
      </w:pP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January 15 and July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July 15, 2013.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January 1 and July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Reference is made to the further provisions of this Security contained herein, which will for all purposes have the same effect as if set forth at this place.</w:t>
      </w:r>
    </w:p>
    <w:p>
      <w:pPr>
        <w:sectPr>
          <w:pgSz w:w="11900" w:h="16838" w:orient="portrait"/>
          <w:cols w:equalWidth="0" w:num="1">
            <w:col w:w="11420"/>
          </w:cols>
          <w:pgMar w:left="240" w:top="280" w:right="239" w:bottom="1440" w:gutter="0" w:footer="0" w:header="0"/>
          <w:type w:val="continuous"/>
        </w:sectPr>
      </w:pPr>
    </w:p>
    <w:bookmarkStart w:id="33" w:name="page34"/>
    <w:bookmarkEnd w:id="3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-5715</wp:posOffset>
            </wp:positionV>
            <wp:extent cx="26587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Name: William E. Dordelman</w:t>
      </w:r>
    </w:p>
    <w:p>
      <w:pPr>
        <w:spacing w:after="0" w:line="9" w:lineRule="exact"/>
        <w:rPr>
          <w:sz w:val="20"/>
          <w:szCs w:val="20"/>
          <w:color w:val="auto"/>
        </w:rPr>
      </w:pPr>
    </w:p>
    <w:p>
      <w:pPr>
        <w:ind w:left="7240"/>
        <w:spacing w:after="0"/>
        <w:tabs>
          <w:tab w:leader="none" w:pos="7800" w:val="left"/>
        </w:tabs>
        <w:rPr>
          <w:sz w:val="20"/>
          <w:szCs w:val="20"/>
          <w:color w:val="auto"/>
        </w:rPr>
      </w:pPr>
      <w:r>
        <w:rPr>
          <w:rFonts w:ascii="Arial" w:cs="Arial" w:eastAsia="Arial" w:hAnsi="Arial"/>
          <w:sz w:val="18"/>
          <w:szCs w:val="18"/>
          <w:color w:val="auto"/>
        </w:rPr>
        <w:t>Title:</w:t>
        <w:tab/>
        <w:t>Senior Vice President and Treasurer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-5715</wp:posOffset>
            </wp:positionV>
            <wp:extent cx="26244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440"/>
        <w:spacing w:after="0"/>
        <w:tabs>
          <w:tab w:leader="none" w:pos="1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Arthur R. Block</w:t>
      </w:r>
    </w:p>
    <w:p>
      <w:pPr>
        <w:spacing w:after="0" w:line="9"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8"/>
          <w:szCs w:val="18"/>
          <w:color w:val="auto"/>
        </w:rPr>
        <w:t>Title:</w:t>
        <w:tab/>
        <w:t>Senior Vice President, General Counsel and</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34" w:name="page35"/>
    <w:bookmarkEnd w:id="3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14,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THE BANK OF NEW YORK MELLON,</w:t>
      </w:r>
    </w:p>
    <w:p>
      <w:pPr>
        <w:spacing w:after="0" w:line="38"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as Trustee</w:t>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-5715</wp:posOffset>
            </wp:positionV>
            <wp:extent cx="26327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ind w:left="7280"/>
        <w:spacing w:after="0"/>
        <w:rPr>
          <w:sz w:val="20"/>
          <w:szCs w:val="20"/>
          <w:color w:val="auto"/>
        </w:rPr>
      </w:pPr>
      <w:r>
        <w:rPr>
          <w:rFonts w:ascii="Arial" w:cs="Arial" w:eastAsia="Arial" w:hAnsi="Arial"/>
          <w:sz w:val="18"/>
          <w:szCs w:val="18"/>
          <w:color w:val="auto"/>
        </w:rPr>
        <w:t>Authorized Signatory</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80" w:right="1440"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4.500% Note Due 2043</w:t>
      </w:r>
    </w:p>
    <w:p>
      <w:pPr>
        <w:spacing w:after="0" w:line="212"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Interest.</w:t>
      </w:r>
    </w:p>
    <w:p>
      <w:pPr>
        <w:spacing w:after="0" w:line="84"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January 14, 2013. The Issuer will pay interest semi-annually in arrears on each Interest Payment Date, commencing July 15, 2013. Interest will be computed on the basis of a 360-day year of twelve 30-day months.</w:t>
      </w:r>
    </w:p>
    <w:p>
      <w:pPr>
        <w:spacing w:after="0" w:line="14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254"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(formerly known as The Bank of New York) (the “</w:t>
      </w:r>
      <w:r>
        <w:rPr>
          <w:rFonts w:ascii="Arial" w:cs="Arial" w:eastAsia="Arial" w:hAnsi="Arial"/>
          <w:sz w:val="16"/>
          <w:szCs w:val="16"/>
          <w:b w:val="1"/>
          <w:bCs w:val="1"/>
          <w:color w:val="auto"/>
        </w:rPr>
        <w:t>Trustee</w:t>
      </w:r>
      <w:r>
        <w:rPr>
          <w:rFonts w:ascii="Arial" w:cs="Arial" w:eastAsia="Arial" w:hAnsi="Arial"/>
          <w:sz w:val="16"/>
          <w:szCs w:val="16"/>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6"/>
          <w:szCs w:val="16"/>
          <w:b w:val="1"/>
          <w:bCs w:val="1"/>
          <w:color w:val="auto"/>
        </w:rPr>
        <w:t>U.S. Legal Tender</w:t>
      </w:r>
      <w:r>
        <w:rPr>
          <w:rFonts w:ascii="Arial" w:cs="Arial" w:eastAsia="Arial" w:hAnsi="Arial"/>
          <w:sz w:val="16"/>
          <w:szCs w:val="16"/>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36" w:name="page37"/>
    <w:bookmarkEnd w:id="36"/>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Paying Agent.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293"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Indenture.</w:t>
      </w:r>
    </w:p>
    <w:p>
      <w:pPr>
        <w:spacing w:after="0" w:line="8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Issuer issued the Securities under an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Issuer, the cable guarantors named therein and the Trustee, as supplemented by the First Supplemental Indenture dated as of March 25, 2003, by and among the Issuer, the cable guarantors named therein and the Trustee, and as further supplemented by the Second Supplemental Indenture dated as of August 31, 2009, by and among the Issuer, the cable guarantors named therein (the “</w:t>
      </w:r>
      <w:r>
        <w:rPr>
          <w:rFonts w:ascii="Arial" w:cs="Arial" w:eastAsia="Arial" w:hAnsi="Arial"/>
          <w:sz w:val="16"/>
          <w:szCs w:val="16"/>
          <w:b w:val="1"/>
          <w:bCs w:val="1"/>
          <w:color w:val="auto"/>
        </w:rPr>
        <w:t>Cable Guarantors</w:t>
      </w:r>
      <w:r>
        <w:rPr>
          <w:rFonts w:ascii="Arial" w:cs="Arial" w:eastAsia="Arial" w:hAnsi="Arial"/>
          <w:sz w:val="16"/>
          <w:szCs w:val="16"/>
          <w:color w:val="auto"/>
        </w:rPr>
        <w:t>”)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spacing w:after="0" w:line="240"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Cable Guarantees.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Each Cable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28"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280" w:right="359" w:bottom="1440" w:gutter="0" w:footer="0" w:header="0"/>
        </w:sectPr>
      </w:pPr>
    </w:p>
    <w:bookmarkStart w:id="37" w:name="page38"/>
    <w:bookmarkEnd w:id="37"/>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Persons Deemed Owners.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93"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254"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Issuer and the Cable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228"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269"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Cable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38" w:name="page39"/>
    <w:bookmarkEnd w:id="38"/>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Redemption.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30 days, but not more than 60 days, prior notice mailed to the registered address of each Holder of the Securities, at a redemption price equal to the greater of (i) 100% of the principal amount of such Securities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the Treasury Rate, plus, in each case, 25 basis points plus accrued interest thereon to the date of redemption.</w:t>
      </w:r>
    </w:p>
    <w:p>
      <w:pPr>
        <w:spacing w:after="0" w:line="110" w:lineRule="exact"/>
        <w:rPr>
          <w:sz w:val="20"/>
          <w:szCs w:val="20"/>
          <w:color w:val="auto"/>
        </w:rPr>
      </w:pPr>
    </w:p>
    <w:p>
      <w:pPr>
        <w:jc w:val="both"/>
        <w:ind w:right="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32" w:lineRule="exact"/>
        <w:rPr>
          <w:sz w:val="20"/>
          <w:szCs w:val="20"/>
          <w:color w:val="auto"/>
        </w:rPr>
      </w:pPr>
    </w:p>
    <w:p>
      <w:pPr>
        <w:jc w:val="both"/>
        <w:ind w:right="8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Comparable Treasury Issue</w:t>
      </w:r>
      <w:r>
        <w:rPr>
          <w:rFonts w:ascii="Arial" w:cs="Arial" w:eastAsia="Arial" w:hAnsi="Arial"/>
          <w:sz w:val="15"/>
          <w:szCs w:val="15"/>
          <w:color w:val="auto"/>
        </w:rPr>
        <w:t>” means the United States Treasury security or securities selected by an Independent Investment Banker as having an actual or interpolated maturity comparable to the remaining term of the Securities to be redeemed that would be utilized, at the time of selection and in accordance with customary financial practice, in pricing new issues of corporate debt securities of a comparable maturity to the remaining term of such Securities.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171" w:lineRule="exact"/>
        <w:rPr>
          <w:sz w:val="20"/>
          <w:szCs w:val="20"/>
          <w:color w:val="auto"/>
        </w:rPr>
      </w:pPr>
    </w:p>
    <w:p>
      <w:pPr>
        <w:ind w:right="3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32"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Barclays Capital Inc., Goldman, Sachs &amp; Co., RBS Securities Inc., Deutsche Bank Securities Inc. and UBS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36"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39" w:name="page40"/>
    <w:bookmarkEnd w:id="39"/>
    <w:p>
      <w:pPr>
        <w:ind w:right="10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w:t>
      </w:r>
    </w:p>
    <w:p>
      <w:pPr>
        <w:spacing w:after="0" w:line="264"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Cable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Cable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Cable Guarantees except as provided in the Indenture. The Trustee is not obligated to enforce the Indenture, the Securities or the Cable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241"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254"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No stockholder, director, officer, employee or incorporator, as such, of the Issuer, any Cable Guarantor or any successor Person thereof shall have any liability for any obligation under the Securities, the Cable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40" w:name="page41"/>
    <w:bookmarkEnd w:id="40"/>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Authentication.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93"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90"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Customary abbreviations may be used in the name of a Holder of a Security or an assignee, such as: TEN COM (= tenants in common), TEN ENT</w:t>
      </w:r>
    </w:p>
    <w:p>
      <w:pPr>
        <w:spacing w:after="0" w:line="3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tenants by the entireties), JT TEN (= joint tenants with right of survivorship and not as tenants in common), CUST (= Custodian), and U/G/M/A (= Uniform Gifts to Minors Act).</w:t>
      </w:r>
    </w:p>
    <w:p>
      <w:pPr>
        <w:spacing w:after="0" w:line="259"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262"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280" w:right="35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700" w:type="dxa"/>
            <w:vAlign w:val="bottom"/>
            <w:gridSpan w:val="5"/>
          </w:tcPr>
          <w:p>
            <w:pPr>
              <w:jc w:val="center"/>
              <w:ind w:right="1700"/>
              <w:spacing w:after="0"/>
              <w:rPr>
                <w:sz w:val="20"/>
                <w:szCs w:val="20"/>
                <w:color w:val="auto"/>
              </w:rPr>
            </w:pPr>
            <w:r>
              <w:rPr>
                <w:rFonts w:ascii="Arial" w:cs="Arial" w:eastAsia="Arial" w:hAnsi="Arial"/>
                <w:sz w:val="18"/>
                <w:szCs w:val="18"/>
                <w:color w:val="auto"/>
                <w:w w:val="86"/>
              </w:rPr>
              <w:t>(Print or type name, address and zip code of assignee or transferee)</w:t>
            </w:r>
          </w:p>
        </w:tc>
      </w:tr>
      <w:tr>
        <w:trPr>
          <w:trHeight w:val="434"/>
        </w:trPr>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r>
        <w:trPr>
          <w:trHeight w:val="235"/>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700" w:type="dxa"/>
            <w:vAlign w:val="bottom"/>
            <w:gridSpan w:val="5"/>
          </w:tcPr>
          <w:p>
            <w:pPr>
              <w:jc w:val="center"/>
              <w:ind w:right="1720"/>
              <w:spacing w:after="0"/>
              <w:rPr>
                <w:sz w:val="20"/>
                <w:szCs w:val="20"/>
                <w:color w:val="auto"/>
              </w:rPr>
            </w:pPr>
            <w:r>
              <w:rPr>
                <w:rFonts w:ascii="Arial" w:cs="Arial" w:eastAsia="Arial" w:hAnsi="Arial"/>
                <w:sz w:val="18"/>
                <w:szCs w:val="18"/>
                <w:color w:val="auto"/>
                <w:w w:val="89"/>
              </w:rPr>
              <w:t>(Insert Social Security or other identifying number of assignee or transferee)</w:t>
            </w:r>
          </w:p>
        </w:tc>
      </w:tr>
      <w:tr>
        <w:trPr>
          <w:trHeight w:val="340"/>
        </w:trPr>
        <w:tc>
          <w:tcPr>
            <w:tcW w:w="1720" w:type="dxa"/>
            <w:vAlign w:val="bottom"/>
            <w:gridSpan w:val="2"/>
          </w:tcPr>
          <w:p>
            <w:pPr>
              <w:spacing w:after="0"/>
              <w:rPr>
                <w:sz w:val="20"/>
                <w:szCs w:val="20"/>
                <w:color w:val="auto"/>
              </w:rPr>
            </w:pPr>
            <w:r>
              <w:rPr>
                <w:rFonts w:ascii="Arial" w:cs="Arial" w:eastAsia="Arial" w:hAnsi="Arial"/>
                <w:sz w:val="18"/>
                <w:szCs w:val="18"/>
                <w:color w:val="auto"/>
                <w:w w:val="91"/>
              </w:rPr>
              <w:t>and irrevocably appoint</w:t>
            </w:r>
          </w:p>
        </w:tc>
        <w:tc>
          <w:tcPr>
            <w:tcW w:w="2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20" w:type="dxa"/>
            <w:vAlign w:val="bottom"/>
            <w:gridSpan w:val="3"/>
          </w:tcPr>
          <w:p>
            <w:pPr>
              <w:ind w:left="40"/>
              <w:spacing w:after="0"/>
              <w:rPr>
                <w:sz w:val="20"/>
                <w:szCs w:val="20"/>
                <w:color w:val="auto"/>
              </w:rPr>
            </w:pPr>
            <w:r>
              <w:rPr>
                <w:rFonts w:ascii="Arial" w:cs="Arial" w:eastAsia="Arial" w:hAnsi="Arial"/>
                <w:sz w:val="18"/>
                <w:szCs w:val="18"/>
                <w:color w:val="auto"/>
                <w:w w:val="89"/>
              </w:rPr>
              <w:t>agent to transfer this Security on the books of the Issuer. The agent may substitute another to act</w:t>
            </w:r>
          </w:p>
        </w:tc>
      </w:tr>
      <w:tr>
        <w:trPr>
          <w:trHeight w:val="235"/>
        </w:trPr>
        <w:tc>
          <w:tcPr>
            <w:tcW w:w="1720" w:type="dxa"/>
            <w:vAlign w:val="bottom"/>
            <w:gridSpan w:val="2"/>
          </w:tcPr>
          <w:p>
            <w:pPr>
              <w:spacing w:after="0"/>
              <w:rPr>
                <w:sz w:val="20"/>
                <w:szCs w:val="20"/>
                <w:color w:val="auto"/>
              </w:rPr>
            </w:pPr>
            <w:r>
              <w:rPr>
                <w:rFonts w:ascii="Arial" w:cs="Arial" w:eastAsia="Arial" w:hAnsi="Arial"/>
                <w:sz w:val="18"/>
                <w:szCs w:val="18"/>
                <w:color w:val="auto"/>
              </w:rPr>
              <w:t>for him.</w:t>
            </w:r>
          </w:p>
        </w:tc>
        <w:tc>
          <w:tcPr>
            <w:tcW w:w="2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421"/>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1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80" w:type="dxa"/>
            <w:vAlign w:val="bottom"/>
          </w:tcPr>
          <w:p>
            <w:pPr>
              <w:ind w:left="1240"/>
              <w:spacing w:after="0"/>
              <w:rPr>
                <w:sz w:val="20"/>
                <w:szCs w:val="20"/>
                <w:color w:val="auto"/>
              </w:rPr>
            </w:pPr>
            <w:r>
              <w:rPr>
                <w:rFonts w:ascii="Arial" w:cs="Arial" w:eastAsia="Arial" w:hAnsi="Arial"/>
                <w:sz w:val="18"/>
                <w:szCs w:val="18"/>
                <w:color w:val="auto"/>
              </w:rPr>
              <w:t>Signed:</w:t>
            </w:r>
          </w:p>
        </w:tc>
        <w:tc>
          <w:tcPr>
            <w:tcW w:w="4540" w:type="dxa"/>
            <w:vAlign w:val="bottom"/>
            <w:tcBorders>
              <w:bottom w:val="single" w:sz="8" w:color="auto"/>
            </w:tcBorders>
          </w:tcPr>
          <w:p>
            <w:pPr>
              <w:spacing w:after="0"/>
              <w:rPr>
                <w:sz w:val="24"/>
                <w:szCs w:val="24"/>
                <w:color w:val="auto"/>
              </w:rPr>
            </w:pPr>
          </w:p>
        </w:tc>
      </w:tr>
      <w:tr>
        <w:trPr>
          <w:trHeight w:val="215"/>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20" w:type="dxa"/>
            <w:vAlign w:val="bottom"/>
            <w:gridSpan w:val="2"/>
          </w:tcPr>
          <w:p>
            <w:pPr>
              <w:ind w:left="1880"/>
              <w:spacing w:after="0"/>
              <w:rPr>
                <w:sz w:val="20"/>
                <w:szCs w:val="20"/>
                <w:color w:val="auto"/>
              </w:rPr>
            </w:pPr>
            <w:r>
              <w:rPr>
                <w:rFonts w:ascii="Arial" w:cs="Arial" w:eastAsia="Arial" w:hAnsi="Arial"/>
                <w:sz w:val="18"/>
                <w:szCs w:val="18"/>
                <w:color w:val="auto"/>
                <w:w w:val="98"/>
              </w:rPr>
              <w:t>(Signed exactly as name appears on the other side of this</w:t>
            </w:r>
          </w:p>
        </w:tc>
      </w:tr>
      <w:tr>
        <w:trPr>
          <w:trHeight w:val="222"/>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20" w:type="dxa"/>
            <w:vAlign w:val="bottom"/>
            <w:gridSpan w:val="2"/>
          </w:tcPr>
          <w:p>
            <w:pPr>
              <w:ind w:left="1880"/>
              <w:spacing w:after="0"/>
              <w:rPr>
                <w:sz w:val="20"/>
                <w:szCs w:val="20"/>
                <w:color w:val="auto"/>
              </w:rPr>
            </w:pPr>
            <w:r>
              <w:rPr>
                <w:rFonts w:ascii="Arial" w:cs="Arial" w:eastAsia="Arial" w:hAnsi="Arial"/>
                <w:sz w:val="18"/>
                <w:szCs w:val="18"/>
                <w:color w:val="auto"/>
              </w:rPr>
              <w:t>Security)</w:t>
            </w:r>
          </w:p>
        </w:tc>
      </w:tr>
      <w:tr>
        <w:trPr>
          <w:trHeight w:val="420"/>
        </w:trPr>
        <w:tc>
          <w:tcPr>
            <w:tcW w:w="1720" w:type="dxa"/>
            <w:vAlign w:val="bottom"/>
            <w:gridSpan w:val="2"/>
          </w:tcPr>
          <w:p>
            <w:pPr>
              <w:spacing w:after="0"/>
              <w:rPr>
                <w:sz w:val="20"/>
                <w:szCs w:val="20"/>
                <w:color w:val="auto"/>
              </w:rPr>
            </w:pPr>
            <w:r>
              <w:rPr>
                <w:rFonts w:ascii="Arial" w:cs="Arial" w:eastAsia="Arial" w:hAnsi="Arial"/>
                <w:sz w:val="18"/>
                <w:szCs w:val="18"/>
                <w:color w:val="auto"/>
                <w:w w:val="98"/>
              </w:rPr>
              <w:t>Signature Guarantee:</w:t>
            </w:r>
          </w:p>
        </w:tc>
        <w:tc>
          <w:tcPr>
            <w:tcW w:w="26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7060" w:type="dxa"/>
            <w:vAlign w:val="bottom"/>
            <w:gridSpan w:val="4"/>
          </w:tcPr>
          <w:p>
            <w:pPr>
              <w:spacing w:after="0"/>
              <w:rPr>
                <w:sz w:val="20"/>
                <w:szCs w:val="20"/>
                <w:color w:val="auto"/>
              </w:rPr>
            </w:pPr>
            <w:r>
              <w:rPr>
                <w:rFonts w:ascii="Arial" w:cs="Arial" w:eastAsia="Arial" w:hAnsi="Arial"/>
                <w:sz w:val="18"/>
                <w:szCs w:val="18"/>
                <w:color w:val="auto"/>
                <w:w w:val="90"/>
              </w:rPr>
              <w:t>Participant in a recognized Signature Guarantee Medallion Program (or other signature guarantor</w:t>
            </w:r>
          </w:p>
        </w:tc>
      </w:tr>
      <w:tr>
        <w:trPr>
          <w:trHeight w:val="222"/>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18"/>
                <w:szCs w:val="18"/>
                <w:color w:val="auto"/>
              </w:rPr>
              <w:t>program reasonably acceptable to the Trustee)</w:t>
            </w:r>
          </w:p>
        </w:tc>
      </w:tr>
      <w:tr>
        <w:trPr>
          <w:trHeight w:val="365"/>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60" w:type="dxa"/>
            <w:vAlign w:val="bottom"/>
            <w:gridSpan w:val="4"/>
          </w:tcPr>
          <w:p>
            <w:pPr>
              <w:jc w:val="center"/>
              <w:ind w:left="2732"/>
              <w:spacing w:after="0"/>
              <w:rPr>
                <w:sz w:val="20"/>
                <w:szCs w:val="20"/>
                <w:color w:val="auto"/>
              </w:rPr>
            </w:pPr>
            <w:r>
              <w:rPr>
                <w:rFonts w:ascii="Arial" w:cs="Arial" w:eastAsia="Arial" w:hAnsi="Arial"/>
                <w:sz w:val="18"/>
                <w:szCs w:val="18"/>
                <w:color w:val="auto"/>
                <w:w w:val="89"/>
              </w:rPr>
              <w:t>10</w:t>
            </w:r>
          </w:p>
        </w:tc>
        <w:tc>
          <w:tcPr>
            <w:tcW w:w="45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42" w:name="page43"/>
    <w:bookmarkEnd w:id="42"/>
    <w:p>
      <w:pPr>
        <w:ind w:left="10600"/>
        <w:spacing w:after="0"/>
        <w:rPr>
          <w:sz w:val="20"/>
          <w:szCs w:val="20"/>
          <w:color w:val="auto"/>
        </w:rPr>
      </w:pPr>
      <w:r>
        <w:rPr>
          <w:rFonts w:ascii="Arial" w:cs="Arial" w:eastAsia="Arial" w:hAnsi="Arial"/>
          <w:sz w:val="16"/>
          <w:szCs w:val="16"/>
          <w:b w:val="1"/>
          <w:bCs w:val="1"/>
          <w:u w:val="single" w:color="auto"/>
          <w:color w:val="auto"/>
        </w:rPr>
        <w:t>Exhibit 5.1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COMCAST CORPORATION]</w:t>
      </w:r>
    </w:p>
    <w:p>
      <w:pPr>
        <w:spacing w:after="0" w:line="171"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January 9,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 am Senior Vice President, General Counsel and Secretary of 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have acted for the Company in connection with the issuance by the Company, pursuant to the Underwriting Agreement dated January 8, 2013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the Cable Guarantors (as defined below) and Barclays Capital Inc., Goldman, Sachs &amp; Co. and RBS Securities Inc., as representatives of the several underwriters named therein (the “</w:t>
      </w:r>
      <w:r>
        <w:rPr>
          <w:rFonts w:ascii="Arial" w:cs="Arial" w:eastAsia="Arial" w:hAnsi="Arial"/>
          <w:sz w:val="16"/>
          <w:szCs w:val="16"/>
          <w:b w:val="1"/>
          <w:bCs w:val="1"/>
          <w:color w:val="auto"/>
        </w:rPr>
        <w:t>Underwriters</w:t>
      </w:r>
      <w:r>
        <w:rPr>
          <w:rFonts w:ascii="Arial" w:cs="Arial" w:eastAsia="Arial" w:hAnsi="Arial"/>
          <w:sz w:val="16"/>
          <w:szCs w:val="16"/>
          <w:color w:val="auto"/>
        </w:rPr>
        <w:t>”), of $750,000,000 aggregate principal amount of its 2.850% Notes Due 2023, $1,700,000,000 aggregate principal amount of its 4.250% Notes Due 2033 and $500,000,000 aggregate principal amount of its 4.500% Notes Due 2043 (collectively, the “</w:t>
      </w:r>
      <w:r>
        <w:rPr>
          <w:rFonts w:ascii="Arial" w:cs="Arial" w:eastAsia="Arial" w:hAnsi="Arial"/>
          <w:sz w:val="16"/>
          <w:szCs w:val="16"/>
          <w:b w:val="1"/>
          <w:bCs w:val="1"/>
          <w:color w:val="auto"/>
        </w:rPr>
        <w:t>Notes</w:t>
      </w:r>
      <w:r>
        <w:rPr>
          <w:rFonts w:ascii="Arial" w:cs="Arial" w:eastAsia="Arial" w:hAnsi="Arial"/>
          <w:sz w:val="16"/>
          <w:szCs w:val="16"/>
          <w:color w:val="auto"/>
        </w:rPr>
        <w:t>”). The Notes are to be issued pursuant to the provisions of the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Company, the cable guarantors named therein and The Bank of New York Mellon (formerly known as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March 25, 2003 by and among the Company, the cable guarantors named therein and the Trustee, and as further supplemented by the Second Supplemental Indenture dated as of August 31, 2009 by and among the Company, the cable guarantors named therein (the “</w:t>
      </w:r>
      <w:r>
        <w:rPr>
          <w:rFonts w:ascii="Arial" w:cs="Arial" w:eastAsia="Arial" w:hAnsi="Arial"/>
          <w:sz w:val="16"/>
          <w:szCs w:val="16"/>
          <w:b w:val="1"/>
          <w:bCs w:val="1"/>
          <w:color w:val="auto"/>
        </w:rPr>
        <w:t>Cable Guarantors</w:t>
      </w:r>
      <w:r>
        <w:rPr>
          <w:rFonts w:ascii="Arial" w:cs="Arial" w:eastAsia="Arial" w:hAnsi="Arial"/>
          <w:sz w:val="16"/>
          <w:szCs w:val="16"/>
          <w:color w:val="auto"/>
        </w:rPr>
        <w:t>”) and the Trustee, and guaranteed on an unsecured and unsubordinated basis by the Cable Guarantors.</w:t>
      </w:r>
    </w:p>
    <w:p>
      <w:pPr>
        <w:sectPr>
          <w:pgSz w:w="11900" w:h="16838" w:orient="portrait"/>
          <w:cols w:equalWidth="0" w:num="1">
            <w:col w:w="11420"/>
          </w:cols>
          <w:pgMar w:left="240" w:top="125" w:right="239" w:bottom="1440" w:gutter="0" w:footer="0" w:header="0"/>
        </w:sectPr>
      </w:pPr>
    </w:p>
    <w:bookmarkStart w:id="43" w:name="page44"/>
    <w:bookmarkEnd w:id="43"/>
    <w:p>
      <w:pPr>
        <w:spacing w:after="0"/>
        <w:tabs>
          <w:tab w:leader="none" w:pos="5900" w:val="left"/>
          <w:tab w:leader="none" w:pos="10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January 9, 2013</w:t>
      </w:r>
    </w:p>
    <w:p>
      <w:pPr>
        <w:spacing w:after="0" w:line="15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I am of the opinion that:</w:t>
      </w:r>
    </w:p>
    <w:p>
      <w:pPr>
        <w:spacing w:after="0" w:line="171" w:lineRule="exact"/>
        <w:rPr>
          <w:sz w:val="20"/>
          <w:szCs w:val="20"/>
          <w:color w:val="auto"/>
        </w:rPr>
      </w:pPr>
    </w:p>
    <w:p>
      <w:pPr>
        <w:ind w:left="640" w:hanging="17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Notes have been duly authorized by the Company.</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 and the federal laws of the United States of America.</w:t>
      </w:r>
    </w:p>
    <w:p>
      <w:pPr>
        <w:spacing w:after="0" w:line="13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 hereby consent to the filing of this opinion as an exhibit to a report on Form 8-K filed by the Company on the date hereof and its incorporation by reference into the Company’s registration statement on Form S-3 (File No. 333-179678). In addition, I consent to the reference to my name under the caption “Legal Matters” in the prospectus, which is a part of the registration statement. In giving this consent, I do not admit that I am in the category of persons whose consent is required under Section 7 of the Securities Act of 1933, as amended.</w:t>
      </w:r>
    </w:p>
    <w:p>
      <w:pPr>
        <w:spacing w:after="0" w:line="15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Arthur R. Block</w:t>
      </w:r>
    </w:p>
    <w:p>
      <w:pPr>
        <w:sectPr>
          <w:pgSz w:w="11900" w:h="16838" w:orient="portrait"/>
          <w:cols w:equalWidth="0" w:num="1">
            <w:col w:w="11420"/>
          </w:cols>
          <w:pgMar w:left="240" w:top="2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u w:val="single" w:color="auto"/>
          <w:color w:val="auto"/>
        </w:rPr>
        <w:t>Exhibit 5.2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DAVIS POLK &amp; WARDWELL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January 9,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have acted as counsel to 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issuance by the Company, pursuant to the Underwriting Agreement dated January 8, 2013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the Cable Guarantors (as defined below) and Barclays Capital Inc., Goldman, Sachs &amp; Co. and RBS Securities Inc., as representatives of the several underwriters named therein (the “</w:t>
      </w:r>
      <w:r>
        <w:rPr>
          <w:rFonts w:ascii="Arial" w:cs="Arial" w:eastAsia="Arial" w:hAnsi="Arial"/>
          <w:sz w:val="16"/>
          <w:szCs w:val="16"/>
          <w:b w:val="1"/>
          <w:bCs w:val="1"/>
          <w:color w:val="auto"/>
        </w:rPr>
        <w:t>Underwriters</w:t>
      </w:r>
      <w:r>
        <w:rPr>
          <w:rFonts w:ascii="Arial" w:cs="Arial" w:eastAsia="Arial" w:hAnsi="Arial"/>
          <w:sz w:val="16"/>
          <w:szCs w:val="16"/>
          <w:color w:val="auto"/>
        </w:rPr>
        <w:t>”), of $750,000,000 aggregate principal amount of its 2.850% Notes Due 2023, $1,700,000,000 aggregate principal amount of its 4.250% Notes Due 2033 and $500,000,000 aggregate principal amount of its 4.500% Notes Due 2043 (collectively, the “</w:t>
      </w:r>
      <w:r>
        <w:rPr>
          <w:rFonts w:ascii="Arial" w:cs="Arial" w:eastAsia="Arial" w:hAnsi="Arial"/>
          <w:sz w:val="16"/>
          <w:szCs w:val="16"/>
          <w:b w:val="1"/>
          <w:bCs w:val="1"/>
          <w:color w:val="auto"/>
        </w:rPr>
        <w:t>Notes</w:t>
      </w:r>
      <w:r>
        <w:rPr>
          <w:rFonts w:ascii="Arial" w:cs="Arial" w:eastAsia="Arial" w:hAnsi="Arial"/>
          <w:sz w:val="16"/>
          <w:szCs w:val="16"/>
          <w:color w:val="auto"/>
        </w:rPr>
        <w:t>”). The Notes are to be issued pursuant to the provisions of the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Company, the cable guarantors named therein and The Bank of New York Mellon (formerly known as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March 25, 2003 by and among the Company, the cable guarantors named therein and the Trustee, and as further supplemented by the Second Supplemental Indenture dated as of August 31, 2009 by and among the Company, the cable guarantors named therein (the “</w:t>
      </w:r>
      <w:r>
        <w:rPr>
          <w:rFonts w:ascii="Arial" w:cs="Arial" w:eastAsia="Arial" w:hAnsi="Arial"/>
          <w:sz w:val="16"/>
          <w:szCs w:val="16"/>
          <w:b w:val="1"/>
          <w:bCs w:val="1"/>
          <w:color w:val="auto"/>
        </w:rPr>
        <w:t>Cable Guarantors</w:t>
      </w:r>
      <w:r>
        <w:rPr>
          <w:rFonts w:ascii="Arial" w:cs="Arial" w:eastAsia="Arial" w:hAnsi="Arial"/>
          <w:sz w:val="16"/>
          <w:szCs w:val="16"/>
          <w:color w:val="auto"/>
        </w:rPr>
        <w:t>”) and the Trustee, and guaranteed (the “</w:t>
      </w:r>
      <w:r>
        <w:rPr>
          <w:rFonts w:ascii="Arial" w:cs="Arial" w:eastAsia="Arial" w:hAnsi="Arial"/>
          <w:sz w:val="16"/>
          <w:szCs w:val="16"/>
          <w:b w:val="1"/>
          <w:bCs w:val="1"/>
          <w:color w:val="auto"/>
        </w:rPr>
        <w:t>Cable Guarantees</w:t>
      </w:r>
      <w:r>
        <w:rPr>
          <w:rFonts w:ascii="Arial" w:cs="Arial" w:eastAsia="Arial" w:hAnsi="Arial"/>
          <w:sz w:val="16"/>
          <w:szCs w:val="16"/>
          <w:color w:val="auto"/>
        </w:rPr>
        <w:t>”) on an unsecured and unsubordinated basis by the Cable Guarantors.</w:t>
      </w:r>
    </w:p>
    <w:p>
      <w:pPr>
        <w:spacing w:after="0" w:line="12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We, as your counsel, have examined originals or copies, certified or otherwise identified to our satisfaction, of such documents, corporate records, certificates of public officials and other instruments as we have deemed necessary or advisable for the purpose of rendering this opinion.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we are of the opinion that:</w:t>
      </w:r>
    </w:p>
    <w:p>
      <w:pPr>
        <w:spacing w:after="0" w:line="171" w:lineRule="exact"/>
        <w:rPr>
          <w:sz w:val="20"/>
          <w:szCs w:val="20"/>
          <w:color w:val="auto"/>
        </w:rPr>
      </w:pPr>
    </w:p>
    <w:p>
      <w:pPr>
        <w:ind w:right="120" w:firstLine="8"/>
        <w:spacing w:after="0" w:line="298" w:lineRule="auto"/>
        <w:tabs>
          <w:tab w:leader="none" w:pos="249" w:val="left"/>
        </w:tabs>
        <w:numPr>
          <w:ilvl w:val="0"/>
          <w:numId w:val="60"/>
        </w:numPr>
        <w:rPr>
          <w:rFonts w:ascii="Arial" w:cs="Arial" w:eastAsia="Arial" w:hAnsi="Arial"/>
          <w:sz w:val="16"/>
          <w:szCs w:val="16"/>
          <w:color w:val="auto"/>
        </w:rPr>
      </w:pPr>
      <w:r>
        <w:rPr>
          <w:rFonts w:ascii="Arial" w:cs="Arial" w:eastAsia="Arial" w:hAnsi="Arial"/>
          <w:sz w:val="16"/>
          <w:szCs w:val="16"/>
          <w:color w:val="auto"/>
        </w:rPr>
        <w:t>Assuming the Indenture has been duly authorized, executed and delivered by the Trustee and the Company, the Indenture is a valid and binding agreement of the Company and the Cable Guarantors, enforceable against the Company and the Cable Guarantors in accordance with its terms, subject to applicable bankruptcy, insolvency and similar laws affecting creditors’ rights generally, concepts of reasonableness and equitable principles of general applicability, provided that we express no opinion as to (i) the effect of fraudulent conveyance, fraudulent transfer or similar provision of applicable law on the</w:t>
      </w:r>
    </w:p>
    <w:p>
      <w:pPr>
        <w:sectPr>
          <w:pgSz w:w="11900" w:h="16838" w:orient="portrait"/>
          <w:cols w:equalWidth="0" w:num="1">
            <w:col w:w="11420"/>
          </w:cols>
          <w:pgMar w:left="240" w:top="125" w:right="239" w:bottom="1440" w:gutter="0" w:footer="0" w:header="0"/>
        </w:sectPr>
      </w:pPr>
    </w:p>
    <w:bookmarkStart w:id="45" w:name="page46"/>
    <w:bookmarkEnd w:id="45"/>
    <w:p>
      <w:pPr>
        <w:spacing w:after="0"/>
        <w:tabs>
          <w:tab w:leader="none" w:pos="5900" w:val="left"/>
          <w:tab w:leader="none" w:pos="10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January 9, 2012</w:t>
      </w:r>
    </w:p>
    <w:p>
      <w:pPr>
        <w:spacing w:after="0" w:line="15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conclusions expressed above, (ii) any provision of the Indenture that purports to avoid the effect of fraudulent conveyance, fraudulent transfer or similar provision of applicable law by limiting the amount of any Guarantor’s obligation or (iii) the validity, legally binding effect or enforceability of any provision that permits holders to collect any portion of stated principal amount upon acceleration of the Notes to the extent determined to constitute unearned interest.</w:t>
      </w:r>
    </w:p>
    <w:p>
      <w:pPr>
        <w:spacing w:after="0" w:line="107" w:lineRule="exact"/>
        <w:rPr>
          <w:sz w:val="20"/>
          <w:szCs w:val="20"/>
          <w:color w:val="auto"/>
        </w:rPr>
      </w:pPr>
    </w:p>
    <w:p>
      <w:pPr>
        <w:ind w:firstLine="8"/>
        <w:spacing w:after="0" w:line="289" w:lineRule="auto"/>
        <w:tabs>
          <w:tab w:leader="none" w:pos="249"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Cable Guarantees have been duly authorized, and, assuming the Notes have been duly authorized by the Company, when the Notes have been duly executed and authenticated in accordance with the provisions of the Indenture and delivered to and paid for by the Underwriters in accordance with the terms of the Underwriting Agreement, the Notes will be valid and binding obligations of the Company and the Cable Guarantees will be valid and binding obligations of the Cable Guarantors, in each case enforceable against the Cable Guarantors in accordance with their terms, subject to applicable bankruptcy, insolvency and similar laws affecting creditors’ rights generally, concepts of reasonableness and equitable principles of general applicability, and will be entitled to the benefits of the Indenture, provided that we express no opinion as to (i) the effect of fraudulent conveyance, fraudulent transfer or similar provision of applicable law on the conclusions expressed above or (ii) the validity, legally binding effect or enforceability of any provision that permits holders to collect any portion of stated principal amount upon acceleration of the Notes to the extent determined to constitute unearned interest.</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are members of the Bar of the States of New York and California and the foregoing opinion is limited to the laws of the State of New York, the federal laws of the United States of America and the General Corporation Law of the State of Delaware.</w:t>
      </w:r>
    </w:p>
    <w:p>
      <w:pPr>
        <w:spacing w:after="0" w:line="13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We hereby consent to the filing of this opinion as an exhibit to a report on Form 8-K filed by the Company on the date hereof and its incorporation by reference into the Company’s registration statement on Form S-3 (File No. 333-179678). In addition, we consent to the reference to our name under the caption “Legal Matters” in the prospectus, which is a part of the registration statement. In giving this consent, we do not admit that we are in the category of persons whose consent is required under Section 7 of the Securities Act of 1933, as amended.</w:t>
      </w:r>
    </w:p>
    <w:p>
      <w:pPr>
        <w:spacing w:after="0" w:line="15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Davis Polk &amp; Wardwell LLP</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1."/>
      <w:numFmt w:val="decimal"/>
      <w:start w:val="1"/>
    </w:lvl>
  </w:abstractNum>
  <w:abstractNum w:abstractNumId="2">
    <w:nsid w:val="6CEAF087"/>
    <w:multiLevelType w:val="hybridMultilevel"/>
    <w:lvl w:ilvl="0">
      <w:lvlJc w:val="left"/>
      <w:lvlText w:val="%1."/>
      <w:numFmt w:val="decimal"/>
      <w:start w:val="2"/>
    </w:lvl>
  </w:abstractNum>
  <w:abstractNum w:abstractNumId="3">
    <w:nsid w:val="22221A70"/>
    <w:multiLevelType w:val="hybridMultilevel"/>
    <w:lvl w:ilvl="0">
      <w:lvlJc w:val="left"/>
      <w:lvlText w:val="%1."/>
      <w:numFmt w:val="decimal"/>
      <w:start w:val="3"/>
    </w:lvl>
  </w:abstractNum>
  <w:abstractNum w:abstractNumId="4">
    <w:nsid w:val="4516DDE9"/>
    <w:multiLevelType w:val="hybridMultilevel"/>
    <w:lvl w:ilvl="0">
      <w:lvlJc w:val="left"/>
      <w:lvlText w:val="%1."/>
      <w:numFmt w:val="decimal"/>
      <w:start w:val="4"/>
    </w:lvl>
  </w:abstractNum>
  <w:abstractNum w:abstractNumId="5">
    <w:nsid w:val="3006C83E"/>
    <w:multiLevelType w:val="hybridMultilevel"/>
    <w:lvl w:ilvl="0">
      <w:lvlJc w:val="left"/>
      <w:lvlText w:val="%1."/>
      <w:numFmt w:val="decimal"/>
      <w:start w:val="5"/>
    </w:lvl>
  </w:abstractNum>
  <w:abstractNum w:abstractNumId="6">
    <w:nsid w:val="614FD4A1"/>
    <w:multiLevelType w:val="hybridMultilevel"/>
    <w:lvl w:ilvl="0">
      <w:lvlJc w:val="left"/>
      <w:lvlText w:val="%1."/>
      <w:numFmt w:val="decimal"/>
      <w:start w:val="6"/>
    </w:lvl>
  </w:abstractNum>
  <w:abstractNum w:abstractNumId="7">
    <w:nsid w:val="419AC241"/>
    <w:multiLevelType w:val="hybridMultilevel"/>
    <w:lvl w:ilvl="0">
      <w:lvlJc w:val="left"/>
      <w:lvlText w:val="%1."/>
      <w:numFmt w:val="decimal"/>
      <w:start w:val="7"/>
    </w:lvl>
  </w:abstractNum>
  <w:abstractNum w:abstractNumId="8">
    <w:nsid w:val="5577F8E1"/>
    <w:multiLevelType w:val="hybridMultilevel"/>
    <w:lvl w:ilvl="0">
      <w:lvlJc w:val="left"/>
      <w:lvlText w:val="%1."/>
      <w:numFmt w:val="decimal"/>
      <w:start w:val="8"/>
    </w:lvl>
  </w:abstractNum>
  <w:abstractNum w:abstractNumId="9">
    <w:nsid w:val="440BADFC"/>
    <w:multiLevelType w:val="hybridMultilevel"/>
    <w:lvl w:ilvl="0">
      <w:lvlJc w:val="left"/>
      <w:lvlText w:val="%1."/>
      <w:numFmt w:val="decimal"/>
      <w:start w:val="9"/>
    </w:lvl>
  </w:abstractNum>
  <w:abstractNum w:abstractNumId="10">
    <w:nsid w:val="5072367"/>
    <w:multiLevelType w:val="hybridMultilevel"/>
    <w:lvl w:ilvl="0">
      <w:lvlJc w:val="left"/>
      <w:lvlText w:val="%1."/>
      <w:numFmt w:val="decimal"/>
      <w:start w:val="10"/>
    </w:lvl>
  </w:abstractNum>
  <w:abstractNum w:abstractNumId="11">
    <w:nsid w:val="3804823E"/>
    <w:multiLevelType w:val="hybridMultilevel"/>
    <w:lvl w:ilvl="0">
      <w:lvlJc w:val="left"/>
      <w:lvlText w:val="%1."/>
      <w:numFmt w:val="decimal"/>
      <w:start w:val="11"/>
    </w:lvl>
  </w:abstractNum>
  <w:abstractNum w:abstractNumId="12">
    <w:nsid w:val="77465F01"/>
    <w:multiLevelType w:val="hybridMultilevel"/>
    <w:lvl w:ilvl="0">
      <w:lvlJc w:val="left"/>
      <w:lvlText w:val="%1."/>
      <w:numFmt w:val="decimal"/>
      <w:start w:val="12"/>
    </w:lvl>
  </w:abstractNum>
  <w:abstractNum w:abstractNumId="13">
    <w:nsid w:val="7724C67E"/>
    <w:multiLevelType w:val="hybridMultilevel"/>
    <w:lvl w:ilvl="0">
      <w:lvlJc w:val="left"/>
      <w:lvlText w:val="%1."/>
      <w:numFmt w:val="decimal"/>
      <w:start w:val="13"/>
    </w:lvl>
  </w:abstractNum>
  <w:abstractNum w:abstractNumId="14">
    <w:nsid w:val="5C482A97"/>
    <w:multiLevelType w:val="hybridMultilevel"/>
    <w:lvl w:ilvl="0">
      <w:lvlJc w:val="left"/>
      <w:lvlText w:val="%1."/>
      <w:numFmt w:val="decimal"/>
      <w:start w:val="14"/>
    </w:lvl>
  </w:abstractNum>
  <w:abstractNum w:abstractNumId="15">
    <w:nsid w:val="2463B9EA"/>
    <w:multiLevelType w:val="hybridMultilevel"/>
    <w:lvl w:ilvl="0">
      <w:lvlJc w:val="left"/>
      <w:lvlText w:val="%1."/>
      <w:numFmt w:val="decimal"/>
      <w:start w:val="15"/>
    </w:lvl>
  </w:abstractNum>
  <w:abstractNum w:abstractNumId="16">
    <w:nsid w:val="5E884ADC"/>
    <w:multiLevelType w:val="hybridMultilevel"/>
    <w:lvl w:ilvl="0">
      <w:lvlJc w:val="left"/>
      <w:lvlText w:val="%1."/>
      <w:numFmt w:val="decimal"/>
      <w:start w:val="16"/>
    </w:lvl>
  </w:abstractNum>
  <w:abstractNum w:abstractNumId="17">
    <w:nsid w:val="51EAD36B"/>
    <w:multiLevelType w:val="hybridMultilevel"/>
    <w:lvl w:ilvl="0">
      <w:lvlJc w:val="left"/>
      <w:lvlText w:val="%1."/>
      <w:numFmt w:val="decimal"/>
      <w:start w:val="17"/>
    </w:lvl>
  </w:abstractNum>
  <w:abstractNum w:abstractNumId="18">
    <w:nsid w:val="2D517796"/>
    <w:multiLevelType w:val="hybridMultilevel"/>
    <w:lvl w:ilvl="0">
      <w:lvlJc w:val="left"/>
      <w:lvlText w:val="%1."/>
      <w:numFmt w:val="decimal"/>
      <w:start w:val="18"/>
    </w:lvl>
  </w:abstractNum>
  <w:abstractNum w:abstractNumId="19">
    <w:nsid w:val="580BD78F"/>
    <w:multiLevelType w:val="hybridMultilevel"/>
    <w:lvl w:ilvl="0">
      <w:lvlJc w:val="left"/>
      <w:lvlText w:val="%1."/>
      <w:numFmt w:val="decimal"/>
      <w:start w:val="19"/>
    </w:lvl>
  </w:abstractNum>
  <w:abstractNum w:abstractNumId="20">
    <w:nsid w:val="153EA438"/>
    <w:multiLevelType w:val="hybridMultilevel"/>
    <w:lvl w:ilvl="0">
      <w:lvlJc w:val="left"/>
      <w:lvlText w:val="%1."/>
      <w:numFmt w:val="decimal"/>
      <w:start w:val="1"/>
    </w:lvl>
  </w:abstractNum>
  <w:abstractNum w:abstractNumId="21">
    <w:nsid w:val="3855585C"/>
    <w:multiLevelType w:val="hybridMultilevel"/>
    <w:lvl w:ilvl="0">
      <w:lvlJc w:val="left"/>
      <w:lvlText w:val="%1."/>
      <w:numFmt w:val="decimal"/>
      <w:start w:val="2"/>
    </w:lvl>
  </w:abstractNum>
  <w:abstractNum w:abstractNumId="22">
    <w:nsid w:val="70A64E2A"/>
    <w:multiLevelType w:val="hybridMultilevel"/>
    <w:lvl w:ilvl="0">
      <w:lvlJc w:val="left"/>
      <w:lvlText w:val="%1."/>
      <w:numFmt w:val="decimal"/>
      <w:start w:val="3"/>
    </w:lvl>
  </w:abstractNum>
  <w:abstractNum w:abstractNumId="23">
    <w:nsid w:val="6A2342EC"/>
    <w:multiLevelType w:val="hybridMultilevel"/>
    <w:lvl w:ilvl="0">
      <w:lvlJc w:val="left"/>
      <w:lvlText w:val="%1."/>
      <w:numFmt w:val="decimal"/>
      <w:start w:val="4"/>
    </w:lvl>
  </w:abstractNum>
  <w:abstractNum w:abstractNumId="24">
    <w:nsid w:val="2A487CB0"/>
    <w:multiLevelType w:val="hybridMultilevel"/>
    <w:lvl w:ilvl="0">
      <w:lvlJc w:val="left"/>
      <w:lvlText w:val="%1."/>
      <w:numFmt w:val="decimal"/>
      <w:start w:val="5"/>
    </w:lvl>
  </w:abstractNum>
  <w:abstractNum w:abstractNumId="25">
    <w:nsid w:val="1D4ED43B"/>
    <w:multiLevelType w:val="hybridMultilevel"/>
    <w:lvl w:ilvl="0">
      <w:lvlJc w:val="left"/>
      <w:lvlText w:val="%1."/>
      <w:numFmt w:val="decimal"/>
      <w:start w:val="6"/>
    </w:lvl>
  </w:abstractNum>
  <w:abstractNum w:abstractNumId="26">
    <w:nsid w:val="725A06FB"/>
    <w:multiLevelType w:val="hybridMultilevel"/>
    <w:lvl w:ilvl="0">
      <w:lvlJc w:val="left"/>
      <w:lvlText w:val="%1."/>
      <w:numFmt w:val="decimal"/>
      <w:start w:val="7"/>
    </w:lvl>
  </w:abstractNum>
  <w:abstractNum w:abstractNumId="27">
    <w:nsid w:val="2CD89A32"/>
    <w:multiLevelType w:val="hybridMultilevel"/>
    <w:lvl w:ilvl="0">
      <w:lvlJc w:val="left"/>
      <w:lvlText w:val="%1."/>
      <w:numFmt w:val="decimal"/>
      <w:start w:val="8"/>
    </w:lvl>
  </w:abstractNum>
  <w:abstractNum w:abstractNumId="28">
    <w:nsid w:val="57E4CCAF"/>
    <w:multiLevelType w:val="hybridMultilevel"/>
    <w:lvl w:ilvl="0">
      <w:lvlJc w:val="left"/>
      <w:lvlText w:val="%1."/>
      <w:numFmt w:val="decimal"/>
      <w:start w:val="9"/>
    </w:lvl>
  </w:abstractNum>
  <w:abstractNum w:abstractNumId="29">
    <w:nsid w:val="7A6D8D3C"/>
    <w:multiLevelType w:val="hybridMultilevel"/>
    <w:lvl w:ilvl="0">
      <w:lvlJc w:val="left"/>
      <w:lvlText w:val="%1."/>
      <w:numFmt w:val="decimal"/>
      <w:start w:val="10"/>
    </w:lvl>
  </w:abstractNum>
  <w:abstractNum w:abstractNumId="30">
    <w:nsid w:val="4B588F54"/>
    <w:multiLevelType w:val="hybridMultilevel"/>
    <w:lvl w:ilvl="0">
      <w:lvlJc w:val="left"/>
      <w:lvlText w:val="%1."/>
      <w:numFmt w:val="decimal"/>
      <w:start w:val="11"/>
    </w:lvl>
  </w:abstractNum>
  <w:abstractNum w:abstractNumId="31">
    <w:nsid w:val="542289EC"/>
    <w:multiLevelType w:val="hybridMultilevel"/>
    <w:lvl w:ilvl="0">
      <w:lvlJc w:val="left"/>
      <w:lvlText w:val="%1."/>
      <w:numFmt w:val="decimal"/>
      <w:start w:val="12"/>
    </w:lvl>
  </w:abstractNum>
  <w:abstractNum w:abstractNumId="32">
    <w:nsid w:val="6DE91B18"/>
    <w:multiLevelType w:val="hybridMultilevel"/>
    <w:lvl w:ilvl="0">
      <w:lvlJc w:val="left"/>
      <w:lvlText w:val="%1."/>
      <w:numFmt w:val="decimal"/>
      <w:start w:val="13"/>
    </w:lvl>
  </w:abstractNum>
  <w:abstractNum w:abstractNumId="33">
    <w:nsid w:val="38437FDB"/>
    <w:multiLevelType w:val="hybridMultilevel"/>
    <w:lvl w:ilvl="0">
      <w:lvlJc w:val="left"/>
      <w:lvlText w:val="%1."/>
      <w:numFmt w:val="decimal"/>
      <w:start w:val="14"/>
    </w:lvl>
  </w:abstractNum>
  <w:abstractNum w:abstractNumId="34">
    <w:nsid w:val="7644A45C"/>
    <w:multiLevelType w:val="hybridMultilevel"/>
    <w:lvl w:ilvl="0">
      <w:lvlJc w:val="left"/>
      <w:lvlText w:val="%1."/>
      <w:numFmt w:val="decimal"/>
      <w:start w:val="15"/>
    </w:lvl>
  </w:abstractNum>
  <w:abstractNum w:abstractNumId="35">
    <w:nsid w:val="32FFF902"/>
    <w:multiLevelType w:val="hybridMultilevel"/>
    <w:lvl w:ilvl="0">
      <w:lvlJc w:val="left"/>
      <w:lvlText w:val="%1."/>
      <w:numFmt w:val="decimal"/>
      <w:start w:val="16"/>
    </w:lvl>
  </w:abstractNum>
  <w:abstractNum w:abstractNumId="36">
    <w:nsid w:val="684A481A"/>
    <w:multiLevelType w:val="hybridMultilevel"/>
    <w:lvl w:ilvl="0">
      <w:lvlJc w:val="left"/>
      <w:lvlText w:val="%1."/>
      <w:numFmt w:val="decimal"/>
      <w:start w:val="17"/>
    </w:lvl>
  </w:abstractNum>
  <w:abstractNum w:abstractNumId="37">
    <w:nsid w:val="579478FE"/>
    <w:multiLevelType w:val="hybridMultilevel"/>
    <w:lvl w:ilvl="0">
      <w:lvlJc w:val="left"/>
      <w:lvlText w:val="%1."/>
      <w:numFmt w:val="decimal"/>
      <w:start w:val="18"/>
    </w:lvl>
  </w:abstractNum>
  <w:abstractNum w:abstractNumId="38">
    <w:nsid w:val="749ABB43"/>
    <w:multiLevelType w:val="hybridMultilevel"/>
    <w:lvl w:ilvl="0">
      <w:lvlJc w:val="left"/>
      <w:lvlText w:val="%1."/>
      <w:numFmt w:val="decimal"/>
      <w:start w:val="19"/>
    </w:lvl>
  </w:abstractNum>
  <w:abstractNum w:abstractNumId="39">
    <w:nsid w:val="3DC240FB"/>
    <w:multiLevelType w:val="hybridMultilevel"/>
    <w:lvl w:ilvl="0">
      <w:lvlJc w:val="left"/>
      <w:lvlText w:val="%1."/>
      <w:numFmt w:val="decimal"/>
      <w:start w:val="1"/>
    </w:lvl>
  </w:abstractNum>
  <w:abstractNum w:abstractNumId="40">
    <w:nsid w:val="1BA026FA"/>
    <w:multiLevelType w:val="hybridMultilevel"/>
    <w:lvl w:ilvl="0">
      <w:lvlJc w:val="left"/>
      <w:lvlText w:val="%1."/>
      <w:numFmt w:val="decimal"/>
      <w:start w:val="2"/>
    </w:lvl>
  </w:abstractNum>
  <w:abstractNum w:abstractNumId="41">
    <w:nsid w:val="79A1DEAA"/>
    <w:multiLevelType w:val="hybridMultilevel"/>
    <w:lvl w:ilvl="0">
      <w:lvlJc w:val="left"/>
      <w:lvlText w:val="%1."/>
      <w:numFmt w:val="decimal"/>
      <w:start w:val="3"/>
    </w:lvl>
  </w:abstractNum>
  <w:abstractNum w:abstractNumId="42">
    <w:nsid w:val="75C6C33A"/>
    <w:multiLevelType w:val="hybridMultilevel"/>
    <w:lvl w:ilvl="0">
      <w:lvlJc w:val="left"/>
      <w:lvlText w:val="%1."/>
      <w:numFmt w:val="decimal"/>
      <w:start w:val="4"/>
    </w:lvl>
  </w:abstractNum>
  <w:abstractNum w:abstractNumId="43">
    <w:nsid w:val="12E685FB"/>
    <w:multiLevelType w:val="hybridMultilevel"/>
    <w:lvl w:ilvl="0">
      <w:lvlJc w:val="left"/>
      <w:lvlText w:val="%1."/>
      <w:numFmt w:val="decimal"/>
      <w:start w:val="5"/>
    </w:lvl>
  </w:abstractNum>
  <w:abstractNum w:abstractNumId="44">
    <w:nsid w:val="70C6A529"/>
    <w:multiLevelType w:val="hybridMultilevel"/>
    <w:lvl w:ilvl="0">
      <w:lvlJc w:val="left"/>
      <w:lvlText w:val="%1."/>
      <w:numFmt w:val="decimal"/>
      <w:start w:val="6"/>
    </w:lvl>
  </w:abstractNum>
  <w:abstractNum w:abstractNumId="45">
    <w:nsid w:val="520EEDD1"/>
    <w:multiLevelType w:val="hybridMultilevel"/>
    <w:lvl w:ilvl="0">
      <w:lvlJc w:val="left"/>
      <w:lvlText w:val="%1."/>
      <w:numFmt w:val="decimal"/>
      <w:start w:val="7"/>
    </w:lvl>
  </w:abstractNum>
  <w:abstractNum w:abstractNumId="46">
    <w:nsid w:val="374A3FE6"/>
    <w:multiLevelType w:val="hybridMultilevel"/>
    <w:lvl w:ilvl="0">
      <w:lvlJc w:val="left"/>
      <w:lvlText w:val="%1."/>
      <w:numFmt w:val="decimal"/>
      <w:start w:val="8"/>
    </w:lvl>
  </w:abstractNum>
  <w:abstractNum w:abstractNumId="47">
    <w:nsid w:val="4F4EF005"/>
    <w:multiLevelType w:val="hybridMultilevel"/>
    <w:lvl w:ilvl="0">
      <w:lvlJc w:val="left"/>
      <w:lvlText w:val="%1."/>
      <w:numFmt w:val="decimal"/>
      <w:start w:val="9"/>
    </w:lvl>
  </w:abstractNum>
  <w:abstractNum w:abstractNumId="48">
    <w:nsid w:val="23F9C13C"/>
    <w:multiLevelType w:val="hybridMultilevel"/>
    <w:lvl w:ilvl="0">
      <w:lvlJc w:val="left"/>
      <w:lvlText w:val="%1."/>
      <w:numFmt w:val="decimal"/>
      <w:start w:val="10"/>
    </w:lvl>
  </w:abstractNum>
  <w:abstractNum w:abstractNumId="49">
    <w:nsid w:val="649BB77C"/>
    <w:multiLevelType w:val="hybridMultilevel"/>
    <w:lvl w:ilvl="0">
      <w:lvlJc w:val="left"/>
      <w:lvlText w:val="%1."/>
      <w:numFmt w:val="decimal"/>
      <w:start w:val="11"/>
    </w:lvl>
  </w:abstractNum>
  <w:abstractNum w:abstractNumId="50">
    <w:nsid w:val="275AC794"/>
    <w:multiLevelType w:val="hybridMultilevel"/>
    <w:lvl w:ilvl="0">
      <w:lvlJc w:val="left"/>
      <w:lvlText w:val="%1."/>
      <w:numFmt w:val="decimal"/>
      <w:start w:val="12"/>
    </w:lvl>
  </w:abstractNum>
  <w:abstractNum w:abstractNumId="51">
    <w:nsid w:val="39386575"/>
    <w:multiLevelType w:val="hybridMultilevel"/>
    <w:lvl w:ilvl="0">
      <w:lvlJc w:val="left"/>
      <w:lvlText w:val="%1."/>
      <w:numFmt w:val="decimal"/>
      <w:start w:val="13"/>
    </w:lvl>
  </w:abstractNum>
  <w:abstractNum w:abstractNumId="52">
    <w:nsid w:val="1CF10FD8"/>
    <w:multiLevelType w:val="hybridMultilevel"/>
    <w:lvl w:ilvl="0">
      <w:lvlJc w:val="left"/>
      <w:lvlText w:val="%1."/>
      <w:numFmt w:val="decimal"/>
      <w:start w:val="14"/>
    </w:lvl>
  </w:abstractNum>
  <w:abstractNum w:abstractNumId="53">
    <w:nsid w:val="180115BE"/>
    <w:multiLevelType w:val="hybridMultilevel"/>
    <w:lvl w:ilvl="0">
      <w:lvlJc w:val="left"/>
      <w:lvlText w:val="%1."/>
      <w:numFmt w:val="decimal"/>
      <w:start w:val="15"/>
    </w:lvl>
  </w:abstractNum>
  <w:abstractNum w:abstractNumId="54">
    <w:nsid w:val="235BA861"/>
    <w:multiLevelType w:val="hybridMultilevel"/>
    <w:lvl w:ilvl="0">
      <w:lvlJc w:val="left"/>
      <w:lvlText w:val="%1."/>
      <w:numFmt w:val="decimal"/>
      <w:start w:val="16"/>
    </w:lvl>
  </w:abstractNum>
  <w:abstractNum w:abstractNumId="55">
    <w:nsid w:val="47398C89"/>
    <w:multiLevelType w:val="hybridMultilevel"/>
    <w:lvl w:ilvl="0">
      <w:lvlJc w:val="left"/>
      <w:lvlText w:val="%1."/>
      <w:numFmt w:val="decimal"/>
      <w:start w:val="17"/>
    </w:lvl>
  </w:abstractNum>
  <w:abstractNum w:abstractNumId="56">
    <w:nsid w:val="354FE9F9"/>
    <w:multiLevelType w:val="hybridMultilevel"/>
    <w:lvl w:ilvl="0">
      <w:lvlJc w:val="left"/>
      <w:lvlText w:val="%1."/>
      <w:numFmt w:val="decimal"/>
      <w:start w:val="18"/>
    </w:lvl>
  </w:abstractNum>
  <w:abstractNum w:abstractNumId="57">
    <w:nsid w:val="15B5AF5C"/>
    <w:multiLevelType w:val="hybridMultilevel"/>
    <w:lvl w:ilvl="0">
      <w:lvlJc w:val="left"/>
      <w:lvlText w:val="%1."/>
      <w:numFmt w:val="decimal"/>
      <w:start w:val="19"/>
    </w:lvl>
  </w:abstractNum>
  <w:abstractNum w:abstractNumId="58">
    <w:nsid w:val="741226BB"/>
    <w:multiLevelType w:val="hybridMultilevel"/>
    <w:lvl w:ilvl="0">
      <w:lvlJc w:val="left"/>
      <w:lvlText w:val="%1."/>
      <w:numFmt w:val="decimal"/>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2019-12-07T03:48:37Z</dcterms:created>
  <dcterms:modified xsi:type="dcterms:W3CDTF">2019-12-07T03:48:37Z</dcterms:modified>
</cp:coreProperties>
</file>