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CMCSA</w:t>
            </w:r>
          </w:p>
        </w:tc>
        <w:tc>
          <w:tcPr>
            <w:tcW w:w="200" w:type="dxa"/>
            <w:vAlign w:val="bottom"/>
          </w:tcPr>
          <w:p>
            <w:pPr>
              <w:spacing w:after="0"/>
              <w:rPr>
                <w:sz w:val="16"/>
                <w:szCs w:val="16"/>
                <w:color w:val="auto"/>
              </w:rPr>
            </w:pPr>
          </w:p>
        </w:tc>
        <w:tc>
          <w:tcPr>
            <w:tcW w:w="4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CMCS26</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CMCS27</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CMCS29</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CMCS29A</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CMCS32</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CMCS32A</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CMCS36</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CMCS36A</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CMCS40</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CMCS40A</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CCGBP29</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CCZ</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3" w:right="339" w:bottom="257"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June 3, 2026, issued by Comcast Corporation.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Comcast Corporation Press Release dated June 3, 2026.</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8"/>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56" w:lineRule="exact"/>
        <w:rPr>
          <w:sz w:val="20"/>
          <w:szCs w:val="20"/>
          <w:color w:val="auto"/>
        </w:rPr>
      </w:pPr>
    </w:p>
    <w:p>
      <w:pPr>
        <w:spacing w:after="0"/>
        <w:tabs>
          <w:tab w:leader="none" w:pos="580" w:val="left"/>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Date:</w:t>
        <w:tab/>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536"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173990</wp:posOffset>
            </wp:positionV>
            <wp:extent cx="2228850"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Comcast Corporation and Comcast Cable Communications, LLC Announce Results and Upsize of their Offers to Purchase for Cash Certain of their Outstanding Senior Debt Securities</w:t>
      </w:r>
    </w:p>
    <w:p>
      <w:pPr>
        <w:spacing w:after="0" w:line="15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Philadelphia, Pennsylvania, June 3, 2026 </w:t>
      </w: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results of its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cash tender offers to purchase any and all of its outstanding 2.350% Notes due 2027; 3.300% Notes due February 2027; 3.300% Notes due April 2027; 4.150% Notes due 2028; 3.150% Notes due 2028; 3.550% Notes due 2028; 5.100% Notes due 2029; 4.550% Notes due 2029; 4.250% Notes due 2030; 3.400% Notes due 2030 and 2.650% Notes due 2030 (together, the “</w:t>
      </w:r>
      <w:r>
        <w:rPr>
          <w:rFonts w:ascii="Times New Roman" w:cs="Times New Roman" w:eastAsia="Times New Roman" w:hAnsi="Times New Roman"/>
          <w:sz w:val="17"/>
          <w:szCs w:val="17"/>
          <w:b w:val="1"/>
          <w:bCs w:val="1"/>
          <w:color w:val="auto"/>
        </w:rPr>
        <w:t>Company Notes</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color w:val="auto"/>
        </w:rPr>
        <w:t>Company Offers</w:t>
      </w:r>
      <w:r>
        <w:rPr>
          <w:rFonts w:ascii="Times New Roman" w:cs="Times New Roman" w:eastAsia="Times New Roman" w:hAnsi="Times New Roman"/>
          <w:sz w:val="17"/>
          <w:szCs w:val="17"/>
          <w:color w:val="auto"/>
        </w:rPr>
        <w:t>”). Comcast Cable Communications, LLC, a Delaware limited liability company and wholly-owned subsidiary of the Company (“</w:t>
      </w:r>
      <w:r>
        <w:rPr>
          <w:rFonts w:ascii="Times New Roman" w:cs="Times New Roman" w:eastAsia="Times New Roman" w:hAnsi="Times New Roman"/>
          <w:sz w:val="17"/>
          <w:szCs w:val="17"/>
          <w:b w:val="1"/>
          <w:bCs w:val="1"/>
          <w:color w:val="auto"/>
        </w:rPr>
        <w:t>Comcast Cable</w:t>
      </w:r>
      <w:r>
        <w:rPr>
          <w:rFonts w:ascii="Times New Roman" w:cs="Times New Roman" w:eastAsia="Times New Roman" w:hAnsi="Times New Roman"/>
          <w:sz w:val="17"/>
          <w:szCs w:val="17"/>
          <w:color w:val="auto"/>
        </w:rPr>
        <w:t>” and, together with the Company, the “</w:t>
      </w:r>
      <w:r>
        <w:rPr>
          <w:rFonts w:ascii="Times New Roman" w:cs="Times New Roman" w:eastAsia="Times New Roman" w:hAnsi="Times New Roman"/>
          <w:sz w:val="17"/>
          <w:szCs w:val="17"/>
          <w:b w:val="1"/>
          <w:bCs w:val="1"/>
          <w:color w:val="auto"/>
        </w:rPr>
        <w:t>Issuers</w:t>
      </w:r>
      <w:r>
        <w:rPr>
          <w:rFonts w:ascii="Times New Roman" w:cs="Times New Roman" w:eastAsia="Times New Roman" w:hAnsi="Times New Roman"/>
          <w:sz w:val="17"/>
          <w:szCs w:val="17"/>
          <w:color w:val="auto"/>
        </w:rPr>
        <w:t>”) also announced the results of its previously announced separate cash tender offers to purchase any and all of its outstanding</w:t>
      </w:r>
    </w:p>
    <w:p>
      <w:pPr>
        <w:spacing w:after="0" w:line="4"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8.500% Notes due 2027 and 7.125% Notes due 2028 (together, the “</w:t>
      </w:r>
      <w:r>
        <w:rPr>
          <w:rFonts w:ascii="Times New Roman" w:cs="Times New Roman" w:eastAsia="Times New Roman" w:hAnsi="Times New Roman"/>
          <w:sz w:val="18"/>
          <w:szCs w:val="18"/>
          <w:b w:val="1"/>
          <w:bCs w:val="1"/>
          <w:color w:val="auto"/>
        </w:rPr>
        <w:t>Comcast Cable Notes</w:t>
      </w:r>
      <w:r>
        <w:rPr>
          <w:rFonts w:ascii="Times New Roman" w:cs="Times New Roman" w:eastAsia="Times New Roman" w:hAnsi="Times New Roman"/>
          <w:sz w:val="18"/>
          <w:szCs w:val="18"/>
          <w:color w:val="auto"/>
        </w:rPr>
        <w:t>” and, together with the Company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Comcast Cable Offers</w:t>
      </w:r>
      <w:r>
        <w:rPr>
          <w:rFonts w:ascii="Times New Roman" w:cs="Times New Roman" w:eastAsia="Times New Roman" w:hAnsi="Times New Roman"/>
          <w:sz w:val="18"/>
          <w:szCs w:val="18"/>
          <w:color w:val="auto"/>
        </w:rPr>
        <w:t>” and, together with the Company Offers, the “</w:t>
      </w:r>
      <w:r>
        <w:rPr>
          <w:rFonts w:ascii="Times New Roman" w:cs="Times New Roman" w:eastAsia="Times New Roman" w:hAnsi="Times New Roman"/>
          <w:sz w:val="18"/>
          <w:szCs w:val="18"/>
          <w:b w:val="1"/>
          <w:bCs w:val="1"/>
          <w:color w:val="auto"/>
        </w:rPr>
        <w:t>Offers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also announced that they are increasing the aggregate Total Consideration (as defined below) payable for the Notes they will accept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in the Offers, excluding accrued but unpaid interest, from the previously announced amount of $3,750,000,000 to $4,140,000,000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The increased Consideration Cap Amount is sufficient to enable the Issuers to accept for purchase all 2.350%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issued by the Company, 3.300% Notes due February 2027 issued by the Company, 3.300% Notes due April 2027 issued by the Company, 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2027 issued by Comcast Cable, 4.150% Notes due 2028 issued by the Company, 3.150% Notes due 2028 issued by the Company, 7.125%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2028 issued by Comcast Cable, 3.550% Notes due 2028 issued by the Company, 5.100% Notes due 2029 issued by the Company and 4.550%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2029 issued by the Company, in each case, that were validly tendered prior to or at the Expiration Date and not validly withdrawn (as well as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of such series that were tendered pursuant to the Guaranteed Delivery Procedures).</w:t>
      </w:r>
    </w:p>
    <w:p>
      <w:pPr>
        <w:spacing w:after="0" w:line="20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Offers were made upon the terms and subject to the conditions set forth in the Offer to Purchase dated May 27, 2026 relating to the Notes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Purchase</w:t>
      </w:r>
      <w:r>
        <w:rPr>
          <w:rFonts w:ascii="Times New Roman" w:cs="Times New Roman" w:eastAsia="Times New Roman" w:hAnsi="Times New Roman"/>
          <w:sz w:val="18"/>
          <w:szCs w:val="18"/>
          <w:color w:val="auto"/>
        </w:rPr>
        <w:t>”) and the notice of guaranteed delivery attached as Appendix A to the Offer to Purchase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Offer to Purchase, the “</w:t>
      </w:r>
      <w:r>
        <w:rPr>
          <w:rFonts w:ascii="Times New Roman" w:cs="Times New Roman" w:eastAsia="Times New Roman" w:hAnsi="Times New Roman"/>
          <w:sz w:val="18"/>
          <w:szCs w:val="18"/>
          <w:b w:val="1"/>
          <w:bCs w:val="1"/>
          <w:color w:val="auto"/>
        </w:rPr>
        <w:t>Tender Offer Documents</w:t>
      </w:r>
      <w:r>
        <w:rPr>
          <w:rFonts w:ascii="Times New Roman" w:cs="Times New Roman" w:eastAsia="Times New Roman" w:hAnsi="Times New Roman"/>
          <w:sz w:val="18"/>
          <w:szCs w:val="18"/>
          <w:color w:val="auto"/>
        </w:rPr>
        <w:t>”). Capitalized terms used but not defined in this news release have the meanings given to them in the Offer to Purchase.</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The Offers expired at 5:00 p.m. (Eastern time) on June 2,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The Guaranteed Delivery Date will be 5:00 p.m. (Eastern time) on June 4, 2026. The Settlement Date will be June 5,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information provided by Global Bondholder Services Corporation, the Information and Tender Agent in connection with the Offers,</w:t>
      </w:r>
    </w:p>
    <w:p>
      <w:pPr>
        <w:spacing w:after="0" w:line="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$6,162,959,000 combined aggregate principal amount of Notes were validly tendered prior to or at the Expiration Date and not validly withdrawn. In addition, $54,582,000 combined aggregate principal amount of Notes were tendered pursuant to the Guaranteed Delivery Procedures and remain subject to the Holders’ performance of the delivery requirements under such procedures. The table below provides certain information about the Offers, including the aggregate principal amount of each series of Notes validly tendered and not validly withdrawn at or prior to the Expiration Date and the aggregate principal amount of Notes reflected in Notices of Guaranteed Delivery delivered at or prior to the Expiration Date pursuant to the Tender Offer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Notices</w:t>
            </w:r>
          </w:p>
        </w:tc>
        <w:tc>
          <w:tcPr>
            <w:tcW w:w="0" w:type="dxa"/>
            <w:vAlign w:val="bottom"/>
          </w:tcPr>
          <w:p>
            <w:pPr>
              <w:spacing w:after="0"/>
              <w:rPr>
                <w:sz w:val="1"/>
                <w:szCs w:val="1"/>
                <w:color w:val="auto"/>
              </w:rPr>
            </w:pPr>
          </w:p>
        </w:tc>
      </w:tr>
      <w:tr>
        <w:trPr>
          <w:trHeight w:val="160"/>
        </w:trPr>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CUSIP / ISIN</w:t>
            </w:r>
          </w:p>
        </w:tc>
        <w:tc>
          <w:tcPr>
            <w:tcW w:w="10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Guaranteed</w:t>
            </w:r>
          </w:p>
        </w:tc>
        <w:tc>
          <w:tcPr>
            <w:tcW w:w="0" w:type="dxa"/>
            <w:vAlign w:val="bottom"/>
          </w:tcPr>
          <w:p>
            <w:pPr>
              <w:spacing w:after="0"/>
              <w:rPr>
                <w:sz w:val="1"/>
                <w:szCs w:val="1"/>
                <w:color w:val="auto"/>
              </w:rPr>
            </w:pPr>
          </w:p>
        </w:tc>
      </w:tr>
      <w:tr>
        <w:trPr>
          <w:trHeight w:val="124"/>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Title of Notes</w:t>
            </w:r>
          </w:p>
        </w:tc>
        <w:tc>
          <w:tcPr>
            <w:tcW w:w="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 (2)</w:t>
            </w:r>
          </w:p>
        </w:tc>
        <w:tc>
          <w:tcPr>
            <w:tcW w:w="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Tendered (3)</w:t>
            </w:r>
          </w:p>
        </w:tc>
        <w:tc>
          <w:tcPr>
            <w:tcW w:w="100" w:type="dxa"/>
            <w:vAlign w:val="bottom"/>
          </w:tcPr>
          <w:p>
            <w:pPr>
              <w:spacing w:after="0"/>
              <w:rPr>
                <w:sz w:val="10"/>
                <w:szCs w:val="10"/>
                <w:color w:val="auto"/>
              </w:rPr>
            </w:pPr>
          </w:p>
        </w:tc>
        <w:tc>
          <w:tcPr>
            <w:tcW w:w="12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Accepted (3)</w:t>
            </w:r>
          </w:p>
        </w:tc>
        <w:tc>
          <w:tcPr>
            <w:tcW w:w="10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0" w:type="dxa"/>
            <w:vAlign w:val="bottom"/>
          </w:tcPr>
          <w:p>
            <w:pPr>
              <w:spacing w:after="0"/>
              <w:rPr>
                <w:sz w:val="1"/>
                <w:szCs w:val="1"/>
                <w:color w:val="auto"/>
              </w:rPr>
            </w:pPr>
          </w:p>
        </w:tc>
      </w:tr>
      <w:tr>
        <w:trPr>
          <w:trHeight w:val="38"/>
        </w:trPr>
        <w:tc>
          <w:tcPr>
            <w:tcW w:w="8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Nos.(1)</w:t>
            </w:r>
          </w:p>
        </w:tc>
        <w:tc>
          <w:tcPr>
            <w:tcW w:w="100" w:type="dxa"/>
            <w:vAlign w:val="bottom"/>
          </w:tcPr>
          <w:p>
            <w:pPr>
              <w:spacing w:after="0"/>
              <w:rPr>
                <w:sz w:val="3"/>
                <w:szCs w:val="3"/>
                <w:color w:val="auto"/>
              </w:rPr>
            </w:pPr>
          </w:p>
        </w:tc>
        <w:tc>
          <w:tcPr>
            <w:tcW w:w="112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2.350%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2027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$1,400,000,000</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20030NBW0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$991.04</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$638,264,000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$638,264,000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$3,545,000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US20030NBW02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3.300%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February 2027</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$1,250,000,000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20030NBY6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$996.30</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$478,481,000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$478,481,000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$5,921,000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issued by 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US20030NBY67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3.300%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April 2027</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$638,976,000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20030NDK4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$995.03</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$239,901,000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$239,901,000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$8,786,000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issued by 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US20030NDK46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8.500%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2027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$206,580,000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20029PAH2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$1,036.89</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$54,861,000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$54,861,000</w:t>
            </w:r>
          </w:p>
        </w:tc>
        <w:tc>
          <w:tcPr>
            <w:tcW w:w="1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Comcast Cable</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US20029PAH29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4.150%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2028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$3,220,877,000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20030NCT6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$997.84</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$1,066,680,000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$1,066,680,000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$6,786,000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US20030NCT63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3.150%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2028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$1,298,079,000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20030NCA7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$983.84</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$539,512,000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$539,512,000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$1,219,000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US20030NCA72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7.125%</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2028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$292,883,000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872287AL1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$1,047.36</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$135,962,000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$135,962,000</w:t>
            </w:r>
          </w:p>
        </w:tc>
        <w:tc>
          <w:tcPr>
            <w:tcW w:w="146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Comcast Cable</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US872287AL19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3.550%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2028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$784,735,000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20030NCH2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$988.28</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$269,973,000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$269,973,000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$7,445,000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US20030NCH26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5.100%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2029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$600,632,000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20030NEH0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$1,021.93</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$323,466,000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$323,466,000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$3,047,000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US20030NEH08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4.550%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2029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$832,642,000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20030NED9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$1,006.15</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$358,308,000</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$358,308,000</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$2,121,000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US20030NED93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4.250%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2030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$1,500,000,000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20030NCU3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$989.26</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$420,900,000</w:t>
            </w:r>
          </w:p>
        </w:tc>
        <w:tc>
          <w:tcPr>
            <w:tcW w:w="13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$10,433,000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US20030NCU37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3.400%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2030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$1,600,000,000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20030NDG3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$962.64</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$911,233,000</w:t>
            </w:r>
          </w:p>
        </w:tc>
        <w:tc>
          <w:tcPr>
            <w:tcW w:w="13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$5,120,000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US20030NDG34</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2.650%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2030 issued by</w:t>
            </w:r>
          </w:p>
        </w:tc>
        <w:tc>
          <w:tcPr>
            <w:tcW w:w="13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$1,600,000,000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20030NDA6 /</w:t>
            </w: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$939.11</w:t>
            </w:r>
          </w:p>
        </w:tc>
        <w:tc>
          <w:tcPr>
            <w:tcW w:w="13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$725,418,000</w:t>
            </w:r>
          </w:p>
        </w:tc>
        <w:tc>
          <w:tcPr>
            <w:tcW w:w="13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$159,000</w:t>
            </w: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Company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US20030NDA63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07" w:lineRule="exact"/>
        <w:rPr>
          <w:sz w:val="20"/>
          <w:szCs w:val="20"/>
          <w:color w:val="auto"/>
        </w:rPr>
      </w:pPr>
    </w:p>
    <w:p>
      <w:pPr>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by the Issuers as to the correctness or accuracy of the CUSIP numbers or ISINs listed in the Offer to Purchase or printed on the Notes. They are provided solely for convenience.</w:t>
      </w:r>
    </w:p>
    <w:p>
      <w:pPr>
        <w:ind w:left="340" w:right="22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each series of Notes (such consideration, the “</w:t>
      </w: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color w:val="auto"/>
        </w:rPr>
        <w:t>”) payable per each $1,000 principal amount of such series of Notes validly tendered for purchase.</w:t>
      </w:r>
    </w:p>
    <w:p>
      <w:pPr>
        <w:ind w:left="340" w:right="2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exclude the principal amounts of Notes for which Holders have complied with certain procedures applicable to guaranteed delivery pursuant to the Guaranteed Delivery Procedures. Such amounts remain subject to the Guaranteed Delivery Procedures. Notes tendered pursuant to the Guaranteed Delivery Procedures are required to be tendered at or prior to 5:00 p.m. (Eastern time) on June 4, 2026.</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8" w:right="4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In total, $4,105,408,000 aggregate principal amount of Notes have been accepted for purchase, excluding the Notes delivered pursuant to the Guaranteed Delivery Procedures. The Issuers’ obligation to complete an Offer with respect to a particular series of Notes validly tendered is conditioned on the satisfaction of conditions described in the Offer to Purchase, including that the aggregate Total Consideration payable for all Notes purchased in the Offers not exceed the Consideration Cap Amount (after giving effect to the increase described above), and on the Consideration Cap Amount (after giving effect to the increase described above) being sufficient to pay the Total Consideration for all validly tendered and not validly withdrawn Notes of such series (after accounting for all validly tendered Notes that have a higher Acceptance Priority Level as specified in the table above) (the “</w:t>
      </w:r>
      <w:r>
        <w:rPr>
          <w:rFonts w:ascii="Times New Roman" w:cs="Times New Roman" w:eastAsia="Times New Roman" w:hAnsi="Times New Roman"/>
          <w:sz w:val="18"/>
          <w:szCs w:val="18"/>
          <w:b w:val="1"/>
          <w:bCs w:val="1"/>
          <w:color w:val="auto"/>
        </w:rPr>
        <w:t>Consideration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The purchase of all the Notes validly tendered and not validly withdrawn in the Offers (including those anticipated to be tendered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Guaranteed Delivery Procedures) would cause the Consideration Cap Condition to not be satisfied with respect to all Offers for the Notes. Accordingly, in accordance with the Consideration Cap Condition,</w:t>
      </w:r>
    </w:p>
    <w:p>
      <w:pPr>
        <w:spacing w:after="0" w:line="188"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accepted for purchase all of the Notes with an Acceptance Priority Level in the table above of 1 through 10 (inclusive), in each case, that have been validly tendered and not validly withdrawn at or prior to the Expiration Date (and will accept all Notes of such series that are properly tendered pursuant to the Guaranteed Delivery Procedures),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not accepted for purchase any of the Notes with an Acceptance Priority Level in the table above of 11 through 13 (inclusive).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Offer to Purchase, Holders whose Notes have been accepted by the Issuers for purchase in the Offers will receive the applicable Total Consideration specified in the table above for each $1,000 principal amount of such Notes in cash on the Settlement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applicable Total Consideration, Holders whose Notes have been accepted by the Issuers for purchase pursuant to an Offer will receive a cash payment equal to the accrued and unpaid interest on such Notes from and including the immediately preceding interest payment date for such Notes to, but excluding, the Settlement Date (the “</w:t>
      </w:r>
      <w:r>
        <w:rPr>
          <w:rFonts w:ascii="Times New Roman" w:cs="Times New Roman" w:eastAsia="Times New Roman" w:hAnsi="Times New Roman"/>
          <w:sz w:val="18"/>
          <w:szCs w:val="18"/>
          <w:b w:val="1"/>
          <w:bCs w:val="1"/>
          <w:color w:val="auto"/>
        </w:rPr>
        <w:t>Accrued Coupon Payment</w:t>
      </w:r>
      <w:r>
        <w:rPr>
          <w:rFonts w:ascii="Times New Roman" w:cs="Times New Roman" w:eastAsia="Times New Roman" w:hAnsi="Times New Roman"/>
          <w:sz w:val="18"/>
          <w:szCs w:val="18"/>
          <w:color w:val="auto"/>
        </w:rPr>
        <w:t>”). Interest will cease to accrue on the Settlement Date for all Notes accepted for purchase in the Offers. Under no circumstances will any interest be payable because of any delay in the transmission of funds to Holders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its participants.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Issuers have retained Morgan Stanley &amp; Co. LLC and Wells Fargo Securities, LLC to act as dealer managers (the “</w:t>
      </w:r>
      <w:r>
        <w:rPr>
          <w:rFonts w:ascii="Times New Roman" w:cs="Times New Roman" w:eastAsia="Times New Roman" w:hAnsi="Times New Roman"/>
          <w:sz w:val="18"/>
          <w:szCs w:val="18"/>
          <w:b w:val="1"/>
          <w:bCs w:val="1"/>
          <w:color w:val="auto"/>
        </w:rPr>
        <w:t>Dealer Managers</w:t>
      </w:r>
      <w:r>
        <w:rPr>
          <w:rFonts w:ascii="Times New Roman" w:cs="Times New Roman" w:eastAsia="Times New Roman" w:hAnsi="Times New Roman"/>
          <w:sz w:val="18"/>
          <w:szCs w:val="18"/>
          <w:color w:val="auto"/>
        </w:rPr>
        <w:t>”) for the Offers.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regarding the terms and conditions for the Offers should be directed to:</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Morgan Stanley</w:t>
            </w:r>
          </w:p>
        </w:tc>
        <w:tc>
          <w:tcPr>
            <w:tcW w:w="45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Wells Fargo Securities</w:t>
            </w:r>
          </w:p>
        </w:tc>
      </w:tr>
      <w:tr>
        <w:trPr>
          <w:trHeight w:val="220"/>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Morgan Stanley &amp; Co. LLC</w:t>
            </w:r>
          </w:p>
        </w:tc>
        <w:tc>
          <w:tcPr>
            <w:tcW w:w="4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Wells Fargo Securities, LLC</w:t>
            </w:r>
          </w:p>
        </w:tc>
      </w:tr>
      <w:tr>
        <w:trPr>
          <w:trHeight w:val="253"/>
        </w:trPr>
        <w:tc>
          <w:tcPr>
            <w:tcW w:w="4160" w:type="dxa"/>
            <w:vAlign w:val="bottom"/>
          </w:tcPr>
          <w:p>
            <w:pPr>
              <w:jc w:val="center"/>
              <w:ind w:right="1170"/>
              <w:spacing w:after="0" w:line="252" w:lineRule="exact"/>
              <w:rPr>
                <w:sz w:val="20"/>
                <w:szCs w:val="20"/>
                <w:color w:val="auto"/>
              </w:rPr>
            </w:pPr>
            <w:r>
              <w:rPr>
                <w:rFonts w:ascii="Times New Roman" w:cs="Times New Roman" w:eastAsia="Times New Roman" w:hAnsi="Times New Roman"/>
                <w:sz w:val="18"/>
                <w:szCs w:val="18"/>
                <w:color w:val="auto"/>
                <w:w w:val="97"/>
              </w:rPr>
              <w:t>1585 Broadway, 6</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Floor</w:t>
            </w:r>
          </w:p>
        </w:tc>
        <w:tc>
          <w:tcPr>
            <w:tcW w:w="4540" w:type="dxa"/>
            <w:vAlign w:val="bottom"/>
          </w:tcPr>
          <w:p>
            <w:pPr>
              <w:jc w:val="center"/>
              <w:ind w:left="1170"/>
              <w:spacing w:after="0" w:line="252" w:lineRule="exact"/>
              <w:rPr>
                <w:sz w:val="20"/>
                <w:szCs w:val="20"/>
                <w:color w:val="auto"/>
              </w:rPr>
            </w:pPr>
            <w:r>
              <w:rPr>
                <w:rFonts w:ascii="Times New Roman" w:cs="Times New Roman" w:eastAsia="Times New Roman" w:hAnsi="Times New Roman"/>
                <w:sz w:val="18"/>
                <w:szCs w:val="18"/>
                <w:color w:val="auto"/>
                <w:w w:val="97"/>
              </w:rPr>
              <w:t>550 South Tryon Street, 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Floor</w:t>
            </w:r>
          </w:p>
        </w:tc>
      </w:tr>
      <w:tr>
        <w:trPr>
          <w:trHeight w:val="216"/>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4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Charlotte, North Carolina 28202</w:t>
            </w:r>
          </w:p>
        </w:tc>
      </w:tr>
      <w:tr>
        <w:trPr>
          <w:trHeight w:val="216"/>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Toll Free: (800) 624-1808</w:t>
            </w:r>
          </w:p>
        </w:tc>
        <w:tc>
          <w:tcPr>
            <w:tcW w:w="4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Toll Free: (866) 309-6316</w:t>
            </w:r>
          </w:p>
        </w:tc>
      </w:tr>
      <w:tr>
        <w:trPr>
          <w:trHeight w:val="216"/>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Collect: (212) 761-1057</w:t>
            </w:r>
          </w:p>
        </w:tc>
        <w:tc>
          <w:tcPr>
            <w:tcW w:w="4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Collect: (704) 410-4235</w:t>
            </w:r>
          </w:p>
        </w:tc>
      </w:tr>
      <w:tr>
        <w:trPr>
          <w:trHeight w:val="216"/>
        </w:trPr>
        <w:tc>
          <w:tcPr>
            <w:tcW w:w="41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Email: LMNY@morganstanley.com</w:t>
            </w:r>
          </w:p>
        </w:tc>
        <w:tc>
          <w:tcPr>
            <w:tcW w:w="4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Email: liabilitymanagement@wellsfargo.com</w:t>
            </w:r>
          </w:p>
        </w:tc>
      </w:tr>
      <w:tr>
        <w:trPr>
          <w:trHeight w:val="234"/>
        </w:trPr>
        <w:tc>
          <w:tcPr>
            <w:tcW w:w="41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c>
          <w:tcPr>
            <w:tcW w:w="4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Bondholder Services Corporation is acting as the Information and Tender Agent for the Offers. Questions or requests for assistance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or for additional copies of the Offer to Purchase may be directed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Bondholder Services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Offers Website</w:t>
      </w:r>
      <w:r>
        <w:rPr>
          <w:rFonts w:ascii="Times New Roman" w:cs="Times New Roman" w:eastAsia="Times New Roman" w:hAnsi="Times New Roman"/>
          <w:sz w:val="18"/>
          <w:szCs w:val="18"/>
          <w:color w:val="auto"/>
        </w:rPr>
        <w:t>: https://gbsc-usa.com/comcast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 Broadway - Suite 404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w:t>
      </w:r>
      <w:r>
        <w:rPr>
          <w:rFonts w:ascii="Times New Roman" w:cs="Times New Roman" w:eastAsia="Times New Roman" w:hAnsi="Times New Roman"/>
          <w:sz w:val="18"/>
          <w:szCs w:val="18"/>
          <w:color w:val="auto"/>
        </w:rPr>
        <w:t>: (212) 430-3774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others call Toll Free</w:t>
      </w:r>
      <w:r>
        <w:rPr>
          <w:rFonts w:ascii="Times New Roman" w:cs="Times New Roman" w:eastAsia="Times New Roman" w:hAnsi="Times New Roman"/>
          <w:sz w:val="18"/>
          <w:szCs w:val="18"/>
          <w:color w:val="auto"/>
        </w:rPr>
        <w:t>: (855) 654-2015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also contact your broker, dealer, commercial bank, trust company or other nominee for assistance concerning the Offers. The Tender Offer Documents can be accessed at the following link: https://gbsc-usa.com/comcast.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Issuer terminates any of its Offers with respect to one or more series of Notes, it will give prompt notice to the Information and Tender Agent, and all Notes tendered pursuant to such terminated Offer will be returned promptly to the tendering Holders thereof. With effect from such termination, any Notes blocked in DTC will be released.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and Distribution Restrictions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news release is for informational purposes only. This news release is not an offer to purchase or a solicitation of an offer to sell any Notes or any other securities of the Issuers or any of its subsidiaries. The Offers are being made solely pursuant to the Offer to Purchase and the related Notice of Guaranteed Delivery. The Offers are not being made to Holders of Notes in any jurisdiction in which the making or acceptance thereof would not be in compliance with the securities, “blue sky” or other laws of such jurisdiction. In any jurisdiction in which the securities or “blue sky” laws require the Offers to be made by a licensed broker or dealer, the Offers will be deemed to have been made on behalf of the Issuers by the Dealer Managers or one or more registered brokers or dealers that are licensed under the laws of such jurisdiction. None of the Issuers, the Information and Tender Agent or the Dealer Managers, nor any of their affiliates, makes any recommendation as to whether Holders should tender or refrain from tendering all or any portion of their Notes in response to the Offers.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 action has been or will be taken in any jurisdiction that would permit the possession, circulation or distribution of either this news release, the Offer to Purchase or any material relating to the Issuers or the Notes in any jurisdiction where action for that purpose is required. Accordingly, neither this news release, the Offer to Purchase nor any other offering material or advertisements in connection with the Offers may be distributed or published, in or from any such country or jurisdiction, except in compliance with any applicable rules or regulations of any such country or jurisdiction.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may constitute forward-looking statements about, among other things, the terms and timing for completion of the Offers, including the expected Settlement Date.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2026-06-03T07:42:36Z</dcterms:created>
  <dcterms:modified xsi:type="dcterms:W3CDTF">2026-06-03T07:42:36Z</dcterms:modified>
</cp:coreProperties>
</file>