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Date of report (Date of earliest event reported): April 27,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500" w:type="dxa"/>
        <w:tblCellMar>
          <w:top w:w="0" w:type="dxa"/>
          <w:left w:w="0" w:type="dxa"/>
          <w:bottom w:w="0" w:type="dxa"/>
          <w:right w:w="0" w:type="dxa"/>
        </w:tblCellMar>
      </w:tblPr>
      <w:tr>
        <w:trPr>
          <w:trHeight w:val="218"/>
        </w:trPr>
        <w:tc>
          <w:tcPr>
            <w:tcW w:w="4480" w:type="dxa"/>
            <w:vAlign w:val="bottom"/>
          </w:tcPr>
          <w:p>
            <w:pPr>
              <w:jc w:val="center"/>
              <w:ind w:right="1682"/>
              <w:spacing w:after="0"/>
              <w:rPr>
                <w:sz w:val="20"/>
                <w:szCs w:val="20"/>
                <w:color w:val="auto"/>
              </w:rPr>
            </w:pPr>
            <w:r>
              <w:rPr>
                <w:rFonts w:ascii="Arial" w:cs="Arial" w:eastAsia="Arial" w:hAnsi="Arial"/>
                <w:sz w:val="18"/>
                <w:szCs w:val="18"/>
                <w:b w:val="1"/>
                <w:bCs w:val="1"/>
                <w:color w:val="auto"/>
                <w:w w:val="88"/>
              </w:rPr>
              <w:t>001-32871</w:t>
            </w:r>
          </w:p>
        </w:tc>
        <w:tc>
          <w:tcPr>
            <w:tcW w:w="3680" w:type="dxa"/>
            <w:vAlign w:val="bottom"/>
          </w:tcPr>
          <w:p>
            <w:pPr>
              <w:jc w:val="center"/>
              <w:ind w:left="164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480" w:type="dxa"/>
            <w:vAlign w:val="bottom"/>
          </w:tcPr>
          <w:p>
            <w:pPr>
              <w:jc w:val="center"/>
              <w:ind w:right="1682"/>
              <w:spacing w:after="0"/>
              <w:rPr>
                <w:sz w:val="20"/>
                <w:szCs w:val="20"/>
                <w:color w:val="auto"/>
              </w:rPr>
            </w:pPr>
            <w:r>
              <w:rPr>
                <w:rFonts w:ascii="Arial" w:cs="Arial" w:eastAsia="Arial" w:hAnsi="Arial"/>
                <w:sz w:val="14"/>
                <w:szCs w:val="14"/>
                <w:b w:val="1"/>
                <w:bCs w:val="1"/>
                <w:color w:val="auto"/>
                <w:w w:val="87"/>
              </w:rPr>
              <w:t>(Commission File Number)</w:t>
            </w:r>
          </w:p>
        </w:tc>
        <w:tc>
          <w:tcPr>
            <w:tcW w:w="3680" w:type="dxa"/>
            <w:vAlign w:val="bottom"/>
          </w:tcPr>
          <w:p>
            <w:pPr>
              <w:jc w:val="center"/>
              <w:ind w:left="164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4480" w:type="dxa"/>
            <w:vAlign w:val="bottom"/>
          </w:tcPr>
          <w:p>
            <w:pPr>
              <w:jc w:val="center"/>
              <w:ind w:right="1662"/>
              <w:spacing w:after="0"/>
              <w:rPr>
                <w:sz w:val="20"/>
                <w:szCs w:val="20"/>
                <w:color w:val="auto"/>
              </w:rPr>
            </w:pPr>
            <w:r>
              <w:rPr>
                <w:rFonts w:ascii="Arial" w:cs="Arial" w:eastAsia="Arial" w:hAnsi="Arial"/>
                <w:sz w:val="18"/>
                <w:szCs w:val="18"/>
                <w:b w:val="1"/>
                <w:bCs w:val="1"/>
                <w:color w:val="auto"/>
                <w:w w:val="89"/>
              </w:rPr>
              <w:t>1500 Market Street Philadelphia, PA</w:t>
            </w:r>
          </w:p>
        </w:tc>
        <w:tc>
          <w:tcPr>
            <w:tcW w:w="3680" w:type="dxa"/>
            <w:vAlign w:val="bottom"/>
          </w:tcPr>
          <w:p>
            <w:pPr>
              <w:jc w:val="center"/>
              <w:ind w:left="1642"/>
              <w:spacing w:after="0"/>
              <w:rPr>
                <w:sz w:val="20"/>
                <w:szCs w:val="20"/>
                <w:color w:val="auto"/>
              </w:rPr>
            </w:pPr>
            <w:r>
              <w:rPr>
                <w:rFonts w:ascii="Arial" w:cs="Arial" w:eastAsia="Arial" w:hAnsi="Arial"/>
                <w:sz w:val="18"/>
                <w:szCs w:val="18"/>
                <w:b w:val="1"/>
                <w:bCs w:val="1"/>
                <w:color w:val="auto"/>
                <w:w w:val="87"/>
              </w:rPr>
              <w:t>19102-2148</w:t>
            </w:r>
          </w:p>
        </w:tc>
      </w:tr>
      <w:tr>
        <w:trPr>
          <w:trHeight w:val="174"/>
        </w:trPr>
        <w:tc>
          <w:tcPr>
            <w:tcW w:w="4480" w:type="dxa"/>
            <w:vAlign w:val="bottom"/>
          </w:tcPr>
          <w:p>
            <w:pPr>
              <w:jc w:val="center"/>
              <w:ind w:right="16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680" w:type="dxa"/>
            <w:vAlign w:val="bottom"/>
          </w:tcPr>
          <w:p>
            <w:pPr>
              <w:jc w:val="center"/>
              <w:ind w:left="166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665-1700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jc w:val="both"/>
        <w:ind w:right="160"/>
        <w:spacing w:after="0" w:line="286" w:lineRule="auto"/>
        <w:rPr>
          <w:sz w:val="20"/>
          <w:szCs w:val="20"/>
          <w:color w:val="auto"/>
        </w:rPr>
      </w:pPr>
      <w:r>
        <w:rPr>
          <w:rFonts w:ascii="Arial" w:cs="Arial" w:eastAsia="Arial" w:hAnsi="Arial"/>
          <w:sz w:val="16"/>
          <w:szCs w:val="16"/>
          <w:color w:val="auto"/>
        </w:rPr>
        <w:t>Attached as Exhibit 100 to this report are the following financial statements from Comcast Corporation’s Quarterly Report on Form 10-Q for the three months ended March 31, 2007, filed with the Securities and Exchange Commission on April 27, 2007, formatted in XBRL (eXtensible Business Reporting Language):</w:t>
      </w:r>
    </w:p>
    <w:p>
      <w:pPr>
        <w:ind w:firstLine="8"/>
        <w:spacing w:after="0" w:line="290" w:lineRule="auto"/>
        <w:tabs>
          <w:tab w:leader="none" w:pos="21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Condensed Consolidated Balance Sheet as of March 31, 2007 and December 31, 2006, (ii) the Condensed Consolidated Statement of Operations for the Three Months Ended March 31, 2007 and 2006, and (iii) the Condensed Consolidated Statement of Cash Flows for the Three Months Ended March 31, 2007 and 2006. Users of this data are advised pursuant to Rule 401 of Regulation S-T that the financial and other information contained in the XBRL document is unaudited and that these are not the official publicly filed financial statements of Comcast Corporation. The purpose of submitting these XBRL formatted documents is to test the related format and technology and, as a result, investors should continue to rely on the official filed version of the furnished documents and not rely on the information in this Current Report on Form 8-K, including Exhibit 100, in making investment decisions.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accordance with Rule 402 of Regulation S-T, the information in this Current Report on Form 8-K, including Exhibit 100,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8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0</wp:posOffset>
            </wp:positionV>
            <wp:extent cx="67322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ind w:left="820" w:hanging="812"/>
        <w:spacing w:after="0" w:line="295"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months ended March 31, 2007, filed with the Securities and Exchange Commission on April 27, 2007, formatted in XBRL: (i) the Condensed Consolidated Balance Sheet as of March 31, 2007 and December 31, 2006, (ii) the Condensed Consolidated Statement of Operations for the Three Months Ended March 31, 2007 and 2006, and (iii) the Condensed Consolidated Statement of Cash Flows for the Three Months Ended March 31, 2007 and 2006.</w:t>
      </w:r>
    </w:p>
    <w:p>
      <w:pPr>
        <w:sectPr>
          <w:pgSz w:w="11900" w:h="16838" w:orient="portrait"/>
          <w:cols w:equalWidth="0" w:num="1">
            <w:col w:w="11340"/>
          </w:cols>
          <w:pgMar w:left="240" w:top="274"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June 21, 2007</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decimal"/>
      <w:start w:val="10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2019-12-12T02:43:35Z</dcterms:created>
  <dcterms:modified xsi:type="dcterms:W3CDTF">2019-12-12T02:43:35Z</dcterms:modified>
</cp:coreProperties>
</file>