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526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526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Strong Dana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1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- Sky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13,591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13,591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13,591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2"/>
        <w:spacing w:after="0" w:line="248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were granted subject to satisfaction of a performance condition. Based on achievement of the performance condition, the restricted stock units will vest three years following the grant date (February 1, 2019).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Elizabeth Wideman,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0000FF"/>
          <w:vertAlign w:val="subscript"/>
        </w:rPr>
        <w:t>12/16/2021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3068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2781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4622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2021-12-16T16:59:52Z</dcterms:created>
  <dcterms:modified xsi:type="dcterms:W3CDTF">2021-12-16T16:59:52Z</dcterms:modified>
</cp:coreProperties>
</file>