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679"/>
        <w:spacing w:after="0"/>
        <w:rPr>
          <w:sz w:val="20"/>
          <w:szCs w:val="20"/>
          <w:color w:val="auto"/>
        </w:rPr>
      </w:pPr>
      <w:r>
        <w:rPr>
          <w:rFonts w:ascii="Courier New" w:cs="Courier New" w:eastAsia="Courier New" w:hAnsi="Courier New"/>
          <w:sz w:val="18"/>
          <w:szCs w:val="18"/>
          <w:color w:val="auto"/>
        </w:rPr>
        <w:t>UNITED STATES</w:t>
      </w:r>
    </w:p>
    <w:p>
      <w:pPr>
        <w:spacing w:after="0" w:line="29" w:lineRule="exact"/>
        <w:rPr>
          <w:sz w:val="24"/>
          <w:szCs w:val="24"/>
          <w:color w:val="auto"/>
        </w:rPr>
      </w:pPr>
    </w:p>
    <w:p>
      <w:pPr>
        <w:jc w:val="center"/>
        <w:ind w:right="1779"/>
        <w:spacing w:after="0"/>
        <w:rPr>
          <w:sz w:val="20"/>
          <w:szCs w:val="20"/>
          <w:color w:val="auto"/>
        </w:rPr>
      </w:pPr>
      <w:r>
        <w:rPr>
          <w:rFonts w:ascii="Courier New" w:cs="Courier New" w:eastAsia="Courier New" w:hAnsi="Courier New"/>
          <w:sz w:val="18"/>
          <w:szCs w:val="18"/>
          <w:color w:val="auto"/>
        </w:rPr>
        <w:t>SECURITIES AND EXCHANGE COMMISSION</w:t>
      </w:r>
    </w:p>
    <w:p>
      <w:pPr>
        <w:jc w:val="center"/>
        <w:ind w:right="1779"/>
        <w:spacing w:after="0"/>
        <w:rPr>
          <w:sz w:val="20"/>
          <w:szCs w:val="20"/>
          <w:color w:val="auto"/>
        </w:rPr>
      </w:pPr>
      <w:r>
        <w:rPr>
          <w:rFonts w:ascii="Courier New" w:cs="Courier New" w:eastAsia="Courier New" w:hAnsi="Courier New"/>
          <w:sz w:val="18"/>
          <w:szCs w:val="18"/>
          <w:color w:val="auto"/>
        </w:rPr>
        <w:t>Washington, DC 20549</w:t>
      </w:r>
    </w:p>
    <w:p>
      <w:pPr>
        <w:spacing w:after="0" w:line="200" w:lineRule="exact"/>
        <w:rPr>
          <w:sz w:val="24"/>
          <w:szCs w:val="24"/>
          <w:color w:val="auto"/>
        </w:rPr>
      </w:pPr>
    </w:p>
    <w:p>
      <w:pPr>
        <w:spacing w:after="0" w:line="374" w:lineRule="exact"/>
        <w:rPr>
          <w:sz w:val="24"/>
          <w:szCs w:val="24"/>
          <w:color w:val="auto"/>
        </w:rPr>
      </w:pPr>
    </w:p>
    <w:p>
      <w:pPr>
        <w:jc w:val="center"/>
        <w:ind w:right="1779"/>
        <w:spacing w:after="0"/>
        <w:rPr>
          <w:sz w:val="20"/>
          <w:szCs w:val="20"/>
          <w:color w:val="auto"/>
        </w:rPr>
      </w:pPr>
      <w:r>
        <w:rPr>
          <w:rFonts w:ascii="Courier New" w:cs="Courier New" w:eastAsia="Courier New" w:hAnsi="Courier New"/>
          <w:sz w:val="18"/>
          <w:szCs w:val="18"/>
          <w:color w:val="auto"/>
        </w:rPr>
        <w:t>FORM 8-K</w:t>
      </w:r>
    </w:p>
    <w:p>
      <w:pPr>
        <w:spacing w:after="0" w:line="201" w:lineRule="exact"/>
        <w:rPr>
          <w:sz w:val="24"/>
          <w:szCs w:val="24"/>
          <w:color w:val="auto"/>
        </w:rPr>
      </w:pPr>
    </w:p>
    <w:p>
      <w:pPr>
        <w:jc w:val="center"/>
        <w:ind w:right="1779"/>
        <w:spacing w:after="0"/>
        <w:rPr>
          <w:sz w:val="20"/>
          <w:szCs w:val="20"/>
          <w:color w:val="auto"/>
        </w:rPr>
      </w:pPr>
      <w:r>
        <w:rPr>
          <w:rFonts w:ascii="Courier New" w:cs="Courier New" w:eastAsia="Courier New" w:hAnsi="Courier New"/>
          <w:sz w:val="18"/>
          <w:szCs w:val="18"/>
          <w:color w:val="auto"/>
        </w:rPr>
        <w:t>CURRENT REPORT</w:t>
      </w:r>
    </w:p>
    <w:p>
      <w:pPr>
        <w:spacing w:after="0" w:line="201" w:lineRule="exact"/>
        <w:rPr>
          <w:sz w:val="24"/>
          <w:szCs w:val="24"/>
          <w:color w:val="auto"/>
        </w:rPr>
      </w:pPr>
    </w:p>
    <w:p>
      <w:pPr>
        <w:ind w:left="2220"/>
        <w:spacing w:after="0"/>
        <w:rPr>
          <w:sz w:val="20"/>
          <w:szCs w:val="20"/>
          <w:color w:val="auto"/>
        </w:rPr>
      </w:pPr>
      <w:r>
        <w:rPr>
          <w:rFonts w:ascii="Courier New" w:cs="Courier New" w:eastAsia="Courier New" w:hAnsi="Courier New"/>
          <w:sz w:val="18"/>
          <w:szCs w:val="18"/>
          <w:color w:val="auto"/>
        </w:rPr>
        <w:t>PURSUANT TO SECTION 13 OR 15(d) of the</w:t>
      </w:r>
    </w:p>
    <w:p>
      <w:pPr>
        <w:spacing w:after="0" w:line="31" w:lineRule="exact"/>
        <w:rPr>
          <w:sz w:val="24"/>
          <w:szCs w:val="24"/>
          <w:color w:val="auto"/>
        </w:rPr>
      </w:pPr>
    </w:p>
    <w:p>
      <w:pPr>
        <w:ind w:left="2540"/>
        <w:spacing w:after="0"/>
        <w:rPr>
          <w:sz w:val="20"/>
          <w:szCs w:val="20"/>
          <w:color w:val="auto"/>
        </w:rPr>
      </w:pPr>
      <w:r>
        <w:rPr>
          <w:rFonts w:ascii="Courier New" w:cs="Courier New" w:eastAsia="Courier New" w:hAnsi="Courier New"/>
          <w:sz w:val="18"/>
          <w:szCs w:val="18"/>
          <w:color w:val="auto"/>
        </w:rPr>
        <w:t>SECURITIES EXCHANGE ACT OF 1934</w:t>
      </w:r>
    </w:p>
    <w:p>
      <w:pPr>
        <w:spacing w:after="0" w:line="200" w:lineRule="exact"/>
        <w:rPr>
          <w:sz w:val="24"/>
          <w:szCs w:val="24"/>
          <w:color w:val="auto"/>
        </w:rPr>
      </w:pPr>
    </w:p>
    <w:p>
      <w:pPr>
        <w:spacing w:after="0" w:line="374" w:lineRule="exact"/>
        <w:rPr>
          <w:sz w:val="24"/>
          <w:szCs w:val="24"/>
          <w:color w:val="auto"/>
        </w:rPr>
      </w:pPr>
    </w:p>
    <w:p>
      <w:pPr>
        <w:jc w:val="center"/>
        <w:ind w:right="1559"/>
        <w:spacing w:after="0"/>
        <w:rPr>
          <w:sz w:val="20"/>
          <w:szCs w:val="20"/>
          <w:color w:val="auto"/>
        </w:rPr>
      </w:pPr>
      <w:r>
        <w:rPr>
          <w:rFonts w:ascii="Courier New" w:cs="Courier New" w:eastAsia="Courier New" w:hAnsi="Courier New"/>
          <w:sz w:val="16"/>
          <w:szCs w:val="16"/>
          <w:color w:val="auto"/>
        </w:rPr>
        <w:t>Date of Report (Date of earliest event reported): May 26, 1999</w:t>
      </w:r>
    </w:p>
    <w:p>
      <w:pPr>
        <w:spacing w:after="0" w:line="224" w:lineRule="exact"/>
        <w:rPr>
          <w:sz w:val="24"/>
          <w:szCs w:val="24"/>
          <w:color w:val="auto"/>
        </w:rPr>
      </w:pPr>
    </w:p>
    <w:p>
      <w:pPr>
        <w:jc w:val="center"/>
        <w:ind w:right="1679"/>
        <w:spacing w:after="0"/>
        <w:rPr>
          <w:sz w:val="20"/>
          <w:szCs w:val="20"/>
          <w:color w:val="auto"/>
        </w:rPr>
      </w:pPr>
      <w:r>
        <w:rPr>
          <w:rFonts w:ascii="Courier New" w:cs="Courier New" w:eastAsia="Courier New" w:hAnsi="Courier New"/>
          <w:sz w:val="18"/>
          <w:szCs w:val="18"/>
          <w:color w:val="auto"/>
        </w:rPr>
        <w:t>COMCAST CORPORATION</w:t>
      </w:r>
    </w:p>
    <w:p>
      <w:pPr>
        <w:spacing w:after="0" w:line="29" w:lineRule="exact"/>
        <w:rPr>
          <w:sz w:val="24"/>
          <w:szCs w:val="24"/>
          <w:color w:val="auto"/>
        </w:rPr>
      </w:pPr>
    </w:p>
    <w:p>
      <w:pPr>
        <w:ind w:left="1380"/>
        <w:spacing w:after="0"/>
        <w:rPr>
          <w:sz w:val="20"/>
          <w:szCs w:val="20"/>
          <w:color w:val="auto"/>
        </w:rPr>
      </w:pPr>
      <w:r>
        <w:rPr>
          <w:rFonts w:ascii="Courier New" w:cs="Courier New" w:eastAsia="Courier New" w:hAnsi="Courier New"/>
          <w:sz w:val="18"/>
          <w:szCs w:val="18"/>
          <w:color w:val="auto"/>
        </w:rPr>
        <w:t>-------------------------------------------------------</w:t>
      </w:r>
    </w:p>
    <w:p>
      <w:pPr>
        <w:ind w:left="1380"/>
        <w:spacing w:after="0"/>
        <w:rPr>
          <w:sz w:val="20"/>
          <w:szCs w:val="20"/>
          <w:color w:val="auto"/>
        </w:rPr>
      </w:pPr>
      <w:r>
        <w:rPr>
          <w:rFonts w:ascii="Courier New" w:cs="Courier New" w:eastAsia="Courier New" w:hAnsi="Courier New"/>
          <w:sz w:val="18"/>
          <w:szCs w:val="18"/>
          <w:color w:val="auto"/>
        </w:rPr>
        <w:t>(Exact name of registrant as specified in its charter)</w:t>
      </w:r>
    </w:p>
    <w:p>
      <w:pPr>
        <w:sectPr>
          <w:pgSz w:w="11900" w:h="16838" w:orient="portrait"/>
          <w:cols w:equalWidth="0" w:num="1">
            <w:col w:w="10219"/>
          </w:cols>
          <w:pgMar w:left="240" w:top="218" w:right="1440" w:bottom="1440" w:gutter="0" w:footer="0" w:header="0"/>
        </w:sectPr>
      </w:pPr>
    </w:p>
    <w:p>
      <w:pPr>
        <w:spacing w:after="0" w:line="169" w:lineRule="exact"/>
        <w:rPr>
          <w:sz w:val="24"/>
          <w:szCs w:val="24"/>
          <w:color w:val="auto"/>
        </w:rPr>
      </w:pPr>
    </w:p>
    <w:p>
      <w:pPr>
        <w:ind w:left="960"/>
        <w:spacing w:after="0"/>
        <w:rPr>
          <w:sz w:val="20"/>
          <w:szCs w:val="20"/>
          <w:color w:val="auto"/>
        </w:rPr>
      </w:pPr>
      <w:r>
        <w:rPr>
          <w:rFonts w:ascii="Courier New" w:cs="Courier New" w:eastAsia="Courier New" w:hAnsi="Courier New"/>
          <w:sz w:val="18"/>
          <w:szCs w:val="18"/>
          <w:color w:val="auto"/>
        </w:rPr>
        <w:t>PENNSYLVANIA</w:t>
      </w:r>
    </w:p>
    <w:p>
      <w:pPr>
        <w:spacing w:after="0" w:line="31"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20"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(State or other jurisdiction</w:t>
      </w:r>
    </w:p>
    <w:p>
      <w:pPr>
        <w:ind w:left="320"/>
        <w:spacing w:after="0"/>
        <w:rPr>
          <w:sz w:val="20"/>
          <w:szCs w:val="20"/>
          <w:color w:val="auto"/>
        </w:rPr>
      </w:pPr>
      <w:r>
        <w:rPr>
          <w:rFonts w:ascii="Courier New" w:cs="Courier New" w:eastAsia="Courier New" w:hAnsi="Courier New"/>
          <w:sz w:val="18"/>
          <w:szCs w:val="18"/>
          <w:color w:val="auto"/>
        </w:rPr>
        <w:t>of incorporation)</w:t>
      </w:r>
    </w:p>
    <w:p>
      <w:pPr>
        <w:spacing w:after="0" w:line="20" w:lineRule="exact"/>
        <w:rPr>
          <w:sz w:val="24"/>
          <w:szCs w:val="24"/>
          <w:color w:val="auto"/>
        </w:rPr>
      </w:pPr>
      <w:r>
        <w:rPr>
          <w:sz w:val="24"/>
          <w:szCs w:val="24"/>
          <w:color w:val="auto"/>
        </w:rPr>
        <w:br w:type="column"/>
      </w:r>
    </w:p>
    <w:p>
      <w:pPr>
        <w:spacing w:after="0" w:line="149" w:lineRule="exact"/>
        <w:rPr>
          <w:sz w:val="24"/>
          <w:szCs w:val="24"/>
          <w:color w:val="auto"/>
        </w:rPr>
      </w:pPr>
    </w:p>
    <w:p>
      <w:pPr>
        <w:ind w:left="100"/>
        <w:spacing w:after="0"/>
        <w:rPr>
          <w:sz w:val="20"/>
          <w:szCs w:val="20"/>
          <w:color w:val="auto"/>
        </w:rPr>
      </w:pPr>
      <w:r>
        <w:rPr>
          <w:rFonts w:ascii="Courier New" w:cs="Courier New" w:eastAsia="Courier New" w:hAnsi="Courier New"/>
          <w:sz w:val="18"/>
          <w:szCs w:val="18"/>
          <w:color w:val="auto"/>
        </w:rPr>
        <w:t>000-06983</w:t>
      </w:r>
    </w:p>
    <w:p>
      <w:pPr>
        <w:spacing w:after="0" w:line="31" w:lineRule="exact"/>
        <w:rPr>
          <w:sz w:val="24"/>
          <w:szCs w:val="24"/>
          <w:color w:val="auto"/>
        </w:rPr>
      </w:pPr>
    </w:p>
    <w:p>
      <w:pPr>
        <w:ind w:left="220"/>
        <w:spacing w:after="0"/>
        <w:rPr>
          <w:sz w:val="20"/>
          <w:szCs w:val="20"/>
          <w:color w:val="auto"/>
        </w:rPr>
      </w:pPr>
      <w:r>
        <w:rPr>
          <w:rFonts w:ascii="Courier New" w:cs="Courier New" w:eastAsia="Courier New" w:hAnsi="Courier New"/>
          <w:sz w:val="16"/>
          <w:szCs w:val="16"/>
          <w:color w:val="auto"/>
        </w:rPr>
        <w:t>------------</w:t>
      </w:r>
    </w:p>
    <w:p>
      <w:pPr>
        <w:spacing w:after="0" w:line="20"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(Commission</w:t>
      </w:r>
    </w:p>
    <w:p>
      <w:pPr>
        <w:spacing w:after="0"/>
        <w:rPr>
          <w:sz w:val="20"/>
          <w:szCs w:val="20"/>
          <w:color w:val="auto"/>
        </w:rPr>
      </w:pPr>
      <w:r>
        <w:rPr>
          <w:rFonts w:ascii="Courier New" w:cs="Courier New" w:eastAsia="Courier New" w:hAnsi="Courier New"/>
          <w:sz w:val="18"/>
          <w:szCs w:val="18"/>
          <w:color w:val="auto"/>
        </w:rPr>
        <w:t>file number)</w:t>
      </w:r>
    </w:p>
    <w:p>
      <w:pPr>
        <w:spacing w:after="0" w:line="20" w:lineRule="exact"/>
        <w:rPr>
          <w:sz w:val="24"/>
          <w:szCs w:val="24"/>
          <w:color w:val="auto"/>
        </w:rPr>
      </w:pPr>
      <w:r>
        <w:rPr>
          <w:sz w:val="24"/>
          <w:szCs w:val="24"/>
          <w:color w:val="auto"/>
        </w:rPr>
        <w:br w:type="column"/>
      </w:r>
    </w:p>
    <w:p>
      <w:pPr>
        <w:spacing w:after="0" w:line="149" w:lineRule="exact"/>
        <w:rPr>
          <w:sz w:val="24"/>
          <w:szCs w:val="24"/>
          <w:color w:val="auto"/>
        </w:rPr>
      </w:pPr>
    </w:p>
    <w:p>
      <w:pPr>
        <w:ind w:left="320"/>
        <w:spacing w:after="0"/>
        <w:rPr>
          <w:sz w:val="20"/>
          <w:szCs w:val="20"/>
          <w:color w:val="auto"/>
        </w:rPr>
      </w:pPr>
      <w:r>
        <w:rPr>
          <w:rFonts w:ascii="Courier New" w:cs="Courier New" w:eastAsia="Courier New" w:hAnsi="Courier New"/>
          <w:sz w:val="18"/>
          <w:szCs w:val="18"/>
          <w:color w:val="auto"/>
        </w:rPr>
        <w:t>23-1709202</w:t>
      </w:r>
    </w:p>
    <w:p>
      <w:pPr>
        <w:spacing w:after="0" w:line="31" w:lineRule="exact"/>
        <w:rPr>
          <w:sz w:val="24"/>
          <w:szCs w:val="24"/>
          <w:color w:val="auto"/>
        </w:rPr>
      </w:pPr>
    </w:p>
    <w:p>
      <w:pPr>
        <w:ind w:left="220"/>
        <w:spacing w:after="0"/>
        <w:rPr>
          <w:sz w:val="20"/>
          <w:szCs w:val="20"/>
          <w:color w:val="auto"/>
        </w:rPr>
      </w:pPr>
      <w:r>
        <w:rPr>
          <w:rFonts w:ascii="Courier New" w:cs="Courier New" w:eastAsia="Courier New" w:hAnsi="Courier New"/>
          <w:sz w:val="16"/>
          <w:szCs w:val="16"/>
          <w:color w:val="auto"/>
        </w:rPr>
        <w:t>-------------------</w:t>
      </w:r>
    </w:p>
    <w:p>
      <w:pPr>
        <w:spacing w:after="0" w:line="20" w:lineRule="exact"/>
        <w:rPr>
          <w:sz w:val="24"/>
          <w:szCs w:val="24"/>
          <w:color w:val="auto"/>
        </w:rPr>
      </w:pPr>
    </w:p>
    <w:p>
      <w:pPr>
        <w:ind w:left="220"/>
        <w:spacing w:after="0"/>
        <w:rPr>
          <w:sz w:val="20"/>
          <w:szCs w:val="20"/>
          <w:color w:val="auto"/>
        </w:rPr>
      </w:pPr>
      <w:r>
        <w:rPr>
          <w:rFonts w:ascii="Courier New" w:cs="Courier New" w:eastAsia="Courier New" w:hAnsi="Courier New"/>
          <w:sz w:val="18"/>
          <w:szCs w:val="18"/>
          <w:color w:val="auto"/>
        </w:rPr>
        <w:t>(IRS employer</w:t>
      </w:r>
    </w:p>
    <w:p>
      <w:pPr>
        <w:spacing w:after="0"/>
        <w:rPr>
          <w:sz w:val="20"/>
          <w:szCs w:val="20"/>
          <w:color w:val="auto"/>
        </w:rPr>
      </w:pPr>
      <w:r>
        <w:rPr>
          <w:rFonts w:ascii="Courier New" w:cs="Courier New" w:eastAsia="Courier New" w:hAnsi="Courier New"/>
          <w:sz w:val="18"/>
          <w:szCs w:val="18"/>
          <w:color w:val="auto"/>
        </w:rPr>
        <w:t>identification no.)</w:t>
      </w:r>
    </w:p>
    <w:p>
      <w:pPr>
        <w:spacing w:after="0" w:line="169" w:lineRule="exact"/>
        <w:rPr>
          <w:sz w:val="24"/>
          <w:szCs w:val="24"/>
          <w:color w:val="auto"/>
        </w:rPr>
      </w:pPr>
    </w:p>
    <w:p>
      <w:pPr>
        <w:sectPr>
          <w:pgSz w:w="11900" w:h="16838" w:orient="portrait"/>
          <w:cols w:equalWidth="0" w:num="3">
            <w:col w:w="3160" w:space="640"/>
            <w:col w:w="1800" w:space="720"/>
            <w:col w:w="3899"/>
          </w:cols>
          <w:pgMar w:left="240" w:top="218" w:right="1440" w:bottom="1440" w:gutter="0" w:footer="0" w:header="0"/>
          <w:type w:val="continuous"/>
        </w:sectPr>
      </w:pPr>
    </w:p>
    <w:p>
      <w:pPr>
        <w:ind w:left="1380"/>
        <w:spacing w:after="0"/>
        <w:tabs>
          <w:tab w:leader="none" w:pos="6200" w:val="left"/>
        </w:tabs>
        <w:rPr>
          <w:sz w:val="20"/>
          <w:szCs w:val="20"/>
          <w:color w:val="auto"/>
        </w:rPr>
      </w:pPr>
      <w:r>
        <w:rPr>
          <w:rFonts w:ascii="Courier New" w:cs="Courier New" w:eastAsia="Courier New" w:hAnsi="Courier New"/>
          <w:sz w:val="18"/>
          <w:szCs w:val="18"/>
          <w:color w:val="auto"/>
        </w:rPr>
        <w:t>1500 Market Street, Philadelphia, PA</w:t>
      </w:r>
      <w:r>
        <w:rPr>
          <w:sz w:val="20"/>
          <w:szCs w:val="20"/>
          <w:color w:val="auto"/>
        </w:rPr>
        <w:tab/>
      </w:r>
      <w:r>
        <w:rPr>
          <w:rFonts w:ascii="Courier New" w:cs="Courier New" w:eastAsia="Courier New" w:hAnsi="Courier New"/>
          <w:sz w:val="16"/>
          <w:szCs w:val="16"/>
          <w:color w:val="auto"/>
        </w:rPr>
        <w:t>19102-2148</w:t>
      </w:r>
    </w:p>
    <w:p>
      <w:pPr>
        <w:spacing w:after="0" w:line="31" w:lineRule="exact"/>
        <w:rPr>
          <w:sz w:val="24"/>
          <w:szCs w:val="24"/>
          <w:color w:val="auto"/>
        </w:rPr>
      </w:pPr>
    </w:p>
    <w:p>
      <w:pPr>
        <w:ind w:left="1160"/>
        <w:spacing w:after="0"/>
        <w:rPr>
          <w:sz w:val="20"/>
          <w:szCs w:val="20"/>
          <w:color w:val="auto"/>
        </w:rPr>
      </w:pPr>
      <w:r>
        <w:rPr>
          <w:rFonts w:ascii="Courier New" w:cs="Courier New" w:eastAsia="Courier New" w:hAnsi="Courier New"/>
          <w:sz w:val="16"/>
          <w:szCs w:val="16"/>
          <w:color w:val="auto"/>
        </w:rPr>
        <w:t>----------------------------------------------------------</w:t>
      </w:r>
    </w:p>
    <w:p>
      <w:pPr>
        <w:spacing w:after="0" w:line="21" w:lineRule="exact"/>
        <w:rPr>
          <w:sz w:val="24"/>
          <w:szCs w:val="24"/>
          <w:color w:val="auto"/>
        </w:rPr>
      </w:pPr>
    </w:p>
    <w:p>
      <w:pPr>
        <w:ind w:left="1380"/>
        <w:spacing w:after="0"/>
        <w:tabs>
          <w:tab w:leader="none" w:pos="6100" w:val="left"/>
        </w:tabs>
        <w:rPr>
          <w:sz w:val="20"/>
          <w:szCs w:val="20"/>
          <w:color w:val="auto"/>
        </w:rPr>
      </w:pPr>
      <w:r>
        <w:rPr>
          <w:rFonts w:ascii="Courier New" w:cs="Courier New" w:eastAsia="Courier New" w:hAnsi="Courier New"/>
          <w:sz w:val="18"/>
          <w:szCs w:val="18"/>
          <w:color w:val="auto"/>
        </w:rPr>
        <w:t>(Address of principal executive offices)</w:t>
      </w:r>
      <w:r>
        <w:rPr>
          <w:sz w:val="20"/>
          <w:szCs w:val="20"/>
          <w:color w:val="auto"/>
        </w:rPr>
        <w:tab/>
      </w:r>
      <w:r>
        <w:rPr>
          <w:rFonts w:ascii="Courier New" w:cs="Courier New" w:eastAsia="Courier New" w:hAnsi="Courier New"/>
          <w:sz w:val="16"/>
          <w:szCs w:val="16"/>
          <w:color w:val="auto"/>
        </w:rPr>
        <w:t>(Zip Code)</w:t>
      </w:r>
    </w:p>
    <w:p>
      <w:pPr>
        <w:sectPr>
          <w:pgSz w:w="11900" w:h="16838" w:orient="portrait"/>
          <w:cols w:equalWidth="0" w:num="1">
            <w:col w:w="10219"/>
          </w:cols>
          <w:pgMar w:left="240" w:top="218" w:right="1440" w:bottom="1440" w:gutter="0" w:footer="0" w:header="0"/>
          <w:type w:val="continuous"/>
        </w:sectPr>
      </w:pPr>
    </w:p>
    <w:p>
      <w:pPr>
        <w:spacing w:after="0" w:line="169" w:lineRule="exact"/>
        <w:rPr>
          <w:sz w:val="24"/>
          <w:szCs w:val="24"/>
          <w:color w:val="auto"/>
        </w:rPr>
      </w:pPr>
    </w:p>
    <w:p>
      <w:pPr>
        <w:ind w:left="740"/>
        <w:spacing w:after="0"/>
        <w:rPr>
          <w:sz w:val="20"/>
          <w:szCs w:val="20"/>
          <w:color w:val="auto"/>
        </w:rPr>
      </w:pPr>
      <w:r>
        <w:rPr>
          <w:rFonts w:ascii="Courier New" w:cs="Courier New" w:eastAsia="Courier New" w:hAnsi="Courier New"/>
          <w:sz w:val="18"/>
          <w:szCs w:val="18"/>
          <w:color w:val="auto"/>
        </w:rPr>
        <w:t>Registrant's telephone number, including area code: (215) 665-1700</w:t>
      </w:r>
    </w:p>
    <w:p>
      <w:pPr>
        <w:spacing w:after="0" w:line="31" w:lineRule="exact"/>
        <w:rPr>
          <w:sz w:val="24"/>
          <w:szCs w:val="24"/>
          <w:color w:val="auto"/>
        </w:rPr>
      </w:pPr>
    </w:p>
    <w:p>
      <w:pPr>
        <w:ind w:left="6220"/>
        <w:spacing w:after="0"/>
        <w:rPr>
          <w:sz w:val="20"/>
          <w:szCs w:val="20"/>
          <w:color w:val="auto"/>
        </w:rPr>
      </w:pPr>
      <w:r>
        <w:rPr>
          <w:rFonts w:ascii="Courier New" w:cs="Courier New" w:eastAsia="Courier New" w:hAnsi="Courier New"/>
          <w:sz w:val="18"/>
          <w:szCs w:val="18"/>
          <w:color w:val="auto"/>
        </w:rPr>
        <w:t>--------------</w:t>
      </w:r>
    </w:p>
    <w:p>
      <w:pPr>
        <w:spacing w:after="0" w:line="200" w:lineRule="exact"/>
        <w:rPr>
          <w:sz w:val="24"/>
          <w:szCs w:val="24"/>
          <w:color w:val="auto"/>
        </w:rPr>
      </w:pPr>
    </w:p>
    <w:p>
      <w:pPr>
        <w:spacing w:after="0" w:line="347" w:lineRule="exact"/>
        <w:rPr>
          <w:sz w:val="24"/>
          <w:szCs w:val="24"/>
          <w:color w:val="auto"/>
        </w:rPr>
      </w:pPr>
    </w:p>
    <w:p>
      <w:pPr>
        <w:spacing w:after="0"/>
        <w:tabs>
          <w:tab w:leader="none" w:pos="1040" w:val="left"/>
        </w:tabs>
        <w:rPr>
          <w:sz w:val="20"/>
          <w:szCs w:val="20"/>
          <w:color w:val="auto"/>
        </w:rPr>
      </w:pPr>
      <w:r>
        <w:rPr>
          <w:rFonts w:ascii="Courier New" w:cs="Courier New" w:eastAsia="Courier New" w:hAnsi="Courier New"/>
          <w:sz w:val="18"/>
          <w:szCs w:val="18"/>
          <w:color w:val="auto"/>
        </w:rPr>
        <w:t>ITEM 5.</w:t>
      </w:r>
      <w:r>
        <w:rPr>
          <w:sz w:val="20"/>
          <w:szCs w:val="20"/>
          <w:color w:val="auto"/>
        </w:rPr>
        <w:tab/>
      </w:r>
      <w:r>
        <w:rPr>
          <w:rFonts w:ascii="Courier New" w:cs="Courier New" w:eastAsia="Courier New" w:hAnsi="Courier New"/>
          <w:sz w:val="16"/>
          <w:szCs w:val="16"/>
          <w:color w:val="auto"/>
        </w:rPr>
        <w:t>OTHER EVENTS</w:t>
      </w:r>
    </w:p>
    <w:p>
      <w:pPr>
        <w:spacing w:after="0" w:line="201" w:lineRule="exact"/>
        <w:rPr>
          <w:sz w:val="24"/>
          <w:szCs w:val="24"/>
          <w:color w:val="auto"/>
        </w:rPr>
      </w:pPr>
    </w:p>
    <w:p>
      <w:pPr>
        <w:jc w:val="both"/>
        <w:ind w:right="1779" w:firstLine="527"/>
        <w:spacing w:after="0" w:line="253" w:lineRule="auto"/>
        <w:rPr>
          <w:sz w:val="20"/>
          <w:szCs w:val="20"/>
          <w:color w:val="auto"/>
        </w:rPr>
      </w:pPr>
      <w:r>
        <w:rPr>
          <w:rFonts w:ascii="Courier New" w:cs="Courier New" w:eastAsia="Courier New" w:hAnsi="Courier New"/>
          <w:sz w:val="18"/>
          <w:szCs w:val="18"/>
          <w:color w:val="auto"/>
        </w:rPr>
        <w:t>On May 26, 1999, Comcast Corporation, a Pennsylvania corporation ("Comcast"), and Jones Intercable, Inc., a Colorado corporation and an indirect controlled subsidiary of Comcast ("Jones") announced agreements (the "Agreements") to swap certain cable systems with Adelphia Communications, a Delaware corporation. A press release announcing the Agreements was issued by Comcast and Jones on May 26, 1999. The information contained in the press release is incorporated herein by reference. The press release is attached hereto as Exhibit 99.1.</w:t>
      </w:r>
    </w:p>
    <w:p>
      <w:pPr>
        <w:spacing w:after="0" w:line="306" w:lineRule="exact"/>
        <w:rPr>
          <w:sz w:val="24"/>
          <w:szCs w:val="24"/>
          <w:color w:val="auto"/>
        </w:rPr>
      </w:pPr>
    </w:p>
    <w:p>
      <w:pPr>
        <w:spacing w:after="0"/>
        <w:tabs>
          <w:tab w:leader="none" w:pos="1360" w:val="left"/>
        </w:tabs>
        <w:rPr>
          <w:sz w:val="20"/>
          <w:szCs w:val="20"/>
          <w:color w:val="auto"/>
        </w:rPr>
      </w:pPr>
      <w:r>
        <w:rPr>
          <w:rFonts w:ascii="Courier New" w:cs="Courier New" w:eastAsia="Courier New" w:hAnsi="Courier New"/>
          <w:sz w:val="18"/>
          <w:szCs w:val="18"/>
          <w:color w:val="auto"/>
        </w:rPr>
        <w:t>ITEM 7(c).</w:t>
      </w:r>
      <w:r>
        <w:rPr>
          <w:sz w:val="20"/>
          <w:szCs w:val="20"/>
          <w:color w:val="auto"/>
        </w:rPr>
        <w:tab/>
      </w:r>
      <w:r>
        <w:rPr>
          <w:rFonts w:ascii="Courier New" w:cs="Courier New" w:eastAsia="Courier New" w:hAnsi="Courier New"/>
          <w:sz w:val="16"/>
          <w:szCs w:val="16"/>
          <w:color w:val="auto"/>
        </w:rPr>
        <w:t>EXHIBITS</w:t>
      </w:r>
    </w:p>
    <w:p>
      <w:pPr>
        <w:spacing w:after="0" w:line="201" w:lineRule="exact"/>
        <w:rPr>
          <w:sz w:val="24"/>
          <w:szCs w:val="24"/>
          <w:color w:val="auto"/>
        </w:rPr>
      </w:pPr>
    </w:p>
    <w:p>
      <w:pPr>
        <w:spacing w:after="0"/>
        <w:tabs>
          <w:tab w:leader="none" w:pos="1040" w:val="left"/>
        </w:tabs>
        <w:rPr>
          <w:sz w:val="20"/>
          <w:szCs w:val="20"/>
          <w:color w:val="auto"/>
        </w:rPr>
      </w:pPr>
      <w:r>
        <w:rPr>
          <w:rFonts w:ascii="Courier New" w:cs="Courier New" w:eastAsia="Courier New" w:hAnsi="Courier New"/>
          <w:sz w:val="18"/>
          <w:szCs w:val="18"/>
          <w:color w:val="auto"/>
        </w:rPr>
        <w:t>99.1</w:t>
      </w:r>
      <w:r>
        <w:rPr>
          <w:sz w:val="20"/>
          <w:szCs w:val="20"/>
          <w:color w:val="auto"/>
        </w:rPr>
        <w:tab/>
      </w:r>
      <w:r>
        <w:rPr>
          <w:rFonts w:ascii="Courier New" w:cs="Courier New" w:eastAsia="Courier New" w:hAnsi="Courier New"/>
          <w:sz w:val="16"/>
          <w:szCs w:val="16"/>
          <w:color w:val="auto"/>
        </w:rPr>
        <w:t>Press Release dated May 26, 1999.</w:t>
      </w:r>
    </w:p>
    <w:p>
      <w:pPr>
        <w:sectPr>
          <w:pgSz w:w="11900" w:h="16838" w:orient="portrait"/>
          <w:cols w:equalWidth="0" w:num="1">
            <w:col w:w="10219"/>
          </w:cols>
          <w:pgMar w:left="240" w:top="218" w:right="1440" w:bottom="1440" w:gutter="0" w:footer="0" w:header="0"/>
          <w:type w:val="continuous"/>
        </w:sectPr>
      </w:pPr>
    </w:p>
    <w:bookmarkStart w:id="1" w:name="page2"/>
    <w:bookmarkEnd w:id="1"/>
    <w:p>
      <w:pPr>
        <w:jc w:val="center"/>
        <w:ind w:right="1679"/>
        <w:spacing w:after="0"/>
        <w:rPr>
          <w:sz w:val="20"/>
          <w:szCs w:val="20"/>
          <w:color w:val="auto"/>
        </w:rPr>
      </w:pPr>
      <w:r>
        <w:rPr>
          <w:rFonts w:ascii="Courier New" w:cs="Courier New" w:eastAsia="Courier New" w:hAnsi="Courier New"/>
          <w:sz w:val="18"/>
          <w:szCs w:val="18"/>
          <w:color w:val="auto"/>
        </w:rPr>
        <w:t>SIGNATURE</w:t>
      </w:r>
    </w:p>
    <w:p>
      <w:pPr>
        <w:spacing w:after="0" w:line="201" w:lineRule="exact"/>
        <w:rPr>
          <w:sz w:val="20"/>
          <w:szCs w:val="20"/>
          <w:color w:val="auto"/>
        </w:rPr>
      </w:pPr>
    </w:p>
    <w:p>
      <w:pPr>
        <w:ind w:right="2099" w:firstLine="527"/>
        <w:spacing w:after="0" w:line="292" w:lineRule="auto"/>
        <w:rPr>
          <w:sz w:val="20"/>
          <w:szCs w:val="20"/>
          <w:color w:val="auto"/>
        </w:rPr>
      </w:pPr>
      <w:r>
        <w:rPr>
          <w:rFonts w:ascii="Courier New" w:cs="Courier New" w:eastAsia="Courier New" w:hAnsi="Courier New"/>
          <w:sz w:val="18"/>
          <w:szCs w:val="18"/>
          <w:color w:val="auto"/>
        </w:rPr>
        <w:t>Pursuant to the requirements of the Securities Exchange Act of 1934, the Registrant has duly caused this report to be signed on its behalf by the undersigned, thereunto duly authorized.</w:t>
      </w:r>
    </w:p>
    <w:p>
      <w:pPr>
        <w:spacing w:after="0" w:line="66" w:lineRule="exact"/>
        <w:rPr>
          <w:sz w:val="20"/>
          <w:szCs w:val="20"/>
          <w:color w:val="auto"/>
        </w:rPr>
      </w:pPr>
    </w:p>
    <w:p>
      <w:pPr>
        <w:jc w:val="center"/>
        <w:ind w:right="399"/>
        <w:spacing w:after="0"/>
        <w:rPr>
          <w:sz w:val="20"/>
          <w:szCs w:val="20"/>
          <w:color w:val="auto"/>
        </w:rPr>
      </w:pPr>
      <w:r>
        <w:rPr>
          <w:rFonts w:ascii="Courier New" w:cs="Courier New" w:eastAsia="Courier New" w:hAnsi="Courier New"/>
          <w:sz w:val="18"/>
          <w:szCs w:val="18"/>
          <w:color w:val="auto"/>
        </w:rPr>
        <w:t>COMCAST CORPORATION</w:t>
      </w:r>
    </w:p>
    <w:p>
      <w:pPr>
        <w:sectPr>
          <w:pgSz w:w="11900" w:h="16838" w:orient="portrait"/>
          <w:cols w:equalWidth="0" w:num="1">
            <w:col w:w="10219"/>
          </w:cols>
          <w:pgMar w:left="240" w:top="691" w:right="1440" w:bottom="1440" w:gutter="0" w:footer="0" w:header="0"/>
        </w:sectPr>
      </w:pP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Dated: May 27, 1999</w:t>
      </w:r>
    </w:p>
    <w:p>
      <w:pPr>
        <w:spacing w:after="0" w:line="20" w:lineRule="exact"/>
        <w:rPr>
          <w:sz w:val="20"/>
          <w:szCs w:val="20"/>
          <w:color w:val="auto"/>
        </w:rPr>
      </w:pPr>
      <w:r>
        <w:rPr>
          <w:sz w:val="20"/>
          <w:szCs w:val="20"/>
          <w:color w:val="auto"/>
        </w:rPr>
        <w:br w:type="column"/>
      </w:r>
    </w:p>
    <w:p>
      <w:pPr>
        <w:spacing w:after="0" w:line="18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By: /s/ Joseph J. Euteneuer</w:t>
      </w:r>
    </w:p>
    <w:p>
      <w:pPr>
        <w:spacing w:after="0" w:line="31" w:lineRule="exact"/>
        <w:rPr>
          <w:sz w:val="20"/>
          <w:szCs w:val="20"/>
          <w:color w:val="auto"/>
        </w:rPr>
      </w:pPr>
    </w:p>
    <w:p>
      <w:pPr>
        <w:ind w:left="420"/>
        <w:spacing w:after="0"/>
        <w:rPr>
          <w:sz w:val="20"/>
          <w:szCs w:val="20"/>
          <w:color w:val="auto"/>
        </w:rPr>
      </w:pPr>
      <w:r>
        <w:rPr>
          <w:rFonts w:ascii="Courier New" w:cs="Courier New" w:eastAsia="Courier New" w:hAnsi="Courier New"/>
          <w:sz w:val="16"/>
          <w:szCs w:val="16"/>
          <w:color w:val="auto"/>
        </w:rPr>
        <w:t>---------------------------------------</w:t>
      </w:r>
    </w:p>
    <w:p>
      <w:pPr>
        <w:spacing w:after="0" w:line="20" w:lineRule="exact"/>
        <w:rPr>
          <w:sz w:val="20"/>
          <w:szCs w:val="20"/>
          <w:color w:val="auto"/>
        </w:rPr>
      </w:pPr>
    </w:p>
    <w:p>
      <w:pPr>
        <w:ind w:left="420"/>
        <w:spacing w:after="0"/>
        <w:rPr>
          <w:sz w:val="20"/>
          <w:szCs w:val="20"/>
          <w:color w:val="auto"/>
        </w:rPr>
      </w:pPr>
      <w:r>
        <w:rPr>
          <w:rFonts w:ascii="Courier New" w:cs="Courier New" w:eastAsia="Courier New" w:hAnsi="Courier New"/>
          <w:sz w:val="18"/>
          <w:szCs w:val="18"/>
          <w:color w:val="auto"/>
        </w:rPr>
        <w:t>Joseph J. Euteneuer</w:t>
      </w:r>
    </w:p>
    <w:p>
      <w:pPr>
        <w:ind w:left="420"/>
        <w:spacing w:after="0"/>
        <w:rPr>
          <w:sz w:val="20"/>
          <w:szCs w:val="20"/>
          <w:color w:val="auto"/>
        </w:rPr>
      </w:pPr>
      <w:r>
        <w:rPr>
          <w:rFonts w:ascii="Courier New" w:cs="Courier New" w:eastAsia="Courier New" w:hAnsi="Courier New"/>
          <w:sz w:val="16"/>
          <w:szCs w:val="16"/>
          <w:color w:val="auto"/>
        </w:rPr>
        <w:t>Vice President and Corporate Controller</w:t>
      </w:r>
    </w:p>
    <w:p>
      <w:pPr>
        <w:spacing w:after="0" w:line="192" w:lineRule="exact"/>
        <w:rPr>
          <w:sz w:val="20"/>
          <w:szCs w:val="20"/>
          <w:color w:val="auto"/>
        </w:rPr>
      </w:pPr>
    </w:p>
    <w:p>
      <w:pPr>
        <w:sectPr>
          <w:pgSz w:w="11900" w:h="16838" w:orient="portrait"/>
          <w:cols w:equalWidth="0" w:num="2">
            <w:col w:w="3180" w:space="720"/>
            <w:col w:w="6319"/>
          </w:cols>
          <w:pgMar w:left="240" w:top="691" w:right="1440" w:bottom="1440" w:gutter="0" w:footer="0" w:header="0"/>
          <w:type w:val="continuous"/>
        </w:sectPr>
      </w:pPr>
    </w:p>
    <w:p>
      <w:pPr>
        <w:ind w:left="4120"/>
        <w:spacing w:after="0"/>
        <w:rPr>
          <w:sz w:val="20"/>
          <w:szCs w:val="20"/>
          <w:color w:val="auto"/>
        </w:rPr>
      </w:pPr>
      <w:r>
        <w:rPr>
          <w:rFonts w:ascii="Courier New" w:cs="Courier New" w:eastAsia="Courier New" w:hAnsi="Courier New"/>
          <w:sz w:val="16"/>
          <w:szCs w:val="16"/>
          <w:color w:val="auto"/>
        </w:rPr>
        <w:t>2</w:t>
      </w:r>
    </w:p>
    <w:p>
      <w:pPr>
        <w:sectPr>
          <w:pgSz w:w="11900" w:h="16838" w:orient="portrait"/>
          <w:cols w:equalWidth="0" w:num="1">
            <w:col w:w="10219"/>
          </w:cols>
          <w:pgMar w:left="240" w:top="691" w:right="1440" w:bottom="1440" w:gutter="0" w:footer="0" w:header="0"/>
          <w:type w:val="continuous"/>
        </w:sectPr>
      </w:pPr>
    </w:p>
    <w:bookmarkStart w:id="2" w:name="page3"/>
    <w:bookmarkEnd w:id="2"/>
    <w:p>
      <w:pPr>
        <w:ind w:left="6440"/>
        <w:spacing w:after="0"/>
        <w:rPr>
          <w:sz w:val="20"/>
          <w:szCs w:val="20"/>
          <w:color w:val="auto"/>
        </w:rPr>
      </w:pPr>
      <w:r>
        <w:rPr>
          <w:rFonts w:ascii="Courier New" w:cs="Courier New" w:eastAsia="Courier New" w:hAnsi="Courier New"/>
          <w:sz w:val="18"/>
          <w:szCs w:val="18"/>
          <w:color w:val="auto"/>
        </w:rPr>
        <w:t>COMCAST CORPORATION</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NEWS RELEASE</w:t>
      </w:r>
    </w:p>
    <w:p>
      <w:pPr>
        <w:spacing w:after="0" w:line="201" w:lineRule="exact"/>
        <w:rPr>
          <w:sz w:val="20"/>
          <w:szCs w:val="20"/>
          <w:color w:val="auto"/>
        </w:rPr>
      </w:pPr>
    </w:p>
    <w:p>
      <w:pPr>
        <w:ind w:left="220" w:hanging="212"/>
        <w:spacing w:after="0"/>
        <w:tabs>
          <w:tab w:leader="none" w:pos="220" w:val="left"/>
        </w:tabs>
        <w:numPr>
          <w:ilvl w:val="0"/>
          <w:numId w:val="1"/>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53" w:lineRule="exact"/>
        <w:rPr>
          <w:rFonts w:ascii="Courier New" w:cs="Courier New" w:eastAsia="Courier New" w:hAnsi="Courier New"/>
          <w:sz w:val="16"/>
          <w:szCs w:val="16"/>
          <w:color w:val="auto"/>
        </w:rPr>
      </w:pPr>
    </w:p>
    <w:p>
      <w:pPr>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Contact:</w:t>
      </w:r>
    </w:p>
    <w:tbl>
      <w:tblPr>
        <w:tblLayout w:type="fixed"/>
        <w:tblInd w:w="0" w:type="dxa"/>
        <w:tblCellMar>
          <w:top w:w="0" w:type="dxa"/>
          <w:left w:w="0" w:type="dxa"/>
          <w:bottom w:w="0" w:type="dxa"/>
          <w:right w:w="0" w:type="dxa"/>
        </w:tblCellMar>
      </w:tblPr>
      <w:tr>
        <w:trPr>
          <w:trHeight w:val="171"/>
        </w:trPr>
        <w:tc>
          <w:tcPr>
            <w:tcW w:w="800" w:type="dxa"/>
            <w:vAlign w:val="bottom"/>
          </w:tcPr>
          <w:p>
            <w:pPr>
              <w:spacing w:after="0" w:line="171" w:lineRule="exact"/>
              <w:rPr>
                <w:sz w:val="20"/>
                <w:szCs w:val="20"/>
                <w:color w:val="auto"/>
              </w:rPr>
            </w:pPr>
            <w:r>
              <w:rPr>
                <w:rFonts w:ascii="Courier New" w:cs="Courier New" w:eastAsia="Courier New" w:hAnsi="Courier New"/>
                <w:sz w:val="18"/>
                <w:szCs w:val="18"/>
                <w:color w:val="auto"/>
              </w:rPr>
              <w:t>John R.</w:t>
            </w:r>
          </w:p>
        </w:tc>
        <w:tc>
          <w:tcPr>
            <w:tcW w:w="3160" w:type="dxa"/>
            <w:vAlign w:val="bottom"/>
          </w:tcPr>
          <w:p>
            <w:pPr>
              <w:ind w:left="60"/>
              <w:spacing w:after="0" w:line="171" w:lineRule="exact"/>
              <w:rPr>
                <w:sz w:val="20"/>
                <w:szCs w:val="20"/>
                <w:color w:val="auto"/>
              </w:rPr>
            </w:pPr>
            <w:r>
              <w:rPr>
                <w:rFonts w:ascii="Courier New" w:cs="Courier New" w:eastAsia="Courier New" w:hAnsi="Courier New"/>
                <w:sz w:val="18"/>
                <w:szCs w:val="18"/>
                <w:color w:val="auto"/>
                <w:w w:val="98"/>
              </w:rPr>
              <w:t>Alchin, Senior Vice President</w:t>
            </w:r>
          </w:p>
        </w:tc>
        <w:tc>
          <w:tcPr>
            <w:tcW w:w="1640" w:type="dxa"/>
            <w:vAlign w:val="bottom"/>
          </w:tcPr>
          <w:p>
            <w:pPr>
              <w:ind w:left="60"/>
              <w:spacing w:after="0" w:line="171" w:lineRule="exact"/>
              <w:rPr>
                <w:sz w:val="20"/>
                <w:szCs w:val="20"/>
                <w:color w:val="auto"/>
              </w:rPr>
            </w:pPr>
            <w:r>
              <w:rPr>
                <w:rFonts w:ascii="Courier New" w:cs="Courier New" w:eastAsia="Courier New" w:hAnsi="Courier New"/>
                <w:sz w:val="18"/>
                <w:szCs w:val="18"/>
                <w:color w:val="auto"/>
              </w:rPr>
              <w:t>and Treasurer</w:t>
            </w:r>
          </w:p>
        </w:tc>
        <w:tc>
          <w:tcPr>
            <w:tcW w:w="780" w:type="dxa"/>
            <w:vAlign w:val="bottom"/>
          </w:tcPr>
          <w:p>
            <w:pPr>
              <w:jc w:val="right"/>
              <w:spacing w:after="0" w:line="171" w:lineRule="exact"/>
              <w:rPr>
                <w:sz w:val="20"/>
                <w:szCs w:val="20"/>
                <w:color w:val="auto"/>
              </w:rPr>
            </w:pPr>
            <w:r>
              <w:rPr>
                <w:rFonts w:ascii="Courier New" w:cs="Courier New" w:eastAsia="Courier New" w:hAnsi="Courier New"/>
                <w:sz w:val="18"/>
                <w:szCs w:val="18"/>
                <w:color w:val="auto"/>
              </w:rPr>
              <w:t>(215)</w:t>
            </w:r>
          </w:p>
        </w:tc>
        <w:tc>
          <w:tcPr>
            <w:tcW w:w="900" w:type="dxa"/>
            <w:vAlign w:val="bottom"/>
          </w:tcPr>
          <w:p>
            <w:pPr>
              <w:jc w:val="right"/>
              <w:spacing w:after="0" w:line="171" w:lineRule="exact"/>
              <w:rPr>
                <w:sz w:val="20"/>
                <w:szCs w:val="20"/>
                <w:color w:val="auto"/>
              </w:rPr>
            </w:pPr>
            <w:r>
              <w:rPr>
                <w:rFonts w:ascii="Courier New" w:cs="Courier New" w:eastAsia="Courier New" w:hAnsi="Courier New"/>
                <w:sz w:val="18"/>
                <w:szCs w:val="18"/>
                <w:color w:val="auto"/>
              </w:rPr>
              <w:t>981-7503</w:t>
            </w:r>
          </w:p>
        </w:tc>
      </w:tr>
      <w:tr>
        <w:trPr>
          <w:trHeight w:val="203"/>
        </w:trPr>
        <w:tc>
          <w:tcPr>
            <w:tcW w:w="800" w:type="dxa"/>
            <w:vAlign w:val="bottom"/>
          </w:tcPr>
          <w:p>
            <w:pPr>
              <w:spacing w:after="0" w:line="203" w:lineRule="exact"/>
              <w:rPr>
                <w:sz w:val="20"/>
                <w:szCs w:val="20"/>
                <w:color w:val="auto"/>
              </w:rPr>
            </w:pPr>
            <w:r>
              <w:rPr>
                <w:rFonts w:ascii="Courier New" w:cs="Courier New" w:eastAsia="Courier New" w:hAnsi="Courier New"/>
                <w:sz w:val="18"/>
                <w:szCs w:val="18"/>
                <w:color w:val="auto"/>
              </w:rPr>
              <w:t>William</w:t>
            </w:r>
          </w:p>
        </w:tc>
        <w:tc>
          <w:tcPr>
            <w:tcW w:w="316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w w:val="98"/>
              </w:rPr>
              <w:t>E. Dordelman, Vice President,</w:t>
            </w:r>
          </w:p>
        </w:tc>
        <w:tc>
          <w:tcPr>
            <w:tcW w:w="164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Finance</w:t>
            </w:r>
          </w:p>
        </w:tc>
        <w:tc>
          <w:tcPr>
            <w:tcW w:w="7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(215)</w:t>
            </w:r>
          </w:p>
        </w:tc>
        <w:tc>
          <w:tcPr>
            <w:tcW w:w="9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981-7550</w:t>
            </w:r>
          </w:p>
        </w:tc>
      </w:tr>
      <w:tr>
        <w:trPr>
          <w:trHeight w:val="296"/>
        </w:trPr>
        <w:tc>
          <w:tcPr>
            <w:tcW w:w="800" w:type="dxa"/>
            <w:vAlign w:val="bottom"/>
          </w:tcPr>
          <w:p>
            <w:pPr>
              <w:spacing w:after="0"/>
              <w:rPr>
                <w:sz w:val="20"/>
                <w:szCs w:val="20"/>
                <w:color w:val="auto"/>
              </w:rPr>
            </w:pPr>
            <w:r>
              <w:rPr>
                <w:rFonts w:ascii="Courier New" w:cs="Courier New" w:eastAsia="Courier New" w:hAnsi="Courier New"/>
                <w:sz w:val="18"/>
                <w:szCs w:val="18"/>
                <w:color w:val="auto"/>
              </w:rPr>
              <w:t>Marlene</w:t>
            </w:r>
          </w:p>
        </w:tc>
        <w:tc>
          <w:tcPr>
            <w:tcW w:w="5580" w:type="dxa"/>
            <w:vAlign w:val="bottom"/>
            <w:gridSpan w:val="3"/>
          </w:tcPr>
          <w:p>
            <w:pPr>
              <w:jc w:val="right"/>
              <w:spacing w:after="0"/>
              <w:rPr>
                <w:sz w:val="20"/>
                <w:szCs w:val="20"/>
                <w:color w:val="auto"/>
              </w:rPr>
            </w:pPr>
            <w:r>
              <w:rPr>
                <w:rFonts w:ascii="Courier New" w:cs="Courier New" w:eastAsia="Courier New" w:hAnsi="Courier New"/>
                <w:sz w:val="18"/>
                <w:szCs w:val="18"/>
                <w:color w:val="auto"/>
                <w:w w:val="97"/>
              </w:rPr>
              <w:t>S. Dooner, Senior Director, Investor Relations (215)</w:t>
            </w:r>
          </w:p>
        </w:tc>
        <w:tc>
          <w:tcPr>
            <w:tcW w:w="900" w:type="dxa"/>
            <w:vAlign w:val="bottom"/>
          </w:tcPr>
          <w:p>
            <w:pPr>
              <w:jc w:val="right"/>
              <w:spacing w:after="0"/>
              <w:rPr>
                <w:sz w:val="20"/>
                <w:szCs w:val="20"/>
                <w:color w:val="auto"/>
              </w:rPr>
            </w:pPr>
            <w:r>
              <w:rPr>
                <w:rFonts w:ascii="Courier New" w:cs="Courier New" w:eastAsia="Courier New" w:hAnsi="Courier New"/>
                <w:sz w:val="18"/>
                <w:szCs w:val="18"/>
                <w:color w:val="auto"/>
              </w:rPr>
              <w:t>981-7392</w:t>
            </w:r>
          </w:p>
        </w:tc>
      </w:tr>
    </w:tbl>
    <w:p>
      <w:pPr>
        <w:spacing w:after="0" w:line="109"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FOR IMMEDIATE RELEASE</w:t>
      </w:r>
    </w:p>
    <w:p>
      <w:pPr>
        <w:spacing w:after="0" w:line="200" w:lineRule="exact"/>
        <w:rPr>
          <w:sz w:val="20"/>
          <w:szCs w:val="20"/>
          <w:color w:val="auto"/>
        </w:rPr>
      </w:pPr>
    </w:p>
    <w:p>
      <w:pPr>
        <w:spacing w:after="0" w:line="204" w:lineRule="exact"/>
        <w:rPr>
          <w:sz w:val="20"/>
          <w:szCs w:val="20"/>
          <w:color w:val="auto"/>
        </w:rPr>
      </w:pPr>
    </w:p>
    <w:p>
      <w:pPr>
        <w:jc w:val="center"/>
        <w:ind w:right="1879"/>
        <w:spacing w:after="0"/>
        <w:rPr>
          <w:sz w:val="20"/>
          <w:szCs w:val="20"/>
          <w:color w:val="auto"/>
        </w:rPr>
      </w:pPr>
      <w:r>
        <w:rPr>
          <w:rFonts w:ascii="Courier New" w:cs="Courier New" w:eastAsia="Courier New" w:hAnsi="Courier New"/>
          <w:sz w:val="18"/>
          <w:szCs w:val="18"/>
          <w:color w:val="auto"/>
        </w:rPr>
        <w:t>COMCAST CORPORATION AND JONES INTERCABLE ANNOUNCE CABLE</w:t>
      </w:r>
    </w:p>
    <w:p>
      <w:pPr>
        <w:spacing w:after="0" w:line="31" w:lineRule="exact"/>
        <w:rPr>
          <w:sz w:val="20"/>
          <w:szCs w:val="20"/>
          <w:color w:val="auto"/>
        </w:rPr>
      </w:pPr>
    </w:p>
    <w:p>
      <w:pPr>
        <w:jc w:val="center"/>
        <w:ind w:right="1879"/>
        <w:spacing w:after="0"/>
        <w:rPr>
          <w:sz w:val="20"/>
          <w:szCs w:val="20"/>
          <w:color w:val="auto"/>
        </w:rPr>
      </w:pPr>
      <w:r>
        <w:rPr>
          <w:rFonts w:ascii="Courier New" w:cs="Courier New" w:eastAsia="Courier New" w:hAnsi="Courier New"/>
          <w:sz w:val="18"/>
          <w:szCs w:val="18"/>
          <w:color w:val="auto"/>
        </w:rPr>
        <w:t>SYSTEM SWAPS WITH ADELPHIA COMMUNICATIONS</w:t>
      </w:r>
    </w:p>
    <w:p>
      <w:pPr>
        <w:spacing w:after="0" w:line="372" w:lineRule="exact"/>
        <w:rPr>
          <w:sz w:val="20"/>
          <w:szCs w:val="20"/>
          <w:color w:val="auto"/>
        </w:rPr>
      </w:pPr>
    </w:p>
    <w:p>
      <w:pPr>
        <w:jc w:val="both"/>
        <w:ind w:right="1779"/>
        <w:spacing w:after="0" w:line="244" w:lineRule="auto"/>
        <w:rPr>
          <w:sz w:val="20"/>
          <w:szCs w:val="20"/>
          <w:color w:val="auto"/>
        </w:rPr>
      </w:pPr>
      <w:r>
        <w:rPr>
          <w:rFonts w:ascii="Courier New" w:cs="Courier New" w:eastAsia="Courier New" w:hAnsi="Courier New"/>
          <w:sz w:val="18"/>
          <w:szCs w:val="18"/>
          <w:color w:val="auto"/>
        </w:rPr>
        <w:t>Philadelphia, PA -- May 26, 1999: Comcast Corporation and Jones Intercable, Inc. announced today agreements to swap certain cable systems with Adelphia Communications. These cable system swaps will continue to strengthen Comcast's Mid-Atlantic super-cluster, encompassing cable systems in New Jersey, eastern Pennsylvania, Maryland, Delaware, Washington DC and Virginia. These system swaps, together with other pending acquisitions and investments will make Comcast's Mid-Atlantic super-cluster one of the largest cable system clusters in the nation with interests in more than four million owned and managed cable subscribers. In addition, they will enhance Comcast's and Jones' cable clusters in the Midwest, in Michigan and Indiana, and also in West Florida. In the aggregate, these swaps will add approximately 464,000 cable subscribers currently held by Adelphia to Comcast and Jones markets. In exchange, Adelphia will receive current Comcast and Jones systems serving approximately 440,000 subscribers in the greater Los Angeles area as well as in Palm Beach, Florida. All systems involved in the transactions will be valued based upon independent appraisals with any difference in relative value to be funded with cash or additional cable systems. The system swaps are subject to customary closing and regulatory approvals and are expected to close by mid-2000.</w:t>
      </w:r>
    </w:p>
    <w:p>
      <w:pPr>
        <w:spacing w:after="0" w:line="117" w:lineRule="exact"/>
        <w:rPr>
          <w:sz w:val="20"/>
          <w:szCs w:val="20"/>
          <w:color w:val="auto"/>
        </w:rPr>
      </w:pPr>
    </w:p>
    <w:p>
      <w:pPr>
        <w:jc w:val="both"/>
        <w:ind w:right="1779"/>
        <w:spacing w:after="0" w:line="265" w:lineRule="auto"/>
        <w:rPr>
          <w:sz w:val="20"/>
          <w:szCs w:val="20"/>
          <w:color w:val="auto"/>
        </w:rPr>
      </w:pPr>
      <w:r>
        <w:rPr>
          <w:rFonts w:ascii="Courier New" w:cs="Courier New" w:eastAsia="Courier New" w:hAnsi="Courier New"/>
          <w:sz w:val="18"/>
          <w:szCs w:val="18"/>
          <w:color w:val="auto"/>
        </w:rPr>
        <w:t>Comcast Corporation (www.comcast.com) is principally engaged in the development, management and operation of broadband cable networks and in the provision of content through principal ownership of QVC, Comcast-Spectacor and Comcast SportsNet, a controlling interest in E! Entertainment Television and through other programming investments.</w:t>
      </w:r>
    </w:p>
    <w:p>
      <w:pPr>
        <w:spacing w:after="0" w:line="90" w:lineRule="exact"/>
        <w:rPr>
          <w:sz w:val="20"/>
          <w:szCs w:val="20"/>
          <w:color w:val="auto"/>
        </w:rPr>
      </w:pPr>
    </w:p>
    <w:p>
      <w:pPr>
        <w:jc w:val="both"/>
        <w:ind w:right="1779"/>
        <w:spacing w:after="0" w:line="347" w:lineRule="auto"/>
        <w:rPr>
          <w:sz w:val="20"/>
          <w:szCs w:val="20"/>
          <w:color w:val="auto"/>
        </w:rPr>
      </w:pPr>
      <w:r>
        <w:rPr>
          <w:rFonts w:ascii="Courier New" w:cs="Courier New" w:eastAsia="Courier New" w:hAnsi="Courier New"/>
          <w:sz w:val="18"/>
          <w:szCs w:val="18"/>
          <w:color w:val="auto"/>
        </w:rPr>
        <w:t>Comcast's Class A Special Common Stock and Class A Common Stock are traded on The Nasdaq Stock Market under the symbols CMCSK and CMCSA, respectively.</w:t>
      </w:r>
    </w:p>
    <w:p>
      <w:pPr>
        <w:spacing w:after="0" w:line="18" w:lineRule="exact"/>
        <w:rPr>
          <w:sz w:val="20"/>
          <w:szCs w:val="20"/>
          <w:color w:val="auto"/>
        </w:rPr>
      </w:pPr>
    </w:p>
    <w:p>
      <w:pPr>
        <w:jc w:val="both"/>
        <w:ind w:right="1779"/>
        <w:spacing w:after="0" w:line="256" w:lineRule="auto"/>
        <w:rPr>
          <w:sz w:val="20"/>
          <w:szCs w:val="20"/>
          <w:color w:val="auto"/>
        </w:rPr>
      </w:pPr>
      <w:r>
        <w:rPr>
          <w:rFonts w:ascii="Courier New" w:cs="Courier New" w:eastAsia="Courier New" w:hAnsi="Courier New"/>
          <w:sz w:val="18"/>
          <w:szCs w:val="18"/>
          <w:color w:val="auto"/>
        </w:rPr>
        <w:t>Jones Intercable, Inc. (www.jic.com) is principally involved in the development, management and operation of broadband cable networks serving more than 1.0 million customers. On April 7, 1999, Comcast Corporation completed the acquisition of a controlling interest in Jones Intercable, Inc. As a result, Jones Intercable is now a consolidated public company subsidiary of Comcast Cable Communications, Inc., an indirect consolidated subsidiary of Comcast Corporation.</w:t>
      </w:r>
    </w:p>
    <w:p>
      <w:pPr>
        <w:spacing w:after="0" w:line="98" w:lineRule="exact"/>
        <w:rPr>
          <w:sz w:val="20"/>
          <w:szCs w:val="20"/>
          <w:color w:val="auto"/>
        </w:rPr>
      </w:pPr>
    </w:p>
    <w:p>
      <w:pPr>
        <w:jc w:val="both"/>
        <w:ind w:right="1779"/>
        <w:spacing w:after="0" w:line="347" w:lineRule="auto"/>
        <w:rPr>
          <w:sz w:val="20"/>
          <w:szCs w:val="20"/>
          <w:color w:val="auto"/>
        </w:rPr>
      </w:pPr>
      <w:r>
        <w:rPr>
          <w:rFonts w:ascii="Courier New" w:cs="Courier New" w:eastAsia="Courier New" w:hAnsi="Courier New"/>
          <w:sz w:val="18"/>
          <w:szCs w:val="18"/>
          <w:color w:val="auto"/>
        </w:rPr>
        <w:t>Jones Intercable's Common Stock and Class A Common Stock are traded on The Nasdaq Stock Market under the symbols JOIN and JOINA, respectively.</w:t>
      </w:r>
    </w:p>
    <w:p>
      <w:pPr>
        <w:spacing w:after="0" w:line="18" w:lineRule="exact"/>
        <w:rPr>
          <w:sz w:val="20"/>
          <w:szCs w:val="20"/>
          <w:color w:val="auto"/>
        </w:rPr>
      </w:pPr>
    </w:p>
    <w:p>
      <w:pPr>
        <w:ind w:left="4020"/>
        <w:spacing w:after="0"/>
        <w:rPr>
          <w:sz w:val="20"/>
          <w:szCs w:val="20"/>
          <w:color w:val="auto"/>
        </w:rPr>
      </w:pPr>
      <w:r>
        <w:rPr>
          <w:rFonts w:ascii="Courier New" w:cs="Courier New" w:eastAsia="Courier New" w:hAnsi="Courier New"/>
          <w:sz w:val="18"/>
          <w:szCs w:val="18"/>
          <w:color w:val="auto"/>
        </w:rPr>
        <w:t>####</w:t>
      </w:r>
    </w:p>
    <w:sectPr>
      <w:pgSz w:w="11900" w:h="16838" w:orient="portrait"/>
      <w:cols w:equalWidth="0" w:num="1">
        <w:col w:w="10219"/>
      </w:cols>
      <w:pgMar w:left="240" w:top="110"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2020-02-22T11:27:32Z</dcterms:created>
  <dcterms:modified xsi:type="dcterms:W3CDTF">2020-02-22T11:27:32Z</dcterms:modified>
</cp:coreProperties>
</file>