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4)</w:t>
      </w:r>
    </w:p>
    <w:p>
      <w:pPr>
        <w:spacing w:after="0" w:line="234"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EVINE Live, Inc.</w:t>
      </w:r>
    </w:p>
    <w:p>
      <w:pPr>
        <w:spacing w:after="0" w:line="27"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92047K-10-7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Arthur R. Block,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Vice President,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Philadelphia, Pennsylvania 19103-2838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(215) 286-1700</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Copy 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William J. Chudd,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Davis Polk &amp; Wardwell</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450-4000</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Receive Notices and Communications)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30, 2017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92047K-10-7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246620" cy="6449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44906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480" w:hanging="843"/>
        <w:spacing w:after="0"/>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48"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color w:val="auto"/>
        </w:rPr>
        <w:t>Comcast Corporation</w:t>
      </w:r>
    </w:p>
    <w:p>
      <w:pPr>
        <w:spacing w:after="0" w:line="27" w:lineRule="exact"/>
        <w:rPr>
          <w:rFonts w:ascii="Arial" w:cs="Arial" w:eastAsia="Arial" w:hAnsi="Arial"/>
          <w:sz w:val="18"/>
          <w:szCs w:val="18"/>
          <w:color w:val="auto"/>
        </w:rPr>
      </w:pPr>
    </w:p>
    <w:p>
      <w:pPr>
        <w:ind w:left="1480" w:hanging="843"/>
        <w:spacing w:after="0"/>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720" w:hanging="239"/>
        <w:spacing w:after="0" w:line="228" w:lineRule="exact"/>
        <w:tabs>
          <w:tab w:leader="none" w:pos="1720" w:val="left"/>
        </w:tabs>
        <w:numPr>
          <w:ilvl w:val="1"/>
          <w:numId w:val="1"/>
        </w:numPr>
        <w:rPr>
          <w:rFonts w:ascii="Arial" w:cs="Arial" w:eastAsia="Arial" w:hAnsi="Arial"/>
          <w:sz w:val="18"/>
          <w:szCs w:val="18"/>
          <w:color w:val="auto"/>
        </w:rPr>
      </w:pPr>
      <w:r>
        <w:rPr>
          <w:rFonts w:ascii="MS PGothic" w:cs="MS PGothic" w:eastAsia="MS PGothic" w:hAnsi="MS PGothic"/>
          <w:sz w:val="22"/>
          <w:szCs w:val="22"/>
          <w:color w:val="auto"/>
        </w:rPr>
        <w:t>☐</w:t>
      </w:r>
    </w:p>
    <w:p>
      <w:pPr>
        <w:spacing w:after="0" w:line="63" w:lineRule="exact"/>
        <w:rPr>
          <w:rFonts w:ascii="Arial" w:cs="Arial" w:eastAsia="Arial" w:hAnsi="Arial"/>
          <w:sz w:val="18"/>
          <w:szCs w:val="18"/>
          <w:color w:val="auto"/>
        </w:rPr>
      </w:pPr>
    </w:p>
    <w:p>
      <w:pPr>
        <w:ind w:left="1740" w:hanging="259"/>
        <w:spacing w:after="0" w:line="228" w:lineRule="exact"/>
        <w:tabs>
          <w:tab w:leader="none" w:pos="1740" w:val="left"/>
        </w:tabs>
        <w:numPr>
          <w:ilvl w:val="1"/>
          <w:numId w:val="1"/>
        </w:numPr>
        <w:rPr>
          <w:rFonts w:ascii="Arial" w:cs="Arial" w:eastAsia="Arial" w:hAnsi="Arial"/>
          <w:sz w:val="18"/>
          <w:szCs w:val="18"/>
          <w:color w:val="auto"/>
        </w:rPr>
      </w:pPr>
      <w:r>
        <w:rPr>
          <w:rFonts w:ascii="MS PGothic" w:cs="MS PGothic" w:eastAsia="MS PGothic" w:hAnsi="MS PGothic"/>
          <w:sz w:val="22"/>
          <w:szCs w:val="22"/>
          <w:color w:val="auto"/>
        </w:rPr>
        <w:t>☒</w:t>
      </w:r>
    </w:p>
    <w:p>
      <w:pPr>
        <w:spacing w:after="0" w:line="10" w:lineRule="exact"/>
        <w:rPr>
          <w:rFonts w:ascii="Arial" w:cs="Arial" w:eastAsia="Arial" w:hAnsi="Arial"/>
          <w:sz w:val="18"/>
          <w:szCs w:val="18"/>
          <w:color w:val="auto"/>
        </w:rPr>
      </w:pPr>
    </w:p>
    <w:p>
      <w:pPr>
        <w:ind w:left="1480" w:hanging="843"/>
        <w:spacing w:after="0"/>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1480" w:hanging="843"/>
        <w:spacing w:after="0"/>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1"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color w:val="auto"/>
        </w:rPr>
        <w:t>Not Applicable</w:t>
      </w:r>
    </w:p>
    <w:p>
      <w:pPr>
        <w:spacing w:after="0" w:line="27" w:lineRule="exact"/>
        <w:rPr>
          <w:rFonts w:ascii="Arial" w:cs="Arial" w:eastAsia="Arial" w:hAnsi="Arial"/>
          <w:sz w:val="18"/>
          <w:szCs w:val="18"/>
          <w:color w:val="auto"/>
        </w:rPr>
      </w:pPr>
    </w:p>
    <w:p>
      <w:pPr>
        <w:ind w:left="1480" w:hanging="843"/>
        <w:spacing w:after="0"/>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3" w:lineRule="exact"/>
        <w:rPr>
          <w:sz w:val="20"/>
          <w:szCs w:val="20"/>
          <w:color w:val="auto"/>
        </w:rPr>
      </w:pPr>
    </w:p>
    <w:p>
      <w:pPr>
        <w:jc w:val="right"/>
        <w:ind w:right="120"/>
        <w:spacing w:after="0" w:line="221" w:lineRule="exact"/>
        <w:rPr>
          <w:sz w:val="20"/>
          <w:szCs w:val="20"/>
          <w:color w:val="auto"/>
        </w:rPr>
      </w:pPr>
      <w:r>
        <w:rPr>
          <w:rFonts w:ascii="MS PGothic" w:cs="MS PGothic" w:eastAsia="MS PGothic" w:hAnsi="MS PGothic"/>
          <w:sz w:val="22"/>
          <w:szCs w:val="22"/>
          <w:color w:val="auto"/>
        </w:rPr>
        <w:t>☐</w:t>
      </w:r>
    </w:p>
    <w:p>
      <w:pPr>
        <w:spacing w:after="0" w:line="279" w:lineRule="exact"/>
        <w:rPr>
          <w:sz w:val="20"/>
          <w:szCs w:val="20"/>
          <w:color w:val="auto"/>
        </w:rPr>
      </w:pPr>
    </w:p>
    <w:p>
      <w:pPr>
        <w:ind w:left="1480" w:hanging="843"/>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color w:val="auto"/>
        </w:rPr>
        <w:t>Pennsylvania</w:t>
      </w:r>
    </w:p>
    <w:p>
      <w:pPr>
        <w:spacing w:after="0" w:line="27" w:lineRule="exact"/>
        <w:rPr>
          <w:rFonts w:ascii="Arial" w:cs="Arial" w:eastAsia="Arial" w:hAnsi="Arial"/>
          <w:sz w:val="18"/>
          <w:szCs w:val="18"/>
          <w:color w:val="auto"/>
        </w:rPr>
      </w:pPr>
    </w:p>
    <w:p>
      <w:pPr>
        <w:ind w:left="2500" w:hanging="323"/>
        <w:spacing w:after="0"/>
        <w:tabs>
          <w:tab w:leader="none" w:pos="250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r>
              <w:rPr>
                <w:rFonts w:ascii="Arial" w:cs="Arial" w:eastAsia="Arial" w:hAnsi="Arial"/>
                <w:sz w:val="18"/>
                <w:szCs w:val="18"/>
                <w:color w:val="auto"/>
              </w:rPr>
              <w:t>NUMBER OF</w:t>
            </w:r>
          </w:p>
        </w:tc>
        <w:tc>
          <w:tcPr>
            <w:tcW w:w="420" w:type="dxa"/>
            <w:vAlign w:val="bottom"/>
            <w:tcBorders>
              <w:bottom w:val="single" w:sz="8" w:color="auto"/>
            </w:tcBorders>
          </w:tcPr>
          <w:p>
            <w:pPr>
              <w:spacing w:after="0"/>
              <w:rPr>
                <w:sz w:val="20"/>
                <w:szCs w:val="20"/>
                <w:color w:val="auto"/>
              </w:rPr>
            </w:pPr>
          </w:p>
        </w:tc>
        <w:tc>
          <w:tcPr>
            <w:tcW w:w="8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2,741,849 (see Item 5)</w:t>
            </w:r>
          </w:p>
        </w:tc>
        <w:tc>
          <w:tcPr>
            <w:tcW w:w="0" w:type="dxa"/>
            <w:vAlign w:val="bottom"/>
          </w:tcPr>
          <w:p>
            <w:pPr>
              <w:spacing w:after="0"/>
              <w:rPr>
                <w:sz w:val="1"/>
                <w:szCs w:val="1"/>
                <w:color w:val="auto"/>
              </w:rPr>
            </w:pPr>
          </w:p>
        </w:tc>
      </w:tr>
      <w:tr>
        <w:trPr>
          <w:trHeight w:val="195"/>
        </w:trPr>
        <w:tc>
          <w:tcPr>
            <w:tcW w:w="1980" w:type="dxa"/>
            <w:vAlign w:val="bottom"/>
          </w:tcPr>
          <w:p>
            <w:pPr>
              <w:spacing w:after="0" w:line="195" w:lineRule="exact"/>
              <w:rPr>
                <w:sz w:val="20"/>
                <w:szCs w:val="20"/>
                <w:color w:val="auto"/>
              </w:rPr>
            </w:pPr>
            <w:r>
              <w:rPr>
                <w:rFonts w:ascii="Arial" w:cs="Arial" w:eastAsia="Arial" w:hAnsi="Arial"/>
                <w:sz w:val="18"/>
                <w:szCs w:val="18"/>
                <w:color w:val="auto"/>
              </w:rPr>
              <w:t>SHARES</w:t>
            </w: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c>
          <w:tcPr>
            <w:tcW w:w="89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89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 (see Item 5)</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OWNED BY</w:t>
            </w:r>
          </w:p>
        </w:tc>
        <w:tc>
          <w:tcPr>
            <w:tcW w:w="420" w:type="dxa"/>
            <w:vAlign w:val="bottom"/>
            <w:tcBorders>
              <w:bottom w:val="single" w:sz="8" w:color="auto"/>
            </w:tcBorders>
          </w:tcPr>
          <w:p>
            <w:pPr>
              <w:spacing w:after="0"/>
              <w:rPr>
                <w:sz w:val="20"/>
                <w:szCs w:val="20"/>
                <w:color w:val="auto"/>
              </w:rPr>
            </w:pPr>
          </w:p>
        </w:tc>
        <w:tc>
          <w:tcPr>
            <w:tcW w:w="8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980" w:type="dxa"/>
            <w:vAlign w:val="bottom"/>
          </w:tcPr>
          <w:p>
            <w:pPr>
              <w:spacing w:after="0" w:line="182" w:lineRule="exact"/>
              <w:rPr>
                <w:sz w:val="20"/>
                <w:szCs w:val="20"/>
                <w:color w:val="auto"/>
              </w:rPr>
            </w:pPr>
            <w:r>
              <w:rPr>
                <w:rFonts w:ascii="Arial" w:cs="Arial" w:eastAsia="Arial" w:hAnsi="Arial"/>
                <w:sz w:val="18"/>
                <w:szCs w:val="18"/>
                <w:color w:val="auto"/>
              </w:rPr>
              <w:t>EACH</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89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REPORTING</w:t>
            </w:r>
          </w:p>
        </w:tc>
        <w:tc>
          <w:tcPr>
            <w:tcW w:w="42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980" w:type="dxa"/>
            <w:vAlign w:val="bottom"/>
          </w:tcPr>
          <w:p>
            <w:pPr>
              <w:spacing w:after="0"/>
              <w:rPr>
                <w:sz w:val="20"/>
                <w:szCs w:val="20"/>
                <w:color w:val="auto"/>
              </w:rPr>
            </w:pPr>
            <w:r>
              <w:rPr>
                <w:rFonts w:ascii="Arial" w:cs="Arial" w:eastAsia="Arial" w:hAnsi="Arial"/>
                <w:sz w:val="18"/>
                <w:szCs w:val="18"/>
                <w:color w:val="auto"/>
              </w:rPr>
              <w:t>PERSON WITH</w:t>
            </w:r>
          </w:p>
        </w:tc>
        <w:tc>
          <w:tcPr>
            <w:tcW w:w="420" w:type="dxa"/>
            <w:vAlign w:val="bottom"/>
          </w:tcPr>
          <w:p>
            <w:pPr>
              <w:spacing w:after="0"/>
              <w:rPr>
                <w:sz w:val="21"/>
                <w:szCs w:val="21"/>
                <w:color w:val="auto"/>
              </w:rPr>
            </w:pPr>
          </w:p>
        </w:tc>
        <w:tc>
          <w:tcPr>
            <w:tcW w:w="8940" w:type="dxa"/>
            <w:vAlign w:val="bottom"/>
          </w:tcPr>
          <w:p>
            <w:pPr>
              <w:ind w:left="100"/>
              <w:spacing w:after="0"/>
              <w:rPr>
                <w:sz w:val="20"/>
                <w:szCs w:val="20"/>
                <w:color w:val="auto"/>
              </w:rPr>
            </w:pPr>
            <w:r>
              <w:rPr>
                <w:rFonts w:ascii="Arial" w:cs="Arial" w:eastAsia="Arial" w:hAnsi="Arial"/>
                <w:sz w:val="18"/>
                <w:szCs w:val="18"/>
                <w:b w:val="1"/>
                <w:bCs w:val="1"/>
                <w:color w:val="auto"/>
              </w:rPr>
              <w:t>2,741,849 (see Item 5)</w:t>
            </w:r>
          </w:p>
        </w:tc>
        <w:tc>
          <w:tcPr>
            <w:tcW w:w="0" w:type="dxa"/>
            <w:vAlign w:val="bottom"/>
          </w:tcPr>
          <w:p>
            <w:pPr>
              <w:spacing w:after="0"/>
              <w:rPr>
                <w:sz w:val="1"/>
                <w:szCs w:val="1"/>
                <w:color w:val="auto"/>
              </w:rPr>
            </w:pPr>
          </w:p>
        </w:tc>
      </w:tr>
    </w:tbl>
    <w:p>
      <w:pPr>
        <w:ind w:left="2500" w:hanging="368"/>
        <w:spacing w:after="0"/>
        <w:tabs>
          <w:tab w:leader="none" w:pos="2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0" w:lineRule="exact"/>
        <w:rPr>
          <w:rFonts w:ascii="Arial" w:cs="Arial" w:eastAsia="Arial" w:hAnsi="Arial"/>
          <w:sz w:val="18"/>
          <w:szCs w:val="18"/>
          <w:color w:val="auto"/>
        </w:rPr>
      </w:pPr>
    </w:p>
    <w:p>
      <w:pPr>
        <w:ind w:left="2500"/>
        <w:spacing w:after="0"/>
        <w:rPr>
          <w:rFonts w:ascii="Arial" w:cs="Arial" w:eastAsia="Arial" w:hAnsi="Arial"/>
          <w:sz w:val="18"/>
          <w:szCs w:val="18"/>
          <w:color w:val="auto"/>
        </w:rPr>
      </w:pPr>
      <w:r>
        <w:rPr>
          <w:rFonts w:ascii="Arial" w:cs="Arial" w:eastAsia="Arial" w:hAnsi="Arial"/>
          <w:sz w:val="18"/>
          <w:szCs w:val="18"/>
          <w:b w:val="1"/>
          <w:bCs w:val="1"/>
          <w:color w:val="auto"/>
        </w:rPr>
        <w:t>0 (see Item 5)</w:t>
      </w:r>
    </w:p>
    <w:p>
      <w:pPr>
        <w:spacing w:after="0" w:line="27" w:lineRule="exact"/>
        <w:rPr>
          <w:rFonts w:ascii="Arial" w:cs="Arial" w:eastAsia="Arial" w:hAnsi="Arial"/>
          <w:sz w:val="18"/>
          <w:szCs w:val="18"/>
          <w:color w:val="auto"/>
        </w:rPr>
      </w:pPr>
    </w:p>
    <w:p>
      <w:pPr>
        <w:ind w:left="1480" w:hanging="885"/>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0"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color w:val="auto"/>
        </w:rPr>
        <w:t>2,741,849 (see Item 5)</w:t>
      </w:r>
    </w:p>
    <w:p>
      <w:pPr>
        <w:spacing w:after="0" w:line="27" w:lineRule="exact"/>
        <w:rPr>
          <w:sz w:val="20"/>
          <w:szCs w:val="20"/>
          <w:color w:val="auto"/>
        </w:rPr>
      </w:pPr>
    </w:p>
    <w:tbl>
      <w:tblPr>
        <w:tblLayout w:type="fixed"/>
        <w:tblInd w:w="600" w:type="dxa"/>
        <w:tblCellMar>
          <w:top w:w="0" w:type="dxa"/>
          <w:left w:w="0" w:type="dxa"/>
          <w:bottom w:w="0" w:type="dxa"/>
          <w:right w:w="0" w:type="dxa"/>
        </w:tblCellMar>
      </w:tblPr>
      <w:tr>
        <w:trPr>
          <w:trHeight w:val="339"/>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12.</w:t>
            </w:r>
          </w:p>
        </w:tc>
        <w:tc>
          <w:tcPr>
            <w:tcW w:w="5660" w:type="dxa"/>
            <w:vAlign w:val="bottom"/>
          </w:tcPr>
          <w:p>
            <w:pPr>
              <w:ind w:left="340"/>
              <w:spacing w:after="0"/>
              <w:rPr>
                <w:sz w:val="20"/>
                <w:szCs w:val="20"/>
                <w:color w:val="auto"/>
              </w:rPr>
            </w:pPr>
            <w:r>
              <w:rPr>
                <w:rFonts w:ascii="Arial" w:cs="Arial" w:eastAsia="Arial" w:hAnsi="Arial"/>
                <w:sz w:val="18"/>
                <w:szCs w:val="18"/>
                <w:color w:val="auto"/>
                <w:w w:val="96"/>
              </w:rPr>
              <w:t>Check if the Aggregate Amount in Row (11) Excludes Certain Shares</w:t>
            </w:r>
          </w:p>
        </w:tc>
        <w:tc>
          <w:tcPr>
            <w:tcW w:w="480" w:type="dxa"/>
            <w:vAlign w:val="bottom"/>
          </w:tcPr>
          <w:p>
            <w:pPr>
              <w:ind w:left="28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363" w:lineRule="exact"/>
        <w:rPr>
          <w:sz w:val="20"/>
          <w:szCs w:val="20"/>
          <w:color w:val="auto"/>
        </w:rPr>
      </w:pPr>
    </w:p>
    <w:p>
      <w:pPr>
        <w:ind w:left="1480" w:hanging="888"/>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1"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color w:val="auto"/>
        </w:rPr>
        <w:t>4.6% (see Item 5)</w:t>
      </w:r>
    </w:p>
    <w:p>
      <w:pPr>
        <w:spacing w:after="0" w:line="27" w:lineRule="exact"/>
        <w:rPr>
          <w:rFonts w:ascii="Arial" w:cs="Arial" w:eastAsia="Arial" w:hAnsi="Arial"/>
          <w:sz w:val="18"/>
          <w:szCs w:val="18"/>
          <w:color w:val="auto"/>
        </w:rPr>
      </w:pPr>
    </w:p>
    <w:p>
      <w:pPr>
        <w:ind w:left="1480" w:hanging="888"/>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4"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Page 2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152400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118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92047K-10-7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246620" cy="6483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4833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480" w:hanging="843"/>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48"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color w:val="auto"/>
        </w:rPr>
        <w:t>NBCUniversal, LLC</w:t>
      </w:r>
    </w:p>
    <w:p>
      <w:pPr>
        <w:spacing w:after="0" w:line="27" w:lineRule="exact"/>
        <w:rPr>
          <w:rFonts w:ascii="Arial" w:cs="Arial" w:eastAsia="Arial" w:hAnsi="Arial"/>
          <w:sz w:val="18"/>
          <w:szCs w:val="18"/>
          <w:color w:val="auto"/>
        </w:rPr>
      </w:pPr>
    </w:p>
    <w:p>
      <w:pPr>
        <w:ind w:left="1480" w:hanging="843"/>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720" w:hanging="239"/>
        <w:spacing w:after="0" w:line="228" w:lineRule="exact"/>
        <w:tabs>
          <w:tab w:leader="none" w:pos="1720" w:val="left"/>
        </w:tabs>
        <w:numPr>
          <w:ilvl w:val="1"/>
          <w:numId w:val="6"/>
        </w:numPr>
        <w:rPr>
          <w:rFonts w:ascii="Arial" w:cs="Arial" w:eastAsia="Arial" w:hAnsi="Arial"/>
          <w:sz w:val="18"/>
          <w:szCs w:val="18"/>
          <w:color w:val="auto"/>
        </w:rPr>
      </w:pPr>
      <w:r>
        <w:rPr>
          <w:rFonts w:ascii="MS PGothic" w:cs="MS PGothic" w:eastAsia="MS PGothic" w:hAnsi="MS PGothic"/>
          <w:sz w:val="22"/>
          <w:szCs w:val="22"/>
          <w:color w:val="auto"/>
        </w:rPr>
        <w:t>☐</w:t>
      </w:r>
    </w:p>
    <w:p>
      <w:pPr>
        <w:spacing w:after="0" w:line="63" w:lineRule="exact"/>
        <w:rPr>
          <w:rFonts w:ascii="Arial" w:cs="Arial" w:eastAsia="Arial" w:hAnsi="Arial"/>
          <w:sz w:val="18"/>
          <w:szCs w:val="18"/>
          <w:color w:val="auto"/>
        </w:rPr>
      </w:pPr>
    </w:p>
    <w:p>
      <w:pPr>
        <w:ind w:left="1740" w:hanging="259"/>
        <w:spacing w:after="0" w:line="228" w:lineRule="exact"/>
        <w:tabs>
          <w:tab w:leader="none" w:pos="1740" w:val="left"/>
        </w:tabs>
        <w:numPr>
          <w:ilvl w:val="1"/>
          <w:numId w:val="6"/>
        </w:numPr>
        <w:rPr>
          <w:rFonts w:ascii="Arial" w:cs="Arial" w:eastAsia="Arial" w:hAnsi="Arial"/>
          <w:sz w:val="18"/>
          <w:szCs w:val="18"/>
          <w:color w:val="auto"/>
        </w:rPr>
      </w:pPr>
      <w:r>
        <w:rPr>
          <w:rFonts w:ascii="MS PGothic" w:cs="MS PGothic" w:eastAsia="MS PGothic" w:hAnsi="MS PGothic"/>
          <w:sz w:val="22"/>
          <w:szCs w:val="22"/>
          <w:color w:val="auto"/>
        </w:rPr>
        <w:t>☒</w:t>
      </w:r>
    </w:p>
    <w:p>
      <w:pPr>
        <w:spacing w:after="0" w:line="10" w:lineRule="exact"/>
        <w:rPr>
          <w:rFonts w:ascii="Arial" w:cs="Arial" w:eastAsia="Arial" w:hAnsi="Arial"/>
          <w:sz w:val="18"/>
          <w:szCs w:val="18"/>
          <w:color w:val="auto"/>
        </w:rPr>
      </w:pPr>
    </w:p>
    <w:p>
      <w:pPr>
        <w:ind w:left="1480" w:hanging="843"/>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1480" w:hanging="843"/>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1"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color w:val="auto"/>
        </w:rPr>
        <w:t>Not Applicable</w:t>
      </w:r>
    </w:p>
    <w:p>
      <w:pPr>
        <w:spacing w:after="0" w:line="27" w:lineRule="exact"/>
        <w:rPr>
          <w:rFonts w:ascii="Arial" w:cs="Arial" w:eastAsia="Arial" w:hAnsi="Arial"/>
          <w:sz w:val="18"/>
          <w:szCs w:val="18"/>
          <w:color w:val="auto"/>
        </w:rPr>
      </w:pPr>
    </w:p>
    <w:p>
      <w:pPr>
        <w:ind w:left="1480" w:hanging="843"/>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3" w:lineRule="exact"/>
        <w:rPr>
          <w:sz w:val="20"/>
          <w:szCs w:val="20"/>
          <w:color w:val="auto"/>
        </w:rPr>
      </w:pPr>
    </w:p>
    <w:p>
      <w:pPr>
        <w:jc w:val="right"/>
        <w:ind w:right="120"/>
        <w:spacing w:after="0" w:line="221" w:lineRule="exact"/>
        <w:rPr>
          <w:sz w:val="20"/>
          <w:szCs w:val="20"/>
          <w:color w:val="auto"/>
        </w:rPr>
      </w:pPr>
      <w:r>
        <w:rPr>
          <w:rFonts w:ascii="MS PGothic" w:cs="MS PGothic" w:eastAsia="MS PGothic" w:hAnsi="MS PGothic"/>
          <w:sz w:val="22"/>
          <w:szCs w:val="22"/>
          <w:color w:val="auto"/>
        </w:rPr>
        <w:t>☐</w:t>
      </w:r>
    </w:p>
    <w:p>
      <w:pPr>
        <w:spacing w:after="0" w:line="279" w:lineRule="exact"/>
        <w:rPr>
          <w:sz w:val="20"/>
          <w:szCs w:val="20"/>
          <w:color w:val="auto"/>
        </w:rPr>
      </w:pPr>
    </w:p>
    <w:p>
      <w:pPr>
        <w:ind w:left="1480" w:hanging="843"/>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27" w:lineRule="exact"/>
        <w:rPr>
          <w:rFonts w:ascii="Arial" w:cs="Arial" w:eastAsia="Arial" w:hAnsi="Arial"/>
          <w:sz w:val="18"/>
          <w:szCs w:val="18"/>
          <w:color w:val="auto"/>
        </w:rPr>
      </w:pPr>
    </w:p>
    <w:p>
      <w:pPr>
        <w:ind w:left="2500" w:hanging="323"/>
        <w:spacing w:after="0"/>
        <w:tabs>
          <w:tab w:leader="none" w:pos="2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r>
              <w:rPr>
                <w:rFonts w:ascii="Arial" w:cs="Arial" w:eastAsia="Arial" w:hAnsi="Arial"/>
                <w:sz w:val="18"/>
                <w:szCs w:val="18"/>
                <w:color w:val="auto"/>
              </w:rPr>
              <w:t>NUMBER OF</w:t>
            </w:r>
          </w:p>
        </w:tc>
        <w:tc>
          <w:tcPr>
            <w:tcW w:w="420" w:type="dxa"/>
            <w:vAlign w:val="bottom"/>
            <w:tcBorders>
              <w:bottom w:val="single" w:sz="8" w:color="auto"/>
            </w:tcBorders>
          </w:tcPr>
          <w:p>
            <w:pPr>
              <w:spacing w:after="0"/>
              <w:rPr>
                <w:sz w:val="20"/>
                <w:szCs w:val="20"/>
                <w:color w:val="auto"/>
              </w:rPr>
            </w:pPr>
          </w:p>
        </w:tc>
        <w:tc>
          <w:tcPr>
            <w:tcW w:w="8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2,741,849 (see Item 5)</w:t>
            </w:r>
          </w:p>
        </w:tc>
        <w:tc>
          <w:tcPr>
            <w:tcW w:w="0" w:type="dxa"/>
            <w:vAlign w:val="bottom"/>
          </w:tcPr>
          <w:p>
            <w:pPr>
              <w:spacing w:after="0"/>
              <w:rPr>
                <w:sz w:val="1"/>
                <w:szCs w:val="1"/>
                <w:color w:val="auto"/>
              </w:rPr>
            </w:pPr>
          </w:p>
        </w:tc>
      </w:tr>
      <w:tr>
        <w:trPr>
          <w:trHeight w:val="195"/>
        </w:trPr>
        <w:tc>
          <w:tcPr>
            <w:tcW w:w="1980" w:type="dxa"/>
            <w:vAlign w:val="bottom"/>
          </w:tcPr>
          <w:p>
            <w:pPr>
              <w:spacing w:after="0" w:line="195" w:lineRule="exact"/>
              <w:rPr>
                <w:sz w:val="20"/>
                <w:szCs w:val="20"/>
                <w:color w:val="auto"/>
              </w:rPr>
            </w:pPr>
            <w:r>
              <w:rPr>
                <w:rFonts w:ascii="Arial" w:cs="Arial" w:eastAsia="Arial" w:hAnsi="Arial"/>
                <w:sz w:val="18"/>
                <w:szCs w:val="18"/>
                <w:color w:val="auto"/>
              </w:rPr>
              <w:t>SHARES</w:t>
            </w: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c>
          <w:tcPr>
            <w:tcW w:w="89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89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 (see Item 5)</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OWNED BY</w:t>
            </w:r>
          </w:p>
        </w:tc>
        <w:tc>
          <w:tcPr>
            <w:tcW w:w="420" w:type="dxa"/>
            <w:vAlign w:val="bottom"/>
            <w:tcBorders>
              <w:bottom w:val="single" w:sz="8" w:color="auto"/>
            </w:tcBorders>
          </w:tcPr>
          <w:p>
            <w:pPr>
              <w:spacing w:after="0"/>
              <w:rPr>
                <w:sz w:val="20"/>
                <w:szCs w:val="20"/>
                <w:color w:val="auto"/>
              </w:rPr>
            </w:pPr>
          </w:p>
        </w:tc>
        <w:tc>
          <w:tcPr>
            <w:tcW w:w="8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980" w:type="dxa"/>
            <w:vAlign w:val="bottom"/>
          </w:tcPr>
          <w:p>
            <w:pPr>
              <w:spacing w:after="0" w:line="182" w:lineRule="exact"/>
              <w:rPr>
                <w:sz w:val="20"/>
                <w:szCs w:val="20"/>
                <w:color w:val="auto"/>
              </w:rPr>
            </w:pPr>
            <w:r>
              <w:rPr>
                <w:rFonts w:ascii="Arial" w:cs="Arial" w:eastAsia="Arial" w:hAnsi="Arial"/>
                <w:sz w:val="18"/>
                <w:szCs w:val="18"/>
                <w:color w:val="auto"/>
              </w:rPr>
              <w:t>EACH</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89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REPORTING</w:t>
            </w:r>
          </w:p>
        </w:tc>
        <w:tc>
          <w:tcPr>
            <w:tcW w:w="42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980" w:type="dxa"/>
            <w:vAlign w:val="bottom"/>
          </w:tcPr>
          <w:p>
            <w:pPr>
              <w:spacing w:after="0"/>
              <w:rPr>
                <w:sz w:val="20"/>
                <w:szCs w:val="20"/>
                <w:color w:val="auto"/>
              </w:rPr>
            </w:pPr>
            <w:r>
              <w:rPr>
                <w:rFonts w:ascii="Arial" w:cs="Arial" w:eastAsia="Arial" w:hAnsi="Arial"/>
                <w:sz w:val="18"/>
                <w:szCs w:val="18"/>
                <w:color w:val="auto"/>
              </w:rPr>
              <w:t>PERSON WITH</w:t>
            </w:r>
          </w:p>
        </w:tc>
        <w:tc>
          <w:tcPr>
            <w:tcW w:w="420" w:type="dxa"/>
            <w:vAlign w:val="bottom"/>
          </w:tcPr>
          <w:p>
            <w:pPr>
              <w:spacing w:after="0"/>
              <w:rPr>
                <w:sz w:val="21"/>
                <w:szCs w:val="21"/>
                <w:color w:val="auto"/>
              </w:rPr>
            </w:pPr>
          </w:p>
        </w:tc>
        <w:tc>
          <w:tcPr>
            <w:tcW w:w="8940" w:type="dxa"/>
            <w:vAlign w:val="bottom"/>
          </w:tcPr>
          <w:p>
            <w:pPr>
              <w:ind w:left="100"/>
              <w:spacing w:after="0"/>
              <w:rPr>
                <w:sz w:val="20"/>
                <w:szCs w:val="20"/>
                <w:color w:val="auto"/>
              </w:rPr>
            </w:pPr>
            <w:r>
              <w:rPr>
                <w:rFonts w:ascii="Arial" w:cs="Arial" w:eastAsia="Arial" w:hAnsi="Arial"/>
                <w:sz w:val="18"/>
                <w:szCs w:val="18"/>
                <w:b w:val="1"/>
                <w:bCs w:val="1"/>
                <w:color w:val="auto"/>
              </w:rPr>
              <w:t>2,741,849 (see Item 5)</w:t>
            </w:r>
          </w:p>
        </w:tc>
        <w:tc>
          <w:tcPr>
            <w:tcW w:w="0" w:type="dxa"/>
            <w:vAlign w:val="bottom"/>
          </w:tcPr>
          <w:p>
            <w:pPr>
              <w:spacing w:after="0"/>
              <w:rPr>
                <w:sz w:val="1"/>
                <w:szCs w:val="1"/>
                <w:color w:val="auto"/>
              </w:rPr>
            </w:pPr>
          </w:p>
        </w:tc>
      </w:tr>
    </w:tbl>
    <w:p>
      <w:pPr>
        <w:ind w:left="2500" w:hanging="368"/>
        <w:spacing w:after="0"/>
        <w:tabs>
          <w:tab w:leader="none" w:pos="25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0" w:lineRule="exact"/>
        <w:rPr>
          <w:rFonts w:ascii="Arial" w:cs="Arial" w:eastAsia="Arial" w:hAnsi="Arial"/>
          <w:sz w:val="18"/>
          <w:szCs w:val="18"/>
          <w:color w:val="auto"/>
        </w:rPr>
      </w:pPr>
    </w:p>
    <w:p>
      <w:pPr>
        <w:ind w:left="2500"/>
        <w:spacing w:after="0"/>
        <w:rPr>
          <w:rFonts w:ascii="Arial" w:cs="Arial" w:eastAsia="Arial" w:hAnsi="Arial"/>
          <w:sz w:val="18"/>
          <w:szCs w:val="18"/>
          <w:color w:val="auto"/>
        </w:rPr>
      </w:pPr>
      <w:r>
        <w:rPr>
          <w:rFonts w:ascii="Arial" w:cs="Arial" w:eastAsia="Arial" w:hAnsi="Arial"/>
          <w:sz w:val="18"/>
          <w:szCs w:val="18"/>
          <w:b w:val="1"/>
          <w:bCs w:val="1"/>
          <w:color w:val="auto"/>
        </w:rPr>
        <w:t>0 (see Item 5)</w:t>
      </w:r>
    </w:p>
    <w:p>
      <w:pPr>
        <w:spacing w:after="0" w:line="27" w:lineRule="exact"/>
        <w:rPr>
          <w:rFonts w:ascii="Arial" w:cs="Arial" w:eastAsia="Arial" w:hAnsi="Arial"/>
          <w:sz w:val="18"/>
          <w:szCs w:val="18"/>
          <w:color w:val="auto"/>
        </w:rPr>
      </w:pPr>
    </w:p>
    <w:p>
      <w:pPr>
        <w:ind w:left="1480" w:hanging="885"/>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0"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color w:val="auto"/>
        </w:rPr>
        <w:t>2,741,849 (see Item 5)</w:t>
      </w:r>
    </w:p>
    <w:p>
      <w:pPr>
        <w:spacing w:after="0" w:line="27" w:lineRule="exact"/>
        <w:rPr>
          <w:sz w:val="20"/>
          <w:szCs w:val="20"/>
          <w:color w:val="auto"/>
        </w:rPr>
      </w:pPr>
    </w:p>
    <w:tbl>
      <w:tblPr>
        <w:tblLayout w:type="fixed"/>
        <w:tblInd w:w="600" w:type="dxa"/>
        <w:tblCellMar>
          <w:top w:w="0" w:type="dxa"/>
          <w:left w:w="0" w:type="dxa"/>
          <w:bottom w:w="0" w:type="dxa"/>
          <w:right w:w="0" w:type="dxa"/>
        </w:tblCellMar>
      </w:tblPr>
      <w:tr>
        <w:trPr>
          <w:trHeight w:val="339"/>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12.</w:t>
            </w:r>
          </w:p>
        </w:tc>
        <w:tc>
          <w:tcPr>
            <w:tcW w:w="5580" w:type="dxa"/>
            <w:vAlign w:val="bottom"/>
          </w:tcPr>
          <w:p>
            <w:pPr>
              <w:ind w:left="340"/>
              <w:spacing w:after="0"/>
              <w:rPr>
                <w:sz w:val="20"/>
                <w:szCs w:val="20"/>
                <w:color w:val="auto"/>
              </w:rPr>
            </w:pPr>
            <w:r>
              <w:rPr>
                <w:rFonts w:ascii="Arial" w:cs="Arial" w:eastAsia="Arial" w:hAnsi="Arial"/>
                <w:sz w:val="18"/>
                <w:szCs w:val="18"/>
                <w:color w:val="auto"/>
                <w:w w:val="94"/>
              </w:rPr>
              <w:t>Check if the Aggregate Amount in Row (11) Excludes Certain Shares</w:t>
            </w:r>
          </w:p>
        </w:tc>
        <w:tc>
          <w:tcPr>
            <w:tcW w:w="420" w:type="dxa"/>
            <w:vAlign w:val="bottom"/>
          </w:tcPr>
          <w:p>
            <w:pPr>
              <w:ind w:left="24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200" w:lineRule="exact"/>
        <w:rPr>
          <w:sz w:val="20"/>
          <w:szCs w:val="20"/>
          <w:color w:val="auto"/>
        </w:rPr>
      </w:pPr>
    </w:p>
    <w:p>
      <w:pPr>
        <w:spacing w:after="0" w:line="217" w:lineRule="exact"/>
        <w:rPr>
          <w:sz w:val="20"/>
          <w:szCs w:val="20"/>
          <w:color w:val="auto"/>
        </w:rPr>
      </w:pPr>
    </w:p>
    <w:p>
      <w:pPr>
        <w:ind w:left="1480" w:hanging="888"/>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1"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color w:val="auto"/>
        </w:rPr>
        <w:t>4.6% (see Item 5)</w:t>
      </w:r>
    </w:p>
    <w:p>
      <w:pPr>
        <w:spacing w:after="0" w:line="27" w:lineRule="exact"/>
        <w:rPr>
          <w:rFonts w:ascii="Arial" w:cs="Arial" w:eastAsia="Arial" w:hAnsi="Arial"/>
          <w:sz w:val="18"/>
          <w:szCs w:val="18"/>
          <w:color w:val="auto"/>
        </w:rPr>
      </w:pPr>
    </w:p>
    <w:p>
      <w:pPr>
        <w:ind w:left="1480" w:hanging="888"/>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4"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Page 3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152400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118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CUSIP No. 92047K-10-7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246620" cy="6329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63290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480" w:hanging="843"/>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48"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color w:val="auto"/>
        </w:rPr>
        <w:t>NBCUniversal Media, LLC</w:t>
      </w:r>
    </w:p>
    <w:p>
      <w:pPr>
        <w:spacing w:after="0" w:line="27" w:lineRule="exact"/>
        <w:rPr>
          <w:rFonts w:ascii="Arial" w:cs="Arial" w:eastAsia="Arial" w:hAnsi="Arial"/>
          <w:sz w:val="18"/>
          <w:szCs w:val="18"/>
          <w:color w:val="auto"/>
        </w:rPr>
      </w:pPr>
    </w:p>
    <w:p>
      <w:pPr>
        <w:ind w:left="1480" w:hanging="843"/>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720" w:hanging="239"/>
        <w:spacing w:after="0" w:line="228" w:lineRule="exact"/>
        <w:tabs>
          <w:tab w:leader="none" w:pos="1720" w:val="left"/>
        </w:tabs>
        <w:numPr>
          <w:ilvl w:val="1"/>
          <w:numId w:val="11"/>
        </w:numPr>
        <w:rPr>
          <w:rFonts w:ascii="Arial" w:cs="Arial" w:eastAsia="Arial" w:hAnsi="Arial"/>
          <w:sz w:val="18"/>
          <w:szCs w:val="18"/>
          <w:color w:val="auto"/>
        </w:rPr>
      </w:pPr>
      <w:r>
        <w:rPr>
          <w:rFonts w:ascii="MS PGothic" w:cs="MS PGothic" w:eastAsia="MS PGothic" w:hAnsi="MS PGothic"/>
          <w:sz w:val="22"/>
          <w:szCs w:val="22"/>
          <w:color w:val="auto"/>
        </w:rPr>
        <w:t>☐</w:t>
      </w:r>
    </w:p>
    <w:p>
      <w:pPr>
        <w:spacing w:after="0" w:line="63" w:lineRule="exact"/>
        <w:rPr>
          <w:rFonts w:ascii="Arial" w:cs="Arial" w:eastAsia="Arial" w:hAnsi="Arial"/>
          <w:sz w:val="18"/>
          <w:szCs w:val="18"/>
          <w:color w:val="auto"/>
        </w:rPr>
      </w:pPr>
    </w:p>
    <w:p>
      <w:pPr>
        <w:ind w:left="1740" w:hanging="259"/>
        <w:spacing w:after="0" w:line="228" w:lineRule="exact"/>
        <w:tabs>
          <w:tab w:leader="none" w:pos="1740" w:val="left"/>
        </w:tabs>
        <w:numPr>
          <w:ilvl w:val="1"/>
          <w:numId w:val="11"/>
        </w:numPr>
        <w:rPr>
          <w:rFonts w:ascii="Arial" w:cs="Arial" w:eastAsia="Arial" w:hAnsi="Arial"/>
          <w:sz w:val="18"/>
          <w:szCs w:val="18"/>
          <w:color w:val="auto"/>
        </w:rPr>
      </w:pPr>
      <w:r>
        <w:rPr>
          <w:rFonts w:ascii="MS PGothic" w:cs="MS PGothic" w:eastAsia="MS PGothic" w:hAnsi="MS PGothic"/>
          <w:sz w:val="22"/>
          <w:szCs w:val="22"/>
          <w:color w:val="auto"/>
        </w:rPr>
        <w:t>☒</w:t>
      </w:r>
    </w:p>
    <w:p>
      <w:pPr>
        <w:spacing w:after="0" w:line="10" w:lineRule="exact"/>
        <w:rPr>
          <w:rFonts w:ascii="Arial" w:cs="Arial" w:eastAsia="Arial" w:hAnsi="Arial"/>
          <w:sz w:val="18"/>
          <w:szCs w:val="18"/>
          <w:color w:val="auto"/>
        </w:rPr>
      </w:pPr>
    </w:p>
    <w:p>
      <w:pPr>
        <w:ind w:left="1480" w:hanging="843"/>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1480" w:hanging="843"/>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1"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color w:val="auto"/>
        </w:rPr>
        <w:t>Not Applicable</w:t>
      </w:r>
    </w:p>
    <w:p>
      <w:pPr>
        <w:spacing w:after="0" w:line="27" w:lineRule="exact"/>
        <w:rPr>
          <w:rFonts w:ascii="Arial" w:cs="Arial" w:eastAsia="Arial" w:hAnsi="Arial"/>
          <w:sz w:val="18"/>
          <w:szCs w:val="18"/>
          <w:color w:val="auto"/>
        </w:rPr>
      </w:pPr>
    </w:p>
    <w:p>
      <w:pPr>
        <w:ind w:left="1480" w:hanging="843"/>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3" w:lineRule="exact"/>
        <w:rPr>
          <w:sz w:val="20"/>
          <w:szCs w:val="20"/>
          <w:color w:val="auto"/>
        </w:rPr>
      </w:pPr>
    </w:p>
    <w:p>
      <w:pPr>
        <w:jc w:val="right"/>
        <w:ind w:right="120"/>
        <w:spacing w:after="0" w:line="221" w:lineRule="exact"/>
        <w:rPr>
          <w:sz w:val="20"/>
          <w:szCs w:val="20"/>
          <w:color w:val="auto"/>
        </w:rPr>
      </w:pPr>
      <w:r>
        <w:rPr>
          <w:rFonts w:ascii="MS PGothic" w:cs="MS PGothic" w:eastAsia="MS PGothic" w:hAnsi="MS PGothic"/>
          <w:sz w:val="22"/>
          <w:szCs w:val="22"/>
          <w:color w:val="auto"/>
        </w:rPr>
        <w:t>☐</w:t>
      </w:r>
    </w:p>
    <w:p>
      <w:pPr>
        <w:spacing w:after="0" w:line="279" w:lineRule="exact"/>
        <w:rPr>
          <w:sz w:val="20"/>
          <w:szCs w:val="20"/>
          <w:color w:val="auto"/>
        </w:rPr>
      </w:pPr>
    </w:p>
    <w:p>
      <w:pPr>
        <w:ind w:left="1480" w:hanging="843"/>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27" w:lineRule="exact"/>
        <w:rPr>
          <w:rFonts w:ascii="Arial" w:cs="Arial" w:eastAsia="Arial" w:hAnsi="Arial"/>
          <w:sz w:val="18"/>
          <w:szCs w:val="18"/>
          <w:color w:val="auto"/>
        </w:rPr>
      </w:pPr>
    </w:p>
    <w:p>
      <w:pPr>
        <w:ind w:left="2500" w:hanging="323"/>
        <w:spacing w:after="0"/>
        <w:tabs>
          <w:tab w:leader="none" w:pos="25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r>
              <w:rPr>
                <w:rFonts w:ascii="Arial" w:cs="Arial" w:eastAsia="Arial" w:hAnsi="Arial"/>
                <w:sz w:val="18"/>
                <w:szCs w:val="18"/>
                <w:color w:val="auto"/>
              </w:rPr>
              <w:t>NUMBER OF</w:t>
            </w:r>
          </w:p>
        </w:tc>
        <w:tc>
          <w:tcPr>
            <w:tcW w:w="420" w:type="dxa"/>
            <w:vAlign w:val="bottom"/>
            <w:tcBorders>
              <w:bottom w:val="single" w:sz="8" w:color="auto"/>
            </w:tcBorders>
          </w:tcPr>
          <w:p>
            <w:pPr>
              <w:spacing w:after="0"/>
              <w:rPr>
                <w:sz w:val="20"/>
                <w:szCs w:val="20"/>
                <w:color w:val="auto"/>
              </w:rPr>
            </w:pPr>
          </w:p>
        </w:tc>
        <w:tc>
          <w:tcPr>
            <w:tcW w:w="8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2,741,849 (see Item 5)</w:t>
            </w:r>
          </w:p>
        </w:tc>
        <w:tc>
          <w:tcPr>
            <w:tcW w:w="0" w:type="dxa"/>
            <w:vAlign w:val="bottom"/>
          </w:tcPr>
          <w:p>
            <w:pPr>
              <w:spacing w:after="0"/>
              <w:rPr>
                <w:sz w:val="1"/>
                <w:szCs w:val="1"/>
                <w:color w:val="auto"/>
              </w:rPr>
            </w:pPr>
          </w:p>
        </w:tc>
      </w:tr>
      <w:tr>
        <w:trPr>
          <w:trHeight w:val="195"/>
        </w:trPr>
        <w:tc>
          <w:tcPr>
            <w:tcW w:w="1980" w:type="dxa"/>
            <w:vAlign w:val="bottom"/>
          </w:tcPr>
          <w:p>
            <w:pPr>
              <w:spacing w:after="0" w:line="195" w:lineRule="exact"/>
              <w:rPr>
                <w:sz w:val="20"/>
                <w:szCs w:val="20"/>
                <w:color w:val="auto"/>
              </w:rPr>
            </w:pPr>
            <w:r>
              <w:rPr>
                <w:rFonts w:ascii="Arial" w:cs="Arial" w:eastAsia="Arial" w:hAnsi="Arial"/>
                <w:sz w:val="18"/>
                <w:szCs w:val="18"/>
                <w:color w:val="auto"/>
              </w:rPr>
              <w:t>SHARES</w:t>
            </w: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c>
          <w:tcPr>
            <w:tcW w:w="89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BENEFICIALLY</w:t>
            </w:r>
          </w:p>
        </w:tc>
        <w:tc>
          <w:tcPr>
            <w:tcW w:w="420" w:type="dxa"/>
            <w:vAlign w:val="bottom"/>
          </w:tcPr>
          <w:p>
            <w:pPr>
              <w:spacing w:after="0"/>
              <w:rPr>
                <w:sz w:val="18"/>
                <w:szCs w:val="18"/>
                <w:color w:val="auto"/>
              </w:rPr>
            </w:pPr>
          </w:p>
        </w:tc>
        <w:tc>
          <w:tcPr>
            <w:tcW w:w="89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 (see Item 5)</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OWNED BY</w:t>
            </w:r>
          </w:p>
        </w:tc>
        <w:tc>
          <w:tcPr>
            <w:tcW w:w="420" w:type="dxa"/>
            <w:vAlign w:val="bottom"/>
            <w:tcBorders>
              <w:bottom w:val="single" w:sz="8" w:color="auto"/>
            </w:tcBorders>
          </w:tcPr>
          <w:p>
            <w:pPr>
              <w:spacing w:after="0"/>
              <w:rPr>
                <w:sz w:val="20"/>
                <w:szCs w:val="20"/>
                <w:color w:val="auto"/>
              </w:rPr>
            </w:pPr>
          </w:p>
        </w:tc>
        <w:tc>
          <w:tcPr>
            <w:tcW w:w="8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980" w:type="dxa"/>
            <w:vAlign w:val="bottom"/>
          </w:tcPr>
          <w:p>
            <w:pPr>
              <w:spacing w:after="0" w:line="182" w:lineRule="exact"/>
              <w:rPr>
                <w:sz w:val="20"/>
                <w:szCs w:val="20"/>
                <w:color w:val="auto"/>
              </w:rPr>
            </w:pPr>
            <w:r>
              <w:rPr>
                <w:rFonts w:ascii="Arial" w:cs="Arial" w:eastAsia="Arial" w:hAnsi="Arial"/>
                <w:sz w:val="18"/>
                <w:szCs w:val="18"/>
                <w:color w:val="auto"/>
              </w:rPr>
              <w:t>EACH</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894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REPORTING</w:t>
            </w:r>
          </w:p>
        </w:tc>
        <w:tc>
          <w:tcPr>
            <w:tcW w:w="42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980" w:type="dxa"/>
            <w:vAlign w:val="bottom"/>
          </w:tcPr>
          <w:p>
            <w:pPr>
              <w:spacing w:after="0"/>
              <w:rPr>
                <w:sz w:val="20"/>
                <w:szCs w:val="20"/>
                <w:color w:val="auto"/>
              </w:rPr>
            </w:pPr>
            <w:r>
              <w:rPr>
                <w:rFonts w:ascii="Arial" w:cs="Arial" w:eastAsia="Arial" w:hAnsi="Arial"/>
                <w:sz w:val="18"/>
                <w:szCs w:val="18"/>
                <w:color w:val="auto"/>
              </w:rPr>
              <w:t>PERSON WITH</w:t>
            </w:r>
          </w:p>
        </w:tc>
        <w:tc>
          <w:tcPr>
            <w:tcW w:w="420" w:type="dxa"/>
            <w:vAlign w:val="bottom"/>
          </w:tcPr>
          <w:p>
            <w:pPr>
              <w:spacing w:after="0"/>
              <w:rPr>
                <w:sz w:val="21"/>
                <w:szCs w:val="21"/>
                <w:color w:val="auto"/>
              </w:rPr>
            </w:pPr>
          </w:p>
        </w:tc>
        <w:tc>
          <w:tcPr>
            <w:tcW w:w="8940" w:type="dxa"/>
            <w:vAlign w:val="bottom"/>
          </w:tcPr>
          <w:p>
            <w:pPr>
              <w:ind w:left="100"/>
              <w:spacing w:after="0"/>
              <w:rPr>
                <w:sz w:val="20"/>
                <w:szCs w:val="20"/>
                <w:color w:val="auto"/>
              </w:rPr>
            </w:pPr>
            <w:r>
              <w:rPr>
                <w:rFonts w:ascii="Arial" w:cs="Arial" w:eastAsia="Arial" w:hAnsi="Arial"/>
                <w:sz w:val="18"/>
                <w:szCs w:val="18"/>
                <w:b w:val="1"/>
                <w:bCs w:val="1"/>
                <w:color w:val="auto"/>
              </w:rPr>
              <w:t>2,741,849 (see Item 5)</w:t>
            </w:r>
          </w:p>
        </w:tc>
        <w:tc>
          <w:tcPr>
            <w:tcW w:w="0" w:type="dxa"/>
            <w:vAlign w:val="bottom"/>
          </w:tcPr>
          <w:p>
            <w:pPr>
              <w:spacing w:after="0"/>
              <w:rPr>
                <w:sz w:val="1"/>
                <w:szCs w:val="1"/>
                <w:color w:val="auto"/>
              </w:rPr>
            </w:pPr>
          </w:p>
        </w:tc>
      </w:tr>
    </w:tbl>
    <w:p>
      <w:pPr>
        <w:ind w:left="2500" w:hanging="368"/>
        <w:spacing w:after="0"/>
        <w:tabs>
          <w:tab w:leader="none" w:pos="2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0" w:lineRule="exact"/>
        <w:rPr>
          <w:rFonts w:ascii="Arial" w:cs="Arial" w:eastAsia="Arial" w:hAnsi="Arial"/>
          <w:sz w:val="18"/>
          <w:szCs w:val="18"/>
          <w:color w:val="auto"/>
        </w:rPr>
      </w:pPr>
    </w:p>
    <w:p>
      <w:pPr>
        <w:ind w:left="2500"/>
        <w:spacing w:after="0"/>
        <w:rPr>
          <w:rFonts w:ascii="Arial" w:cs="Arial" w:eastAsia="Arial" w:hAnsi="Arial"/>
          <w:sz w:val="18"/>
          <w:szCs w:val="18"/>
          <w:color w:val="auto"/>
        </w:rPr>
      </w:pPr>
      <w:r>
        <w:rPr>
          <w:rFonts w:ascii="Arial" w:cs="Arial" w:eastAsia="Arial" w:hAnsi="Arial"/>
          <w:sz w:val="18"/>
          <w:szCs w:val="18"/>
          <w:b w:val="1"/>
          <w:bCs w:val="1"/>
          <w:color w:val="auto"/>
        </w:rPr>
        <w:t>0 (see Item 5)</w:t>
      </w:r>
    </w:p>
    <w:p>
      <w:pPr>
        <w:spacing w:after="0" w:line="27" w:lineRule="exact"/>
        <w:rPr>
          <w:rFonts w:ascii="Arial" w:cs="Arial" w:eastAsia="Arial" w:hAnsi="Arial"/>
          <w:sz w:val="18"/>
          <w:szCs w:val="18"/>
          <w:color w:val="auto"/>
        </w:rPr>
      </w:pPr>
    </w:p>
    <w:p>
      <w:pPr>
        <w:ind w:left="1480" w:hanging="885"/>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0"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color w:val="auto"/>
        </w:rPr>
        <w:t>2,741,849 (see Item 5)</w:t>
      </w:r>
    </w:p>
    <w:p>
      <w:pPr>
        <w:spacing w:after="0" w:line="27" w:lineRule="exact"/>
        <w:rPr>
          <w:sz w:val="20"/>
          <w:szCs w:val="20"/>
          <w:color w:val="auto"/>
        </w:rPr>
      </w:pPr>
    </w:p>
    <w:tbl>
      <w:tblPr>
        <w:tblLayout w:type="fixed"/>
        <w:tblInd w:w="600" w:type="dxa"/>
        <w:tblCellMar>
          <w:top w:w="0" w:type="dxa"/>
          <w:left w:w="0" w:type="dxa"/>
          <w:bottom w:w="0" w:type="dxa"/>
          <w:right w:w="0" w:type="dxa"/>
        </w:tblCellMar>
      </w:tblPr>
      <w:tr>
        <w:trPr>
          <w:trHeight w:val="339"/>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12.</w:t>
            </w:r>
          </w:p>
        </w:tc>
        <w:tc>
          <w:tcPr>
            <w:tcW w:w="5660" w:type="dxa"/>
            <w:vAlign w:val="bottom"/>
          </w:tcPr>
          <w:p>
            <w:pPr>
              <w:ind w:left="340"/>
              <w:spacing w:after="0"/>
              <w:rPr>
                <w:sz w:val="20"/>
                <w:szCs w:val="20"/>
                <w:color w:val="auto"/>
              </w:rPr>
            </w:pPr>
            <w:r>
              <w:rPr>
                <w:rFonts w:ascii="Arial" w:cs="Arial" w:eastAsia="Arial" w:hAnsi="Arial"/>
                <w:sz w:val="18"/>
                <w:szCs w:val="18"/>
                <w:color w:val="auto"/>
                <w:w w:val="96"/>
              </w:rPr>
              <w:t>Check if the Aggregate Amount in Row (11) Excludes Certain Shares</w:t>
            </w:r>
          </w:p>
        </w:tc>
        <w:tc>
          <w:tcPr>
            <w:tcW w:w="480" w:type="dxa"/>
            <w:vAlign w:val="bottom"/>
          </w:tcPr>
          <w:p>
            <w:pPr>
              <w:ind w:left="28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74" w:lineRule="exact"/>
        <w:rPr>
          <w:sz w:val="20"/>
          <w:szCs w:val="20"/>
          <w:color w:val="auto"/>
        </w:rPr>
      </w:pPr>
    </w:p>
    <w:p>
      <w:pPr>
        <w:ind w:left="1480" w:hanging="888"/>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1"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b w:val="1"/>
          <w:bCs w:val="1"/>
          <w:color w:val="auto"/>
        </w:rPr>
        <w:t>4.6% (see Item 5)</w:t>
      </w:r>
    </w:p>
    <w:p>
      <w:pPr>
        <w:spacing w:after="0" w:line="27" w:lineRule="exact"/>
        <w:rPr>
          <w:rFonts w:ascii="Arial" w:cs="Arial" w:eastAsia="Arial" w:hAnsi="Arial"/>
          <w:sz w:val="18"/>
          <w:szCs w:val="18"/>
          <w:color w:val="auto"/>
        </w:rPr>
      </w:pPr>
    </w:p>
    <w:p>
      <w:pPr>
        <w:ind w:left="1480" w:hanging="888"/>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4"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Page 4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152400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945" w:right="239" w:bottom="1440" w:gutter="0" w:footer="0" w:header="0"/>
        </w:sectPr>
      </w:pPr>
    </w:p>
    <w:bookmarkStart w:id="4" w:name="page5"/>
    <w:bookmarkEnd w:id="4"/>
    <w:p>
      <w:pPr>
        <w:ind w:right="140" w:firstLine="324"/>
        <w:spacing w:after="0" w:line="257" w:lineRule="auto"/>
        <w:rPr>
          <w:sz w:val="20"/>
          <w:szCs w:val="20"/>
          <w:color w:val="auto"/>
        </w:rPr>
      </w:pPr>
      <w:r>
        <w:rPr>
          <w:rFonts w:ascii="Arial" w:cs="Arial" w:eastAsia="Arial" w:hAnsi="Arial"/>
          <w:sz w:val="18"/>
          <w:szCs w:val="18"/>
          <w:color w:val="auto"/>
        </w:rPr>
        <w:t>This Amendment No. 4 amends the Schedule 13D originally filed on February 7, 2011, as amended (this “</w:t>
      </w:r>
      <w:r>
        <w:rPr>
          <w:rFonts w:ascii="Arial" w:cs="Arial" w:eastAsia="Arial" w:hAnsi="Arial"/>
          <w:sz w:val="18"/>
          <w:szCs w:val="18"/>
          <w:u w:val="single" w:color="auto"/>
          <w:color w:val="auto"/>
        </w:rPr>
        <w:t>Schedule 13D</w:t>
      </w:r>
      <w:r>
        <w:rPr>
          <w:rFonts w:ascii="Arial" w:cs="Arial" w:eastAsia="Arial" w:hAnsi="Arial"/>
          <w:sz w:val="18"/>
          <w:szCs w:val="18"/>
          <w:color w:val="auto"/>
        </w:rPr>
        <w:t>”), and is filed by Comcast Corporation (“</w:t>
      </w:r>
      <w:r>
        <w:rPr>
          <w:rFonts w:ascii="Arial" w:cs="Arial" w:eastAsia="Arial" w:hAnsi="Arial"/>
          <w:sz w:val="18"/>
          <w:szCs w:val="18"/>
          <w:u w:val="single" w:color="auto"/>
          <w:color w:val="auto"/>
        </w:rPr>
        <w:t>Comcast</w:t>
      </w:r>
      <w:r>
        <w:rPr>
          <w:rFonts w:ascii="Arial" w:cs="Arial" w:eastAsia="Arial" w:hAnsi="Arial"/>
          <w:sz w:val="18"/>
          <w:szCs w:val="18"/>
          <w:color w:val="auto"/>
        </w:rPr>
        <w:t>”), for and on behalf of itself, NBCUniversal, LLC (“</w:t>
      </w:r>
      <w:r>
        <w:rPr>
          <w:rFonts w:ascii="Arial" w:cs="Arial" w:eastAsia="Arial" w:hAnsi="Arial"/>
          <w:sz w:val="18"/>
          <w:szCs w:val="18"/>
          <w:u w:val="single" w:color="auto"/>
          <w:color w:val="auto"/>
        </w:rPr>
        <w:t>NBCUniversal Holdings</w:t>
      </w:r>
      <w:r>
        <w:rPr>
          <w:rFonts w:ascii="Arial" w:cs="Arial" w:eastAsia="Arial" w:hAnsi="Arial"/>
          <w:sz w:val="18"/>
          <w:szCs w:val="18"/>
          <w:color w:val="auto"/>
        </w:rPr>
        <w:t>”) and NBCUniversal Media, LLC (“</w:t>
      </w:r>
      <w:r>
        <w:rPr>
          <w:rFonts w:ascii="Arial" w:cs="Arial" w:eastAsia="Arial" w:hAnsi="Arial"/>
          <w:sz w:val="18"/>
          <w:szCs w:val="18"/>
          <w:u w:val="single" w:color="auto"/>
          <w:color w:val="auto"/>
        </w:rPr>
        <w:t>NBCUniversal</w:t>
      </w:r>
      <w:r>
        <w:rPr>
          <w:rFonts w:ascii="Arial" w:cs="Arial" w:eastAsia="Arial" w:hAnsi="Arial"/>
          <w:sz w:val="18"/>
          <w:szCs w:val="18"/>
          <w:color w:val="auto"/>
        </w:rPr>
        <w:t>” and, together with Comcast and NBCUniversal Holdings,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with respect to the common stock, $0.01 par value per share (“</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of EVINE Live, Inc., a Minnesota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NBCUniversal is a wholly owned subsidiary of NBCUniversal Holdings; Comcast owns 100% of NBCUniversal Holdings’ common equity.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hereby supplemented as follows:</w:t>
      </w:r>
    </w:p>
    <w:p>
      <w:pPr>
        <w:spacing w:after="0" w:line="22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On January 30, 2017, the Issuer and NBCUniversal entered into an agreement (the “</w:t>
      </w:r>
      <w:r>
        <w:rPr>
          <w:rFonts w:ascii="Arial" w:cs="Arial" w:eastAsia="Arial" w:hAnsi="Arial"/>
          <w:sz w:val="17"/>
          <w:szCs w:val="17"/>
          <w:u w:val="single" w:color="auto"/>
          <w:color w:val="auto"/>
        </w:rPr>
        <w:t>Repurchase Letter Agreement</w:t>
      </w:r>
      <w:r>
        <w:rPr>
          <w:rFonts w:ascii="Arial" w:cs="Arial" w:eastAsia="Arial" w:hAnsi="Arial"/>
          <w:sz w:val="17"/>
          <w:szCs w:val="17"/>
          <w:color w:val="auto"/>
        </w:rPr>
        <w:t>”) pursuant to which the Issuer agreed to purchase, and NBCUniversal agreed to sell, 4,400,000 shares of Common Stock for an aggregate amount of $4,924,774.80, representing an amount equal to approximately $1.12 per share of Common Stock. The transaction was consummated on January 31, 2017. In addition, pursuant to the terms of the Repurchase Letter Agreement, the Issuer and NBCUniversal agreed to terminate the Shareholder Agreement (the “</w:t>
      </w:r>
      <w:r>
        <w:rPr>
          <w:rFonts w:ascii="Arial" w:cs="Arial" w:eastAsia="Arial" w:hAnsi="Arial"/>
          <w:sz w:val="17"/>
          <w:szCs w:val="17"/>
          <w:u w:val="single" w:color="auto"/>
          <w:color w:val="auto"/>
        </w:rPr>
        <w:t>Shareholder Agreement</w:t>
      </w:r>
      <w:r>
        <w:rPr>
          <w:rFonts w:ascii="Arial" w:cs="Arial" w:eastAsia="Arial" w:hAnsi="Arial"/>
          <w:sz w:val="17"/>
          <w:szCs w:val="17"/>
          <w:color w:val="auto"/>
        </w:rPr>
        <w:t>”) between the Issuer and NBCUniversal dated as of April 29, 2016, effective as of the execution of the Repurchase Letter Agreement.</w:t>
      </w:r>
    </w:p>
    <w:p>
      <w:pPr>
        <w:spacing w:after="0" w:line="173"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The foregoing description of the Repurchase Letter Agreement does not purport to be complete and is subject to, and qualified in its entirety by, the full text of the Repurchase Letter Agreement, a copy of which is attached hereto as Exhibit 99.1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firstLine="332"/>
        <w:spacing w:after="0" w:line="293" w:lineRule="auto"/>
        <w:tabs>
          <w:tab w:leader="none" w:pos="83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responses of the Reporting Persons to Rows (11) through (13) of the cover pages of this Schedule 13D are incorporated herein by reference. As of the date of the filing, NBCUniversal beneficially owned in the aggregate 2,741,849 shares of Common Stock, representing approximately 4.6% of the shares of Common Stock outstanding determined in accordance with Rule 13d-3(d)(1)(i) under the Exchange Act (based on the number of shares of Common Stock outstanding as of November 28, 2016, as reported in the Issuer’s Form 10-Q filed on November 30, 2016, and taking into account the repurchase transaction disclosed in this Schedule 13D). By virtue of the fact that NBCUniversal is a direct or indirect subsidiary of each of the other Reporting Persons, Comcast and NBCUniversal Holdings may each be deemed to beneficially own the shares of Common Stock owned by NBCUniversal.</w:t>
      </w:r>
    </w:p>
    <w:p>
      <w:pPr>
        <w:spacing w:after="0" w:line="16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Except as disclosed in this Item 5(a), none of the Reporting Persons, nor, to the best of their knowledge, any of their directors or executive officers, beneficially owns any shares of Common Stock.</w:t>
      </w:r>
    </w:p>
    <w:p>
      <w:pPr>
        <w:spacing w:after="0" w:line="170" w:lineRule="exact"/>
        <w:rPr>
          <w:sz w:val="20"/>
          <w:szCs w:val="20"/>
          <w:color w:val="auto"/>
        </w:rPr>
      </w:pPr>
    </w:p>
    <w:p>
      <w:pPr>
        <w:ind w:right="640" w:firstLine="332"/>
        <w:spacing w:after="0" w:line="277" w:lineRule="auto"/>
        <w:tabs>
          <w:tab w:leader="none" w:pos="8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responses of the Reporting Persons to (i) Rows (7) through (10) of the cover pages of this Schedule 13D and (ii) Item 5(a) hereof are incorporated herein by reference.</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Except as disclosed in this Item 5(b), none of the Reporting Persons, nor to the best of their knowledge, any of their directors or executive officers, presently has the power to vote or direct the vote or to dispose or direct the disposition of any of the shares of Common Stock which they may be deemed to beneficially own.</w:t>
      </w:r>
    </w:p>
    <w:p>
      <w:pPr>
        <w:spacing w:after="0" w:line="181" w:lineRule="exact"/>
        <w:rPr>
          <w:sz w:val="20"/>
          <w:szCs w:val="20"/>
          <w:color w:val="auto"/>
        </w:rPr>
      </w:pPr>
    </w:p>
    <w:p>
      <w:pPr>
        <w:ind w:right="100" w:firstLine="332"/>
        <w:spacing w:after="0" w:line="277" w:lineRule="auto"/>
        <w:tabs>
          <w:tab w:leader="none" w:pos="8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 of the Reporting Persons, nor, to the best of their knowledge, any of their directors or executive officers, has effected any transaction in the shares of Common Stock during the past 60 days, except as disclosed in this Schedule 13D.</w:t>
      </w:r>
    </w:p>
    <w:p>
      <w:pPr>
        <w:spacing w:after="0" w:line="170" w:lineRule="exact"/>
        <w:rPr>
          <w:rFonts w:ascii="Arial" w:cs="Arial" w:eastAsia="Arial" w:hAnsi="Arial"/>
          <w:sz w:val="18"/>
          <w:szCs w:val="18"/>
          <w:color w:val="auto"/>
        </w:rPr>
      </w:pPr>
    </w:p>
    <w:p>
      <w:pPr>
        <w:ind w:left="860" w:hanging="528"/>
        <w:spacing w:after="0"/>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right="60" w:firstLine="332"/>
        <w:spacing w:after="0" w:line="264" w:lineRule="auto"/>
        <w:tabs>
          <w:tab w:leader="none" w:pos="8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January 31, 2017, pursuant to the Repurchase Letter Agreement, NBCUniversal sold to the Issuer an aggregate of 4,400,000 shares of Common Stock for an aggregate amount of $4,924,774.80, representing an amount equal to $1.12 per share of Common Stock, and at such time ceased to be a beneficial owner of more than five percent of the outstanding Common Stock.</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Item 6. Contracts, Arrangements, Understandings or Relationships with Respect to Securities of the Issuer.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6 of the Schedule 13D is hereby supplemented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information set forth in Item 4 of this Schedule 13D is incorporated into this Item 6 by reference.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exhibits:</w:t>
      </w:r>
    </w:p>
    <w:p>
      <w:pPr>
        <w:sectPr>
          <w:pgSz w:w="11900" w:h="16838" w:orient="portrait"/>
          <w:cols w:equalWidth="0" w:num="1">
            <w:col w:w="11340"/>
          </w:cols>
          <w:pgMar w:left="240" w:top="904" w:right="319" w:bottom="1440" w:gutter="0" w:footer="0" w:header="0"/>
        </w:sect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Exhibit</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4920"/>
        <w:spacing w:after="0"/>
        <w:rPr>
          <w:sz w:val="20"/>
          <w:szCs w:val="20"/>
          <w:color w:val="auto"/>
        </w:rPr>
      </w:pPr>
      <w:r>
        <w:rPr>
          <w:rFonts w:ascii="Arial" w:cs="Arial" w:eastAsia="Arial" w:hAnsi="Arial"/>
          <w:sz w:val="15"/>
          <w:szCs w:val="15"/>
          <w:b w:val="1"/>
          <w:bCs w:val="1"/>
          <w:color w:val="auto"/>
        </w:rPr>
        <w:t>Description</w:t>
      </w:r>
    </w:p>
    <w:p>
      <w:pPr>
        <w:spacing w:after="0" w:line="61" w:lineRule="exact"/>
        <w:rPr>
          <w:sz w:val="20"/>
          <w:szCs w:val="20"/>
          <w:color w:val="auto"/>
        </w:rPr>
      </w:pPr>
    </w:p>
    <w:p>
      <w:pPr>
        <w:sectPr>
          <w:pgSz w:w="11900" w:h="16838" w:orient="portrait"/>
          <w:cols w:equalWidth="0" w:num="2">
            <w:col w:w="4820" w:space="720"/>
            <w:col w:w="5800"/>
          </w:cols>
          <w:pgMar w:left="240" w:top="904" w:right="319" w:bottom="1440" w:gutter="0" w:footer="0" w:header="0"/>
          <w:type w:val="continuous"/>
        </w:sectPr>
      </w:pPr>
    </w:p>
    <w:p>
      <w:pPr>
        <w:ind w:left="640" w:hanging="501"/>
        <w:spacing w:after="0" w:line="307" w:lineRule="auto"/>
        <w:tabs>
          <w:tab w:leader="none" w:pos="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Repurchase Letter Agreement, dated as of January 30, 2017, among EVINE Live, Inc. and NBCUniversal Media, LLC (incorporated by reference to Exhibit 10.1 to the Issuer’s Current Report on Form 8-K filed with the Commission on January 31, 2017 (File No. 001-37495))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212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6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type w:val="continuous"/>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January 31, 2017</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Arthur R. Block</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Title: Executive Vice President, General Counsel and Secretary</w:t>
      </w:r>
    </w:p>
    <w:p>
      <w:pPr>
        <w:spacing w:after="0" w:line="200" w:lineRule="exact"/>
        <w:rPr>
          <w:sz w:val="20"/>
          <w:szCs w:val="20"/>
          <w:color w:val="auto"/>
        </w:rPr>
      </w:pPr>
    </w:p>
    <w:p>
      <w:pPr>
        <w:spacing w:after="0" w:line="24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NBCUNIVERSAL, LLC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Arthur R. Block</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Executive Vice President</w:t>
      </w:r>
    </w:p>
    <w:p>
      <w:pPr>
        <w:spacing w:after="0" w:line="200" w:lineRule="exact"/>
        <w:rPr>
          <w:sz w:val="20"/>
          <w:szCs w:val="20"/>
          <w:color w:val="auto"/>
        </w:rPr>
      </w:pPr>
    </w:p>
    <w:p>
      <w:pPr>
        <w:spacing w:after="0" w:line="22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NBCUNIVERSAL MEDIA, LLC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Arthur R. Block</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SCHEDULE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AND DIRECTORS OF COMCAST CORPORATION</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name, business address, title, present principal occupation or employment of each of the directors and executive officers of Comcast Corporation (“Comcast”) are set forth below. If no business address is given, the director’s or officer’s business address is One Comcast Center, Philadelphia, Pennsylvania 19103-2838. Unless otherwise indicated, each occupation set forth opposite an individual’s name refers to Comcast. All of the persons listed below are citizens of the United States of America.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500" w:type="dxa"/>
            <w:vAlign w:val="bottom"/>
          </w:tcPr>
          <w:p>
            <w:pPr>
              <w:ind w:left="2120"/>
              <w:spacing w:after="0"/>
              <w:rPr>
                <w:sz w:val="20"/>
                <w:szCs w:val="20"/>
                <w:color w:val="auto"/>
              </w:rPr>
            </w:pPr>
            <w:r>
              <w:rPr>
                <w:rFonts w:ascii="Arial" w:cs="Arial" w:eastAsia="Arial" w:hAnsi="Arial"/>
                <w:sz w:val="18"/>
                <w:szCs w:val="18"/>
                <w:b w:val="1"/>
                <w:bCs w:val="1"/>
                <w:color w:val="auto"/>
              </w:rPr>
              <w:t>Present Principal Occupation</w:t>
            </w:r>
          </w:p>
        </w:tc>
      </w:tr>
      <w:tr>
        <w:trPr>
          <w:trHeight w:val="234"/>
        </w:trPr>
        <w:tc>
          <w:tcPr>
            <w:tcW w:w="20" w:type="dxa"/>
            <w:vAlign w:val="bottom"/>
          </w:tcPr>
          <w:p>
            <w:pPr>
              <w:spacing w:after="0"/>
              <w:rPr>
                <w:sz w:val="20"/>
                <w:szCs w:val="20"/>
                <w:color w:val="auto"/>
              </w:rPr>
            </w:pPr>
          </w:p>
        </w:tc>
        <w:tc>
          <w:tcPr>
            <w:tcW w:w="484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Name and Business Address</w:t>
            </w:r>
          </w:p>
        </w:tc>
        <w:tc>
          <w:tcPr>
            <w:tcW w:w="60" w:type="dxa"/>
            <w:vAlign w:val="bottom"/>
          </w:tcPr>
          <w:p>
            <w:pPr>
              <w:spacing w:after="0"/>
              <w:rPr>
                <w:sz w:val="20"/>
                <w:szCs w:val="20"/>
                <w:color w:val="auto"/>
              </w:rPr>
            </w:pPr>
          </w:p>
        </w:tc>
        <w:tc>
          <w:tcPr>
            <w:tcW w:w="650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(Name and Principal Business of Employer)</w:t>
            </w:r>
          </w:p>
        </w:tc>
      </w:tr>
      <w:tr>
        <w:trPr>
          <w:trHeight w:val="224"/>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i w:val="1"/>
                <w:iCs w:val="1"/>
                <w:color w:val="auto"/>
              </w:rPr>
              <w:t>Directors</w:t>
            </w:r>
          </w:p>
        </w:tc>
        <w:tc>
          <w:tcPr>
            <w:tcW w:w="60" w:type="dxa"/>
            <w:vAlign w:val="bottom"/>
          </w:tcPr>
          <w:p>
            <w:pPr>
              <w:spacing w:after="0"/>
              <w:rPr>
                <w:sz w:val="19"/>
                <w:szCs w:val="19"/>
                <w:color w:val="auto"/>
              </w:rPr>
            </w:pPr>
          </w:p>
        </w:tc>
        <w:tc>
          <w:tcPr>
            <w:tcW w:w="6500" w:type="dxa"/>
            <w:vAlign w:val="bottom"/>
          </w:tcPr>
          <w:p>
            <w:pPr>
              <w:spacing w:after="0"/>
              <w:rPr>
                <w:sz w:val="19"/>
                <w:szCs w:val="19"/>
                <w:color w:val="auto"/>
              </w:rPr>
            </w:pPr>
          </w:p>
        </w:tc>
      </w:tr>
      <w:tr>
        <w:trPr>
          <w:trHeight w:val="418"/>
        </w:trPr>
        <w:tc>
          <w:tcPr>
            <w:tcW w:w="4860" w:type="dxa"/>
            <w:vAlign w:val="bottom"/>
            <w:gridSpan w:val="2"/>
          </w:tcPr>
          <w:p>
            <w:pPr>
              <w:spacing w:after="0"/>
              <w:rPr>
                <w:sz w:val="20"/>
                <w:szCs w:val="20"/>
                <w:color w:val="auto"/>
              </w:rPr>
            </w:pPr>
            <w:r>
              <w:rPr>
                <w:rFonts w:ascii="Arial" w:cs="Arial" w:eastAsia="Arial" w:hAnsi="Arial"/>
                <w:sz w:val="18"/>
                <w:szCs w:val="18"/>
                <w:color w:val="auto"/>
              </w:rPr>
              <w:t>Kenneth J. Bacon</w:t>
            </w: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Partner at RailField Partners, a financial advisory and asset management firm</w:t>
            </w:r>
          </w:p>
        </w:tc>
      </w:tr>
      <w:tr>
        <w:trPr>
          <w:trHeight w:val="418"/>
        </w:trPr>
        <w:tc>
          <w:tcPr>
            <w:tcW w:w="4860" w:type="dxa"/>
            <w:vAlign w:val="bottom"/>
            <w:gridSpan w:val="2"/>
          </w:tcPr>
          <w:p>
            <w:pPr>
              <w:spacing w:after="0"/>
              <w:rPr>
                <w:sz w:val="20"/>
                <w:szCs w:val="20"/>
                <w:color w:val="auto"/>
              </w:rPr>
            </w:pPr>
            <w:r>
              <w:rPr>
                <w:rFonts w:ascii="Arial" w:cs="Arial" w:eastAsia="Arial" w:hAnsi="Arial"/>
                <w:sz w:val="18"/>
                <w:szCs w:val="18"/>
                <w:color w:val="auto"/>
              </w:rPr>
              <w:t>Madeline S. Bell</w:t>
            </w: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4"/>
              </w:rPr>
              <w:t>President and Chief Executive Officer of The Children’s Hospital of Philadelphia, a top-</w:t>
            </w: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ranked children’s hospital in the United States</w:t>
            </w: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rPr>
              <w:t>Sheldon M. Bonovitz</w:t>
            </w: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Chairman Emeritus of Duane Morris LLP, a law firm</w:t>
            </w:r>
          </w:p>
        </w:tc>
      </w:tr>
      <w:tr>
        <w:trPr>
          <w:trHeight w:val="418"/>
        </w:trPr>
        <w:tc>
          <w:tcPr>
            <w:tcW w:w="4860" w:type="dxa"/>
            <w:vAlign w:val="bottom"/>
            <w:gridSpan w:val="2"/>
          </w:tcPr>
          <w:p>
            <w:pPr>
              <w:spacing w:after="0"/>
              <w:rPr>
                <w:sz w:val="20"/>
                <w:szCs w:val="20"/>
                <w:color w:val="auto"/>
              </w:rPr>
            </w:pPr>
            <w:r>
              <w:rPr>
                <w:rFonts w:ascii="Arial" w:cs="Arial" w:eastAsia="Arial" w:hAnsi="Arial"/>
                <w:sz w:val="18"/>
                <w:szCs w:val="18"/>
                <w:color w:val="auto"/>
              </w:rPr>
              <w:t>Edward D. Breen</w:t>
            </w: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7"/>
              </w:rPr>
              <w:t>Chairman of the Board and Chief Executive Officer of E.I. du Pont de Nemours and</w:t>
            </w: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Company</w:t>
            </w: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rPr>
              <w:t>Joseph J. Collins</w:t>
            </w: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Chairman of Aegis, LLC</w:t>
            </w:r>
          </w:p>
        </w:tc>
      </w:tr>
      <w:tr>
        <w:trPr>
          <w:trHeight w:val="418"/>
        </w:trPr>
        <w:tc>
          <w:tcPr>
            <w:tcW w:w="4860" w:type="dxa"/>
            <w:vAlign w:val="bottom"/>
            <w:gridSpan w:val="2"/>
          </w:tcPr>
          <w:p>
            <w:pPr>
              <w:spacing w:after="0"/>
              <w:rPr>
                <w:sz w:val="20"/>
                <w:szCs w:val="20"/>
                <w:color w:val="auto"/>
              </w:rPr>
            </w:pPr>
            <w:r>
              <w:rPr>
                <w:rFonts w:ascii="Arial" w:cs="Arial" w:eastAsia="Arial" w:hAnsi="Arial"/>
                <w:sz w:val="18"/>
                <w:szCs w:val="18"/>
                <w:color w:val="auto"/>
              </w:rPr>
              <w:t>Gerald L. Hassell</w:t>
            </w: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4"/>
              </w:rPr>
              <w:t>Chairman and Chief Executive Officer of The Bank of New York Mellon Corporation, a</w:t>
            </w: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global investments company</w:t>
            </w:r>
          </w:p>
        </w:tc>
      </w:tr>
      <w:tr>
        <w:trPr>
          <w:trHeight w:val="418"/>
        </w:trPr>
        <w:tc>
          <w:tcPr>
            <w:tcW w:w="4860" w:type="dxa"/>
            <w:vAlign w:val="bottom"/>
            <w:gridSpan w:val="2"/>
          </w:tcPr>
          <w:p>
            <w:pPr>
              <w:spacing w:after="0"/>
              <w:rPr>
                <w:sz w:val="20"/>
                <w:szCs w:val="20"/>
                <w:color w:val="auto"/>
              </w:rPr>
            </w:pPr>
            <w:r>
              <w:rPr>
                <w:rFonts w:ascii="Arial" w:cs="Arial" w:eastAsia="Arial" w:hAnsi="Arial"/>
                <w:sz w:val="18"/>
                <w:szCs w:val="18"/>
                <w:color w:val="auto"/>
              </w:rPr>
              <w:t>Jeffrey A. Honickman</w:t>
            </w: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1"/>
              </w:rPr>
              <w:t>Chief Executive Officer of Pepsi-Cola and National Brand Beverages, Ltd., a bottling and</w:t>
            </w: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distribution company</w:t>
            </w:r>
          </w:p>
        </w:tc>
      </w:tr>
      <w:tr>
        <w:trPr>
          <w:trHeight w:val="418"/>
        </w:trPr>
        <w:tc>
          <w:tcPr>
            <w:tcW w:w="4860" w:type="dxa"/>
            <w:vAlign w:val="bottom"/>
            <w:gridSpan w:val="2"/>
          </w:tcPr>
          <w:p>
            <w:pPr>
              <w:spacing w:after="0"/>
              <w:rPr>
                <w:sz w:val="20"/>
                <w:szCs w:val="20"/>
                <w:color w:val="auto"/>
              </w:rPr>
            </w:pPr>
            <w:r>
              <w:rPr>
                <w:rFonts w:ascii="Arial" w:cs="Arial" w:eastAsia="Arial" w:hAnsi="Arial"/>
                <w:sz w:val="18"/>
                <w:szCs w:val="18"/>
                <w:color w:val="auto"/>
              </w:rPr>
              <w:t>Eduardo G. Mestre</w:t>
            </w: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4"/>
              </w:rPr>
              <w:t>Senior Advisor to Evercore Partners Inc., an independent investment banking advisory</w:t>
            </w: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firm</w:t>
            </w:r>
          </w:p>
        </w:tc>
      </w:tr>
      <w:tr>
        <w:trPr>
          <w:trHeight w:val="418"/>
        </w:trPr>
        <w:tc>
          <w:tcPr>
            <w:tcW w:w="4860" w:type="dxa"/>
            <w:vAlign w:val="bottom"/>
            <w:gridSpan w:val="2"/>
          </w:tcPr>
          <w:p>
            <w:pPr>
              <w:spacing w:after="0"/>
              <w:rPr>
                <w:sz w:val="20"/>
                <w:szCs w:val="20"/>
                <w:color w:val="auto"/>
              </w:rPr>
            </w:pPr>
            <w:r>
              <w:rPr>
                <w:rFonts w:ascii="Arial" w:cs="Arial" w:eastAsia="Arial" w:hAnsi="Arial"/>
                <w:sz w:val="18"/>
                <w:szCs w:val="18"/>
                <w:color w:val="auto"/>
              </w:rPr>
              <w:t>David C. Novak</w:t>
            </w: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9"/>
              </w:rPr>
              <w:t>Founder of OGO Enterprises, LLC, a company whose mission is to inspire people</w:t>
            </w: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through personal recognitions that deepen relationships</w:t>
            </w:r>
          </w:p>
        </w:tc>
      </w:tr>
      <w:tr>
        <w:trPr>
          <w:trHeight w:val="459"/>
        </w:trPr>
        <w:tc>
          <w:tcPr>
            <w:tcW w:w="4860" w:type="dxa"/>
            <w:vAlign w:val="bottom"/>
            <w:gridSpan w:val="2"/>
          </w:tcPr>
          <w:p>
            <w:pPr>
              <w:spacing w:after="0"/>
              <w:rPr>
                <w:sz w:val="20"/>
                <w:szCs w:val="20"/>
                <w:color w:val="auto"/>
              </w:rPr>
            </w:pPr>
            <w:r>
              <w:rPr>
                <w:rFonts w:ascii="Arial" w:cs="Arial" w:eastAsia="Arial" w:hAnsi="Arial"/>
                <w:sz w:val="18"/>
                <w:szCs w:val="18"/>
                <w:color w:val="auto"/>
              </w:rPr>
              <w:t>Brian L. Roberts</w:t>
            </w: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rPr>
              <w:t>Johnathan A. Rodgers</w:t>
            </w: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Retired President and Chief Executive Officer of TVOne, a cable network</w:t>
            </w: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rPr>
              <w:t>Dr. Judith Rodin</w:t>
            </w: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President of The Rockefeller Foundation</w:t>
            </w:r>
          </w:p>
        </w:tc>
      </w:tr>
      <w:tr>
        <w:trPr>
          <w:trHeight w:val="675"/>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Page 8 of 12</w:t>
            </w:r>
          </w:p>
        </w:tc>
      </w:tr>
      <w:tr>
        <w:trPr>
          <w:trHeight w:val="216"/>
        </w:trPr>
        <w:tc>
          <w:tcPr>
            <w:tcW w:w="20" w:type="dxa"/>
            <w:vAlign w:val="bottom"/>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r>
    </w:tbl>
    <w:p>
      <w:pPr>
        <w:sectPr>
          <w:pgSz w:w="11900" w:h="16838" w:orient="portrait"/>
          <w:cols w:equalWidth="0" w:num="1">
            <w:col w:w="11420"/>
          </w:cols>
          <w:pgMar w:left="240" w:top="688"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500" w:type="dxa"/>
            <w:vAlign w:val="bottom"/>
          </w:tcPr>
          <w:p>
            <w:pPr>
              <w:ind w:left="2120"/>
              <w:spacing w:after="0"/>
              <w:rPr>
                <w:sz w:val="20"/>
                <w:szCs w:val="20"/>
                <w:color w:val="auto"/>
              </w:rPr>
            </w:pPr>
            <w:r>
              <w:rPr>
                <w:rFonts w:ascii="Arial" w:cs="Arial" w:eastAsia="Arial" w:hAnsi="Arial"/>
                <w:sz w:val="18"/>
                <w:szCs w:val="18"/>
                <w:b w:val="1"/>
                <w:bCs w:val="1"/>
                <w:color w:val="auto"/>
              </w:rPr>
              <w:t>Present Principal Occupation</w:t>
            </w:r>
          </w:p>
        </w:tc>
      </w:tr>
      <w:tr>
        <w:trPr>
          <w:trHeight w:val="234"/>
        </w:trPr>
        <w:tc>
          <w:tcPr>
            <w:tcW w:w="20" w:type="dxa"/>
            <w:vAlign w:val="bottom"/>
          </w:tcPr>
          <w:p>
            <w:pPr>
              <w:spacing w:after="0"/>
              <w:rPr>
                <w:sz w:val="20"/>
                <w:szCs w:val="20"/>
                <w:color w:val="auto"/>
              </w:rPr>
            </w:pPr>
          </w:p>
        </w:tc>
        <w:tc>
          <w:tcPr>
            <w:tcW w:w="416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Name and Business Address</w:t>
            </w: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(Name and Principal Business of Employer)</w:t>
            </w:r>
          </w:p>
        </w:tc>
      </w:tr>
      <w:tr>
        <w:trPr>
          <w:trHeight w:val="224"/>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i w:val="1"/>
                <w:iCs w:val="1"/>
                <w:color w:val="auto"/>
              </w:rPr>
              <w:t>Executive Officers</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500" w:type="dxa"/>
            <w:vAlign w:val="bottom"/>
          </w:tcPr>
          <w:p>
            <w:pPr>
              <w:spacing w:after="0"/>
              <w:rPr>
                <w:sz w:val="19"/>
                <w:szCs w:val="19"/>
                <w:color w:val="auto"/>
              </w:rPr>
            </w:pPr>
          </w:p>
        </w:tc>
      </w:tr>
      <w:tr>
        <w:trPr>
          <w:trHeight w:val="404"/>
        </w:trPr>
        <w:tc>
          <w:tcPr>
            <w:tcW w:w="4180" w:type="dxa"/>
            <w:vAlign w:val="bottom"/>
            <w:gridSpan w:val="2"/>
          </w:tcPr>
          <w:p>
            <w:pPr>
              <w:spacing w:after="0"/>
              <w:rPr>
                <w:sz w:val="20"/>
                <w:szCs w:val="20"/>
                <w:color w:val="auto"/>
              </w:rPr>
            </w:pPr>
            <w:r>
              <w:rPr>
                <w:rFonts w:ascii="Arial" w:cs="Arial" w:eastAsia="Arial" w:hAnsi="Arial"/>
                <w:sz w:val="18"/>
                <w:szCs w:val="18"/>
                <w:color w:val="auto"/>
              </w:rPr>
              <w:t>Brian L. Roberts</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Chairman and Chief Executive Officer and President;</w:t>
            </w: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Principal Executive Officer, NBCUniversal, LLC and NBCUniversal Media, LLC</w:t>
            </w:r>
          </w:p>
        </w:tc>
      </w:tr>
      <w:tr>
        <w:trPr>
          <w:trHeight w:val="418"/>
        </w:trPr>
        <w:tc>
          <w:tcPr>
            <w:tcW w:w="4180" w:type="dxa"/>
            <w:vAlign w:val="bottom"/>
            <w:gridSpan w:val="2"/>
          </w:tcPr>
          <w:p>
            <w:pPr>
              <w:spacing w:after="0"/>
              <w:rPr>
                <w:sz w:val="20"/>
                <w:szCs w:val="20"/>
                <w:color w:val="auto"/>
              </w:rPr>
            </w:pPr>
            <w:r>
              <w:rPr>
                <w:rFonts w:ascii="Arial" w:cs="Arial" w:eastAsia="Arial" w:hAnsi="Arial"/>
                <w:sz w:val="18"/>
                <w:szCs w:val="18"/>
                <w:color w:val="auto"/>
              </w:rPr>
              <w:t>Arthur R. Block, Esq.</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Executive Vice President, NBCUniversal, LLC and NBCUniversal Media, LLC</w:t>
            </w:r>
          </w:p>
        </w:tc>
      </w:tr>
      <w:tr>
        <w:trPr>
          <w:trHeight w:val="418"/>
        </w:trPr>
        <w:tc>
          <w:tcPr>
            <w:tcW w:w="4180" w:type="dxa"/>
            <w:vAlign w:val="bottom"/>
            <w:gridSpan w:val="2"/>
          </w:tcPr>
          <w:p>
            <w:pPr>
              <w:spacing w:after="0"/>
              <w:rPr>
                <w:sz w:val="20"/>
                <w:szCs w:val="20"/>
                <w:color w:val="auto"/>
              </w:rPr>
            </w:pPr>
            <w:r>
              <w:rPr>
                <w:rFonts w:ascii="Arial" w:cs="Arial" w:eastAsia="Arial" w:hAnsi="Arial"/>
                <w:sz w:val="18"/>
                <w:szCs w:val="18"/>
                <w:color w:val="auto"/>
              </w:rPr>
              <w:t>Stephen B. Burke</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Senior Executive Vice President;</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30 Rockefeller Plaza</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New York, New York 10112</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NBCUniversal, LLC and NBCUniversal Media, LLC</w:t>
            </w:r>
          </w:p>
        </w:tc>
      </w:tr>
      <w:tr>
        <w:trPr>
          <w:trHeight w:val="418"/>
        </w:trPr>
        <w:tc>
          <w:tcPr>
            <w:tcW w:w="4180" w:type="dxa"/>
            <w:vAlign w:val="bottom"/>
            <w:gridSpan w:val="2"/>
          </w:tcPr>
          <w:p>
            <w:pPr>
              <w:spacing w:after="0"/>
              <w:rPr>
                <w:sz w:val="20"/>
                <w:szCs w:val="20"/>
                <w:color w:val="auto"/>
              </w:rPr>
            </w:pPr>
            <w:r>
              <w:rPr>
                <w:rFonts w:ascii="Arial" w:cs="Arial" w:eastAsia="Arial" w:hAnsi="Arial"/>
                <w:sz w:val="18"/>
                <w:szCs w:val="18"/>
                <w:color w:val="auto"/>
              </w:rPr>
              <w:t>Michael J. Cavanagh</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Senior Executive Vice President and Chief Financial Officer;</w:t>
            </w: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Principal Financial Officer, NBCUniversal, LLC and NBCUniversal Media, LLC</w:t>
            </w:r>
          </w:p>
        </w:tc>
      </w:tr>
      <w:tr>
        <w:trPr>
          <w:trHeight w:val="418"/>
        </w:trPr>
        <w:tc>
          <w:tcPr>
            <w:tcW w:w="4180" w:type="dxa"/>
            <w:vAlign w:val="bottom"/>
            <w:gridSpan w:val="2"/>
          </w:tcPr>
          <w:p>
            <w:pPr>
              <w:spacing w:after="0"/>
              <w:rPr>
                <w:sz w:val="20"/>
                <w:szCs w:val="20"/>
                <w:color w:val="auto"/>
              </w:rPr>
            </w:pPr>
            <w:r>
              <w:rPr>
                <w:rFonts w:ascii="Arial" w:cs="Arial" w:eastAsia="Arial" w:hAnsi="Arial"/>
                <w:sz w:val="18"/>
                <w:szCs w:val="18"/>
                <w:color w:val="auto"/>
              </w:rPr>
              <w:t>David L. Cohen</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Senior Executive Vice President;</w:t>
            </w: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6"/>
              </w:rPr>
              <w:t>Senior Executive Vice President, NBCUniversal, LLC and NBCUniversal Media, LLC</w:t>
            </w:r>
          </w:p>
        </w:tc>
      </w:tr>
      <w:tr>
        <w:trPr>
          <w:trHeight w:val="418"/>
        </w:trPr>
        <w:tc>
          <w:tcPr>
            <w:tcW w:w="4180" w:type="dxa"/>
            <w:vAlign w:val="bottom"/>
            <w:gridSpan w:val="2"/>
          </w:tcPr>
          <w:p>
            <w:pPr>
              <w:spacing w:after="0"/>
              <w:rPr>
                <w:sz w:val="20"/>
                <w:szCs w:val="20"/>
                <w:color w:val="auto"/>
              </w:rPr>
            </w:pPr>
            <w:r>
              <w:rPr>
                <w:rFonts w:ascii="Arial" w:cs="Arial" w:eastAsia="Arial" w:hAnsi="Arial"/>
                <w:sz w:val="18"/>
                <w:szCs w:val="18"/>
                <w:color w:val="auto"/>
              </w:rPr>
              <w:t>Lawrence J. Salva</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Executive Vice President and Chief Accounting Officer;</w:t>
            </w: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Executive Vice President, NBCUniversal, LLC and NBCUniversal Media, LLC</w:t>
            </w:r>
          </w:p>
        </w:tc>
      </w:tr>
      <w:tr>
        <w:trPr>
          <w:trHeight w:val="418"/>
        </w:trPr>
        <w:tc>
          <w:tcPr>
            <w:tcW w:w="4180" w:type="dxa"/>
            <w:vAlign w:val="bottom"/>
            <w:gridSpan w:val="2"/>
          </w:tcPr>
          <w:p>
            <w:pPr>
              <w:spacing w:after="0"/>
              <w:rPr>
                <w:sz w:val="20"/>
                <w:szCs w:val="20"/>
                <w:color w:val="auto"/>
              </w:rPr>
            </w:pPr>
            <w:r>
              <w:rPr>
                <w:rFonts w:ascii="Arial" w:cs="Arial" w:eastAsia="Arial" w:hAnsi="Arial"/>
                <w:sz w:val="18"/>
                <w:szCs w:val="18"/>
                <w:color w:val="auto"/>
              </w:rPr>
              <w:t>Neil Smit</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Senior Executive Vice President;</w:t>
            </w: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President and Chief Executive Officer, Comcast Cable Communications, LLC</w:t>
            </w:r>
          </w:p>
        </w:tc>
      </w:tr>
      <w:tr>
        <w:trPr>
          <w:trHeight w:val="432"/>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7240" w:type="dxa"/>
            <w:vAlign w:val="bottom"/>
            <w:gridSpan w:val="3"/>
          </w:tcPr>
          <w:p>
            <w:pPr>
              <w:jc w:val="right"/>
              <w:ind w:right="4770"/>
              <w:spacing w:after="0"/>
              <w:rPr>
                <w:sz w:val="20"/>
                <w:szCs w:val="20"/>
                <w:color w:val="auto"/>
              </w:rPr>
            </w:pPr>
            <w:r>
              <w:rPr>
                <w:rFonts w:ascii="Arial" w:cs="Arial" w:eastAsia="Arial" w:hAnsi="Arial"/>
                <w:sz w:val="18"/>
                <w:szCs w:val="18"/>
                <w:color w:val="auto"/>
              </w:rPr>
              <w:t>___________________</w:t>
            </w:r>
          </w:p>
        </w:tc>
      </w:tr>
      <w:tr>
        <w:trPr>
          <w:trHeight w:val="432"/>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00" w:type="dxa"/>
            <w:vAlign w:val="bottom"/>
          </w:tcPr>
          <w:p>
            <w:pPr>
              <w:jc w:val="center"/>
              <w:ind w:right="4830"/>
              <w:spacing w:after="0"/>
              <w:rPr>
                <w:sz w:val="20"/>
                <w:szCs w:val="20"/>
                <w:color w:val="auto"/>
              </w:rPr>
            </w:pPr>
            <w:r>
              <w:rPr>
                <w:rFonts w:ascii="Arial" w:cs="Arial" w:eastAsia="Arial" w:hAnsi="Arial"/>
                <w:sz w:val="18"/>
                <w:szCs w:val="18"/>
                <w:color w:val="auto"/>
                <w:w w:val="88"/>
              </w:rPr>
              <w:t>Notes:</w:t>
            </w:r>
          </w:p>
        </w:tc>
      </w:tr>
    </w:tbl>
    <w:p>
      <w:pPr>
        <w:spacing w:after="0" w:line="202" w:lineRule="exact"/>
        <w:rPr>
          <w:sz w:val="20"/>
          <w:szCs w:val="20"/>
          <w:color w:val="auto"/>
        </w:rPr>
      </w:pPr>
    </w:p>
    <w:p>
      <w:pPr>
        <w:ind w:left="340" w:right="18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Certain of the other individuals identified on this Schedule A-1 may have beneficial ownership of de minimis amounts of Issuer Common Stock held in investment accounts for which such individuals hold discretionary authority. Comcast disclaims beneficial ownership of any such shares.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ind w:left="10120"/>
        <w:spacing w:after="0"/>
        <w:rPr>
          <w:sz w:val="20"/>
          <w:szCs w:val="20"/>
          <w:color w:val="auto"/>
        </w:rPr>
      </w:pPr>
      <w:r>
        <w:rPr>
          <w:rFonts w:ascii="Arial" w:cs="Arial" w:eastAsia="Arial" w:hAnsi="Arial"/>
          <w:sz w:val="17"/>
          <w:szCs w:val="17"/>
          <w:b w:val="1"/>
          <w:bCs w:val="1"/>
          <w:color w:val="auto"/>
        </w:rPr>
        <w:t>SCHEDULE A-2</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DIRECTORS OF NBCUNIVERSAL, LLC AND EXECUTIVE OFFICERS OF NBCUNIVERSAL, LLC AND NBCUNIVERSAL MEDIA, LLC</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name, business address, title, present principal occupation or employment of each of the directors of NBCUniversal, LLC (“NBCUniversal Holdings”) and each of the executive officers of NBCUniversal Holdings and NBCUniversal Media, LLC (“NBCUniversal”) are set forth below. If no business address is given, the director’s or officer’s business address is One Comcast Center, Philadelphia, Pennsylvania 19103-2838. All of the persons listed below are citizens of the United States of America.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500" w:type="dxa"/>
            <w:vAlign w:val="bottom"/>
          </w:tcPr>
          <w:p>
            <w:pPr>
              <w:ind w:left="2120"/>
              <w:spacing w:after="0"/>
              <w:rPr>
                <w:sz w:val="20"/>
                <w:szCs w:val="20"/>
                <w:color w:val="auto"/>
              </w:rPr>
            </w:pPr>
            <w:r>
              <w:rPr>
                <w:rFonts w:ascii="Arial" w:cs="Arial" w:eastAsia="Arial" w:hAnsi="Arial"/>
                <w:sz w:val="18"/>
                <w:szCs w:val="18"/>
                <w:b w:val="1"/>
                <w:bCs w:val="1"/>
                <w:color w:val="auto"/>
              </w:rPr>
              <w:t>Present Principal Occupation</w:t>
            </w:r>
          </w:p>
        </w:tc>
      </w:tr>
      <w:tr>
        <w:trPr>
          <w:trHeight w:val="234"/>
        </w:trPr>
        <w:tc>
          <w:tcPr>
            <w:tcW w:w="20" w:type="dxa"/>
            <w:vAlign w:val="bottom"/>
          </w:tcPr>
          <w:p>
            <w:pPr>
              <w:spacing w:after="0"/>
              <w:rPr>
                <w:sz w:val="20"/>
                <w:szCs w:val="20"/>
                <w:color w:val="auto"/>
              </w:rPr>
            </w:pPr>
          </w:p>
        </w:tc>
        <w:tc>
          <w:tcPr>
            <w:tcW w:w="484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Name and Business Address</w:t>
            </w:r>
          </w:p>
        </w:tc>
        <w:tc>
          <w:tcPr>
            <w:tcW w:w="60" w:type="dxa"/>
            <w:vAlign w:val="bottom"/>
          </w:tcPr>
          <w:p>
            <w:pPr>
              <w:spacing w:after="0"/>
              <w:rPr>
                <w:sz w:val="20"/>
                <w:szCs w:val="20"/>
                <w:color w:val="auto"/>
              </w:rPr>
            </w:pPr>
          </w:p>
        </w:tc>
        <w:tc>
          <w:tcPr>
            <w:tcW w:w="650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(Name and Principal Business of Employer)</w:t>
            </w:r>
          </w:p>
        </w:tc>
      </w:tr>
      <w:tr>
        <w:trPr>
          <w:trHeight w:val="224"/>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i w:val="1"/>
                <w:iCs w:val="1"/>
                <w:color w:val="auto"/>
              </w:rPr>
              <w:t>Directors of NBCUniversal Holdings</w:t>
            </w:r>
          </w:p>
        </w:tc>
        <w:tc>
          <w:tcPr>
            <w:tcW w:w="60" w:type="dxa"/>
            <w:vAlign w:val="bottom"/>
          </w:tcPr>
          <w:p>
            <w:pPr>
              <w:spacing w:after="0"/>
              <w:rPr>
                <w:sz w:val="19"/>
                <w:szCs w:val="19"/>
                <w:color w:val="auto"/>
              </w:rPr>
            </w:pPr>
          </w:p>
        </w:tc>
        <w:tc>
          <w:tcPr>
            <w:tcW w:w="6500" w:type="dxa"/>
            <w:vAlign w:val="bottom"/>
          </w:tcPr>
          <w:p>
            <w:pPr>
              <w:spacing w:after="0"/>
              <w:rPr>
                <w:sz w:val="19"/>
                <w:szCs w:val="19"/>
                <w:color w:val="auto"/>
              </w:rPr>
            </w:pPr>
          </w:p>
        </w:tc>
      </w:tr>
      <w:tr>
        <w:trPr>
          <w:trHeight w:val="404"/>
        </w:trPr>
        <w:tc>
          <w:tcPr>
            <w:tcW w:w="4860" w:type="dxa"/>
            <w:vAlign w:val="bottom"/>
            <w:gridSpan w:val="2"/>
          </w:tcPr>
          <w:p>
            <w:pPr>
              <w:spacing w:after="0"/>
              <w:rPr>
                <w:sz w:val="20"/>
                <w:szCs w:val="20"/>
                <w:color w:val="auto"/>
              </w:rPr>
            </w:pPr>
            <w:r>
              <w:rPr>
                <w:rFonts w:ascii="Arial" w:cs="Arial" w:eastAsia="Arial" w:hAnsi="Arial"/>
                <w:sz w:val="18"/>
                <w:szCs w:val="18"/>
                <w:color w:val="auto"/>
              </w:rPr>
              <w:t>Arthur R. Block</w:t>
            </w: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Executive Vice President, NBCUniversal Holdings and NBCUniversal;</w:t>
            </w: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 Comcast Corporation</w:t>
            </w:r>
          </w:p>
        </w:tc>
      </w:tr>
      <w:tr>
        <w:trPr>
          <w:trHeight w:val="418"/>
        </w:trPr>
        <w:tc>
          <w:tcPr>
            <w:tcW w:w="4860" w:type="dxa"/>
            <w:vAlign w:val="bottom"/>
            <w:gridSpan w:val="2"/>
          </w:tcPr>
          <w:p>
            <w:pPr>
              <w:spacing w:after="0"/>
              <w:rPr>
                <w:sz w:val="20"/>
                <w:szCs w:val="20"/>
                <w:color w:val="auto"/>
              </w:rPr>
            </w:pPr>
            <w:r>
              <w:rPr>
                <w:rFonts w:ascii="Arial" w:cs="Arial" w:eastAsia="Arial" w:hAnsi="Arial"/>
                <w:sz w:val="18"/>
                <w:szCs w:val="18"/>
                <w:color w:val="auto"/>
              </w:rPr>
              <w:t>Michael J. Cavanagh</w:t>
            </w: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Principal Financial Officer, NBCUniversal Holdings and NBCUniversal;</w:t>
            </w: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9"/>
              </w:rPr>
              <w:t>Senior Executive Vice President and Chief Financial Officer, Comcast Corporation</w:t>
            </w:r>
          </w:p>
        </w:tc>
      </w:tr>
      <w:tr>
        <w:trPr>
          <w:trHeight w:val="418"/>
        </w:trPr>
        <w:tc>
          <w:tcPr>
            <w:tcW w:w="4860" w:type="dxa"/>
            <w:vAlign w:val="bottom"/>
            <w:gridSpan w:val="2"/>
          </w:tcPr>
          <w:p>
            <w:pPr>
              <w:spacing w:after="0"/>
              <w:rPr>
                <w:sz w:val="20"/>
                <w:szCs w:val="20"/>
                <w:color w:val="auto"/>
              </w:rPr>
            </w:pPr>
            <w:r>
              <w:rPr>
                <w:rFonts w:ascii="Arial" w:cs="Arial" w:eastAsia="Arial" w:hAnsi="Arial"/>
                <w:sz w:val="18"/>
                <w:szCs w:val="18"/>
                <w:color w:val="auto"/>
              </w:rPr>
              <w:t>David L. Cohen</w:t>
            </w: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Senior Executive Vice President, NBCUniversal Holdings and NBCUniversal;</w:t>
            </w: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Senior Executive Vice President, Comcast Corporation</w:t>
            </w: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500" w:type="dxa"/>
            <w:vAlign w:val="bottom"/>
          </w:tcPr>
          <w:p>
            <w:pPr>
              <w:ind w:left="2120"/>
              <w:spacing w:after="0"/>
              <w:rPr>
                <w:sz w:val="20"/>
                <w:szCs w:val="20"/>
                <w:color w:val="auto"/>
              </w:rPr>
            </w:pPr>
            <w:r>
              <w:rPr>
                <w:rFonts w:ascii="Arial" w:cs="Arial" w:eastAsia="Arial" w:hAnsi="Arial"/>
                <w:sz w:val="18"/>
                <w:szCs w:val="18"/>
                <w:b w:val="1"/>
                <w:bCs w:val="1"/>
                <w:color w:val="auto"/>
              </w:rPr>
              <w:t>Present Principal Occupation</w:t>
            </w:r>
          </w:p>
        </w:tc>
      </w:tr>
      <w:tr>
        <w:trPr>
          <w:trHeight w:val="234"/>
        </w:trPr>
        <w:tc>
          <w:tcPr>
            <w:tcW w:w="20" w:type="dxa"/>
            <w:vAlign w:val="bottom"/>
          </w:tcPr>
          <w:p>
            <w:pPr>
              <w:spacing w:after="0"/>
              <w:rPr>
                <w:sz w:val="20"/>
                <w:szCs w:val="20"/>
                <w:color w:val="auto"/>
              </w:rPr>
            </w:pPr>
          </w:p>
        </w:tc>
        <w:tc>
          <w:tcPr>
            <w:tcW w:w="484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Name and Business Address</w:t>
            </w:r>
          </w:p>
        </w:tc>
        <w:tc>
          <w:tcPr>
            <w:tcW w:w="60" w:type="dxa"/>
            <w:vAlign w:val="bottom"/>
          </w:tcPr>
          <w:p>
            <w:pPr>
              <w:spacing w:after="0"/>
              <w:rPr>
                <w:sz w:val="20"/>
                <w:szCs w:val="20"/>
                <w:color w:val="auto"/>
              </w:rPr>
            </w:pPr>
          </w:p>
        </w:tc>
        <w:tc>
          <w:tcPr>
            <w:tcW w:w="650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(Name and Principal Business of Employer)</w:t>
            </w:r>
          </w:p>
        </w:tc>
      </w:tr>
      <w:tr>
        <w:trPr>
          <w:trHeight w:val="224"/>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i w:val="1"/>
                <w:iCs w:val="1"/>
                <w:color w:val="auto"/>
                <w:w w:val="94"/>
              </w:rPr>
              <w:t>Executive Officers of NBCUniversal Holdings and NBCUniversal</w:t>
            </w:r>
          </w:p>
        </w:tc>
        <w:tc>
          <w:tcPr>
            <w:tcW w:w="60" w:type="dxa"/>
            <w:vAlign w:val="bottom"/>
          </w:tcPr>
          <w:p>
            <w:pPr>
              <w:spacing w:after="0"/>
              <w:rPr>
                <w:sz w:val="19"/>
                <w:szCs w:val="19"/>
                <w:color w:val="auto"/>
              </w:rPr>
            </w:pPr>
          </w:p>
        </w:tc>
        <w:tc>
          <w:tcPr>
            <w:tcW w:w="6500" w:type="dxa"/>
            <w:vAlign w:val="bottom"/>
          </w:tcPr>
          <w:p>
            <w:pPr>
              <w:spacing w:after="0"/>
              <w:rPr>
                <w:sz w:val="19"/>
                <w:szCs w:val="19"/>
                <w:color w:val="auto"/>
              </w:rPr>
            </w:pPr>
          </w:p>
        </w:tc>
      </w:tr>
      <w:tr>
        <w:trPr>
          <w:trHeight w:val="404"/>
        </w:trPr>
        <w:tc>
          <w:tcPr>
            <w:tcW w:w="4860" w:type="dxa"/>
            <w:vAlign w:val="bottom"/>
            <w:gridSpan w:val="2"/>
          </w:tcPr>
          <w:p>
            <w:pPr>
              <w:spacing w:after="0"/>
              <w:rPr>
                <w:sz w:val="20"/>
                <w:szCs w:val="20"/>
                <w:color w:val="auto"/>
              </w:rPr>
            </w:pPr>
            <w:r>
              <w:rPr>
                <w:rFonts w:ascii="Arial" w:cs="Arial" w:eastAsia="Arial" w:hAnsi="Arial"/>
                <w:sz w:val="18"/>
                <w:szCs w:val="18"/>
                <w:color w:val="auto"/>
              </w:rPr>
              <w:t>Brian L. Roberts</w:t>
            </w: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Principal Executive Officer, NBCUniversal Holdings and NBCUniversal;</w:t>
            </w: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Chairman and Chief Executive Officer and President, Comcast Corporation</w:t>
            </w:r>
          </w:p>
        </w:tc>
      </w:tr>
      <w:tr>
        <w:trPr>
          <w:trHeight w:val="418"/>
        </w:trPr>
        <w:tc>
          <w:tcPr>
            <w:tcW w:w="4860" w:type="dxa"/>
            <w:vAlign w:val="bottom"/>
            <w:gridSpan w:val="2"/>
          </w:tcPr>
          <w:p>
            <w:pPr>
              <w:spacing w:after="0"/>
              <w:rPr>
                <w:sz w:val="20"/>
                <w:szCs w:val="20"/>
                <w:color w:val="auto"/>
              </w:rPr>
            </w:pPr>
            <w:r>
              <w:rPr>
                <w:rFonts w:ascii="Arial" w:cs="Arial" w:eastAsia="Arial" w:hAnsi="Arial"/>
                <w:sz w:val="18"/>
                <w:szCs w:val="18"/>
                <w:color w:val="auto"/>
              </w:rPr>
              <w:t>Arthur R. Block</w:t>
            </w: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Executive Vice President, NBCUniversal Holdings and NBCUniversal;</w:t>
            </w: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 Comcast Corporation</w:t>
            </w:r>
          </w:p>
        </w:tc>
      </w:tr>
      <w:tr>
        <w:trPr>
          <w:trHeight w:val="418"/>
        </w:trPr>
        <w:tc>
          <w:tcPr>
            <w:tcW w:w="4860" w:type="dxa"/>
            <w:vAlign w:val="bottom"/>
            <w:gridSpan w:val="2"/>
          </w:tcPr>
          <w:p>
            <w:pPr>
              <w:spacing w:after="0"/>
              <w:rPr>
                <w:sz w:val="20"/>
                <w:szCs w:val="20"/>
                <w:color w:val="auto"/>
              </w:rPr>
            </w:pPr>
            <w:r>
              <w:rPr>
                <w:rFonts w:ascii="Arial" w:cs="Arial" w:eastAsia="Arial" w:hAnsi="Arial"/>
                <w:sz w:val="18"/>
                <w:szCs w:val="18"/>
                <w:color w:val="auto"/>
              </w:rPr>
              <w:t>Stephen B. Burke</w:t>
            </w: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8"/>
              </w:rPr>
              <w:t>Chief Executive Officer and President, NBCUniversal Holdings and NBCUniversal;</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30 Rockefeller Plaza</w:t>
            </w:r>
          </w:p>
        </w:tc>
        <w:tc>
          <w:tcPr>
            <w:tcW w:w="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Senior Executive Vice President, Comcast Corporation</w:t>
            </w: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New York, New York 10112</w:t>
            </w: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p>
        </w:tc>
      </w:tr>
      <w:tr>
        <w:trPr>
          <w:trHeight w:val="418"/>
        </w:trPr>
        <w:tc>
          <w:tcPr>
            <w:tcW w:w="4860" w:type="dxa"/>
            <w:vAlign w:val="bottom"/>
            <w:gridSpan w:val="2"/>
          </w:tcPr>
          <w:p>
            <w:pPr>
              <w:spacing w:after="0"/>
              <w:rPr>
                <w:sz w:val="20"/>
                <w:szCs w:val="20"/>
                <w:color w:val="auto"/>
              </w:rPr>
            </w:pPr>
            <w:r>
              <w:rPr>
                <w:rFonts w:ascii="Arial" w:cs="Arial" w:eastAsia="Arial" w:hAnsi="Arial"/>
                <w:sz w:val="18"/>
                <w:szCs w:val="18"/>
                <w:color w:val="auto"/>
              </w:rPr>
              <w:t>Michael J. Cavanagh</w:t>
            </w: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Principal Financial Officer, NBCUniversal Holdings and NBCUniversal;</w:t>
            </w: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w w:val="99"/>
              </w:rPr>
              <w:t>Senior Executive Vice President and Chief Financial Officer, Comcast Corporation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500" w:type="dxa"/>
            <w:vAlign w:val="bottom"/>
          </w:tcPr>
          <w:p>
            <w:pPr>
              <w:ind w:left="2120"/>
              <w:spacing w:after="0"/>
              <w:rPr>
                <w:sz w:val="20"/>
                <w:szCs w:val="20"/>
                <w:color w:val="auto"/>
              </w:rPr>
            </w:pPr>
            <w:r>
              <w:rPr>
                <w:rFonts w:ascii="Arial" w:cs="Arial" w:eastAsia="Arial" w:hAnsi="Arial"/>
                <w:sz w:val="18"/>
                <w:szCs w:val="18"/>
                <w:b w:val="1"/>
                <w:bCs w:val="1"/>
                <w:color w:val="auto"/>
              </w:rPr>
              <w:t>Present Principal Occupation</w:t>
            </w:r>
          </w:p>
        </w:tc>
      </w:tr>
      <w:tr>
        <w:trPr>
          <w:trHeight w:val="234"/>
        </w:trPr>
        <w:tc>
          <w:tcPr>
            <w:tcW w:w="20" w:type="dxa"/>
            <w:vAlign w:val="bottom"/>
          </w:tcPr>
          <w:p>
            <w:pPr>
              <w:spacing w:after="0"/>
              <w:rPr>
                <w:sz w:val="20"/>
                <w:szCs w:val="20"/>
                <w:color w:val="auto"/>
              </w:rPr>
            </w:pPr>
          </w:p>
        </w:tc>
        <w:tc>
          <w:tcPr>
            <w:tcW w:w="484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Name and Business Address</w:t>
            </w:r>
          </w:p>
        </w:tc>
        <w:tc>
          <w:tcPr>
            <w:tcW w:w="60" w:type="dxa"/>
            <w:vAlign w:val="bottom"/>
          </w:tcPr>
          <w:p>
            <w:pPr>
              <w:spacing w:after="0"/>
              <w:rPr>
                <w:sz w:val="20"/>
                <w:szCs w:val="20"/>
                <w:color w:val="auto"/>
              </w:rPr>
            </w:pPr>
          </w:p>
        </w:tc>
        <w:tc>
          <w:tcPr>
            <w:tcW w:w="650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(Name and Principal Business of Employer)</w:t>
            </w:r>
          </w:p>
        </w:tc>
      </w:tr>
      <w:tr>
        <w:trPr>
          <w:trHeight w:val="195"/>
        </w:trPr>
        <w:tc>
          <w:tcPr>
            <w:tcW w:w="2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David L. Cohen</w:t>
            </w:r>
          </w:p>
        </w:tc>
        <w:tc>
          <w:tcPr>
            <w:tcW w:w="60" w:type="dxa"/>
            <w:vAlign w:val="bottom"/>
          </w:tcPr>
          <w:p>
            <w:pPr>
              <w:spacing w:after="0"/>
              <w:rPr>
                <w:sz w:val="16"/>
                <w:szCs w:val="16"/>
                <w:color w:val="auto"/>
              </w:rPr>
            </w:pPr>
          </w:p>
        </w:tc>
        <w:tc>
          <w:tcPr>
            <w:tcW w:w="6500" w:type="dxa"/>
            <w:vAlign w:val="bottom"/>
          </w:tcPr>
          <w:p>
            <w:pPr>
              <w:spacing w:after="0" w:line="195" w:lineRule="exact"/>
              <w:rPr>
                <w:sz w:val="20"/>
                <w:szCs w:val="20"/>
                <w:color w:val="auto"/>
              </w:rPr>
            </w:pPr>
            <w:r>
              <w:rPr>
                <w:rFonts w:ascii="Arial" w:cs="Arial" w:eastAsia="Arial" w:hAnsi="Arial"/>
                <w:sz w:val="18"/>
                <w:szCs w:val="18"/>
                <w:color w:val="auto"/>
              </w:rPr>
              <w:t>Senior Executive Vice President, NBCUniversal Holdings and NBCUniversal;</w:t>
            </w: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Senior Executive Vice President, Comcast Corporation</w:t>
            </w:r>
          </w:p>
        </w:tc>
      </w:tr>
      <w:tr>
        <w:trPr>
          <w:trHeight w:val="418"/>
        </w:trPr>
        <w:tc>
          <w:tcPr>
            <w:tcW w:w="4860" w:type="dxa"/>
            <w:vAlign w:val="bottom"/>
            <w:gridSpan w:val="2"/>
          </w:tcPr>
          <w:p>
            <w:pPr>
              <w:spacing w:after="0"/>
              <w:rPr>
                <w:sz w:val="20"/>
                <w:szCs w:val="20"/>
                <w:color w:val="auto"/>
              </w:rPr>
            </w:pPr>
            <w:r>
              <w:rPr>
                <w:rFonts w:ascii="Arial" w:cs="Arial" w:eastAsia="Arial" w:hAnsi="Arial"/>
                <w:sz w:val="18"/>
                <w:szCs w:val="18"/>
                <w:color w:val="auto"/>
              </w:rPr>
              <w:t>Lawrence J. Salva</w:t>
            </w:r>
          </w:p>
        </w:tc>
        <w:tc>
          <w:tcPr>
            <w:tcW w:w="6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Executive Vice President, NBCUniversal Holdings and NBCUniversal;</w:t>
            </w: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Executive Vice President and Chief Accounting Officer, Comcast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27184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NBCUniversal does not have a board of directors, and is managed by NBCUniversal Holdings as its sole member.</w:t>
      </w:r>
    </w:p>
    <w:p>
      <w:pPr>
        <w:spacing w:after="0" w:line="225" w:lineRule="exact"/>
        <w:rPr>
          <w:rFonts w:ascii="Arial" w:cs="Arial" w:eastAsia="Arial" w:hAnsi="Arial"/>
          <w:sz w:val="18"/>
          <w:szCs w:val="18"/>
          <w:color w:val="auto"/>
        </w:rPr>
      </w:pPr>
    </w:p>
    <w:p>
      <w:pPr>
        <w:ind w:left="340" w:right="18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Certain of the other individuals identified on this Schedule A-2 may have beneficial ownership of de minimis amounts of Issuer Common Stock held in investment accounts for which such individuals hold discretionary authority. Comcast disclaims beneficial ownership of any such shares.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t>EXHIBITS INDEX</w:t>
      </w:r>
    </w:p>
    <w:p>
      <w:pPr>
        <w:sectPr>
          <w:pgSz w:w="11900" w:h="16838" w:orient="portrait"/>
          <w:cols w:equalWidth="0" w:num="1">
            <w:col w:w="11320"/>
          </w:cols>
          <w:pgMar w:left="260" w:top="688" w:right="31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4880"/>
        <w:spacing w:after="0"/>
        <w:rPr>
          <w:sz w:val="20"/>
          <w:szCs w:val="20"/>
          <w:color w:val="auto"/>
        </w:rPr>
      </w:pPr>
      <w:r>
        <w:rPr>
          <w:rFonts w:ascii="Arial" w:cs="Arial" w:eastAsia="Arial" w:hAnsi="Arial"/>
          <w:sz w:val="16"/>
          <w:szCs w:val="16"/>
          <w:b w:val="1"/>
          <w:bCs w:val="1"/>
          <w:color w:val="auto"/>
        </w:rPr>
        <w:t>Description</w:t>
      </w:r>
    </w:p>
    <w:p>
      <w:pPr>
        <w:spacing w:after="0" w:line="50" w:lineRule="exact"/>
        <w:rPr>
          <w:sz w:val="20"/>
          <w:szCs w:val="20"/>
          <w:color w:val="auto"/>
        </w:rPr>
      </w:pPr>
    </w:p>
    <w:p>
      <w:pPr>
        <w:sectPr>
          <w:pgSz w:w="11900" w:h="16838" w:orient="portrait"/>
          <w:cols w:equalWidth="0" w:num="2">
            <w:col w:w="4820" w:space="720"/>
            <w:col w:w="5780"/>
          </w:cols>
          <w:pgMar w:left="260" w:top="688" w:right="319" w:bottom="1440" w:gutter="0" w:footer="0" w:header="0"/>
          <w:type w:val="continuous"/>
        </w:sectPr>
      </w:pPr>
    </w:p>
    <w:p>
      <w:pPr>
        <w:ind w:left="620" w:hanging="501"/>
        <w:spacing w:after="0" w:line="307" w:lineRule="auto"/>
        <w:tabs>
          <w:tab w:leader="none" w:pos="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Repurchase Letter Agreement, dated as of January 30, 2017, among EVINE Live, Inc. and NBCUniversal Media, LLC (incorporated by reference to Exhibit 10.1 to Issuer’s Current Report on Form 8-K filed with the Commission on January 31, 2017 (File No. 001-37495))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12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20"/>
      </w:cols>
      <w:pgMar w:left="260" w:top="688"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lvl w:ilvl="1">
      <w:lvlJc w:val="left"/>
      <w:lvlText w:val="(%2)"/>
      <w:numFmt w:val="lowerLetter"/>
      <w:start w:val="1"/>
    </w:lvl>
  </w:abstractNum>
  <w:abstractNum w:abstractNumId="1">
    <w:nsid w:val="1F16E9E8"/>
    <w:multiLevelType w:val="hybridMultilevel"/>
    <w:lvl w:ilvl="0">
      <w:lvlJc w:val="left"/>
      <w:lvlText w:val="%1."/>
      <w:numFmt w:val="decimal"/>
      <w:start w:val="6"/>
    </w:lvl>
    <w:lvl w:ilvl="1">
      <w:lvlJc w:val="left"/>
      <w:lvlText w:val="%2."/>
      <w:numFmt w:val="decimal"/>
      <w:start w:val="7"/>
    </w:lvl>
  </w:abstractNum>
  <w:abstractNum w:abstractNumId="2">
    <w:nsid w:val="1190CDE7"/>
    <w:multiLevelType w:val="hybridMultilevel"/>
    <w:lvl w:ilvl="0">
      <w:lvlJc w:val="left"/>
      <w:lvlText w:val="%1"/>
      <w:numFmt w:val="decimal"/>
      <w:start w:val="1"/>
    </w:lvl>
    <w:lvl w:ilvl="1">
      <w:lvlJc w:val="left"/>
      <w:lvlText w:val="%2."/>
      <w:numFmt w:val="decimal"/>
      <w:start w:val="10"/>
    </w:lvl>
  </w:abstractNum>
  <w:abstractNum w:abstractNumId="3">
    <w:nsid w:val="66EF438D"/>
    <w:multiLevelType w:val="hybridMultilevel"/>
    <w:lvl w:ilvl="0">
      <w:lvlJc w:val="left"/>
      <w:lvlText w:val="%1."/>
      <w:numFmt w:val="decimal"/>
      <w:start w:val="11"/>
    </w:lvl>
    <w:lvl w:ilvl="1">
      <w:lvlJc w:val="left"/>
      <w:lvlText w:val="%2"/>
      <w:numFmt w:val="decimal"/>
      <w:start w:val="1"/>
    </w:lvl>
  </w:abstractNum>
  <w:abstractNum w:abstractNumId="4">
    <w:nsid w:val="140E0F76"/>
    <w:multiLevelType w:val="hybridMultilevel"/>
    <w:lvl w:ilvl="0">
      <w:lvlJc w:val="left"/>
      <w:lvlText w:val="%1."/>
      <w:numFmt w:val="decimal"/>
      <w:start w:val="13"/>
    </w:lvl>
  </w:abstractNum>
  <w:abstractNum w:abstractNumId="5">
    <w:nsid w:val="3352255A"/>
    <w:multiLevelType w:val="hybridMultilevel"/>
    <w:lvl w:ilvl="0">
      <w:lvlJc w:val="left"/>
      <w:lvlText w:val="%1."/>
      <w:numFmt w:val="decimal"/>
      <w:start w:val="1"/>
    </w:lvl>
    <w:lvl w:ilvl="1">
      <w:lvlJc w:val="left"/>
      <w:lvlText w:val="(%2)"/>
      <w:numFmt w:val="lowerLetter"/>
      <w:start w:val="1"/>
    </w:lvl>
  </w:abstractNum>
  <w:abstractNum w:abstractNumId="6">
    <w:nsid w:val="109CF92E"/>
    <w:multiLevelType w:val="hybridMultilevel"/>
    <w:lvl w:ilvl="0">
      <w:lvlJc w:val="left"/>
      <w:lvlText w:val="%1."/>
      <w:numFmt w:val="decimal"/>
      <w:start w:val="6"/>
    </w:lvl>
    <w:lvl w:ilvl="1">
      <w:lvlJc w:val="left"/>
      <w:lvlText w:val="%2."/>
      <w:numFmt w:val="decimal"/>
      <w:start w:val="7"/>
    </w:lvl>
  </w:abstractNum>
  <w:abstractNum w:abstractNumId="7">
    <w:nsid w:val="DED7263"/>
    <w:multiLevelType w:val="hybridMultilevel"/>
    <w:lvl w:ilvl="0">
      <w:lvlJc w:val="left"/>
      <w:lvlText w:val="%1"/>
      <w:numFmt w:val="decimal"/>
      <w:start w:val="1"/>
    </w:lvl>
    <w:lvl w:ilvl="1">
      <w:lvlJc w:val="left"/>
      <w:lvlText w:val="%2."/>
      <w:numFmt w:val="decimal"/>
      <w:start w:val="10"/>
    </w:lvl>
  </w:abstractNum>
  <w:abstractNum w:abstractNumId="8">
    <w:nsid w:val="7FDCC233"/>
    <w:multiLevelType w:val="hybridMultilevel"/>
    <w:lvl w:ilvl="0">
      <w:lvlJc w:val="left"/>
      <w:lvlText w:val="%1."/>
      <w:numFmt w:val="decimal"/>
      <w:start w:val="11"/>
    </w:lvl>
    <w:lvl w:ilvl="1">
      <w:lvlJc w:val="left"/>
      <w:lvlText w:val="%2"/>
      <w:numFmt w:val="decimal"/>
      <w:start w:val="1"/>
    </w:lvl>
  </w:abstractNum>
  <w:abstractNum w:abstractNumId="9">
    <w:nsid w:val="1BEFD79F"/>
    <w:multiLevelType w:val="hybridMultilevel"/>
    <w:lvl w:ilvl="0">
      <w:lvlJc w:val="left"/>
      <w:lvlText w:val="%1."/>
      <w:numFmt w:val="decimal"/>
      <w:start w:val="13"/>
    </w:lvl>
  </w:abstractNum>
  <w:abstractNum w:abstractNumId="10">
    <w:nsid w:val="41A7C4C9"/>
    <w:multiLevelType w:val="hybridMultilevel"/>
    <w:lvl w:ilvl="0">
      <w:lvlJc w:val="left"/>
      <w:lvlText w:val="%1."/>
      <w:numFmt w:val="decimal"/>
      <w:start w:val="1"/>
    </w:lvl>
    <w:lvl w:ilvl="1">
      <w:lvlJc w:val="left"/>
      <w:lvlText w:val="(%2)"/>
      <w:numFmt w:val="lowerLetter"/>
      <w:start w:val="1"/>
    </w:lvl>
  </w:abstractNum>
  <w:abstractNum w:abstractNumId="11">
    <w:nsid w:val="6B68079A"/>
    <w:multiLevelType w:val="hybridMultilevel"/>
    <w:lvl w:ilvl="0">
      <w:lvlJc w:val="left"/>
      <w:lvlText w:val="%1."/>
      <w:numFmt w:val="decimal"/>
      <w:start w:val="6"/>
    </w:lvl>
    <w:lvl w:ilvl="1">
      <w:lvlJc w:val="left"/>
      <w:lvlText w:val="%2."/>
      <w:numFmt w:val="decimal"/>
      <w:start w:val="7"/>
    </w:lvl>
  </w:abstractNum>
  <w:abstractNum w:abstractNumId="12">
    <w:nsid w:val="4E6AFB66"/>
    <w:multiLevelType w:val="hybridMultilevel"/>
    <w:lvl w:ilvl="0">
      <w:lvlJc w:val="left"/>
      <w:lvlText w:val="%1"/>
      <w:numFmt w:val="decimal"/>
      <w:start w:val="1"/>
    </w:lvl>
    <w:lvl w:ilvl="1">
      <w:lvlJc w:val="left"/>
      <w:lvlText w:val="%2."/>
      <w:numFmt w:val="decimal"/>
      <w:start w:val="10"/>
    </w:lvl>
  </w:abstractNum>
  <w:abstractNum w:abstractNumId="13">
    <w:nsid w:val="25E45D32"/>
    <w:multiLevelType w:val="hybridMultilevel"/>
    <w:lvl w:ilvl="0">
      <w:lvlJc w:val="left"/>
      <w:lvlText w:val="%1."/>
      <w:numFmt w:val="decimal"/>
      <w:start w:val="11"/>
    </w:lvl>
    <w:lvl w:ilvl="1">
      <w:lvlJc w:val="left"/>
      <w:lvlText w:val="%2"/>
      <w:numFmt w:val="decimal"/>
      <w:start w:val="1"/>
    </w:lvl>
  </w:abstractNum>
  <w:abstractNum w:abstractNumId="14">
    <w:nsid w:val="519B500D"/>
    <w:multiLevelType w:val="hybridMultilevel"/>
    <w:lvl w:ilvl="0">
      <w:lvlJc w:val="left"/>
      <w:lvlText w:val="%1."/>
      <w:numFmt w:val="decimal"/>
      <w:start w:val="13"/>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2"/>
    </w:lvl>
  </w:abstractNum>
  <w:abstractNum w:abstractNumId="17">
    <w:nsid w:val="7C83E458"/>
    <w:multiLevelType w:val="hybridMultilevel"/>
    <w:lvl w:ilvl="0">
      <w:lvlJc w:val="left"/>
      <w:lvlText w:val="(%1)"/>
      <w:numFmt w:val="lowerLetter"/>
      <w:start w:val="3"/>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2019-12-06T17:29:24Z</dcterms:created>
  <dcterms:modified xsi:type="dcterms:W3CDTF">2019-12-06T17:29:24Z</dcterms:modified>
</cp:coreProperties>
</file>