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As filed with the Securities and Exchange Commission on February 6, 1995</w:t>
      </w:r>
    </w:p>
    <w:p>
      <w:pPr>
        <w:spacing w:after="0" w:line="200" w:lineRule="exact"/>
        <w:rPr>
          <w:sz w:val="24"/>
          <w:szCs w:val="24"/>
          <w:color w:val="auto"/>
        </w:rPr>
      </w:pPr>
    </w:p>
    <w:p>
      <w:pPr>
        <w:spacing w:after="0" w:line="20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AMENDMENT NO. 17</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229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QVC,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QVC, INC.</w:t>
      </w:r>
    </w:p>
    <w:p>
      <w:pPr>
        <w:ind w:left="232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264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00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747262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00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7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701-1000</w:t>
            </w:r>
          </w:p>
        </w:tc>
        <w:tc>
          <w:tcPr>
            <w:tcW w:w="27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right"/>
        <w:ind w:left="320" w:right="273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3">
            <w:col w:w="3160" w:space="320"/>
            <w:col w:w="2220" w:space="320"/>
            <w:col w:w="4199"/>
          </w:cols>
          <w:pgMar w:left="240" w:top="244" w:right="1440" w:bottom="0" w:gutter="0" w:footer="0" w:header="0"/>
          <w:type w:val="continuous"/>
        </w:sectPr>
      </w:pPr>
    </w:p>
    <w:p>
      <w:pPr>
        <w:spacing w:after="0" w:line="20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10"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4"/>
          <w:szCs w:val="24"/>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Past Contracts, Transactions or Negotiations.</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The answer to Item 4(a) and 4(b) of Amendment No. 17 to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The answer to Items 10(a)-(d) and 10(f) of Amendment No. 17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The answer to Items 4(a) and 4(b) of Amendment No. 17 to the Schedule 14D-1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Purpose(s), Alternatives, Reasons and Effects.</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The answer to Items 5(a)-(g) of Amendment No. 17 to the Schedule 14D-1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Reports, Opinions, Appraisals and Certain Negotiations.</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The answer to Items 5(a)-(g) of Amendment No. 17 to the Schedule 14D-1 is incorporated herein by reference.</w:t>
      </w:r>
    </w:p>
    <w:p>
      <w:pPr>
        <w:spacing w:after="0" w:line="200" w:lineRule="exact"/>
        <w:rPr>
          <w:sz w:val="20"/>
          <w:szCs w:val="20"/>
          <w:color w:val="auto"/>
        </w:rPr>
      </w:pPr>
    </w:p>
    <w:p>
      <w:pPr>
        <w:spacing w:after="0" w:line="21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11. Contracts, Arrangements or Understandings With Respect to the Issuer's Securities.</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The answer to Items 5(a)-(g) of Amendment No. 17 to the Schedule 14D-1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Financial Information.</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The answer to Items 10(a)-(d) and 10(f) of Amendment No. 17 to the Schedule 14D-1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The answer to Items 10(a)-(d) and 10(f) of Amendment No. 17 to the Schedule 14D-1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060"/>
        <w:spacing w:after="0"/>
        <w:tabs>
          <w:tab w:leader="none" w:pos="1880" w:val="left"/>
          <w:tab w:leader="none" w:pos="2300" w:val="left"/>
        </w:tabs>
        <w:rPr>
          <w:sz w:val="20"/>
          <w:szCs w:val="20"/>
          <w:color w:val="auto"/>
        </w:rPr>
      </w:pPr>
      <w:r>
        <w:rPr>
          <w:rFonts w:ascii="Courier New" w:cs="Courier New" w:eastAsia="Courier New" w:hAnsi="Courier New"/>
          <w:sz w:val="18"/>
          <w:szCs w:val="18"/>
          <w:color w:val="auto"/>
        </w:rPr>
        <w:t>(a)(3)</w:t>
        <w:tab/>
        <w:t>--</w:t>
      </w:r>
      <w:r>
        <w:rPr>
          <w:sz w:val="20"/>
          <w:szCs w:val="20"/>
          <w:color w:val="auto"/>
        </w:rPr>
        <w:tab/>
      </w:r>
      <w:r>
        <w:rPr>
          <w:rFonts w:ascii="Courier New" w:cs="Courier New" w:eastAsia="Courier New" w:hAnsi="Courier New"/>
          <w:sz w:val="16"/>
          <w:szCs w:val="16"/>
          <w:color w:val="auto"/>
        </w:rPr>
        <w:t>Term Sheet for the Company Loan.</w:t>
      </w:r>
    </w:p>
    <w:p>
      <w:pPr>
        <w:spacing w:after="0" w:line="207"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(d)(28) -- Text of Press Release issued by Comcast and TCI on February 3, 1995.*</w:t>
      </w:r>
    </w:p>
    <w:p>
      <w:pPr>
        <w:spacing w:after="0" w:line="208"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(d)(29) -- Text of Press Release issued by Brian L. Roberts on February 3, 1995.*</w:t>
      </w:r>
    </w:p>
    <w:p>
      <w:pPr>
        <w:spacing w:after="0" w:line="203"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(d)(30) --</w:t>
      </w:r>
      <w:r>
        <w:rPr>
          <w:sz w:val="20"/>
          <w:szCs w:val="20"/>
          <w:color w:val="auto"/>
        </w:rPr>
        <w:tab/>
      </w:r>
      <w:r>
        <w:rPr>
          <w:rFonts w:ascii="Courier New" w:cs="Courier New" w:eastAsia="Courier New" w:hAnsi="Courier New"/>
          <w:sz w:val="16"/>
          <w:szCs w:val="16"/>
          <w:color w:val="auto"/>
        </w:rPr>
        <w:t>Supplement to Offer to Purchase, dated February 3,</w:t>
      </w:r>
    </w:p>
    <w:p>
      <w:pPr>
        <w:spacing w:after="0" w:line="238" w:lineRule="auto"/>
        <w:rPr>
          <w:sz w:val="20"/>
          <w:szCs w:val="20"/>
          <w:color w:val="auto"/>
        </w:rPr>
      </w:pPr>
      <w:r>
        <w:rPr>
          <w:rFonts w:ascii="Courier New" w:cs="Courier New" w:eastAsia="Courier New" w:hAnsi="Courier New"/>
          <w:sz w:val="18"/>
          <w:szCs w:val="18"/>
          <w:color w:val="auto"/>
        </w:rPr>
        <w:t>1995.*</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(c)(35) -- First Amendment to Agreement and Plan of Merger, dated as of February 3,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w:t>
      </w:r>
    </w:p>
    <w:p>
      <w:pPr>
        <w:spacing w:after="0" w:line="238" w:lineRule="auto"/>
        <w:rPr>
          <w:sz w:val="20"/>
          <w:szCs w:val="20"/>
          <w:color w:val="auto"/>
        </w:rPr>
      </w:pPr>
      <w:r>
        <w:rPr>
          <w:rFonts w:ascii="Courier New" w:cs="Courier New" w:eastAsia="Courier New" w:hAnsi="Courier New"/>
          <w:sz w:val="18"/>
          <w:szCs w:val="18"/>
          <w:color w:val="auto"/>
        </w:rPr>
        <w:t>(*)Incorporated by reference to Amendment No. 17 to the Schedule 14D-1.</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ectPr>
          <w:pgSz w:w="11900" w:h="16838" w:orient="portrait"/>
          <w:cols w:equalWidth="0" w:num="1">
            <w:col w:w="10219"/>
          </w:cols>
          <w:pgMar w:left="240" w:top="136" w:right="1440" w:bottom="0" w:gutter="0" w:footer="0" w:header="0"/>
        </w:sectPr>
      </w:pPr>
    </w:p>
    <w:bookmarkStart w:id="2" w:name="page3"/>
    <w:bookmarkEnd w:id="2"/>
    <w:tbl>
      <w:tblPr>
        <w:tblLayout w:type="fixed"/>
        <w:tblInd w:w="32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NEAL S. GRABELL</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Neal S. Grabell</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Title: Senior Vice President,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Counsel and</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 Secretary</w:t>
            </w:r>
          </w:p>
        </w:tc>
      </w:tr>
      <w:tr>
        <w:trPr>
          <w:trHeight w:val="608"/>
        </w:trPr>
        <w:tc>
          <w:tcPr>
            <w:tcW w:w="1320" w:type="dxa"/>
            <w:vAlign w:val="bottom"/>
          </w:tcPr>
          <w:p>
            <w:pPr>
              <w:spacing w:after="0"/>
              <w:rPr>
                <w:sz w:val="24"/>
                <w:szCs w:val="24"/>
                <w:color w:val="auto"/>
              </w:rPr>
            </w:pPr>
          </w:p>
        </w:tc>
        <w:tc>
          <w:tcPr>
            <w:tcW w:w="606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QVC PROGRAMMING HOLDINGS, INC.</w:t>
            </w:r>
          </w:p>
        </w:tc>
      </w:tr>
      <w:tr>
        <w:trPr>
          <w:trHeight w:val="810"/>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9"/>
              </w:rPr>
              <w:t>JULIAN A. BRODSKY</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Julian A. Brodsky</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Title: Vice Chairman</w:t>
            </w:r>
          </w:p>
        </w:tc>
      </w:tr>
      <w:tr>
        <w:trPr>
          <w:trHeight w:val="810"/>
        </w:trPr>
        <w:tc>
          <w:tcPr>
            <w:tcW w:w="1320" w:type="dxa"/>
            <w:vAlign w:val="bottom"/>
          </w:tcPr>
          <w:p>
            <w:pPr>
              <w:spacing w:after="0"/>
              <w:rPr>
                <w:sz w:val="24"/>
                <w:szCs w:val="24"/>
                <w:color w:val="auto"/>
              </w:rPr>
            </w:pPr>
          </w:p>
        </w:tc>
        <w:tc>
          <w:tcPr>
            <w:tcW w:w="606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COMCAST CORPORATION</w:t>
            </w:r>
          </w:p>
        </w:tc>
      </w:tr>
      <w:tr>
        <w:trPr>
          <w:trHeight w:val="608"/>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9"/>
              </w:rPr>
              <w:t>JULIAN A. BRODSKY</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Julian A. Brodsky</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Title: Vice Chairman</w:t>
            </w:r>
          </w:p>
        </w:tc>
      </w:tr>
      <w:tr>
        <w:trPr>
          <w:trHeight w:val="608"/>
        </w:trPr>
        <w:tc>
          <w:tcPr>
            <w:tcW w:w="1320" w:type="dxa"/>
            <w:vAlign w:val="bottom"/>
          </w:tcPr>
          <w:p>
            <w:pPr>
              <w:spacing w:after="0"/>
              <w:rPr>
                <w:sz w:val="24"/>
                <w:szCs w:val="24"/>
                <w:color w:val="auto"/>
              </w:rPr>
            </w:pPr>
          </w:p>
        </w:tc>
        <w:tc>
          <w:tcPr>
            <w:tcW w:w="606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TELE-COMMUNICATIONS, INC.</w:t>
            </w:r>
          </w:p>
        </w:tc>
      </w:tr>
      <w:tr>
        <w:trPr>
          <w:trHeight w:val="608"/>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9"/>
              </w:rPr>
              <w:t>STEPHEN M. BRETT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Stephen M. Brett</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Title: Executive Vice</w:t>
            </w: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608"/>
        </w:trPr>
        <w:tc>
          <w:tcPr>
            <w:tcW w:w="1320" w:type="dxa"/>
            <w:vAlign w:val="bottom"/>
          </w:tcPr>
          <w:p>
            <w:pPr>
              <w:spacing w:after="0"/>
              <w:rPr>
                <w:sz w:val="24"/>
                <w:szCs w:val="24"/>
                <w:color w:val="auto"/>
              </w:rPr>
            </w:pPr>
          </w:p>
        </w:tc>
        <w:tc>
          <w:tcPr>
            <w:tcW w:w="3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EXHIBIT INDEX</w:t>
            </w:r>
          </w:p>
        </w:tc>
        <w:tc>
          <w:tcPr>
            <w:tcW w:w="2900" w:type="dxa"/>
            <w:vAlign w:val="bottom"/>
          </w:tcPr>
          <w:p>
            <w:pPr>
              <w:spacing w:after="0"/>
              <w:rPr>
                <w:sz w:val="24"/>
                <w:szCs w:val="24"/>
                <w:color w:val="auto"/>
              </w:rPr>
            </w:pP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5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Description</w:t>
            </w: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Numbered Page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(a)(3)</w:t>
            </w:r>
          </w:p>
        </w:tc>
        <w:tc>
          <w:tcPr>
            <w:tcW w:w="60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Term Sheet for Company Loan.*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(c)(35)</w:t>
            </w:r>
          </w:p>
        </w:tc>
        <w:tc>
          <w:tcPr>
            <w:tcW w:w="60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First Amendment to Agreement</w:t>
            </w:r>
          </w:p>
        </w:tc>
      </w:tr>
      <w:tr>
        <w:trPr>
          <w:trHeight w:val="203"/>
        </w:trPr>
        <w:tc>
          <w:tcPr>
            <w:tcW w:w="1320" w:type="dxa"/>
            <w:vAlign w:val="bottom"/>
          </w:tcPr>
          <w:p>
            <w:pPr>
              <w:spacing w:after="0"/>
              <w:rPr>
                <w:sz w:val="17"/>
                <w:szCs w:val="17"/>
                <w:color w:val="auto"/>
              </w:rPr>
            </w:pP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and Plan of Merger,</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0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dated as of February 3, 1995.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(d)(28)</w:t>
            </w:r>
          </w:p>
        </w:tc>
        <w:tc>
          <w:tcPr>
            <w:tcW w:w="60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Text of Press Release issued</w:t>
            </w:r>
          </w:p>
        </w:tc>
      </w:tr>
      <w:tr>
        <w:trPr>
          <w:trHeight w:val="203"/>
        </w:trPr>
        <w:tc>
          <w:tcPr>
            <w:tcW w:w="1320" w:type="dxa"/>
            <w:vAlign w:val="bottom"/>
          </w:tcPr>
          <w:p>
            <w:pPr>
              <w:spacing w:after="0"/>
              <w:rPr>
                <w:sz w:val="17"/>
                <w:szCs w:val="17"/>
                <w:color w:val="auto"/>
              </w:rPr>
            </w:pPr>
          </w:p>
        </w:tc>
        <w:tc>
          <w:tcPr>
            <w:tcW w:w="31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by Comcast and TCI on</w:t>
            </w:r>
          </w:p>
        </w:tc>
        <w:tc>
          <w:tcPr>
            <w:tcW w:w="290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 8, 1995.*</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(d)(29)</w:t>
            </w:r>
          </w:p>
        </w:tc>
        <w:tc>
          <w:tcPr>
            <w:tcW w:w="60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Text of Press Release issued</w:t>
            </w:r>
          </w:p>
        </w:tc>
      </w:tr>
      <w:tr>
        <w:trPr>
          <w:trHeight w:val="203"/>
        </w:trPr>
        <w:tc>
          <w:tcPr>
            <w:tcW w:w="1320" w:type="dxa"/>
            <w:vAlign w:val="bottom"/>
          </w:tcPr>
          <w:p>
            <w:pPr>
              <w:spacing w:after="0"/>
              <w:rPr>
                <w:sz w:val="17"/>
                <w:szCs w:val="17"/>
                <w:color w:val="auto"/>
              </w:rPr>
            </w:pPr>
          </w:p>
        </w:tc>
        <w:tc>
          <w:tcPr>
            <w:tcW w:w="60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by Brian L. Roberts on February</w:t>
            </w:r>
          </w:p>
        </w:tc>
      </w:tr>
      <w:tr>
        <w:trPr>
          <w:trHeight w:val="203"/>
        </w:trPr>
        <w:tc>
          <w:tcPr>
            <w:tcW w:w="1320" w:type="dxa"/>
            <w:vAlign w:val="bottom"/>
          </w:tcPr>
          <w:p>
            <w:pPr>
              <w:spacing w:after="0"/>
              <w:rPr>
                <w:sz w:val="17"/>
                <w:szCs w:val="17"/>
                <w:color w:val="auto"/>
              </w:rPr>
            </w:pP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 1995.*</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(d)(30)</w:t>
            </w:r>
          </w:p>
        </w:tc>
        <w:tc>
          <w:tcPr>
            <w:tcW w:w="60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Supplement to Offer to Purchase,</w:t>
            </w:r>
          </w:p>
        </w:tc>
      </w:tr>
      <w:tr>
        <w:trPr>
          <w:trHeight w:val="203"/>
        </w:trPr>
        <w:tc>
          <w:tcPr>
            <w:tcW w:w="1320" w:type="dxa"/>
            <w:vAlign w:val="bottom"/>
          </w:tcPr>
          <w:p>
            <w:pPr>
              <w:spacing w:after="0"/>
              <w:rPr>
                <w:sz w:val="17"/>
                <w:szCs w:val="17"/>
                <w:color w:val="auto"/>
              </w:rPr>
            </w:pPr>
          </w:p>
        </w:tc>
        <w:tc>
          <w:tcPr>
            <w:tcW w:w="31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dated February 3, 1995.*</w:t>
            </w:r>
          </w:p>
        </w:tc>
        <w:tc>
          <w:tcPr>
            <w:tcW w:w="29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w:t>
      </w:r>
    </w:p>
    <w:p>
      <w:pPr>
        <w:spacing w:after="0" w:line="238" w:lineRule="auto"/>
        <w:rPr>
          <w:sz w:val="20"/>
          <w:szCs w:val="20"/>
          <w:color w:val="auto"/>
        </w:rPr>
      </w:pPr>
      <w:r>
        <w:rPr>
          <w:rFonts w:ascii="Courier New" w:cs="Courier New" w:eastAsia="Courier New" w:hAnsi="Courier New"/>
          <w:sz w:val="18"/>
          <w:szCs w:val="18"/>
          <w:color w:val="auto"/>
        </w:rPr>
        <w:t>(*)Incorporated by reference to Amendment No. 17 to the Schedule 14D-1.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2019-12-16T11:20:29Z</dcterms:created>
  <dcterms:modified xsi:type="dcterms:W3CDTF">2019-12-16T11:20:29Z</dcterms:modified>
</cp:coreProperties>
</file>