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Reid Thomas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Officer,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93,142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93,142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93,142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subject to the achievement of performance conditions, which were attained on the transaction date. The restricted stock units vest 100% on the 3rd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1223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3367</Characters>
  <CharactersWithSpaces>3923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