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483235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448945</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2" w:lineRule="exact"/>
        <w:rPr>
          <w:sz w:val="24"/>
          <w:szCs w:val="24"/>
          <w:color w:val="auto"/>
        </w:rPr>
      </w:pPr>
    </w:p>
    <w:p>
      <w:pPr>
        <w:ind w:left="980" w:hanging="810"/>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940" w:hanging="770"/>
        <w:spacing w:after="0"/>
        <w:tabs>
          <w:tab w:leader="none" w:pos="9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42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205740</wp:posOffset>
            </wp:positionV>
            <wp:extent cx="3180080" cy="523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940" w:type="dxa"/>
            <w:vAlign w:val="bottom"/>
            <w:gridSpan w:val="6"/>
          </w:tcPr>
          <w:p>
            <w:pPr>
              <w:jc w:val="center"/>
              <w:ind w:right="80"/>
              <w:spacing w:after="0"/>
              <w:rPr>
                <w:sz w:val="20"/>
                <w:szCs w:val="20"/>
                <w:color w:val="auto"/>
              </w:rPr>
            </w:pPr>
            <w:r>
              <w:rPr>
                <w:rFonts w:ascii="Arial" w:cs="Arial" w:eastAsia="Arial" w:hAnsi="Arial"/>
                <w:sz w:val="18"/>
                <w:szCs w:val="18"/>
                <w:color w:val="auto"/>
                <w:w w:val="90"/>
              </w:rPr>
              <w:t>Exact Name of Registrant; State of</w:t>
            </w: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60" w:type="dxa"/>
            <w:vAlign w:val="bottom"/>
            <w:vMerge w:val="restart"/>
          </w:tcPr>
          <w:p>
            <w:pPr>
              <w:jc w:val="center"/>
              <w:ind w:right="970"/>
              <w:spacing w:after="0"/>
              <w:rPr>
                <w:sz w:val="20"/>
                <w:szCs w:val="20"/>
                <w:color w:val="auto"/>
              </w:rPr>
            </w:pPr>
            <w:r>
              <w:rPr>
                <w:rFonts w:ascii="Arial" w:cs="Arial" w:eastAsia="Arial" w:hAnsi="Arial"/>
                <w:sz w:val="18"/>
                <w:szCs w:val="18"/>
                <w:color w:val="auto"/>
                <w:w w:val="92"/>
              </w:rPr>
              <w:t>Commission File Number</w:t>
            </w:r>
          </w:p>
        </w:tc>
        <w:tc>
          <w:tcPr>
            <w:tcW w:w="2940" w:type="dxa"/>
            <w:vAlign w:val="bottom"/>
            <w:gridSpan w:val="6"/>
          </w:tcPr>
          <w:p>
            <w:pPr>
              <w:jc w:val="center"/>
              <w:ind w:right="60"/>
              <w:spacing w:after="0" w:line="176" w:lineRule="exact"/>
              <w:rPr>
                <w:sz w:val="20"/>
                <w:szCs w:val="20"/>
                <w:color w:val="auto"/>
              </w:rPr>
            </w:pPr>
            <w:r>
              <w:rPr>
                <w:rFonts w:ascii="Arial" w:cs="Arial" w:eastAsia="Arial" w:hAnsi="Arial"/>
                <w:sz w:val="18"/>
                <w:szCs w:val="18"/>
                <w:color w:val="auto"/>
                <w:w w:val="90"/>
              </w:rPr>
              <w:t>Incorporation; Address and Telephone</w:t>
            </w:r>
          </w:p>
        </w:tc>
        <w:tc>
          <w:tcPr>
            <w:tcW w:w="4080" w:type="dxa"/>
            <w:vAlign w:val="bottom"/>
            <w:vMerge w:val="restart"/>
          </w:tcPr>
          <w:p>
            <w:pPr>
              <w:jc w:val="center"/>
              <w:ind w:left="910"/>
              <w:spacing w:after="0"/>
              <w:rPr>
                <w:sz w:val="20"/>
                <w:szCs w:val="20"/>
                <w:color w:val="auto"/>
              </w:rPr>
            </w:pPr>
            <w:r>
              <w:rPr>
                <w:rFonts w:ascii="Arial" w:cs="Arial" w:eastAsia="Arial" w:hAnsi="Arial"/>
                <w:sz w:val="18"/>
                <w:szCs w:val="18"/>
                <w:color w:val="auto"/>
                <w:w w:val="93"/>
              </w:rPr>
              <w:t>I.R.S. Employer Identification No.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auto"/>
            </w:tcBorders>
            <w:vMerge w:val="continue"/>
          </w:tcPr>
          <w:p>
            <w:pPr>
              <w:spacing w:after="0"/>
              <w:rPr>
                <w:sz w:val="19"/>
                <w:szCs w:val="19"/>
                <w:color w:val="auto"/>
              </w:rPr>
            </w:pPr>
          </w:p>
        </w:tc>
        <w:tc>
          <w:tcPr>
            <w:tcW w:w="29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color w:val="auto"/>
                <w:w w:val="93"/>
              </w:rPr>
              <w:t>Number of Principal Executive Offices</w:t>
            </w:r>
          </w:p>
        </w:tc>
        <w:tc>
          <w:tcPr>
            <w:tcW w:w="408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60" w:type="dxa"/>
            <w:vAlign w:val="bottom"/>
          </w:tcPr>
          <w:p>
            <w:pPr>
              <w:jc w:val="right"/>
              <w:ind w:right="2130"/>
              <w:spacing w:after="0"/>
              <w:rPr>
                <w:sz w:val="20"/>
                <w:szCs w:val="20"/>
                <w:color w:val="auto"/>
              </w:rPr>
            </w:pPr>
            <w:r>
              <w:rPr>
                <w:rFonts w:ascii="Arial" w:cs="Arial" w:eastAsia="Arial" w:hAnsi="Arial"/>
                <w:sz w:val="18"/>
                <w:szCs w:val="18"/>
                <w:b w:val="1"/>
                <w:bCs w:val="1"/>
                <w:color w:val="auto"/>
              </w:rPr>
              <w:t>001-32871</w:t>
            </w:r>
          </w:p>
        </w:tc>
        <w:tc>
          <w:tcPr>
            <w:tcW w:w="220" w:type="dxa"/>
            <w:vAlign w:val="bottom"/>
          </w:tcPr>
          <w:p>
            <w:pPr>
              <w:spacing w:after="0"/>
              <w:rPr>
                <w:sz w:val="19"/>
                <w:szCs w:val="19"/>
                <w:color w:val="auto"/>
              </w:rPr>
            </w:pPr>
          </w:p>
        </w:tc>
        <w:tc>
          <w:tcPr>
            <w:tcW w:w="27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COMCAST CORPORATION</w:t>
            </w:r>
          </w:p>
        </w:tc>
        <w:tc>
          <w:tcPr>
            <w:tcW w:w="4080" w:type="dxa"/>
            <w:vAlign w:val="bottom"/>
          </w:tcPr>
          <w:p>
            <w:pPr>
              <w:jc w:val="right"/>
              <w:ind w:right="1010"/>
              <w:spacing w:after="0"/>
              <w:rPr>
                <w:sz w:val="20"/>
                <w:szCs w:val="20"/>
                <w:color w:val="auto"/>
              </w:rPr>
            </w:pPr>
            <w:r>
              <w:rPr>
                <w:rFonts w:ascii="Arial" w:cs="Arial" w:eastAsia="Arial" w:hAnsi="Arial"/>
                <w:sz w:val="18"/>
                <w:szCs w:val="18"/>
                <w:b w:val="1"/>
                <w:bCs w:val="1"/>
                <w:color w:val="auto"/>
              </w:rPr>
              <w:t>27-0000798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8"/>
              </w:rPr>
              <w:t>Pennsylvania</w:t>
            </w: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9"/>
              </w:rPr>
              <w:t>One Comcast Center</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Philadelphia, PA 19103-2838</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0"/>
              </w:rPr>
              <w:t>(215) 286-1700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160" w:type="dxa"/>
            <w:vAlign w:val="bottom"/>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160" w:type="dxa"/>
            <w:vAlign w:val="bottom"/>
          </w:tcPr>
          <w:p>
            <w:pPr>
              <w:jc w:val="center"/>
              <w:ind w:left="430"/>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Trading Symbol(s)</w:t>
            </w:r>
          </w:p>
        </w:tc>
        <w:tc>
          <w:tcPr>
            <w:tcW w:w="4080" w:type="dxa"/>
            <w:vAlign w:val="bottom"/>
          </w:tcPr>
          <w:p>
            <w:pPr>
              <w:jc w:val="center"/>
              <w:ind w:right="45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60" w:type="dxa"/>
            <w:vAlign w:val="bottom"/>
            <w:tcBorders>
              <w:top w:val="single" w:sz="8" w:color="auto"/>
            </w:tcBorders>
          </w:tcPr>
          <w:p>
            <w:pPr>
              <w:jc w:val="center"/>
              <w:ind w:left="410"/>
              <w:spacing w:after="0"/>
              <w:rPr>
                <w:sz w:val="20"/>
                <w:szCs w:val="20"/>
                <w:color w:val="auto"/>
              </w:rPr>
            </w:pPr>
            <w:r>
              <w:rPr>
                <w:rFonts w:ascii="Arial" w:cs="Arial" w:eastAsia="Arial" w:hAnsi="Arial"/>
                <w:sz w:val="18"/>
                <w:szCs w:val="18"/>
                <w:color w:val="auto"/>
                <w:w w:val="90"/>
              </w:rPr>
              <w:t>Class A Common Stock, $0.01 par value</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CMCSA</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NASDAQ Global Select Market</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0.250% Notes due 2027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CMCS27</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1.500%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CMCS29</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0.750%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CMCS32</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1.875%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CMCS36</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1.250%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CMCS40</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5"/>
              </w:rPr>
              <w:t>NASDAQ Global Market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8"/>
              </w:rPr>
              <w:t>9.455% Guaranteed Notes due 2022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8"/>
                <w:szCs w:val="18"/>
                <w:color w:val="auto"/>
                <w:w w:val="95"/>
              </w:rPr>
              <w:t>CMCSA/22</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1"/>
              </w:rPr>
              <w:t>New York Stock Exchange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jc w:val="center"/>
              <w:ind w:left="430"/>
              <w:spacing w:after="0"/>
              <w:rPr>
                <w:sz w:val="20"/>
                <w:szCs w:val="20"/>
                <w:color w:val="auto"/>
              </w:rPr>
            </w:pPr>
            <w:r>
              <w:rPr>
                <w:rFonts w:ascii="Arial" w:cs="Arial" w:eastAsia="Arial" w:hAnsi="Arial"/>
                <w:sz w:val="18"/>
                <w:szCs w:val="18"/>
                <w:color w:val="auto"/>
                <w:w w:val="89"/>
              </w:rPr>
              <w:t>5.50%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CCGBP29</w:t>
            </w:r>
          </w:p>
        </w:tc>
        <w:tc>
          <w:tcPr>
            <w:tcW w:w="4080" w:type="dxa"/>
            <w:vAlign w:val="bottom"/>
          </w:tcPr>
          <w:p>
            <w:pPr>
              <w:jc w:val="center"/>
              <w:ind w:right="430"/>
              <w:spacing w:after="0"/>
              <w:rPr>
                <w:sz w:val="20"/>
                <w:szCs w:val="20"/>
                <w:color w:val="auto"/>
              </w:rPr>
            </w:pPr>
            <w:r>
              <w:rPr>
                <w:rFonts w:ascii="Arial" w:cs="Arial" w:eastAsia="Arial" w:hAnsi="Arial"/>
                <w:sz w:val="18"/>
                <w:szCs w:val="18"/>
                <w:color w:val="auto"/>
                <w:w w:val="91"/>
              </w:rPr>
              <w:t>New York Stock Exchange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88"/>
              </w:rPr>
              <w:t>2.0% Exchangeable Subordinated Debentures due 2029</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CCZ</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color w:val="auto"/>
                <w:w w:val="91"/>
              </w:rPr>
              <w:t>New York Stock Exchange</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3" w:lineRule="exact"/>
        <w:rPr>
          <w:sz w:val="24"/>
          <w:szCs w:val="24"/>
          <w:color w:val="auto"/>
        </w:rPr>
      </w:pPr>
    </w:p>
    <w:p>
      <w:pPr>
        <w:jc w:val="both"/>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2" w:lineRule="exact"/>
        <w:rPr>
          <w:sz w:val="24"/>
          <w:szCs w:val="24"/>
          <w:color w:val="auto"/>
        </w:rPr>
      </w:pPr>
    </w:p>
    <w:p>
      <w:pPr>
        <w:ind w:left="20"/>
        <w:spacing w:after="0" w:line="196" w:lineRule="exact"/>
        <w:tabs>
          <w:tab w:leader="none" w:pos="1740" w:val="left"/>
          <w:tab w:leader="none" w:pos="3440" w:val="left"/>
          <w:tab w:leader="none" w:pos="544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r>
        <w:rPr>
          <w:rFonts w:ascii="MS PGothic" w:cs="MS PGothic" w:eastAsia="MS PGothic" w:hAnsi="MS PGothic"/>
          <w:sz w:val="17"/>
          <w:szCs w:val="17"/>
          <w:color w:val="auto"/>
        </w:rPr>
        <w:tab/>
        <w:t xml:space="preserve">☐ </w:t>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rFonts w:ascii="MS PGothic" w:cs="MS PGothic" w:eastAsia="MS PGothic" w:hAnsi="MS PGothic"/>
          <w:sz w:val="16"/>
          <w:szCs w:val="16"/>
          <w:color w:val="auto"/>
        </w:rPr>
        <w:t xml:space="preserve">  ☐ </w:t>
      </w:r>
      <w:r>
        <w:rPr>
          <w:rFonts w:ascii="Arial" w:cs="Arial" w:eastAsia="Arial" w:hAnsi="Arial"/>
          <w:sz w:val="16"/>
          <w:szCs w:val="16"/>
          <w:color w:val="auto"/>
        </w:rPr>
        <w:t>Emerging growth company</w:t>
      </w:r>
      <w:r>
        <w:rPr>
          <w:rFonts w:ascii="MS PGothic" w:cs="MS PGothic" w:eastAsia="MS PGothic" w:hAnsi="MS PGothic"/>
          <w:sz w:val="16"/>
          <w:szCs w:val="16"/>
          <w:color w:val="auto"/>
        </w:rPr>
        <w:t xml:space="preserve">  ☐</w:t>
      </w:r>
    </w:p>
    <w:p>
      <w:pPr>
        <w:spacing w:after="0" w:line="228"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1" w:lineRule="exact"/>
        <w:rPr>
          <w:sz w:val="24"/>
          <w:szCs w:val="24"/>
          <w:color w:val="auto"/>
        </w:rPr>
      </w:pPr>
    </w:p>
    <w:p>
      <w:pPr>
        <w:jc w:val="both"/>
        <w:spacing w:after="0" w:line="257" w:lineRule="auto"/>
        <w:rPr>
          <w:sz w:val="20"/>
          <w:szCs w:val="20"/>
          <w:color w:val="auto"/>
        </w:rPr>
      </w:pPr>
      <w:r>
        <w:rPr>
          <w:rFonts w:ascii="Arial" w:cs="Arial" w:eastAsia="Arial" w:hAnsi="Arial"/>
          <w:sz w:val="17"/>
          <w:szCs w:val="17"/>
          <w:color w:val="auto"/>
        </w:rPr>
        <w:t>As of March 31, 2021, there were 4,584,571,926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512445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182245</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147955</wp:posOffset>
            </wp:positionV>
            <wp:extent cx="7012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340" w:type="dxa"/>
            <w:vAlign w:val="bottom"/>
          </w:tcPr>
          <w:p>
            <w:pPr>
              <w:jc w:val="right"/>
              <w:ind w:right="19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Borders>
              <w:bottom w:val="single" w:sz="8" w:color="0000FF"/>
            </w:tcBorders>
            <w:gridSpan w:val="8"/>
          </w:tcPr>
          <w:p>
            <w:pPr>
              <w:spacing w:after="0" w:line="18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4780" w:type="dxa"/>
            <w:vAlign w:val="bottom"/>
            <w:gridSpan w:val="9"/>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1.</w:t>
            </w:r>
          </w:p>
        </w:tc>
        <w:tc>
          <w:tcPr>
            <w:tcW w:w="646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3340" w:type="dxa"/>
            <w:vAlign w:val="bottom"/>
          </w:tcPr>
          <w:p>
            <w:pPr>
              <w:jc w:val="right"/>
              <w:spacing w:after="0"/>
              <w:rPr>
                <w:rFonts w:ascii="Arial" w:cs="Arial" w:eastAsia="Arial" w:hAnsi="Arial"/>
                <w:sz w:val="18"/>
                <w:szCs w:val="18"/>
                <w:color w:val="2C2C2C"/>
              </w:rPr>
            </w:pPr>
            <w:hyperlink w:anchor="page3">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 of Income (Unaudited)</w:t>
              </w:r>
            </w:hyperlink>
          </w:p>
        </w:tc>
        <w:tc>
          <w:tcPr>
            <w:tcW w:w="33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 of Comprehensive Income (Unaudited)</w:t>
              </w:r>
            </w:hyperlink>
          </w:p>
        </w:tc>
        <w:tc>
          <w:tcPr>
            <w:tcW w:w="33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2</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 of Cash Flows (Unaudited)</w:t>
              </w:r>
            </w:hyperlink>
          </w:p>
        </w:tc>
        <w:tc>
          <w:tcPr>
            <w:tcW w:w="860" w:type="dxa"/>
            <w:vAlign w:val="bottom"/>
            <w:tcBorders>
              <w:top w:val="single" w:sz="8" w:color="0000FF"/>
            </w:tcBorders>
            <w:gridSpan w:val="3"/>
          </w:tcPr>
          <w:p>
            <w:pPr>
              <w:spacing w:after="0"/>
              <w:rPr>
                <w:sz w:val="18"/>
                <w:szCs w:val="18"/>
                <w:color w:val="auto"/>
              </w:rPr>
            </w:pPr>
          </w:p>
        </w:tc>
        <w:tc>
          <w:tcPr>
            <w:tcW w:w="1040" w:type="dxa"/>
            <w:vAlign w:val="bottom"/>
          </w:tcPr>
          <w:p>
            <w:pPr>
              <w:spacing w:after="0"/>
              <w:rPr>
                <w:sz w:val="18"/>
                <w:szCs w:val="18"/>
                <w:color w:val="auto"/>
              </w:rPr>
            </w:pPr>
          </w:p>
        </w:tc>
        <w:tc>
          <w:tcPr>
            <w:tcW w:w="3340" w:type="dxa"/>
            <w:vAlign w:val="bottom"/>
          </w:tcPr>
          <w:p>
            <w:pPr>
              <w:jc w:val="right"/>
              <w:spacing w:after="0"/>
              <w:rPr>
                <w:rFonts w:ascii="Arial" w:cs="Arial" w:eastAsia="Arial" w:hAnsi="Arial"/>
                <w:sz w:val="18"/>
                <w:szCs w:val="18"/>
                <w:color w:val="2C2C2C"/>
              </w:rPr>
            </w:pPr>
            <w:hyperlink w:anchor="page5">
              <w:r>
                <w:rPr>
                  <w:rFonts w:ascii="Arial" w:cs="Arial" w:eastAsia="Arial" w:hAnsi="Arial"/>
                  <w:sz w:val="18"/>
                  <w:szCs w:val="18"/>
                  <w:color w:val="2C2C2C"/>
                </w:rPr>
                <w:t>3</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8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Balance Sheet (Unaudited)</w:t>
              </w:r>
            </w:hyperlink>
          </w:p>
        </w:tc>
        <w:tc>
          <w:tcPr>
            <w:tcW w:w="2680" w:type="dxa"/>
            <w:vAlign w:val="bottom"/>
            <w:gridSpan w:val="7"/>
          </w:tcPr>
          <w:p>
            <w:pPr>
              <w:spacing w:after="0"/>
              <w:rPr>
                <w:sz w:val="18"/>
                <w:szCs w:val="18"/>
                <w:color w:val="auto"/>
              </w:rPr>
            </w:pPr>
          </w:p>
        </w:tc>
        <w:tc>
          <w:tcPr>
            <w:tcW w:w="3340" w:type="dxa"/>
            <w:vAlign w:val="bottom"/>
          </w:tcPr>
          <w:p>
            <w:pPr>
              <w:jc w:val="right"/>
              <w:spacing w:after="0"/>
              <w:rPr>
                <w:rFonts w:ascii="Arial" w:cs="Arial" w:eastAsia="Arial" w:hAnsi="Arial"/>
                <w:sz w:val="18"/>
                <w:szCs w:val="18"/>
                <w:color w:val="2C2C2C"/>
              </w:rPr>
            </w:pPr>
            <w:hyperlink w:anchor="page6">
              <w:r>
                <w:rPr>
                  <w:rFonts w:ascii="Arial" w:cs="Arial" w:eastAsia="Arial" w:hAnsi="Arial"/>
                  <w:sz w:val="18"/>
                  <w:szCs w:val="18"/>
                  <w:color w:val="2C2C2C"/>
                </w:rPr>
                <w:t>4</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 of Changes in Equity (Unaudited)</w:t>
              </w:r>
            </w:hyperlink>
          </w:p>
        </w:tc>
        <w:tc>
          <w:tcPr>
            <w:tcW w:w="1420" w:type="dxa"/>
            <w:vAlign w:val="bottom"/>
            <w:gridSpan w:val="2"/>
          </w:tcPr>
          <w:p>
            <w:pPr>
              <w:spacing w:after="0"/>
              <w:rPr>
                <w:sz w:val="18"/>
                <w:szCs w:val="18"/>
                <w:color w:val="auto"/>
              </w:rPr>
            </w:pPr>
          </w:p>
        </w:tc>
        <w:tc>
          <w:tcPr>
            <w:tcW w:w="3340" w:type="dxa"/>
            <w:vAlign w:val="bottom"/>
          </w:tcPr>
          <w:p>
            <w:pPr>
              <w:jc w:val="right"/>
              <w:spacing w:after="0"/>
              <w:rPr>
                <w:rFonts w:ascii="Arial" w:cs="Arial" w:eastAsia="Arial" w:hAnsi="Arial"/>
                <w:sz w:val="18"/>
                <w:szCs w:val="18"/>
                <w:color w:val="2C2C2C"/>
              </w:rPr>
            </w:pPr>
            <w:hyperlink w:anchor="page7">
              <w:r>
                <w:rPr>
                  <w:rFonts w:ascii="Arial" w:cs="Arial" w:eastAsia="Arial" w:hAnsi="Arial"/>
                  <w:sz w:val="18"/>
                  <w:szCs w:val="18"/>
                  <w:color w:val="2C2C2C"/>
                </w:rPr>
                <w:t>5</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Item 2.</w:t>
            </w:r>
          </w:p>
        </w:tc>
        <w:tc>
          <w:tcPr>
            <w:tcW w:w="6460" w:type="dxa"/>
            <w:vAlign w:val="bottom"/>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(Unaudited)</w:t>
              </w:r>
            </w:hyperlink>
          </w:p>
        </w:tc>
        <w:tc>
          <w:tcPr>
            <w:tcW w:w="3340" w:type="dxa"/>
            <w:vAlign w:val="bottom"/>
          </w:tcPr>
          <w:p>
            <w:pPr>
              <w:jc w:val="right"/>
              <w:spacing w:after="0"/>
              <w:rPr>
                <w:rFonts w:ascii="Arial" w:cs="Arial" w:eastAsia="Arial" w:hAnsi="Arial"/>
                <w:sz w:val="18"/>
                <w:szCs w:val="18"/>
                <w:color w:val="2C2C2C"/>
              </w:rPr>
            </w:pPr>
            <w:hyperlink w:anchor="page8">
              <w:r>
                <w:rPr>
                  <w:rFonts w:ascii="Arial" w:cs="Arial" w:eastAsia="Arial" w:hAnsi="Arial"/>
                  <w:sz w:val="18"/>
                  <w:szCs w:val="18"/>
                  <w:color w:val="2C2C2C"/>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16">
              <w:r>
                <w:rPr>
                  <w:rFonts w:ascii="Arial" w:cs="Arial" w:eastAsia="Arial" w:hAnsi="Arial"/>
                  <w:sz w:val="18"/>
                  <w:szCs w:val="18"/>
                  <w:color w:val="0000FF"/>
                  <w:w w:val="90"/>
                </w:rPr>
                <w:t>Management’s Discussion and Analysis of Financial Condition and Results of Operations</w:t>
              </w:r>
            </w:hyperlink>
          </w:p>
        </w:tc>
        <w:tc>
          <w:tcPr>
            <w:tcW w:w="334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14</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3.</w:t>
            </w:r>
          </w:p>
        </w:tc>
        <w:tc>
          <w:tcPr>
            <w:tcW w:w="436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Quantitative and Qualitative Disclosures About Market Risk</w:t>
              </w:r>
            </w:hyperlink>
          </w:p>
        </w:tc>
        <w:tc>
          <w:tcPr>
            <w:tcW w:w="2100" w:type="dxa"/>
            <w:vAlign w:val="bottom"/>
            <w:gridSpan w:val="5"/>
          </w:tcPr>
          <w:p>
            <w:pPr>
              <w:spacing w:after="0"/>
              <w:rPr>
                <w:sz w:val="18"/>
                <w:szCs w:val="18"/>
                <w:color w:val="auto"/>
              </w:rPr>
            </w:pPr>
          </w:p>
        </w:tc>
        <w:tc>
          <w:tcPr>
            <w:tcW w:w="33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4.</w:t>
            </w:r>
          </w:p>
        </w:tc>
        <w:tc>
          <w:tcPr>
            <w:tcW w:w="6460" w:type="dxa"/>
            <w:vAlign w:val="bottom"/>
            <w:gridSpan w:val="1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Controls and Procedures</w:t>
              </w:r>
            </w:hyperlink>
          </w:p>
        </w:tc>
        <w:tc>
          <w:tcPr>
            <w:tcW w:w="33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700" w:type="dxa"/>
            <w:vAlign w:val="bottom"/>
            <w:gridSpan w:val="8"/>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0000FF"/>
            </w:tcBorders>
            <w:gridSpan w:val="6"/>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PART II. OTHER INFORMATION</w:t>
              </w:r>
            </w:hyperlink>
          </w:p>
        </w:tc>
        <w:tc>
          <w:tcPr>
            <w:tcW w:w="5080" w:type="dxa"/>
            <w:vAlign w:val="bottom"/>
            <w:gridSpan w:val="11"/>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33">
              <w:r>
                <w:rPr>
                  <w:rFonts w:ascii="Arial" w:cs="Arial" w:eastAsia="Arial" w:hAnsi="Arial"/>
                  <w:sz w:val="18"/>
                  <w:szCs w:val="18"/>
                  <w:color w:val="0000FF"/>
                  <w:w w:val="88"/>
                </w:rPr>
                <w:t>Legal Proceedings</w:t>
              </w:r>
            </w:hyperlink>
          </w:p>
        </w:tc>
        <w:tc>
          <w:tcPr>
            <w:tcW w:w="5120" w:type="dxa"/>
            <w:vAlign w:val="bottom"/>
            <w:gridSpan w:val="12"/>
          </w:tcPr>
          <w:p>
            <w:pPr>
              <w:spacing w:after="0"/>
              <w:rPr>
                <w:sz w:val="18"/>
                <w:szCs w:val="18"/>
                <w:color w:val="auto"/>
              </w:rPr>
            </w:pPr>
          </w:p>
        </w:tc>
        <w:tc>
          <w:tcPr>
            <w:tcW w:w="33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1A.</w:t>
            </w:r>
          </w:p>
        </w:tc>
        <w:tc>
          <w:tcPr>
            <w:tcW w:w="6460" w:type="dxa"/>
            <w:vAlign w:val="bottom"/>
            <w:gridSpan w:val="1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Risk Factors</w:t>
              </w:r>
            </w:hyperlink>
          </w:p>
        </w:tc>
        <w:tc>
          <w:tcPr>
            <w:tcW w:w="33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6.</w:t>
            </w:r>
          </w:p>
        </w:tc>
        <w:tc>
          <w:tcPr>
            <w:tcW w:w="900" w:type="dxa"/>
            <w:vAlign w:val="bottom"/>
            <w:tcBorders>
              <w:top w:val="single" w:sz="8" w:color="0000FF"/>
            </w:tcBorders>
            <w:gridSpan w:val="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Exhibits</w:t>
              </w:r>
            </w:hyperlink>
          </w:p>
        </w:tc>
        <w:tc>
          <w:tcPr>
            <w:tcW w:w="5560" w:type="dxa"/>
            <w:vAlign w:val="bottom"/>
            <w:gridSpan w:val="13"/>
          </w:tcPr>
          <w:p>
            <w:pPr>
              <w:spacing w:after="0"/>
              <w:rPr>
                <w:sz w:val="18"/>
                <w:szCs w:val="18"/>
                <w:color w:val="auto"/>
              </w:rPr>
            </w:pPr>
          </w:p>
        </w:tc>
        <w:tc>
          <w:tcPr>
            <w:tcW w:w="33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SIGNATURES</w:t>
              </w:r>
            </w:hyperlink>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is for the three months ended March 31, 2021.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39"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Unless indicated otherwise, throughout this Quarterly Report on Form 10-Q, we refer to Comcast and its consolidated subsidiaries, as “Comcast,” “we,” “us” and “our;” Comcast Cable Communications, LLC and its consolidated subsidiaries as “Comcast Cable;” Comcast Holdings Corporation as “Comcast Holdings;” NBCUniversal Media, LLC and its consolidated subsidiaries as “NBCUniversal;” and Sky Limited and its consolidated subsidiaries as “Sky.”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the words “believe,” “project,” “expect,” “anticipate,” “estimate,” “intend,” “potential,” “strategy,” “future,” “opportunity,” “commit,” “plan,” “may,” “should,” “could,” “will,” “would,” “will be,” “will continue,” “will likely result” and similar expressions.</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evaluating forward-looking statements, you should consider various factors, including the risks and uncertainties we describe in the “Risk Factors” sections of our Forms 10-K and 10-Q and other reports we file with the SEC. Additionally, we operate in a highly competitive, consumer-driven and rapidly changing environment. This environment is affected by government regulation; economic, strategic, political and social conditions; consumer response to new and existing products and services; technological developments; and the ability to develop and protect intellectual property rights. Any of these factors could cause our actual results to differ materially from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63"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had, and will likely continue to have, a material adverse effect on our businesses and results of operations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operate in highly competitive and dynamic industries, and our businesses and results of operations could be adversely affected if we do not compete effectively</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online video distribution platforms for viewing content continue to adversely affect our businesses and challenge existing business models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Cable Communications’ video businesses</w:t>
      </w:r>
    </w:p>
    <w:p>
      <w:pPr>
        <w:spacing w:after="0" w:line="86" w:lineRule="exact"/>
        <w:rPr>
          <w:rFonts w:ascii="Arial" w:cs="Arial" w:eastAsia="Arial" w:hAnsi="Arial"/>
          <w:sz w:val="16"/>
          <w:szCs w:val="16"/>
          <w:color w:val="auto"/>
        </w:rPr>
      </w:pPr>
    </w:p>
    <w:p>
      <w:pPr>
        <w:ind w:left="660" w:hanging="328"/>
        <w:spacing w:after="0" w:line="29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programming distribution and licensing agreements, or the renewal of these agreements on less favorable terms, could adversely affect our businesses</w:t>
      </w:r>
    </w:p>
    <w:p>
      <w:pPr>
        <w:spacing w:after="0" w:line="8" w:lineRule="exact"/>
        <w:rPr>
          <w:rFonts w:ascii="Arial" w:cs="Arial" w:eastAsia="Arial" w:hAnsi="Arial"/>
          <w:sz w:val="18"/>
          <w:szCs w:val="18"/>
          <w:color w:val="auto"/>
        </w:rPr>
      </w:pPr>
    </w:p>
    <w:p>
      <w:pPr>
        <w:ind w:left="660" w:hanging="328"/>
        <w:spacing w:after="0" w:line="31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spacing w:after="0" w:line="1"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and other strategic initiatives present many risks, and we may not realize the financial and strategic goals that we had contemplated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key management personnel or popular on-air and creative talent could have an adverse effect on our businesses</w:t>
      </w:r>
    </w:p>
    <w:p>
      <w:pPr>
        <w:spacing w:after="0" w:line="7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regulation by federal, state, local and foreign authorities, which impose additional costs and restrictions on our businesses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litigation or governmental investigation results could require us to pay significant amounts or lead to onerous operating procedures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8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421" w:right="131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3"/>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8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2020</w:t>
            </w:r>
          </w:p>
        </w:tc>
      </w:tr>
      <w:tr>
        <w:trPr>
          <w:trHeight w:val="226"/>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27,205</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26,609</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8,919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8,301</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8,269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8,254</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1,616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1,938</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2,117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2,107</w:t>
            </w:r>
          </w:p>
        </w:tc>
      </w:tr>
      <w:tr>
        <w:trPr>
          <w:trHeight w:val="230"/>
        </w:trPr>
        <w:tc>
          <w:tcPr>
            <w:tcW w:w="8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1,245</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22,166</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5,039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4,852</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(1,018)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(1,212)</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and other income (loss), net</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390</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4,411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2,924</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(1,119)</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3,292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2,224</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7"/>
              </w:rPr>
              <w:t>Less: Net income (loss) attributable to noncontrolling interests and redeemable subsidiary preferred stock</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3,329</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2,147</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73"/>
              <w:spacing w:after="0"/>
              <w:rPr>
                <w:sz w:val="20"/>
                <w:szCs w:val="20"/>
                <w:color w:val="auto"/>
              </w:rPr>
            </w:pPr>
            <w:r>
              <w:rPr>
                <w:rFonts w:ascii="Arial" w:cs="Arial" w:eastAsia="Arial" w:hAnsi="Arial"/>
                <w:sz w:val="18"/>
                <w:szCs w:val="18"/>
                <w:b w:val="1"/>
                <w:bCs w:val="1"/>
                <w:color w:val="auto"/>
              </w:rPr>
              <w:t>0.73</w:t>
            </w:r>
          </w:p>
        </w:tc>
        <w:tc>
          <w:tcPr>
            <w:tcW w:w="6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0.47</w:t>
            </w:r>
          </w:p>
        </w:tc>
      </w:tr>
      <w:tr>
        <w:trPr>
          <w:trHeight w:val="241"/>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0.71</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0.46</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3"/>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8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w w:val="96"/>
              </w:rPr>
              <w:t>2020</w:t>
            </w:r>
          </w:p>
        </w:tc>
      </w:tr>
      <w:tr>
        <w:trPr>
          <w:trHeight w:val="226"/>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3,292</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2,224</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Currency translation adjustments, net of deferred taxes of $(92) and $(7)</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(2,157)</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Deferred gains (losses), net of deferred taxes of $(19) and $10</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119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Realized (gains) losses reclassified to net income, net of deferred taxes of $— and $17</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Employee benefit obligations and other, net of deferred taxes of $2 and $3</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3,366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w w:val="97"/>
              </w:rPr>
              <w:t>Less: Net income (loss) attributable to noncontrolling interests and redeemable subsidiary preferred stock</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Other comprehensive income (loss) attributable to noncontrolling interests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 (loss) attributable to Comcast Corporation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3,417</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3"/>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8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2020</w:t>
            </w:r>
          </w:p>
        </w:tc>
      </w:tr>
      <w:tr>
        <w:trPr>
          <w:trHeight w:val="226"/>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3,292</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2,224</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3,362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3,264</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373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Noncash interest expense (income),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Net (gain) loss on investment activity and other</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(239)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Current and noncurrent receivables,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554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Film and television costs,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393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30"/>
        </w:trPr>
        <w:tc>
          <w:tcPr>
            <w:tcW w:w="8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operating assets and liabilities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124</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7,751</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5,824</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(1,859)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(1,881)</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Cash paid for intangible assets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(612)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Construction of Universal Beijing Resort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Proceeds from sales of businesses and investments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388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8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98</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(2,612)</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(3,101)</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192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9,281</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Repurchases and repayments of debt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(124)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(7,439)</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Repurchases of common stock under employee plans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(1,080)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30"/>
        </w:trPr>
        <w:tc>
          <w:tcPr>
            <w:tcW w:w="8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(577)</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(1,898)</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w:t>
            </w:r>
          </w:p>
        </w:tc>
      </w:tr>
      <w:tr>
        <w:trPr>
          <w:trHeight w:val="222"/>
        </w:trPr>
        <w:tc>
          <w:tcPr>
            <w:tcW w:w="8180" w:type="dxa"/>
            <w:vAlign w:val="bottom"/>
          </w:tcPr>
          <w:p>
            <w:pPr>
              <w:ind w:left="20"/>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3,208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3,020</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11,768</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14,976</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8,609</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vMerge w:val="restart"/>
          </w:tcPr>
          <w:p>
            <w:pPr>
              <w:ind w:left="20"/>
              <w:spacing w:after="0"/>
              <w:rPr>
                <w:sz w:val="20"/>
                <w:szCs w:val="20"/>
                <w:color w:val="auto"/>
              </w:rPr>
            </w:pPr>
            <w:r>
              <w:rPr>
                <w:rFonts w:ascii="Arial" w:cs="Arial" w:eastAsia="Arial" w:hAnsi="Arial"/>
                <w:sz w:val="14"/>
                <w:szCs w:val="14"/>
                <w:color w:val="auto"/>
              </w:rPr>
              <w:t>(in millions, except share data)</w:t>
            </w:r>
          </w:p>
        </w:tc>
        <w:tc>
          <w:tcPr>
            <w:tcW w:w="300" w:type="dxa"/>
            <w:vAlign w:val="bottom"/>
          </w:tcPr>
          <w:p>
            <w:pPr>
              <w:spacing w:after="0"/>
              <w:rPr>
                <w:sz w:val="14"/>
                <w:szCs w:val="14"/>
                <w:color w:val="auto"/>
              </w:rPr>
            </w:pPr>
          </w:p>
        </w:tc>
        <w:tc>
          <w:tcPr>
            <w:tcW w:w="1260" w:type="dxa"/>
            <w:vAlign w:val="bottom"/>
          </w:tcPr>
          <w:p>
            <w:pPr>
              <w:jc w:val="right"/>
              <w:ind w:right="431"/>
              <w:spacing w:after="0"/>
              <w:rPr>
                <w:sz w:val="20"/>
                <w:szCs w:val="20"/>
                <w:color w:val="auto"/>
              </w:rPr>
            </w:pPr>
            <w:r>
              <w:rPr>
                <w:rFonts w:ascii="Arial" w:cs="Arial" w:eastAsia="Arial" w:hAnsi="Arial"/>
                <w:sz w:val="14"/>
                <w:szCs w:val="14"/>
                <w:color w:val="auto"/>
              </w:rPr>
              <w:t>March 31,</w:t>
            </w:r>
          </w:p>
        </w:tc>
        <w:tc>
          <w:tcPr>
            <w:tcW w:w="320" w:type="dxa"/>
            <w:vAlign w:val="bottom"/>
          </w:tcPr>
          <w:p>
            <w:pPr>
              <w:spacing w:after="0"/>
              <w:rPr>
                <w:sz w:val="14"/>
                <w:szCs w:val="14"/>
                <w:color w:val="auto"/>
              </w:rPr>
            </w:pPr>
          </w:p>
        </w:tc>
        <w:tc>
          <w:tcPr>
            <w:tcW w:w="1220" w:type="dxa"/>
            <w:vAlign w:val="bottom"/>
          </w:tcPr>
          <w:p>
            <w:pPr>
              <w:jc w:val="right"/>
              <w:ind w:right="23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14,950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10,986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3,502</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22"/>
        </w:trPr>
        <w:tc>
          <w:tcPr>
            <w:tcW w:w="8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29,438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26,741</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Film and television costs</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12,983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7,889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Investment securing collateralized obligation</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487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 of $54,793 and $54,388</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52,317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51,995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70,106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70,669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Franchise rights</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59,365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Other intangible assets, net of accumulated amortization of $20,885 and $19,825</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34,861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35,389</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 net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11,065</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278,511</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273,869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11,148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Accrued participations and residuals</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1,619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3,376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9,891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4,777</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22"/>
        </w:trPr>
        <w:tc>
          <w:tcPr>
            <w:tcW w:w="81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30,811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28,796</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98,936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100,614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Collateralized obligation</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5,168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28,260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28,051</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20,690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18,222</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546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Preferred stock—authorized, 20,000,000 shares; issued, zero</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140" w:type="dxa"/>
            <w:vAlign w:val="bottom"/>
          </w:tcPr>
          <w:p>
            <w:pPr>
              <w:ind w:left="360"/>
              <w:spacing w:after="0" w:line="176" w:lineRule="exact"/>
              <w:rPr>
                <w:sz w:val="20"/>
                <w:szCs w:val="20"/>
                <w:color w:val="auto"/>
              </w:rPr>
            </w:pPr>
            <w:r>
              <w:rPr>
                <w:rFonts w:ascii="Arial" w:cs="Arial" w:eastAsia="Arial" w:hAnsi="Arial"/>
                <w:sz w:val="18"/>
                <w:szCs w:val="18"/>
                <w:color w:val="auto"/>
                <w:w w:val="94"/>
              </w:rPr>
              <w:t>Class A common stock, $0.01 par value—authorized, 7,500,000,000 shares; issued, 5,457,362,954 and</w:t>
            </w:r>
          </w:p>
        </w:tc>
        <w:tc>
          <w:tcPr>
            <w:tcW w:w="300" w:type="dxa"/>
            <w:vAlign w:val="bottom"/>
          </w:tcPr>
          <w:p>
            <w:pPr>
              <w:spacing w:after="0"/>
              <w:rPr>
                <w:sz w:val="15"/>
                <w:szCs w:val="15"/>
                <w:color w:val="auto"/>
              </w:rPr>
            </w:pPr>
          </w:p>
        </w:tc>
        <w:tc>
          <w:tcPr>
            <w:tcW w:w="1260" w:type="dxa"/>
            <w:vAlign w:val="bottom"/>
            <w:vMerge w:val="restart"/>
          </w:tcPr>
          <w:p>
            <w:pPr>
              <w:jc w:val="right"/>
              <w:ind w:right="71"/>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8140" w:type="dxa"/>
            <w:vAlign w:val="bottom"/>
          </w:tcPr>
          <w:p>
            <w:pPr>
              <w:ind w:left="520"/>
              <w:spacing w:after="0"/>
              <w:rPr>
                <w:sz w:val="20"/>
                <w:szCs w:val="20"/>
                <w:color w:val="auto"/>
              </w:rPr>
            </w:pPr>
            <w:r>
              <w:rPr>
                <w:rFonts w:ascii="Arial" w:cs="Arial" w:eastAsia="Arial" w:hAnsi="Arial"/>
                <w:sz w:val="18"/>
                <w:szCs w:val="18"/>
                <w:color w:val="auto"/>
              </w:rPr>
              <w:t>5,444,002,825; outstanding, 4,584,571,926 and 4,571,211,797</w:t>
            </w:r>
          </w:p>
        </w:tc>
        <w:tc>
          <w:tcPr>
            <w:tcW w:w="3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w w:val="89"/>
              </w:rPr>
              <w:t>Class B common stock, $0.01 par value—authorized, 75,000,000 shares; issued and outstanding, 9,444,375</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39,744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39,464</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58,321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56,438</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Treasury stock, 872,791,028 Class A common shares</w:t>
            </w:r>
          </w:p>
        </w:tc>
        <w:tc>
          <w:tcPr>
            <w:tcW w:w="30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(7,517)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1,972</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22"/>
        </w:trPr>
        <w:tc>
          <w:tcPr>
            <w:tcW w:w="8140" w:type="dxa"/>
            <w:vAlign w:val="bottom"/>
          </w:tcPr>
          <w:p>
            <w:pPr>
              <w:ind w:left="20"/>
              <w:spacing w:after="0"/>
              <w:rPr>
                <w:sz w:val="20"/>
                <w:szCs w:val="20"/>
                <w:color w:val="auto"/>
              </w:rPr>
            </w:pPr>
            <w:r>
              <w:rPr>
                <w:rFonts w:ascii="Arial" w:cs="Arial" w:eastAsia="Arial" w:hAnsi="Arial"/>
                <w:sz w:val="18"/>
                <w:szCs w:val="18"/>
                <w:color w:val="auto"/>
              </w:rPr>
              <w:t>Total Comcast Corporation shareholders’ equity</w:t>
            </w:r>
          </w:p>
        </w:tc>
        <w:tc>
          <w:tcPr>
            <w:tcW w:w="30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92,575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90,323</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1,525</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94,100</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91,738</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278,511</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273,869</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20" w:type="dxa"/>
            <w:vAlign w:val="bottom"/>
            <w:gridSpan w:val="3"/>
          </w:tcPr>
          <w:p>
            <w:pPr>
              <w:jc w:val="right"/>
              <w:ind w:right="731"/>
              <w:spacing w:after="0"/>
              <w:rPr>
                <w:sz w:val="20"/>
                <w:szCs w:val="20"/>
                <w:color w:val="auto"/>
              </w:rPr>
            </w:pPr>
            <w:r>
              <w:rPr>
                <w:rFonts w:ascii="Arial" w:cs="Arial" w:eastAsia="Arial" w:hAnsi="Arial"/>
                <w:sz w:val="14"/>
                <w:szCs w:val="14"/>
                <w:color w:val="auto"/>
              </w:rPr>
              <w:t>Three Months Ended</w:t>
            </w:r>
          </w:p>
        </w:tc>
      </w:tr>
      <w:tr>
        <w:trPr>
          <w:trHeight w:val="183"/>
        </w:trPr>
        <w:tc>
          <w:tcPr>
            <w:tcW w:w="8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March 31,</w:t>
            </w:r>
          </w:p>
        </w:tc>
        <w:tc>
          <w:tcPr>
            <w:tcW w:w="1000" w:type="dxa"/>
            <w:vAlign w:val="bottom"/>
            <w:tcBorders>
              <w:bottom w:val="single" w:sz="8" w:color="auto"/>
            </w:tcBorders>
          </w:tcPr>
          <w:p>
            <w:pPr>
              <w:spacing w:after="0"/>
              <w:rPr>
                <w:sz w:val="15"/>
                <w:szCs w:val="15"/>
                <w:color w:val="auto"/>
              </w:rPr>
            </w:pPr>
          </w:p>
        </w:tc>
      </w:tr>
      <w:tr>
        <w:trPr>
          <w:trHeight w:val="18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2021</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2020</w:t>
            </w:r>
          </w:p>
        </w:tc>
      </w:tr>
      <w:tr>
        <w:trPr>
          <w:trHeight w:val="226"/>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Redeemable Noncontrolling Interests and Redeemable Subsidiary Preferred Stock</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1,280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Redemption of subsidiary preferred stock</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(725)</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1,259</w:t>
            </w:r>
          </w:p>
        </w:tc>
      </w:tr>
      <w:tr>
        <w:trPr>
          <w:trHeight w:val="310"/>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Class A Common Stock</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Issuances of common stock under employee plans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r>
      <w:tr>
        <w:trPr>
          <w:trHeight w:val="30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39,464</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38,447</w:t>
            </w: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rPr>
              <w:t>Stock compensation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Repurchases of common stock under employee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rPr>
              <w:t>Employee stock purchase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39,744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38,597</w:t>
            </w:r>
          </w:p>
        </w:tc>
      </w:tr>
      <w:tr>
        <w:trPr>
          <w:trHeight w:val="26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56,438</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50,695</w:t>
            </w: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Cumulative effects of adoption of accounting standards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rPr>
              <w:t>Repurchases of common stock under employee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Dividends declared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(1,161)</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(1,064)</w:t>
            </w: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r>
      <w:tr>
        <w:trPr>
          <w:trHeight w:val="223"/>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58,321</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51,516</w:t>
            </w:r>
          </w:p>
        </w:tc>
      </w:tr>
      <w:tr>
        <w:trPr>
          <w:trHeight w:val="26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Treasury Stock at Cost</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w:t>
            </w:r>
          </w:p>
        </w:tc>
      </w:tr>
      <w:tr>
        <w:trPr>
          <w:trHeight w:val="223"/>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(7,517)</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(7,517)</w:t>
            </w:r>
          </w:p>
        </w:tc>
      </w:tr>
      <w:tr>
        <w:trPr>
          <w:trHeight w:val="26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1,884</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30"/>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r>
      <w:tr>
        <w:trPr>
          <w:trHeight w:val="223"/>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1,972</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(1,144)</w:t>
            </w:r>
          </w:p>
        </w:tc>
      </w:tr>
      <w:tr>
        <w:trPr>
          <w:trHeight w:val="26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380" w:type="dxa"/>
            <w:vAlign w:val="bottom"/>
          </w:tcPr>
          <w:p>
            <w:pPr>
              <w:ind w:left="220"/>
              <w:spacing w:after="0"/>
              <w:rPr>
                <w:sz w:val="20"/>
                <w:szCs w:val="20"/>
                <w:color w:val="auto"/>
              </w:rPr>
            </w:pPr>
            <w:r>
              <w:rPr>
                <w:rFonts w:ascii="Arial" w:cs="Arial" w:eastAsia="Arial" w:hAnsi="Arial"/>
                <w:sz w:val="18"/>
                <w:szCs w:val="18"/>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8380" w:type="dxa"/>
            <w:vAlign w:val="bottom"/>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1,525</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1,277</w:t>
            </w:r>
          </w:p>
        </w:tc>
      </w:tr>
      <w:tr>
        <w:trPr>
          <w:trHeight w:val="21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94,100</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82,783</w:t>
            </w:r>
          </w:p>
        </w:tc>
      </w:tr>
      <w:tr>
        <w:trPr>
          <w:trHeight w:val="236"/>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dividends declared per common share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0.25</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0.23</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85" w:lineRule="exact"/>
        <w:rPr>
          <w:sz w:val="20"/>
          <w:szCs w:val="20"/>
          <w:color w:val="auto"/>
        </w:rPr>
      </w:pPr>
    </w:p>
    <w:p>
      <w:pPr>
        <w:ind w:right="420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2020 Annual Report on Form 10-K and the notes within this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Reclassifications have been made to our notes to condensed consolidated financial statements for the prior year period to conform to classifications used in 2021. See Note 2 for a discussion of the changes in our presentation of segment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2021, we changed our presentation of segment operating results. We now present our operations in five reportable business segments:</w:t>
      </w:r>
    </w:p>
    <w:p>
      <w:pPr>
        <w:spacing w:after="0" w:line="46" w:lineRule="exact"/>
        <w:rPr>
          <w:sz w:val="20"/>
          <w:szCs w:val="20"/>
          <w:color w:val="auto"/>
        </w:rPr>
      </w:pPr>
    </w:p>
    <w:p>
      <w:pPr>
        <w:jc w:val="both"/>
        <w:ind w:firstLine="8"/>
        <w:spacing w:after="0" w:line="252" w:lineRule="auto"/>
        <w:tabs>
          <w:tab w:leader="none" w:pos="273"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 Cable in one reportable business segment, referred to as Cable Communications; (2) NBCUniversal in three reportable business segments: Media, Studios and Theme Parks (collectively, the “NBCUniversal segments”); and (3) Sky in one reportable business segment. The changes reflect a reorganized operating structure in NBCUniversal’s television and streaming businesses and primarily include: (i) the combination of NBCUniversal’s television networks (previously reported in Cable Networks and Broadcast Television) with the operations of Peacock (previously reported in Corporate and Other) in the Media segment, and (ii) the presentation of NBCUniversal’s television studio production operations (previously reported in Cable Networks and Broadcast Television) with the studio operations of Filmed Entertainment in the Studios segment. Prior periods have been adjusted to reflect this presentation.</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Cable Communications is a leading provider of broadband, video, voice, wireless, and security and automation services to residential customers under the Xfinity brand; we also provide these and other services to business customers and sell advertising. Revenue is generated primarily from residential and business customers that subscribe to our services, which are marketed individually and as bundled services, and from the sale of advertising.</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Media consists primarily of NBCUniversal’s television and streaming platforms, including national, regional and international cable networks; the NBC and Telemundo broadcast networks; NBC and Telemundo owned local broadcast television stations; Peacock, our direct-to-consumer streaming service; and various digital properties. Revenue is generated primarily from the sale of advertising on our television networks, Peacock and digital properties; and the fees received from the distribution of our television network programming to traditional and virtual multichannel video providers and from NBC-affiliated and Telemundo-affiliated local broadcast television stations. Media also generates other revenue from various digital properties.</w:t>
      </w:r>
    </w:p>
    <w:p>
      <w:pPr>
        <w:spacing w:after="0" w:line="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Studios consists primarily of NBCUniversal’s film and television studio production and distribution operations. Revenue is generated primarily from the licensing of our owned film and television content to broadcast, cable and premium networks, and to direct-to-consumer streaming service providers, as well as through video on demand and pay-per-view services provided by multichannel video providers and over-the-top service providers; from the worldwide distribution of our produced and acquired films for exhibition in movie theaters; and from the sale of owned content on DVDs, Blu-ray discs and through digital distribution services.</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Theme Parks consists primarily of our Universal theme parks in Orlando, Florida; Hollywood, California; and Osaka, Japan. In addition, we are developing a theme park in Beijing, China along with a consortium of Chinese state-owned companies, and an additional theme park in Orlando, Florida. Revenue is generated primarily from guest spending at our Universal theme parks.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Sky is one of Europe’s leading entertainment companies, which primarily includes a direct-to-consumer business, providing video, broadband, voice and wireless phone services, and a content business, operating entertainment networks, the Sky News broadcast network and Sky Sports networks. Revenue is generated primarily from residential and business customers that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subscribe to our services; from the distribution of Sky’s owned television networks on third-party platforms and the licensing of owned and acquired programming to third-party video providers; and from the sale of advertising.</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use Adjusted EBITDA to evaluate the profitability of our operating segments and the components of net income attributable to Comcast Corporation excluded from Adjusted EBITDA are not separately evaluated. Our financial data by business segment is presented in the tables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jc w:val="center"/>
              <w:ind w:right="333"/>
              <w:spacing w:after="0"/>
              <w:rPr>
                <w:sz w:val="20"/>
                <w:szCs w:val="20"/>
                <w:color w:val="auto"/>
              </w:rPr>
            </w:pPr>
            <w:r>
              <w:rPr>
                <w:rFonts w:ascii="Arial" w:cs="Arial" w:eastAsia="Arial" w:hAnsi="Arial"/>
                <w:sz w:val="14"/>
                <w:szCs w:val="14"/>
                <w:color w:val="auto"/>
                <w:w w:val="93"/>
              </w:rPr>
              <w:t>Three Months Ended March 31, 2021</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8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171"/>
              <w:spacing w:after="0"/>
              <w:rPr>
                <w:sz w:val="20"/>
                <w:szCs w:val="20"/>
                <w:color w:val="auto"/>
              </w:rPr>
            </w:pPr>
            <w:r>
              <w:rPr>
                <w:rFonts w:ascii="Arial" w:cs="Arial" w:eastAsia="Arial" w:hAnsi="Arial"/>
                <w:sz w:val="14"/>
                <w:szCs w:val="14"/>
                <w:color w:val="auto"/>
              </w:rPr>
              <w:t>Revenue</w:t>
            </w:r>
            <w:r>
              <w:rPr>
                <w:rFonts w:ascii="Arial" w:cs="Arial" w:eastAsia="Arial" w:hAnsi="Arial"/>
                <w:sz w:val="18"/>
                <w:szCs w:val="18"/>
                <w:color w:val="auto"/>
                <w:vertAlign w:val="superscript"/>
              </w:rPr>
              <w:t>(a)</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(b)</w:t>
            </w:r>
          </w:p>
        </w:tc>
        <w:tc>
          <w:tcPr>
            <w:tcW w:w="140" w:type="dxa"/>
            <w:vAlign w:val="bottom"/>
          </w:tcPr>
          <w:p>
            <w:pPr>
              <w:spacing w:after="0"/>
              <w:rPr>
                <w:sz w:val="11"/>
                <w:szCs w:val="11"/>
                <w:color w:val="auto"/>
              </w:rPr>
            </w:pPr>
          </w:p>
        </w:tc>
        <w:tc>
          <w:tcPr>
            <w:tcW w:w="1180" w:type="dxa"/>
            <w:vAlign w:val="bottom"/>
          </w:tcPr>
          <w:p>
            <w:pPr>
              <w:jc w:val="right"/>
              <w:ind w:right="53"/>
              <w:spacing w:after="0" w:line="135" w:lineRule="exact"/>
              <w:rPr>
                <w:sz w:val="20"/>
                <w:szCs w:val="20"/>
                <w:color w:val="auto"/>
              </w:rPr>
            </w:pPr>
            <w:r>
              <w:rPr>
                <w:rFonts w:ascii="Arial" w:cs="Arial" w:eastAsia="Arial" w:hAnsi="Arial"/>
                <w:sz w:val="14"/>
                <w:szCs w:val="14"/>
                <w:color w:val="auto"/>
                <w:w w:val="96"/>
              </w:rPr>
              <w:t>Depreciation and</w:t>
            </w:r>
          </w:p>
        </w:tc>
        <w:tc>
          <w:tcPr>
            <w:tcW w:w="180" w:type="dxa"/>
            <w:vAlign w:val="bottom"/>
          </w:tcPr>
          <w:p>
            <w:pPr>
              <w:spacing w:after="0"/>
              <w:rPr>
                <w:sz w:val="11"/>
                <w:szCs w:val="11"/>
                <w:color w:val="auto"/>
              </w:rPr>
            </w:pPr>
          </w:p>
        </w:tc>
        <w:tc>
          <w:tcPr>
            <w:tcW w:w="1020" w:type="dxa"/>
            <w:vAlign w:val="bottom"/>
          </w:tcPr>
          <w:p>
            <w:pPr>
              <w:jc w:val="right"/>
              <w:ind w:right="253"/>
              <w:spacing w:after="0" w:line="135" w:lineRule="exact"/>
              <w:rPr>
                <w:sz w:val="20"/>
                <w:szCs w:val="20"/>
                <w:color w:val="auto"/>
              </w:rPr>
            </w:pPr>
            <w:r>
              <w:rPr>
                <w:rFonts w:ascii="Arial" w:cs="Arial" w:eastAsia="Arial" w:hAnsi="Arial"/>
                <w:sz w:val="14"/>
                <w:szCs w:val="14"/>
                <w:color w:val="auto"/>
              </w:rPr>
              <w:t>Capital</w:t>
            </w:r>
          </w:p>
        </w:tc>
        <w:tc>
          <w:tcPr>
            <w:tcW w:w="180" w:type="dxa"/>
            <w:vAlign w:val="bottom"/>
          </w:tcPr>
          <w:p>
            <w:pPr>
              <w:spacing w:after="0"/>
              <w:rPr>
                <w:sz w:val="11"/>
                <w:szCs w:val="11"/>
                <w:color w:val="auto"/>
              </w:rPr>
            </w:pPr>
          </w:p>
        </w:tc>
        <w:tc>
          <w:tcPr>
            <w:tcW w:w="106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4"/>
              </w:rPr>
              <w:t>Cash Paid for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6"/>
                <w:szCs w:val="16"/>
                <w:color w:val="auto"/>
              </w:rPr>
            </w:pPr>
          </w:p>
        </w:tc>
        <w:tc>
          <w:tcPr>
            <w:tcW w:w="1020" w:type="dxa"/>
            <w:vAlign w:val="bottom"/>
          </w:tcPr>
          <w:p>
            <w:pPr>
              <w:jc w:val="right"/>
              <w:ind w:right="93"/>
              <w:spacing w:after="0"/>
              <w:rPr>
                <w:sz w:val="20"/>
                <w:szCs w:val="20"/>
                <w:color w:val="auto"/>
              </w:rPr>
            </w:pPr>
            <w:r>
              <w:rPr>
                <w:rFonts w:ascii="Arial" w:cs="Arial" w:eastAsia="Arial" w:hAnsi="Arial"/>
                <w:sz w:val="14"/>
                <w:szCs w:val="14"/>
                <w:color w:val="auto"/>
              </w:rPr>
              <w:t>Expenditures</w:t>
            </w:r>
          </w:p>
        </w:tc>
        <w:tc>
          <w:tcPr>
            <w:tcW w:w="1280" w:type="dxa"/>
            <w:vAlign w:val="bottom"/>
            <w:gridSpan w:val="4"/>
          </w:tcPr>
          <w:p>
            <w:pPr>
              <w:jc w:val="center"/>
              <w:spacing w:after="0"/>
              <w:rPr>
                <w:sz w:val="20"/>
                <w:szCs w:val="20"/>
                <w:color w:val="auto"/>
              </w:rPr>
            </w:pPr>
            <w:r>
              <w:rPr>
                <w:rFonts w:ascii="Arial" w:cs="Arial" w:eastAsia="Arial" w:hAnsi="Arial"/>
                <w:sz w:val="14"/>
                <w:szCs w:val="14"/>
                <w:color w:val="auto"/>
                <w:w w:val="93"/>
              </w:rPr>
              <w:t>Intangible Assets</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Cable Communications</w:t>
            </w:r>
          </w:p>
        </w:tc>
        <w:tc>
          <w:tcPr>
            <w:tcW w:w="2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15,805</w:t>
            </w:r>
          </w:p>
        </w:tc>
        <w:tc>
          <w:tcPr>
            <w:tcW w:w="48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Media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5,036</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Studios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2,396</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Theme Parks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w:t>
            </w:r>
          </w:p>
        </w:tc>
        <w:tc>
          <w:tcPr>
            <w:tcW w:w="480" w:type="dxa"/>
            <w:vAlign w:val="bottom"/>
          </w:tcPr>
          <w:p>
            <w:pPr>
              <w:spacing w:after="0"/>
              <w:rPr>
                <w:sz w:val="19"/>
                <w:szCs w:val="19"/>
                <w:color w:val="auto"/>
              </w:rPr>
            </w:pPr>
          </w:p>
        </w:tc>
        <w:tc>
          <w:tcPr>
            <w:tcW w:w="960" w:type="dxa"/>
            <w:vAlign w:val="bottom"/>
            <w:gridSpan w:val="2"/>
          </w:tcPr>
          <w:p>
            <w:pPr>
              <w:jc w:val="right"/>
              <w:ind w:right="58"/>
              <w:spacing w:after="0"/>
              <w:rPr>
                <w:sz w:val="20"/>
                <w:szCs w:val="20"/>
                <w:color w:val="auto"/>
              </w:rPr>
            </w:pPr>
            <w:r>
              <w:rPr>
                <w:rFonts w:ascii="Arial" w:cs="Arial" w:eastAsia="Arial" w:hAnsi="Arial"/>
                <w:sz w:val="18"/>
                <w:szCs w:val="18"/>
                <w:color w:val="auto"/>
              </w:rPr>
              <w:t>(61)</w:t>
            </w:r>
          </w:p>
        </w:tc>
        <w:tc>
          <w:tcPr>
            <w:tcW w:w="118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Headquarters and Other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960" w:type="dxa"/>
            <w:vAlign w:val="bottom"/>
            <w:gridSpan w:val="2"/>
          </w:tcPr>
          <w:p>
            <w:pPr>
              <w:jc w:val="right"/>
              <w:ind w:right="58"/>
              <w:spacing w:after="0"/>
              <w:rPr>
                <w:sz w:val="20"/>
                <w:szCs w:val="20"/>
                <w:color w:val="auto"/>
              </w:rPr>
            </w:pPr>
            <w:r>
              <w:rPr>
                <w:rFonts w:ascii="Arial" w:cs="Arial" w:eastAsia="Arial" w:hAnsi="Arial"/>
                <w:sz w:val="18"/>
                <w:szCs w:val="18"/>
                <w:color w:val="auto"/>
              </w:rPr>
              <w:t>(209)</w:t>
            </w:r>
          </w:p>
        </w:tc>
        <w:tc>
          <w:tcPr>
            <w:tcW w:w="118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840" w:type="dxa"/>
            <w:vAlign w:val="bottom"/>
          </w:tcPr>
          <w:p>
            <w:pPr>
              <w:ind w:left="34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56"/>
              <w:spacing w:after="0"/>
              <w:rPr>
                <w:sz w:val="20"/>
                <w:szCs w:val="20"/>
                <w:color w:val="auto"/>
              </w:rPr>
            </w:pPr>
            <w:r>
              <w:rPr>
                <w:rFonts w:ascii="Arial" w:cs="Arial" w:eastAsia="Arial" w:hAnsi="Arial"/>
                <w:sz w:val="18"/>
                <w:szCs w:val="18"/>
                <w:color w:val="auto"/>
              </w:rPr>
              <w:t>(1,043)</w:t>
            </w:r>
          </w:p>
        </w:tc>
        <w:tc>
          <w:tcPr>
            <w:tcW w:w="960" w:type="dxa"/>
            <w:vAlign w:val="bottom"/>
            <w:gridSpan w:val="2"/>
          </w:tcPr>
          <w:p>
            <w:pPr>
              <w:jc w:val="right"/>
              <w:ind w:right="58"/>
              <w:spacing w:after="0"/>
              <w:rPr>
                <w:sz w:val="20"/>
                <w:szCs w:val="20"/>
                <w:color w:val="auto"/>
              </w:rPr>
            </w:pPr>
            <w:r>
              <w:rPr>
                <w:rFonts w:ascii="Arial" w:cs="Arial" w:eastAsia="Arial" w:hAnsi="Arial"/>
                <w:sz w:val="18"/>
                <w:szCs w:val="18"/>
                <w:color w:val="auto"/>
              </w:rPr>
              <w:t>(210)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NBCUniversal</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7,024</w:t>
            </w:r>
          </w:p>
        </w:tc>
        <w:tc>
          <w:tcPr>
            <w:tcW w:w="4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Sky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4,997</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c>
          <w:tcPr>
            <w:tcW w:w="480" w:type="dxa"/>
            <w:vAlign w:val="bottom"/>
          </w:tcPr>
          <w:p>
            <w:pPr>
              <w:spacing w:after="0"/>
              <w:rPr>
                <w:sz w:val="19"/>
                <w:szCs w:val="19"/>
                <w:color w:val="auto"/>
              </w:rPr>
            </w:pPr>
          </w:p>
        </w:tc>
        <w:tc>
          <w:tcPr>
            <w:tcW w:w="960" w:type="dxa"/>
            <w:vAlign w:val="bottom"/>
            <w:gridSpan w:val="2"/>
          </w:tcPr>
          <w:p>
            <w:pPr>
              <w:jc w:val="right"/>
              <w:ind w:right="58"/>
              <w:spacing w:after="0"/>
              <w:rPr>
                <w:sz w:val="20"/>
                <w:szCs w:val="20"/>
                <w:color w:val="auto"/>
              </w:rPr>
            </w:pPr>
            <w:r>
              <w:rPr>
                <w:rFonts w:ascii="Arial" w:cs="Arial" w:eastAsia="Arial" w:hAnsi="Arial"/>
                <w:sz w:val="18"/>
                <w:szCs w:val="18"/>
                <w:color w:val="auto"/>
              </w:rPr>
              <w:t>(281)</w:t>
            </w: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840" w:type="dxa"/>
            <w:vAlign w:val="bottom"/>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356"/>
              <w:spacing w:after="0"/>
              <w:rPr>
                <w:sz w:val="20"/>
                <w:szCs w:val="20"/>
                <w:color w:val="auto"/>
              </w:rPr>
            </w:pPr>
            <w:r>
              <w:rPr>
                <w:rFonts w:ascii="Arial" w:cs="Arial" w:eastAsia="Arial" w:hAnsi="Arial"/>
                <w:sz w:val="18"/>
                <w:szCs w:val="18"/>
                <w:color w:val="auto"/>
              </w:rPr>
              <w:t>(710)</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4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27,205</w:t>
            </w:r>
          </w:p>
        </w:tc>
        <w:tc>
          <w:tcPr>
            <w:tcW w:w="4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w:t>
            </w:r>
          </w:p>
        </w:tc>
        <w:tc>
          <w:tcPr>
            <w:tcW w:w="60" w:type="dxa"/>
            <w:vAlign w:val="bottom"/>
            <w:tcBorders>
              <w:top w:val="single" w:sz="8" w:color="auto"/>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right"/>
              <w:ind w:right="773"/>
              <w:spacing w:after="0"/>
              <w:rPr>
                <w:sz w:val="20"/>
                <w:szCs w:val="20"/>
                <w:color w:val="auto"/>
              </w:rPr>
            </w:pPr>
            <w:r>
              <w:rPr>
                <w:rFonts w:ascii="Arial" w:cs="Arial" w:eastAsia="Arial" w:hAnsi="Arial"/>
                <w:sz w:val="14"/>
                <w:szCs w:val="14"/>
                <w:color w:val="auto"/>
              </w:rPr>
              <w:t>Three Months Ended March 31, 2020</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0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restart"/>
          </w:tcPr>
          <w:p>
            <w:pPr>
              <w:jc w:val="right"/>
              <w:ind w:right="211"/>
              <w:spacing w:after="0"/>
              <w:rPr>
                <w:sz w:val="20"/>
                <w:szCs w:val="20"/>
                <w:color w:val="auto"/>
              </w:rPr>
            </w:pPr>
            <w:r>
              <w:rPr>
                <w:rFonts w:ascii="Arial" w:cs="Arial" w:eastAsia="Arial" w:hAnsi="Arial"/>
                <w:sz w:val="14"/>
                <w:szCs w:val="14"/>
                <w:color w:val="auto"/>
                <w:w w:val="96"/>
              </w:rPr>
              <w:t>Revenue</w:t>
            </w:r>
            <w:r>
              <w:rPr>
                <w:rFonts w:ascii="Arial" w:cs="Arial" w:eastAsia="Arial" w:hAnsi="Arial"/>
                <w:sz w:val="18"/>
                <w:szCs w:val="18"/>
                <w:color w:val="auto"/>
                <w:w w:val="96"/>
                <w:vertAlign w:val="superscript"/>
              </w:rPr>
              <w:t>(a)</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color w:val="auto"/>
                <w:w w:val="98"/>
              </w:rPr>
              <w:t>Adjusted EBITDA</w:t>
            </w:r>
            <w:r>
              <w:rPr>
                <w:rFonts w:ascii="Arial" w:cs="Arial" w:eastAsia="Arial" w:hAnsi="Arial"/>
                <w:sz w:val="18"/>
                <w:szCs w:val="18"/>
                <w:color w:val="auto"/>
                <w:w w:val="98"/>
                <w:vertAlign w:val="superscript"/>
              </w:rPr>
              <w:t>(b)</w:t>
            </w:r>
          </w:p>
        </w:tc>
        <w:tc>
          <w:tcPr>
            <w:tcW w:w="140" w:type="dxa"/>
            <w:vAlign w:val="bottom"/>
          </w:tcPr>
          <w:p>
            <w:pPr>
              <w:spacing w:after="0"/>
              <w:rPr>
                <w:sz w:val="11"/>
                <w:szCs w:val="11"/>
                <w:color w:val="auto"/>
              </w:rPr>
            </w:pPr>
          </w:p>
        </w:tc>
        <w:tc>
          <w:tcPr>
            <w:tcW w:w="1180" w:type="dxa"/>
            <w:vAlign w:val="bottom"/>
          </w:tcPr>
          <w:p>
            <w:pPr>
              <w:jc w:val="center"/>
              <w:ind w:right="73"/>
              <w:spacing w:after="0" w:line="135" w:lineRule="exact"/>
              <w:rPr>
                <w:sz w:val="20"/>
                <w:szCs w:val="20"/>
                <w:color w:val="auto"/>
              </w:rPr>
            </w:pPr>
            <w:r>
              <w:rPr>
                <w:rFonts w:ascii="Arial" w:cs="Arial" w:eastAsia="Arial" w:hAnsi="Arial"/>
                <w:sz w:val="14"/>
                <w:szCs w:val="14"/>
                <w:color w:val="auto"/>
                <w:w w:val="92"/>
              </w:rPr>
              <w:t>Depreciation and</w:t>
            </w:r>
          </w:p>
        </w:tc>
        <w:tc>
          <w:tcPr>
            <w:tcW w:w="180" w:type="dxa"/>
            <w:vAlign w:val="bottom"/>
          </w:tcPr>
          <w:p>
            <w:pPr>
              <w:spacing w:after="0"/>
              <w:rPr>
                <w:sz w:val="11"/>
                <w:szCs w:val="11"/>
                <w:color w:val="auto"/>
              </w:rPr>
            </w:pPr>
          </w:p>
        </w:tc>
        <w:tc>
          <w:tcPr>
            <w:tcW w:w="1020" w:type="dxa"/>
            <w:vAlign w:val="bottom"/>
          </w:tcPr>
          <w:p>
            <w:pPr>
              <w:jc w:val="right"/>
              <w:ind w:right="313"/>
              <w:spacing w:after="0" w:line="135" w:lineRule="exact"/>
              <w:rPr>
                <w:sz w:val="20"/>
                <w:szCs w:val="20"/>
                <w:color w:val="auto"/>
              </w:rPr>
            </w:pPr>
            <w:r>
              <w:rPr>
                <w:rFonts w:ascii="Arial" w:cs="Arial" w:eastAsia="Arial" w:hAnsi="Arial"/>
                <w:sz w:val="14"/>
                <w:szCs w:val="14"/>
                <w:color w:val="auto"/>
              </w:rPr>
              <w:t>Capital</w:t>
            </w:r>
          </w:p>
        </w:tc>
        <w:tc>
          <w:tcPr>
            <w:tcW w:w="180" w:type="dxa"/>
            <w:vAlign w:val="bottom"/>
          </w:tcPr>
          <w:p>
            <w:pPr>
              <w:spacing w:after="0"/>
              <w:rPr>
                <w:sz w:val="11"/>
                <w:szCs w:val="11"/>
                <w:color w:val="auto"/>
              </w:rPr>
            </w:pPr>
          </w:p>
        </w:tc>
        <w:tc>
          <w:tcPr>
            <w:tcW w:w="1000" w:type="dxa"/>
            <w:vAlign w:val="bottom"/>
          </w:tcPr>
          <w:p>
            <w:pPr>
              <w:jc w:val="right"/>
              <w:ind w:right="112"/>
              <w:spacing w:after="0" w:line="135" w:lineRule="exact"/>
              <w:rPr>
                <w:sz w:val="20"/>
                <w:szCs w:val="20"/>
                <w:color w:val="auto"/>
              </w:rPr>
            </w:pPr>
            <w:r>
              <w:rPr>
                <w:rFonts w:ascii="Arial" w:cs="Arial" w:eastAsia="Arial" w:hAnsi="Arial"/>
                <w:sz w:val="14"/>
                <w:szCs w:val="14"/>
                <w:color w:val="auto"/>
                <w:w w:val="91"/>
              </w:rPr>
              <w:t>Cash Paid for</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73"/>
              <w:spacing w:after="0"/>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6"/>
                <w:szCs w:val="16"/>
                <w:color w:val="auto"/>
              </w:rPr>
            </w:pPr>
          </w:p>
        </w:tc>
        <w:tc>
          <w:tcPr>
            <w:tcW w:w="1020" w:type="dxa"/>
            <w:vAlign w:val="bottom"/>
          </w:tcPr>
          <w:p>
            <w:pPr>
              <w:jc w:val="right"/>
              <w:ind w:right="133"/>
              <w:spacing w:after="0"/>
              <w:rPr>
                <w:sz w:val="20"/>
                <w:szCs w:val="20"/>
                <w:color w:val="auto"/>
              </w:rPr>
            </w:pPr>
            <w:r>
              <w:rPr>
                <w:rFonts w:ascii="Arial" w:cs="Arial" w:eastAsia="Arial" w:hAnsi="Arial"/>
                <w:sz w:val="14"/>
                <w:szCs w:val="14"/>
                <w:color w:val="auto"/>
                <w:w w:val="95"/>
              </w:rPr>
              <w:t>Expenditures</w:t>
            </w:r>
          </w:p>
        </w:tc>
        <w:tc>
          <w:tcPr>
            <w:tcW w:w="1280" w:type="dxa"/>
            <w:vAlign w:val="bottom"/>
            <w:gridSpan w:val="4"/>
          </w:tcPr>
          <w:p>
            <w:pPr>
              <w:ind w:left="100"/>
              <w:spacing w:after="0"/>
              <w:rPr>
                <w:sz w:val="20"/>
                <w:szCs w:val="20"/>
                <w:color w:val="auto"/>
              </w:rPr>
            </w:pPr>
            <w:r>
              <w:rPr>
                <w:rFonts w:ascii="Arial" w:cs="Arial" w:eastAsia="Arial" w:hAnsi="Arial"/>
                <w:sz w:val="14"/>
                <w:szCs w:val="14"/>
                <w:color w:val="auto"/>
              </w:rPr>
              <w:t>Intangible Assets</w:t>
            </w:r>
          </w:p>
        </w:tc>
        <w:tc>
          <w:tcPr>
            <w:tcW w:w="0" w:type="dxa"/>
            <w:vAlign w:val="bottom"/>
          </w:tcPr>
          <w:p>
            <w:pPr>
              <w:spacing w:after="0"/>
              <w:rPr>
                <w:sz w:val="1"/>
                <w:szCs w:val="1"/>
                <w:color w:val="auto"/>
              </w:rPr>
            </w:pPr>
          </w:p>
        </w:tc>
      </w:tr>
      <w:tr>
        <w:trPr>
          <w:trHeight w:val="222"/>
        </w:trPr>
        <w:tc>
          <w:tcPr>
            <w:tcW w:w="49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Cable Communications</w:t>
            </w: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14,918</w:t>
            </w: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6,076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NBCUniversal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Media</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4,878</w:t>
            </w:r>
          </w:p>
        </w:tc>
        <w:tc>
          <w:tcPr>
            <w:tcW w:w="4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1,529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Studios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2,409</w:t>
            </w:r>
          </w:p>
        </w:tc>
        <w:tc>
          <w:tcPr>
            <w:tcW w:w="4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Theme Parks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925</w:t>
            </w:r>
          </w:p>
        </w:tc>
        <w:tc>
          <w:tcPr>
            <w:tcW w:w="4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Headquarters and Other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840" w:type="dxa"/>
            <w:vAlign w:val="bottom"/>
          </w:tcPr>
          <w:p>
            <w:pPr>
              <w:ind w:left="30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9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NBCUniversal</w:t>
            </w: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7,729</w:t>
            </w:r>
          </w:p>
        </w:tc>
        <w:tc>
          <w:tcPr>
            <w:tcW w:w="4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1,689</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Sky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4,517</w:t>
            </w:r>
          </w:p>
        </w:tc>
        <w:tc>
          <w:tcPr>
            <w:tcW w:w="48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Corporate and Other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900" w:type="dxa"/>
            <w:vAlign w:val="bottom"/>
            <w:gridSpan w:val="2"/>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(675)</w:t>
            </w:r>
          </w:p>
        </w:tc>
        <w:tc>
          <w:tcPr>
            <w:tcW w:w="48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26,609</w:t>
            </w: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8,130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391"/>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Borders>
              <w:bottom w:val="single" w:sz="8" w:color="9A9A9A"/>
            </w:tcBorders>
          </w:tcPr>
          <w:p>
            <w:pPr>
              <w:spacing w:after="0"/>
              <w:rPr>
                <w:sz w:val="19"/>
                <w:szCs w:val="19"/>
                <w:color w:val="auto"/>
              </w:rPr>
            </w:pPr>
          </w:p>
        </w:tc>
        <w:tc>
          <w:tcPr>
            <w:tcW w:w="48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58" w:lineRule="exact"/>
        <w:rPr>
          <w:sz w:val="20"/>
          <w:szCs w:val="20"/>
          <w:color w:val="auto"/>
        </w:rPr>
      </w:pPr>
    </w:p>
    <w:p>
      <w:pPr>
        <w:jc w:val="both"/>
        <w:ind w:left="340" w:hanging="332"/>
        <w:spacing w:after="0" w:line="266" w:lineRule="auto"/>
        <w:tabs>
          <w:tab w:leader="none" w:pos="337"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Included in Eliminations are transactions that our segments enter into with one another. 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The most significant transactions between our segments include distribution revenue at Media for fees received from Cable Communications for the sale of cable network programming and under retransmission consent agreements; content licensing revenue at Studios for licenses of owned content to Media and Sky; and advertising revenue at Media and Cable Communications. Revenue for licenses of content from Studios to Media and Sky is generally recognized at a point in time, consistent with the recognition of transactions with third parties, when the content is delivered and made available for use. The costs of these licenses at Media and Sky are recognized as the content is used over the license period. The difference in timing of recognition between segments results in an Adjusted EBITDA impact in eliminations, as the profits (losses) on these transactions are deferred in our consolidated results and recognized as the content is used over the license period. Under the previous segment structure, revenue for licenses of content between our previous NBCUniversal segments was recognized over time to correspond with the amortization of the costs of licensed content over the license period.</w:t>
      </w:r>
    </w:p>
    <w:p>
      <w:pPr>
        <w:spacing w:after="0" w:line="128"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A summary of revenue for each of our segments resulting from transactions with other segments and eliminated in consolidation is presented in the table below.</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3"/>
          </w:tcPr>
          <w:p>
            <w:pPr>
              <w:jc w:val="right"/>
              <w:ind w:right="688"/>
              <w:spacing w:after="0"/>
              <w:rPr>
                <w:sz w:val="20"/>
                <w:szCs w:val="20"/>
                <w:color w:val="auto"/>
              </w:rPr>
            </w:pPr>
            <w:r>
              <w:rPr>
                <w:rFonts w:ascii="Arial" w:cs="Arial" w:eastAsia="Arial" w:hAnsi="Arial"/>
                <w:sz w:val="14"/>
                <w:szCs w:val="14"/>
                <w:color w:val="auto"/>
              </w:rPr>
              <w:t>Three Months Ended</w:t>
            </w:r>
          </w:p>
        </w:tc>
      </w:tr>
      <w:tr>
        <w:trPr>
          <w:trHeight w:val="183"/>
        </w:trPr>
        <w:tc>
          <w:tcPr>
            <w:tcW w:w="7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5"/>
                <w:szCs w:val="15"/>
                <w:color w:val="auto"/>
              </w:rPr>
            </w:pPr>
          </w:p>
        </w:tc>
      </w:tr>
      <w:tr>
        <w:trPr>
          <w:trHeight w:val="186"/>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2020</w:t>
            </w:r>
          </w:p>
        </w:tc>
      </w:tr>
      <w:tr>
        <w:trPr>
          <w:trHeight w:val="179"/>
        </w:trPr>
        <w:tc>
          <w:tcPr>
            <w:tcW w:w="7740" w:type="dxa"/>
            <w:vAlign w:val="bottom"/>
          </w:tcPr>
          <w:p>
            <w:pPr>
              <w:ind w:left="20"/>
              <w:spacing w:after="0"/>
              <w:rPr>
                <w:sz w:val="20"/>
                <w:szCs w:val="20"/>
                <w:color w:val="auto"/>
              </w:rPr>
            </w:pPr>
            <w:r>
              <w:rPr>
                <w:rFonts w:ascii="Arial" w:cs="Arial" w:eastAsia="Arial" w:hAnsi="Arial"/>
                <w:sz w:val="14"/>
                <w:szCs w:val="14"/>
                <w:color w:val="auto"/>
              </w:rPr>
              <w:t>Cable Communications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4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84"/>
        </w:trPr>
        <w:tc>
          <w:tcPr>
            <w:tcW w:w="7740" w:type="dxa"/>
            <w:vAlign w:val="bottom"/>
          </w:tcPr>
          <w:p>
            <w:pPr>
              <w:ind w:left="20"/>
              <w:spacing w:after="0"/>
              <w:rPr>
                <w:sz w:val="20"/>
                <w:szCs w:val="20"/>
                <w:color w:val="auto"/>
              </w:rPr>
            </w:pPr>
            <w:r>
              <w:rPr>
                <w:rFonts w:ascii="Arial" w:cs="Arial" w:eastAsia="Arial" w:hAnsi="Arial"/>
                <w:sz w:val="14"/>
                <w:szCs w:val="14"/>
                <w:color w:val="auto"/>
              </w:rPr>
              <w:t>NBCUniversal</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7740" w:type="dxa"/>
            <w:vAlign w:val="bottom"/>
          </w:tcPr>
          <w:p>
            <w:pPr>
              <w:ind w:left="220"/>
              <w:spacing w:after="0"/>
              <w:rPr>
                <w:sz w:val="20"/>
                <w:szCs w:val="20"/>
                <w:color w:val="auto"/>
              </w:rPr>
            </w:pPr>
            <w:r>
              <w:rPr>
                <w:rFonts w:ascii="Arial" w:cs="Arial" w:eastAsia="Arial" w:hAnsi="Arial"/>
                <w:sz w:val="14"/>
                <w:szCs w:val="14"/>
                <w:color w:val="auto"/>
              </w:rPr>
              <w:t>Media</w:t>
            </w:r>
          </w:p>
        </w:tc>
        <w:tc>
          <w:tcPr>
            <w:tcW w:w="3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540</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544</w:t>
            </w:r>
          </w:p>
        </w:tc>
      </w:tr>
      <w:tr>
        <w:trPr>
          <w:trHeight w:val="189"/>
        </w:trPr>
        <w:tc>
          <w:tcPr>
            <w:tcW w:w="7740" w:type="dxa"/>
            <w:vAlign w:val="bottom"/>
          </w:tcPr>
          <w:p>
            <w:pPr>
              <w:ind w:left="220"/>
              <w:spacing w:after="0"/>
              <w:rPr>
                <w:sz w:val="20"/>
                <w:szCs w:val="20"/>
                <w:color w:val="auto"/>
              </w:rPr>
            </w:pPr>
            <w:r>
              <w:rPr>
                <w:rFonts w:ascii="Arial" w:cs="Arial" w:eastAsia="Arial" w:hAnsi="Arial"/>
                <w:sz w:val="14"/>
                <w:szCs w:val="14"/>
                <w:color w:val="auto"/>
              </w:rPr>
              <w:t>Studios</w:t>
            </w:r>
          </w:p>
        </w:tc>
        <w:tc>
          <w:tcPr>
            <w:tcW w:w="3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1,089</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540</w:t>
            </w:r>
          </w:p>
        </w:tc>
      </w:tr>
      <w:tr>
        <w:trPr>
          <w:trHeight w:val="189"/>
        </w:trPr>
        <w:tc>
          <w:tcPr>
            <w:tcW w:w="7740" w:type="dxa"/>
            <w:vAlign w:val="bottom"/>
          </w:tcPr>
          <w:p>
            <w:pPr>
              <w:ind w:left="220"/>
              <w:spacing w:after="0"/>
              <w:rPr>
                <w:sz w:val="20"/>
                <w:szCs w:val="20"/>
                <w:color w:val="auto"/>
              </w:rPr>
            </w:pPr>
            <w:r>
              <w:rPr>
                <w:rFonts w:ascii="Arial" w:cs="Arial" w:eastAsia="Arial" w:hAnsi="Arial"/>
                <w:sz w:val="14"/>
                <w:szCs w:val="14"/>
                <w:color w:val="auto"/>
              </w:rPr>
              <w:t>Theme Parks</w:t>
            </w:r>
          </w:p>
        </w:tc>
        <w:tc>
          <w:tcPr>
            <w:tcW w:w="3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740" w:type="dxa"/>
            <w:vAlign w:val="bottom"/>
          </w:tcPr>
          <w:p>
            <w:pPr>
              <w:ind w:left="220"/>
              <w:spacing w:after="0"/>
              <w:rPr>
                <w:sz w:val="20"/>
                <w:szCs w:val="20"/>
                <w:color w:val="auto"/>
              </w:rPr>
            </w:pPr>
            <w:r>
              <w:rPr>
                <w:rFonts w:ascii="Arial" w:cs="Arial" w:eastAsia="Arial" w:hAnsi="Arial"/>
                <w:sz w:val="14"/>
                <w:szCs w:val="14"/>
                <w:color w:val="auto"/>
              </w:rPr>
              <w:t>Headquarters and Other</w:t>
            </w:r>
          </w:p>
        </w:tc>
        <w:tc>
          <w:tcPr>
            <w:tcW w:w="3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Sky</w:t>
            </w:r>
          </w:p>
        </w:tc>
        <w:tc>
          <w:tcPr>
            <w:tcW w:w="3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95"/>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Corporate and Other</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58</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195"/>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intersegment revenue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1,753</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1,167</w:t>
            </w:r>
          </w:p>
        </w:tc>
      </w:tr>
    </w:tbl>
    <w:p>
      <w:pPr>
        <w:spacing w:after="0" w:line="292" w:lineRule="exact"/>
        <w:rPr>
          <w:sz w:val="20"/>
          <w:szCs w:val="20"/>
          <w:color w:val="auto"/>
        </w:rPr>
      </w:pPr>
    </w:p>
    <w:p>
      <w:pPr>
        <w:jc w:val="both"/>
        <w:ind w:left="340" w:hanging="332"/>
        <w:spacing w:after="0" w:line="257" w:lineRule="auto"/>
        <w:tabs>
          <w:tab w:leader="none" w:pos="332"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From time to time we may report the impact of certain events, gains, losses or other charges related to our operating segments (such as certain costs incurred in response to COVID-19, including severance charges), within Corporate and Other. Our reconciliation of the aggregate amount of Adjusted EBITDA for our reportable segments to consolidated income before income taxes is presented in the table below.</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3"/>
          </w:tcPr>
          <w:p>
            <w:pPr>
              <w:jc w:val="right"/>
              <w:ind w:right="688"/>
              <w:spacing w:after="0"/>
              <w:rPr>
                <w:sz w:val="20"/>
                <w:szCs w:val="20"/>
                <w:color w:val="auto"/>
              </w:rPr>
            </w:pPr>
            <w:r>
              <w:rPr>
                <w:rFonts w:ascii="Arial" w:cs="Arial" w:eastAsia="Arial" w:hAnsi="Arial"/>
                <w:sz w:val="14"/>
                <w:szCs w:val="14"/>
                <w:color w:val="auto"/>
              </w:rPr>
              <w:t>Three Months Ended</w:t>
            </w:r>
          </w:p>
        </w:tc>
      </w:tr>
      <w:tr>
        <w:trPr>
          <w:trHeight w:val="183"/>
        </w:trPr>
        <w:tc>
          <w:tcPr>
            <w:tcW w:w="7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5"/>
                <w:szCs w:val="15"/>
                <w:color w:val="auto"/>
              </w:rPr>
            </w:pPr>
          </w:p>
        </w:tc>
      </w:tr>
      <w:tr>
        <w:trPr>
          <w:trHeight w:val="186"/>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2020</w:t>
            </w:r>
          </w:p>
        </w:tc>
      </w:tr>
      <w:tr>
        <w:trPr>
          <w:trHeight w:val="179"/>
        </w:trPr>
        <w:tc>
          <w:tcPr>
            <w:tcW w:w="77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8,413</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8,130</w:t>
            </w:r>
          </w:p>
        </w:tc>
      </w:tr>
      <w:tr>
        <w:trPr>
          <w:trHeight w:val="184"/>
        </w:trPr>
        <w:tc>
          <w:tcPr>
            <w:tcW w:w="7740" w:type="dxa"/>
            <w:vAlign w:val="bottom"/>
          </w:tcPr>
          <w:p>
            <w:pPr>
              <w:ind w:left="20"/>
              <w:spacing w:after="0"/>
              <w:rPr>
                <w:sz w:val="20"/>
                <w:szCs w:val="20"/>
                <w:color w:val="auto"/>
              </w:rPr>
            </w:pPr>
            <w:r>
              <w:rPr>
                <w:rFonts w:ascii="Arial" w:cs="Arial" w:eastAsia="Arial" w:hAnsi="Arial"/>
                <w:sz w:val="14"/>
                <w:szCs w:val="14"/>
                <w:color w:val="auto"/>
              </w:rPr>
              <w:t>Adjustment for Sky transaction-related costs</w:t>
            </w:r>
          </w:p>
        </w:tc>
        <w:tc>
          <w:tcPr>
            <w:tcW w:w="30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(2,117)</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(2,107)</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(1,245)</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(1,157)</w:t>
            </w: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(1,018)</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(1,212)</w:t>
            </w:r>
          </w:p>
        </w:tc>
      </w:tr>
      <w:tr>
        <w:trPr>
          <w:trHeight w:val="195"/>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390</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w:t>
            </w:r>
          </w:p>
        </w:tc>
      </w:tr>
      <w:tr>
        <w:trPr>
          <w:trHeight w:val="195"/>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4,411</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2,924</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by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for the quarter ended March 31, 2021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left="118"/>
              <w:spacing w:after="0"/>
              <w:rPr>
                <w:sz w:val="20"/>
                <w:szCs w:val="20"/>
                <w:color w:val="auto"/>
              </w:rPr>
            </w:pPr>
            <w:r>
              <w:rPr>
                <w:rFonts w:ascii="Arial" w:cs="Arial" w:eastAsia="Arial" w:hAnsi="Arial"/>
                <w:sz w:val="14"/>
                <w:szCs w:val="14"/>
                <w:color w:val="auto"/>
                <w:w w:val="97"/>
              </w:rPr>
              <w:t>NBCUniversal</w:t>
            </w:r>
          </w:p>
        </w:tc>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Cable</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Cable</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Broadcast</w:t>
            </w:r>
          </w:p>
        </w:tc>
        <w:tc>
          <w:tcPr>
            <w:tcW w:w="200" w:type="dxa"/>
            <w:vAlign w:val="bottom"/>
          </w:tcPr>
          <w:p>
            <w:pPr>
              <w:spacing w:after="0"/>
              <w:rPr>
                <w:sz w:val="17"/>
                <w:szCs w:val="17"/>
                <w:color w:val="auto"/>
              </w:rPr>
            </w:pPr>
          </w:p>
        </w:tc>
        <w:tc>
          <w:tcPr>
            <w:tcW w:w="920" w:type="dxa"/>
            <w:vAlign w:val="bottom"/>
          </w:tcPr>
          <w:p>
            <w:pPr>
              <w:jc w:val="center"/>
              <w:ind w:left="398"/>
              <w:spacing w:after="0"/>
              <w:rPr>
                <w:sz w:val="20"/>
                <w:szCs w:val="20"/>
                <w:color w:val="auto"/>
              </w:rPr>
            </w:pPr>
            <w:r>
              <w:rPr>
                <w:rFonts w:ascii="Arial" w:cs="Arial" w:eastAsia="Arial" w:hAnsi="Arial"/>
                <w:sz w:val="14"/>
                <w:szCs w:val="14"/>
                <w:color w:val="auto"/>
                <w:w w:val="95"/>
              </w:rPr>
              <w:t>Filmed</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Theme</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rPr>
              <w:t>Corporate</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billions)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Communications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Networks</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Television</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Entertainment</w:t>
            </w:r>
          </w:p>
        </w:tc>
        <w:tc>
          <w:tcPr>
            <w:tcW w:w="3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Media</w:t>
            </w: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Studios</w:t>
            </w: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Parks</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Sky</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and Other</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Arial" w:cs="Arial" w:eastAsia="Arial" w:hAnsi="Arial"/>
                <w:sz w:val="18"/>
                <w:szCs w:val="18"/>
                <w:color w:val="auto"/>
                <w:w w:val="90"/>
              </w:rPr>
              <w:t>Balance, December 31, 2020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420"/>
              <w:spacing w:after="0"/>
              <w:rPr>
                <w:sz w:val="20"/>
                <w:szCs w:val="20"/>
                <w:color w:val="auto"/>
              </w:rPr>
            </w:pPr>
            <w:r>
              <w:rPr>
                <w:rFonts w:ascii="Arial" w:cs="Arial" w:eastAsia="Arial" w:hAnsi="Arial"/>
                <w:sz w:val="18"/>
                <w:szCs w:val="18"/>
                <w:color w:val="auto"/>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Segment change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920" w:type="dxa"/>
            <w:vAlign w:val="bottom"/>
          </w:tcPr>
          <w:p>
            <w:pPr>
              <w:jc w:val="center"/>
              <w:ind w:left="458"/>
              <w:spacing w:after="0"/>
              <w:rPr>
                <w:sz w:val="20"/>
                <w:szCs w:val="20"/>
                <w:color w:val="auto"/>
              </w:rPr>
            </w:pPr>
            <w:r>
              <w:rPr>
                <w:rFonts w:ascii="Arial" w:cs="Arial" w:eastAsia="Arial" w:hAnsi="Arial"/>
                <w:sz w:val="18"/>
                <w:szCs w:val="18"/>
                <w:color w:val="auto"/>
                <w:w w:val="91"/>
              </w:rPr>
              <w:t>(3.3)</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line="176" w:lineRule="exact"/>
              <w:rPr>
                <w:sz w:val="20"/>
                <w:szCs w:val="20"/>
                <w:color w:val="auto"/>
              </w:rPr>
            </w:pPr>
            <w:r>
              <w:rPr>
                <w:rFonts w:ascii="Arial" w:cs="Arial" w:eastAsia="Arial" w:hAnsi="Arial"/>
                <w:sz w:val="18"/>
                <w:szCs w:val="18"/>
                <w:color w:val="auto"/>
                <w:w w:val="95"/>
              </w:rPr>
              <w:t>Foreign currency translation</w:t>
            </w: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5"/>
                <w:szCs w:val="15"/>
                <w:color w:val="auto"/>
              </w:rPr>
            </w:pPr>
          </w:p>
        </w:tc>
        <w:tc>
          <w:tcPr>
            <w:tcW w:w="94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and other</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March 31, 2021</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2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 $</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 $</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20" w:type="dxa"/>
            <w:vAlign w:val="bottom"/>
          </w:tcPr>
          <w:p>
            <w:pPr>
              <w:spacing w:after="0"/>
              <w:rPr>
                <w:sz w:val="14"/>
                <w:szCs w:val="14"/>
                <w:color w:val="auto"/>
              </w:rPr>
            </w:pPr>
          </w:p>
        </w:tc>
      </w:tr>
      <w:tr>
        <w:trPr>
          <w:trHeight w:val="183"/>
        </w:trPr>
        <w:tc>
          <w:tcPr>
            <w:tcW w:w="8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color w:val="auto"/>
              </w:rPr>
              <w:t>March 31,</w:t>
            </w:r>
          </w:p>
        </w:tc>
        <w:tc>
          <w:tcPr>
            <w:tcW w:w="820" w:type="dxa"/>
            <w:vAlign w:val="bottom"/>
            <w:tcBorders>
              <w:bottom w:val="single" w:sz="8" w:color="auto"/>
            </w:tcBorders>
          </w:tcPr>
          <w:p>
            <w:pPr>
              <w:spacing w:after="0"/>
              <w:rPr>
                <w:sz w:val="15"/>
                <w:szCs w:val="15"/>
                <w:color w:val="auto"/>
              </w:rPr>
            </w:pPr>
          </w:p>
        </w:tc>
      </w:tr>
      <w:tr>
        <w:trPr>
          <w:trHeight w:val="18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2021</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w w:val="89"/>
              </w:rPr>
              <w:t>2020</w:t>
            </w:r>
          </w:p>
        </w:tc>
      </w:tr>
      <w:tr>
        <w:trPr>
          <w:trHeight w:val="226"/>
        </w:trPr>
        <w:tc>
          <w:tcPr>
            <w:tcW w:w="840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Broadband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5,600</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5,001</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Video</w:t>
            </w: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5,623</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5,632</w:t>
            </w: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Voice</w:t>
            </w: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871</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Wireless</w:t>
            </w: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513</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Business services</w:t>
            </w: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2,167</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2,043</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618</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413</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r>
      <w:tr>
        <w:trPr>
          <w:trHeight w:val="224"/>
        </w:trPr>
        <w:tc>
          <w:tcPr>
            <w:tcW w:w="8400" w:type="dxa"/>
            <w:vAlign w:val="bottom"/>
          </w:tcPr>
          <w:p>
            <w:pPr>
              <w:ind w:left="20"/>
              <w:spacing w:after="0"/>
              <w:rPr>
                <w:sz w:val="20"/>
                <w:szCs w:val="20"/>
                <w:color w:val="auto"/>
              </w:rPr>
            </w:pPr>
            <w:r>
              <w:rPr>
                <w:rFonts w:ascii="Arial" w:cs="Arial" w:eastAsia="Arial" w:hAnsi="Arial"/>
                <w:sz w:val="18"/>
                <w:szCs w:val="18"/>
                <w:color w:val="auto"/>
              </w:rPr>
              <w:t>Total Cable Communications</w:t>
            </w: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15,805</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14,918</w:t>
            </w:r>
          </w:p>
        </w:tc>
      </w:tr>
      <w:tr>
        <w:trPr>
          <w:trHeight w:val="336"/>
        </w:trPr>
        <w:tc>
          <w:tcPr>
            <w:tcW w:w="840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0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2,094</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2,167</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2,495</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2,287</w:t>
            </w:r>
          </w:p>
        </w:tc>
      </w:tr>
      <w:tr>
        <w:trPr>
          <w:trHeight w:val="230"/>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447</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r>
      <w:tr>
        <w:trPr>
          <w:trHeight w:val="224"/>
        </w:trPr>
        <w:tc>
          <w:tcPr>
            <w:tcW w:w="8400" w:type="dxa"/>
            <w:vAlign w:val="bottom"/>
          </w:tcPr>
          <w:p>
            <w:pPr>
              <w:ind w:left="20"/>
              <w:spacing w:after="0"/>
              <w:rPr>
                <w:sz w:val="20"/>
                <w:szCs w:val="20"/>
                <w:color w:val="auto"/>
              </w:rPr>
            </w:pPr>
            <w:r>
              <w:rPr>
                <w:rFonts w:ascii="Arial" w:cs="Arial" w:eastAsia="Arial" w:hAnsi="Arial"/>
                <w:sz w:val="18"/>
                <w:szCs w:val="18"/>
                <w:color w:val="auto"/>
              </w:rPr>
              <w:t>Total Media</w:t>
            </w: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5,036</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4,878</w:t>
            </w:r>
          </w:p>
        </w:tc>
      </w:tr>
      <w:tr>
        <w:trPr>
          <w:trHeight w:val="336"/>
        </w:trPr>
        <w:tc>
          <w:tcPr>
            <w:tcW w:w="8400" w:type="dxa"/>
            <w:vAlign w:val="bottom"/>
          </w:tcPr>
          <w:p>
            <w:pPr>
              <w:ind w:left="20"/>
              <w:spacing w:after="0"/>
              <w:rPr>
                <w:sz w:val="20"/>
                <w:szCs w:val="20"/>
                <w:color w:val="auto"/>
              </w:rPr>
            </w:pPr>
            <w:r>
              <w:rPr>
                <w:rFonts w:ascii="Arial" w:cs="Arial" w:eastAsia="Arial" w:hAnsi="Arial"/>
                <w:sz w:val="18"/>
                <w:szCs w:val="18"/>
                <w:color w:val="auto"/>
              </w:rPr>
              <w:t>Content licensing</w:t>
            </w:r>
          </w:p>
        </w:tc>
        <w:tc>
          <w:tcPr>
            <w:tcW w:w="30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2,075</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1,819</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Theatrical</w:t>
            </w: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Home entertainment and other</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282</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24"/>
        </w:trPr>
        <w:tc>
          <w:tcPr>
            <w:tcW w:w="8400" w:type="dxa"/>
            <w:vAlign w:val="bottom"/>
          </w:tcPr>
          <w:p>
            <w:pPr>
              <w:ind w:left="20"/>
              <w:spacing w:after="0"/>
              <w:rPr>
                <w:sz w:val="20"/>
                <w:szCs w:val="20"/>
                <w:color w:val="auto"/>
              </w:rPr>
            </w:pPr>
            <w:r>
              <w:rPr>
                <w:rFonts w:ascii="Arial" w:cs="Arial" w:eastAsia="Arial" w:hAnsi="Arial"/>
                <w:sz w:val="18"/>
                <w:szCs w:val="18"/>
                <w:color w:val="auto"/>
              </w:rPr>
              <w:t>Total Studios</w:t>
            </w: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2,396</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2,409</w:t>
            </w:r>
          </w:p>
        </w:tc>
      </w:tr>
      <w:tr>
        <w:trPr>
          <w:trHeight w:val="336"/>
        </w:trPr>
        <w:tc>
          <w:tcPr>
            <w:tcW w:w="8400" w:type="dxa"/>
            <w:vAlign w:val="bottom"/>
          </w:tcPr>
          <w:p>
            <w:pPr>
              <w:ind w:left="20"/>
              <w:spacing w:after="0"/>
              <w:rPr>
                <w:sz w:val="20"/>
                <w:szCs w:val="20"/>
                <w:color w:val="auto"/>
              </w:rPr>
            </w:pPr>
            <w:r>
              <w:rPr>
                <w:rFonts w:ascii="Arial" w:cs="Arial" w:eastAsia="Arial" w:hAnsi="Arial"/>
                <w:sz w:val="18"/>
                <w:szCs w:val="18"/>
                <w:color w:val="auto"/>
              </w:rPr>
              <w:t>Total Theme Parks</w:t>
            </w:r>
          </w:p>
        </w:tc>
        <w:tc>
          <w:tcPr>
            <w:tcW w:w="30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619</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24"/>
        </w:trPr>
        <w:tc>
          <w:tcPr>
            <w:tcW w:w="8400" w:type="dxa"/>
            <w:vAlign w:val="bottom"/>
          </w:tcPr>
          <w:p>
            <w:pPr>
              <w:ind w:left="20"/>
              <w:spacing w:after="0"/>
              <w:rPr>
                <w:sz w:val="20"/>
                <w:szCs w:val="20"/>
                <w:color w:val="auto"/>
              </w:rPr>
            </w:pPr>
            <w:r>
              <w:rPr>
                <w:rFonts w:ascii="Arial" w:cs="Arial" w:eastAsia="Arial" w:hAnsi="Arial"/>
                <w:sz w:val="18"/>
                <w:szCs w:val="18"/>
                <w:color w:val="auto"/>
              </w:rPr>
              <w:t>Headquarters and Other</w:t>
            </w: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6"/>
        </w:trPr>
        <w:tc>
          <w:tcPr>
            <w:tcW w:w="840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(1,043)</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r>
      <w:tr>
        <w:trPr>
          <w:trHeight w:val="224"/>
        </w:trPr>
        <w:tc>
          <w:tcPr>
            <w:tcW w:w="8400" w:type="dxa"/>
            <w:vAlign w:val="bottom"/>
          </w:tcPr>
          <w:p>
            <w:pPr>
              <w:ind w:left="20"/>
              <w:spacing w:after="0"/>
              <w:rPr>
                <w:sz w:val="20"/>
                <w:szCs w:val="20"/>
                <w:color w:val="auto"/>
              </w:rPr>
            </w:pPr>
            <w:r>
              <w:rPr>
                <w:rFonts w:ascii="Arial" w:cs="Arial" w:eastAsia="Arial" w:hAnsi="Arial"/>
                <w:sz w:val="18"/>
                <w:szCs w:val="18"/>
                <w:color w:val="auto"/>
              </w:rPr>
              <w:t>Total NBCUniversal</w:t>
            </w: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7,024</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7,729</w:t>
            </w:r>
          </w:p>
        </w:tc>
      </w:tr>
      <w:tr>
        <w:trPr>
          <w:trHeight w:val="336"/>
        </w:trPr>
        <w:tc>
          <w:tcPr>
            <w:tcW w:w="8400" w:type="dxa"/>
            <w:vAlign w:val="bottom"/>
          </w:tcPr>
          <w:p>
            <w:pPr>
              <w:ind w:left="20"/>
              <w:spacing w:after="0"/>
              <w:rPr>
                <w:sz w:val="20"/>
                <w:szCs w:val="20"/>
                <w:color w:val="auto"/>
              </w:rPr>
            </w:pPr>
            <w:r>
              <w:rPr>
                <w:rFonts w:ascii="Arial" w:cs="Arial" w:eastAsia="Arial" w:hAnsi="Arial"/>
                <w:sz w:val="18"/>
                <w:szCs w:val="18"/>
                <w:color w:val="auto"/>
              </w:rPr>
              <w:t>Direct-to-consumer</w:t>
            </w:r>
          </w:p>
        </w:tc>
        <w:tc>
          <w:tcPr>
            <w:tcW w:w="30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4,065</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3,679</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Content</w:t>
            </w: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358</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574</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r>
      <w:tr>
        <w:trPr>
          <w:trHeight w:val="224"/>
        </w:trPr>
        <w:tc>
          <w:tcPr>
            <w:tcW w:w="8400" w:type="dxa"/>
            <w:vAlign w:val="bottom"/>
          </w:tcPr>
          <w:p>
            <w:pPr>
              <w:ind w:left="20"/>
              <w:spacing w:after="0"/>
              <w:rPr>
                <w:sz w:val="20"/>
                <w:szCs w:val="20"/>
                <w:color w:val="auto"/>
              </w:rPr>
            </w:pPr>
            <w:r>
              <w:rPr>
                <w:rFonts w:ascii="Arial" w:cs="Arial" w:eastAsia="Arial" w:hAnsi="Arial"/>
                <w:sz w:val="18"/>
                <w:szCs w:val="18"/>
                <w:color w:val="auto"/>
              </w:rPr>
              <w:t>Total Sky</w:t>
            </w:r>
          </w:p>
        </w:tc>
        <w:tc>
          <w:tcPr>
            <w:tcW w:w="30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4,997</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4,517</w:t>
            </w:r>
          </w:p>
        </w:tc>
      </w:tr>
      <w:tr>
        <w:trPr>
          <w:trHeight w:val="330"/>
        </w:trPr>
        <w:tc>
          <w:tcPr>
            <w:tcW w:w="840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89</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6"/>
        </w:trPr>
        <w:tc>
          <w:tcPr>
            <w:tcW w:w="840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Eliminations</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(710)</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27,205</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26,609</w:t>
            </w:r>
          </w:p>
        </w:tc>
      </w:tr>
    </w:tbl>
    <w:p>
      <w:pPr>
        <w:spacing w:after="0" w:line="143"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See Note 2 for a description of these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We operate primarily in the United States but also in select international markets. The table below summarizes revenue by geographic location.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20" w:type="dxa"/>
            <w:vAlign w:val="bottom"/>
          </w:tcPr>
          <w:p>
            <w:pPr>
              <w:spacing w:after="0"/>
              <w:rPr>
                <w:sz w:val="14"/>
                <w:szCs w:val="14"/>
                <w:color w:val="auto"/>
              </w:rPr>
            </w:pPr>
          </w:p>
        </w:tc>
      </w:tr>
      <w:tr>
        <w:trPr>
          <w:trHeight w:val="183"/>
        </w:trPr>
        <w:tc>
          <w:tcPr>
            <w:tcW w:w="33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color w:val="auto"/>
              </w:rPr>
              <w:t>March 31,</w:t>
            </w:r>
          </w:p>
        </w:tc>
        <w:tc>
          <w:tcPr>
            <w:tcW w:w="820" w:type="dxa"/>
            <w:vAlign w:val="bottom"/>
            <w:tcBorders>
              <w:bottom w:val="single" w:sz="8" w:color="auto"/>
            </w:tcBorders>
          </w:tcPr>
          <w:p>
            <w:pPr>
              <w:spacing w:after="0"/>
              <w:rPr>
                <w:sz w:val="15"/>
                <w:szCs w:val="15"/>
                <w:color w:val="auto"/>
              </w:rPr>
            </w:pPr>
          </w:p>
        </w:tc>
      </w:tr>
      <w:tr>
        <w:trPr>
          <w:trHeight w:val="186"/>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5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w w:val="89"/>
              </w:rPr>
              <w:t>2020</w:t>
            </w:r>
          </w:p>
        </w:tc>
      </w:tr>
      <w:tr>
        <w:trPr>
          <w:trHeight w:val="226"/>
        </w:trPr>
        <w:tc>
          <w:tcPr>
            <w:tcW w:w="33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5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21,156</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20,690</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Europe</w:t>
            </w: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58"/>
              <w:spacing w:after="0"/>
              <w:rPr>
                <w:sz w:val="20"/>
                <w:szCs w:val="20"/>
                <w:color w:val="auto"/>
              </w:rPr>
            </w:pPr>
            <w:r>
              <w:rPr>
                <w:rFonts w:ascii="Arial" w:cs="Arial" w:eastAsia="Arial" w:hAnsi="Arial"/>
                <w:sz w:val="18"/>
                <w:szCs w:val="18"/>
                <w:color w:val="auto"/>
              </w:rPr>
              <w:t>5,352</w:t>
            </w:r>
          </w:p>
        </w:tc>
        <w:tc>
          <w:tcPr>
            <w:tcW w:w="6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5,033</w:t>
            </w:r>
          </w:p>
        </w:tc>
      </w:tr>
      <w:tr>
        <w:trPr>
          <w:trHeight w:val="23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5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697</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r>
      <w:tr>
        <w:trPr>
          <w:trHeight w:val="23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53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27,205</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26,609</w:t>
            </w:r>
          </w:p>
        </w:tc>
      </w:tr>
      <w:tr>
        <w:trPr>
          <w:trHeight w:val="864"/>
        </w:trPr>
        <w:tc>
          <w:tcPr>
            <w:tcW w:w="3320" w:type="dxa"/>
            <w:vAlign w:val="bottom"/>
          </w:tcPr>
          <w:p>
            <w:pPr>
              <w:spacing w:after="0"/>
              <w:rPr>
                <w:sz w:val="24"/>
                <w:szCs w:val="24"/>
                <w:color w:val="auto"/>
              </w:rPr>
            </w:pPr>
          </w:p>
        </w:tc>
        <w:tc>
          <w:tcPr>
            <w:tcW w:w="5080" w:type="dxa"/>
            <w:vAlign w:val="bottom"/>
          </w:tcPr>
          <w:p>
            <w:pPr>
              <w:jc w:val="right"/>
              <w:ind w:right="265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3"/>
        </w:trPr>
        <w:tc>
          <w:tcPr>
            <w:tcW w:w="3320" w:type="dxa"/>
            <w:vAlign w:val="bottom"/>
            <w:tcBorders>
              <w:bottom w:val="single" w:sz="8" w:color="9A9A9A"/>
            </w:tcBorders>
          </w:tcPr>
          <w:p>
            <w:pPr>
              <w:spacing w:after="0"/>
              <w:rPr>
                <w:sz w:val="19"/>
                <w:szCs w:val="19"/>
                <w:color w:val="auto"/>
              </w:rPr>
            </w:pPr>
          </w:p>
        </w:tc>
        <w:tc>
          <w:tcPr>
            <w:tcW w:w="50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2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tables summarize our accounts receivable and other balances that are not separately presented in our condensed consolidated balance sheet that relate to the recognition of revenue and collection of the related cash, as well as the deferred costs associated with our contracts with customers.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000" w:type="dxa"/>
            <w:vAlign w:val="bottom"/>
          </w:tcPr>
          <w:p>
            <w:pPr>
              <w:jc w:val="center"/>
              <w:ind w:left="3388"/>
              <w:spacing w:after="0"/>
              <w:rPr>
                <w:sz w:val="20"/>
                <w:szCs w:val="20"/>
                <w:color w:val="auto"/>
              </w:rPr>
            </w:pPr>
            <w:r>
              <w:rPr>
                <w:rFonts w:ascii="Arial" w:cs="Arial" w:eastAsia="Arial" w:hAnsi="Arial"/>
                <w:sz w:val="14"/>
                <w:szCs w:val="14"/>
                <w:color w:val="auto"/>
                <w:w w:val="93"/>
              </w:rPr>
              <w:t>March 31,</w:t>
            </w:r>
          </w:p>
        </w:tc>
        <w:tc>
          <w:tcPr>
            <w:tcW w:w="1260" w:type="dxa"/>
            <w:vAlign w:val="bottom"/>
          </w:tcPr>
          <w:p>
            <w:pPr>
              <w:jc w:val="center"/>
              <w:ind w:left="388"/>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82"/>
        </w:trPr>
        <w:tc>
          <w:tcPr>
            <w:tcW w:w="4640" w:type="dxa"/>
            <w:vAlign w:val="bottom"/>
            <w:vMerge w:val="continue"/>
          </w:tcPr>
          <w:p>
            <w:pPr>
              <w:spacing w:after="0"/>
              <w:rPr>
                <w:sz w:val="15"/>
                <w:szCs w:val="15"/>
                <w:color w:val="auto"/>
              </w:rPr>
            </w:pPr>
          </w:p>
        </w:tc>
        <w:tc>
          <w:tcPr>
            <w:tcW w:w="5000" w:type="dxa"/>
            <w:vAlign w:val="bottom"/>
          </w:tcPr>
          <w:p>
            <w:pPr>
              <w:jc w:val="right"/>
              <w:ind w:right="548"/>
              <w:spacing w:after="0"/>
              <w:rPr>
                <w:sz w:val="20"/>
                <w:szCs w:val="20"/>
                <w:color w:val="auto"/>
              </w:rPr>
            </w:pPr>
            <w:r>
              <w:rPr>
                <w:rFonts w:ascii="Arial" w:cs="Arial" w:eastAsia="Arial" w:hAnsi="Arial"/>
                <w:sz w:val="14"/>
                <w:szCs w:val="14"/>
                <w:color w:val="auto"/>
              </w:rPr>
              <w:t>2021</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Receivables, gross</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11,764</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Allowance for doubtful accounts</w:t>
            </w:r>
          </w:p>
        </w:tc>
        <w:tc>
          <w:tcPr>
            <w:tcW w:w="1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778</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Receivables, net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10,986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11,466</w:t>
            </w:r>
          </w:p>
        </w:tc>
        <w:tc>
          <w:tcPr>
            <w:tcW w:w="0" w:type="dxa"/>
            <w:vAlign w:val="bottom"/>
          </w:tcPr>
          <w:p>
            <w:pPr>
              <w:spacing w:after="0"/>
              <w:rPr>
                <w:sz w:val="1"/>
                <w:szCs w:val="1"/>
                <w:color w:val="auto"/>
              </w:rPr>
            </w:pPr>
          </w:p>
        </w:tc>
      </w:tr>
      <w:tr>
        <w:trPr>
          <w:trHeight w:val="311"/>
        </w:trPr>
        <w:tc>
          <w:tcPr>
            <w:tcW w:w="71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476"/>
              <w:spacing w:after="0"/>
              <w:rPr>
                <w:sz w:val="20"/>
                <w:szCs w:val="20"/>
                <w:color w:val="auto"/>
              </w:rPr>
            </w:pPr>
            <w:r>
              <w:rPr>
                <w:rFonts w:ascii="Arial" w:cs="Arial" w:eastAsia="Arial" w:hAnsi="Arial"/>
                <w:sz w:val="14"/>
                <w:szCs w:val="14"/>
                <w:color w:val="auto"/>
                <w:w w:val="99"/>
              </w:rPr>
              <w:t>March 31,</w:t>
            </w:r>
          </w:p>
        </w:tc>
        <w:tc>
          <w:tcPr>
            <w:tcW w:w="380" w:type="dxa"/>
            <w:vAlign w:val="bottom"/>
          </w:tcPr>
          <w:p>
            <w:pPr>
              <w:spacing w:after="0"/>
              <w:rPr>
                <w:sz w:val="24"/>
                <w:szCs w:val="24"/>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color w:val="auto"/>
                <w:w w:val="88"/>
              </w:rPr>
              <w:t>December 31,</w:t>
            </w:r>
          </w:p>
        </w:tc>
        <w:tc>
          <w:tcPr>
            <w:tcW w:w="0" w:type="dxa"/>
            <w:vAlign w:val="bottom"/>
          </w:tcPr>
          <w:p>
            <w:pPr>
              <w:spacing w:after="0"/>
              <w:rPr>
                <w:sz w:val="1"/>
                <w:szCs w:val="1"/>
                <w:color w:val="auto"/>
              </w:rPr>
            </w:pPr>
          </w:p>
        </w:tc>
      </w:tr>
      <w:tr>
        <w:trPr>
          <w:trHeight w:val="186"/>
        </w:trPr>
        <w:tc>
          <w:tcPr>
            <w:tcW w:w="71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7100" w:type="dxa"/>
            <w:vAlign w:val="bottom"/>
          </w:tcPr>
          <w:p>
            <w:pPr>
              <w:ind w:left="20"/>
              <w:spacing w:after="0"/>
              <w:rPr>
                <w:sz w:val="20"/>
                <w:szCs w:val="20"/>
                <w:color w:val="auto"/>
              </w:rPr>
            </w:pPr>
            <w:r>
              <w:rPr>
                <w:rFonts w:ascii="Arial" w:cs="Arial" w:eastAsia="Arial" w:hAnsi="Arial"/>
                <w:sz w:val="18"/>
                <w:szCs w:val="18"/>
                <w:color w:val="auto"/>
              </w:rPr>
              <w:t>Noncurrent receivables, net (included in other noncurrent assets, net)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1,061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Contract acquisition and fulfillment costs (included in other noncurrent assets, net)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1,048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deferred revenue (included in other noncurrent liabilities)</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726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476"/>
        </w:trPr>
        <w:tc>
          <w:tcPr>
            <w:tcW w:w="7100" w:type="dxa"/>
            <w:vAlign w:val="bottom"/>
          </w:tcPr>
          <w:p>
            <w:pPr>
              <w:spacing w:after="0"/>
              <w:rPr>
                <w:sz w:val="20"/>
                <w:szCs w:val="20"/>
                <w:color w:val="auto"/>
              </w:rPr>
            </w:pPr>
            <w:r>
              <w:rPr>
                <w:rFonts w:ascii="Arial" w:cs="Arial" w:eastAsia="Arial" w:hAnsi="Arial"/>
                <w:sz w:val="22"/>
                <w:szCs w:val="22"/>
                <w:b w:val="1"/>
                <w:bCs w:val="1"/>
                <w:color w:val="auto"/>
              </w:rPr>
              <w:t>Note 4: Programming and Production Costs</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3"/>
          </w:tcPr>
          <w:p>
            <w:pPr>
              <w:jc w:val="right"/>
              <w:ind w:right="73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3"/>
        </w:trPr>
        <w:tc>
          <w:tcPr>
            <w:tcW w:w="7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7100" w:type="dxa"/>
            <w:vAlign w:val="bottom"/>
          </w:tcPr>
          <w:p>
            <w:pPr>
              <w:ind w:left="20"/>
              <w:spacing w:after="0"/>
              <w:rPr>
                <w:sz w:val="20"/>
                <w:szCs w:val="20"/>
                <w:color w:val="auto"/>
              </w:rPr>
            </w:pPr>
            <w:r>
              <w:rPr>
                <w:rFonts w:ascii="Arial" w:cs="Arial" w:eastAsia="Arial" w:hAnsi="Arial"/>
                <w:sz w:val="18"/>
                <w:szCs w:val="18"/>
                <w:color w:val="auto"/>
              </w:rPr>
              <w:t>Video distribution programming</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3,515</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24"/>
        </w:trPr>
        <w:tc>
          <w:tcPr>
            <w:tcW w:w="7100" w:type="dxa"/>
            <w:vAlign w:val="bottom"/>
          </w:tcPr>
          <w:p>
            <w:pPr>
              <w:ind w:left="20"/>
              <w:spacing w:after="0"/>
              <w:rPr>
                <w:sz w:val="20"/>
                <w:szCs w:val="20"/>
                <w:color w:val="auto"/>
              </w:rPr>
            </w:pPr>
            <w:r>
              <w:rPr>
                <w:rFonts w:ascii="Arial" w:cs="Arial" w:eastAsia="Arial" w:hAnsi="Arial"/>
                <w:sz w:val="18"/>
                <w:szCs w:val="18"/>
                <w:color w:val="auto"/>
              </w:rPr>
              <w:t>Film and television content:</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100" w:type="dxa"/>
            <w:vAlign w:val="bottom"/>
          </w:tcPr>
          <w:p>
            <w:pPr>
              <w:ind w:left="140"/>
              <w:spacing w:after="0" w:line="235" w:lineRule="exact"/>
              <w:rPr>
                <w:sz w:val="20"/>
                <w:szCs w:val="20"/>
                <w:color w:val="auto"/>
              </w:rPr>
            </w:pPr>
            <w:r>
              <w:rPr>
                <w:rFonts w:ascii="Arial" w:cs="Arial" w:eastAsia="Arial" w:hAnsi="Arial"/>
                <w:sz w:val="18"/>
                <w:szCs w:val="18"/>
                <w:color w:val="auto"/>
              </w:rPr>
              <w:t>Owned</w:t>
            </w:r>
            <w:r>
              <w:rPr>
                <w:rFonts w:ascii="Arial" w:cs="Arial" w:eastAsia="Arial" w:hAnsi="Arial"/>
                <w:sz w:val="23"/>
                <w:szCs w:val="23"/>
                <w:color w:val="auto"/>
                <w:vertAlign w:val="superscript"/>
              </w:rPr>
              <w:t>(a)</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1,964</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29"/>
        </w:trPr>
        <w:tc>
          <w:tcPr>
            <w:tcW w:w="7100" w:type="dxa"/>
            <w:vAlign w:val="bottom"/>
          </w:tcPr>
          <w:p>
            <w:pPr>
              <w:ind w:left="160"/>
              <w:spacing w:after="0"/>
              <w:rPr>
                <w:sz w:val="20"/>
                <w:szCs w:val="20"/>
                <w:color w:val="auto"/>
              </w:rPr>
            </w:pPr>
            <w:r>
              <w:rPr>
                <w:rFonts w:ascii="Arial" w:cs="Arial" w:eastAsia="Arial" w:hAnsi="Arial"/>
                <w:sz w:val="18"/>
                <w:szCs w:val="18"/>
                <w:color w:val="auto"/>
              </w:rPr>
              <w:t>Licensed, including sports rights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3,175</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265</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programming and production costs</w:t>
            </w:r>
          </w:p>
        </w:tc>
        <w:tc>
          <w:tcPr>
            <w:tcW w:w="1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8,919</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8"/>
        <w:spacing w:after="0" w:line="273" w:lineRule="auto"/>
        <w:tabs>
          <w:tab w:leader="none" w:pos="208"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 includes amortization of owned content of $1.6 billion and $1.8 billion for the three months ended March 31, 2021 and 2020, respectively, as well as participations and residuals expenses.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Capitalized Film and Television Costs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100" w:type="dxa"/>
            <w:vAlign w:val="bottom"/>
          </w:tcPr>
          <w:p>
            <w:pPr>
              <w:spacing w:after="0"/>
              <w:rPr>
                <w:sz w:val="14"/>
                <w:szCs w:val="14"/>
                <w:color w:val="auto"/>
              </w:rPr>
            </w:pPr>
          </w:p>
        </w:tc>
        <w:tc>
          <w:tcPr>
            <w:tcW w:w="1160" w:type="dxa"/>
            <w:vAlign w:val="bottom"/>
            <w:vMerge w:val="restart"/>
          </w:tcPr>
          <w:p>
            <w:pPr>
              <w:jc w:val="right"/>
              <w:ind w:right="133"/>
              <w:spacing w:after="0"/>
              <w:rPr>
                <w:sz w:val="20"/>
                <w:szCs w:val="20"/>
                <w:color w:val="auto"/>
              </w:rPr>
            </w:pPr>
            <w:r>
              <w:rPr>
                <w:rFonts w:ascii="Arial" w:cs="Arial" w:eastAsia="Arial" w:hAnsi="Arial"/>
                <w:sz w:val="14"/>
                <w:szCs w:val="14"/>
                <w:color w:val="auto"/>
                <w:w w:val="94"/>
              </w:rPr>
              <w:t>March 31, 2021</w:t>
            </w:r>
          </w:p>
        </w:tc>
        <w:tc>
          <w:tcPr>
            <w:tcW w:w="280" w:type="dxa"/>
            <w:vAlign w:val="bottom"/>
          </w:tcPr>
          <w:p>
            <w:pPr>
              <w:spacing w:after="0"/>
              <w:rPr>
                <w:sz w:val="14"/>
                <w:szCs w:val="14"/>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86"/>
        </w:trPr>
        <w:tc>
          <w:tcPr>
            <w:tcW w:w="5660" w:type="dxa"/>
            <w:vAlign w:val="bottom"/>
            <w:tcBorders>
              <w:bottom w:val="single" w:sz="8" w:color="auto"/>
            </w:tcBorders>
            <w:vMerge w:val="continue"/>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5660" w:type="dxa"/>
            <w:vAlign w:val="bottom"/>
          </w:tcPr>
          <w:p>
            <w:pPr>
              <w:ind w:left="20"/>
              <w:spacing w:after="0"/>
              <w:rPr>
                <w:sz w:val="20"/>
                <w:szCs w:val="20"/>
                <w:color w:val="auto"/>
              </w:rPr>
            </w:pPr>
            <w:r>
              <w:rPr>
                <w:rFonts w:ascii="Arial" w:cs="Arial" w:eastAsia="Arial" w:hAnsi="Arial"/>
                <w:sz w:val="18"/>
                <w:szCs w:val="18"/>
                <w:color w:val="auto"/>
              </w:rPr>
              <w:t>Owned:</w:t>
            </w:r>
          </w:p>
        </w:tc>
        <w:tc>
          <w:tcPr>
            <w:tcW w:w="3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Released, less amortization</w:t>
            </w:r>
          </w:p>
        </w:tc>
        <w:tc>
          <w:tcPr>
            <w:tcW w:w="31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3,885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Completed, not released</w:t>
            </w:r>
          </w:p>
        </w:tc>
        <w:tc>
          <w:tcPr>
            <w:tcW w:w="310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626</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 production and in development</w:t>
            </w:r>
          </w:p>
        </w:tc>
        <w:tc>
          <w:tcPr>
            <w:tcW w:w="3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2,369</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22"/>
        </w:trPr>
        <w:tc>
          <w:tcPr>
            <w:tcW w:w="56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6,880</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Licensed, including sports advances</w:t>
            </w:r>
          </w:p>
        </w:tc>
        <w:tc>
          <w:tcPr>
            <w:tcW w:w="3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6,103</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Film and television costs</w:t>
            </w: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12,983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13,340</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Long-Term Debt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our debt had a carrying value of $103.7 billion and an estimated fair value of $117.8 billion. As of December 31, 2020, our debt had a carrying value of $103.8 billion and an estimated fair value of $125.6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2021, we entered into a new $11 billion revolving credit facility due March 30, 2026 with a syndicate of banks that may be used for general corporate purposes. We may increase the commitments under the revolving credit facility up to a total of $14 billion, as well as extend the expiration date to no later than March 30, 2028, subject to approval of the lenders. The interest rate on the revolving credit facility consists of a base rate plus a borrowing margin that is determined based on Comcast’s credit rating. As of March 31, 2021, the borrowing margin for borrowings based on the London Interbank Offered Rate was 1.00%. Our revolving credit facility requires that we maintain certain financial ratios based on debt and EBITDA, as defined in the revolving credit facility. We were in compliance with all financial covenants for all periods presented. The new</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revolving credit facility replaced an aggregate $9.2 billion of existing revolving credit facilities due May 26, 2022, which were terminated. Our revolving credit facilities were undrawn as of both March 31, 2021 and December 31, 2020.</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Beijing Resort</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entered into an agreement with a consortium of Chinese state-owned companies to build and operate a Universal theme park and resort in Beijing, China (“Universal Beijing Resort”). We own a 30% interest in Universal Beijing Resort and the construction is being funded through a combination of debt financing and equity contributions from the investors in accordance with their equity interests. As of March 31, 2021, Universal Beijing Resort had $3.0 billion of debt outstanding, including $2.7 billion principal amount of a term loan under the debt financing agreement.</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our condensed consolidated balance sheet included assets and liabilities of Universal Beijing Resort, totaling $8.5 billion and $6.8 billion, respectively. The assets and liabilities of Universal Beijing Resort primarily consist of property and equipment, operating lease assets and liabilities, and debt.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Investments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3"/>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8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6"/>
              </w:rPr>
              <w:t>2020</w:t>
            </w:r>
          </w:p>
        </w:tc>
      </w:tr>
      <w:tr>
        <w:trPr>
          <w:trHeight w:val="226"/>
        </w:trPr>
        <w:tc>
          <w:tcPr>
            <w:tcW w:w="8180" w:type="dxa"/>
            <w:vAlign w:val="bottom"/>
          </w:tcPr>
          <w:p>
            <w:pPr>
              <w:ind w:left="20"/>
              <w:spacing w:after="0"/>
              <w:rPr>
                <w:sz w:val="20"/>
                <w:szCs w:val="20"/>
                <w:color w:val="auto"/>
              </w:rPr>
            </w:pPr>
            <w:r>
              <w:rPr>
                <w:rFonts w:ascii="Arial" w:cs="Arial" w:eastAsia="Arial" w:hAnsi="Arial"/>
                <w:sz w:val="18"/>
                <w:szCs w:val="18"/>
                <w:color w:val="auto"/>
              </w:rPr>
              <w:t>Equity in net income (losses) of investees, 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136</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Realized and unrealized gains (losses) on equity securities, net</w:t>
            </w:r>
          </w:p>
        </w:tc>
        <w:tc>
          <w:tcPr>
            <w:tcW w:w="340" w:type="dxa"/>
            <w:vAlign w:val="bottom"/>
          </w:tcPr>
          <w:p>
            <w:pPr>
              <w:spacing w:after="0"/>
              <w:rPr>
                <w:sz w:val="19"/>
                <w:szCs w:val="19"/>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237</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(loss), net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17</w:t>
            </w: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Investment and other income (loss),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390</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w:t>
            </w:r>
          </w:p>
        </w:tc>
      </w:tr>
    </w:tbl>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amount of unrealized gains (losses) recognized in the three months ended March 31, 2021 and 2020 that related to marketable and nonmarketable equity securities still held as of the end of each reporting period were gains of $98 million and losses of $59 million,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500" w:type="dxa"/>
            <w:vAlign w:val="bottom"/>
          </w:tcPr>
          <w:p>
            <w:pPr>
              <w:spacing w:after="0"/>
              <w:rPr>
                <w:sz w:val="14"/>
                <w:szCs w:val="14"/>
                <w:color w:val="auto"/>
              </w:rPr>
            </w:pPr>
          </w:p>
        </w:tc>
        <w:tc>
          <w:tcPr>
            <w:tcW w:w="1240" w:type="dxa"/>
            <w:vAlign w:val="bottom"/>
          </w:tcPr>
          <w:p>
            <w:pPr>
              <w:jc w:val="right"/>
              <w:ind w:right="414"/>
              <w:spacing w:after="0"/>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594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5940" w:type="dxa"/>
            <w:vAlign w:val="bottom"/>
          </w:tcPr>
          <w:p>
            <w:pPr>
              <w:ind w:left="20"/>
              <w:spacing w:after="0"/>
              <w:rPr>
                <w:sz w:val="20"/>
                <w:szCs w:val="20"/>
                <w:color w:val="auto"/>
              </w:rPr>
            </w:pPr>
            <w:r>
              <w:rPr>
                <w:rFonts w:ascii="Arial" w:cs="Arial" w:eastAsia="Arial" w:hAnsi="Arial"/>
                <w:sz w:val="18"/>
                <w:szCs w:val="18"/>
                <w:color w:val="auto"/>
              </w:rPr>
              <w:t>Equity method</w:t>
            </w:r>
          </w:p>
        </w:tc>
        <w:tc>
          <w:tcPr>
            <w:tcW w:w="2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6,048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Marketable equity securities</w:t>
            </w:r>
          </w:p>
        </w:tc>
        <w:tc>
          <w:tcPr>
            <w:tcW w:w="250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Nonmarketable equity securities</w:t>
            </w:r>
          </w:p>
        </w:tc>
        <w:tc>
          <w:tcPr>
            <w:tcW w:w="250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investments</w:t>
            </w:r>
          </w:p>
        </w:tc>
        <w:tc>
          <w:tcPr>
            <w:tcW w:w="2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130</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2"/>
        </w:trPr>
        <w:tc>
          <w:tcPr>
            <w:tcW w:w="594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250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8,459</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Less: Current investments</w:t>
            </w:r>
          </w:p>
        </w:tc>
        <w:tc>
          <w:tcPr>
            <w:tcW w:w="250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Investment securing collateralized obligation</w:t>
            </w:r>
          </w:p>
        </w:tc>
        <w:tc>
          <w:tcPr>
            <w:tcW w:w="2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487</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Noncurrent investments</w:t>
            </w:r>
          </w:p>
        </w:tc>
        <w:tc>
          <w:tcPr>
            <w:tcW w:w="2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7,889</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7,820</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Atairos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both the three months ended March 31, 2021 and 2020, we made cash capital contributions to Atairos totaling $12 million. As of both March 31, 2021 and December 31, 2020, our investment in Atairos was $3.9 billion.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 and Collateralized Obligation</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we borrowed $5.2 billion under a term loan facility due March 2024 which is fully collateralized by the minimum guaranteed proceeds of the put/call option related to our investment in Hulu. As of March 31, 2021 and December 31, 2020, the carrying value and fair value of our collateralized obligation were $5.2 billion. The estimated fair value was based on Level 2 inputs that use interest rates for debt with similar terms and remaining maturities. We present our investment in Hulu and the term loan separately in our condensed consolidated balance sheet in the captions “investment securing collateralized obligation”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5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“collateralized obligation,” respectively. The recorded value of our investment reflects our historical cost in applying the equity method, and as a result, is less than its fair value.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Equity and Share-Based Compensation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Weighted-Average Common Shares Outstanding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Three Months Ended</w:t>
            </w:r>
          </w:p>
        </w:tc>
        <w:tc>
          <w:tcPr>
            <w:tcW w:w="880" w:type="dxa"/>
            <w:vAlign w:val="bottom"/>
          </w:tcPr>
          <w:p>
            <w:pPr>
              <w:spacing w:after="0"/>
              <w:rPr>
                <w:sz w:val="14"/>
                <w:szCs w:val="14"/>
                <w:color w:val="auto"/>
              </w:rPr>
            </w:pPr>
          </w:p>
        </w:tc>
      </w:tr>
      <w:tr>
        <w:trPr>
          <w:trHeight w:val="183"/>
        </w:trPr>
        <w:tc>
          <w:tcPr>
            <w:tcW w:w="8120" w:type="dxa"/>
            <w:vAlign w:val="bottom"/>
          </w:tcPr>
          <w:p>
            <w:pPr>
              <w:spacing w:after="0"/>
              <w:rPr>
                <w:sz w:val="15"/>
                <w:szCs w:val="15"/>
                <w:color w:val="auto"/>
              </w:rPr>
            </w:pPr>
          </w:p>
        </w:tc>
        <w:tc>
          <w:tcPr>
            <w:tcW w:w="21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March 31,</w:t>
            </w:r>
          </w:p>
        </w:tc>
        <w:tc>
          <w:tcPr>
            <w:tcW w:w="880" w:type="dxa"/>
            <w:vAlign w:val="bottom"/>
            <w:tcBorders>
              <w:bottom w:val="single" w:sz="8" w:color="auto"/>
            </w:tcBorders>
          </w:tcPr>
          <w:p>
            <w:pPr>
              <w:spacing w:after="0"/>
              <w:rPr>
                <w:sz w:val="15"/>
                <w:szCs w:val="15"/>
                <w:color w:val="auto"/>
              </w:rPr>
            </w:pPr>
          </w:p>
        </w:tc>
      </w:tr>
      <w:tr>
        <w:trPr>
          <w:trHeight w:val="186"/>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180" w:type="dxa"/>
            <w:vAlign w:val="bottom"/>
            <w:tcBorders>
              <w:bottom w:val="single" w:sz="8" w:color="auto"/>
            </w:tcBorders>
          </w:tcPr>
          <w:p>
            <w:pPr>
              <w:jc w:val="right"/>
              <w:ind w:right="1239"/>
              <w:spacing w:after="0"/>
              <w:rPr>
                <w:sz w:val="20"/>
                <w:szCs w:val="20"/>
                <w:color w:val="auto"/>
              </w:rPr>
            </w:pPr>
            <w:r>
              <w:rPr>
                <w:rFonts w:ascii="Arial" w:cs="Arial" w:eastAsia="Arial" w:hAnsi="Arial"/>
                <w:sz w:val="14"/>
                <w:szCs w:val="14"/>
                <w:color w:val="auto"/>
              </w:rPr>
              <w:t>2021</w:t>
            </w:r>
          </w:p>
        </w:tc>
        <w:tc>
          <w:tcPr>
            <w:tcW w:w="8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w w:val="96"/>
              </w:rPr>
              <w:t>2020</w:t>
            </w:r>
          </w:p>
        </w:tc>
      </w:tr>
      <w:tr>
        <w:trPr>
          <w:trHeight w:val="226"/>
        </w:trPr>
        <w:tc>
          <w:tcPr>
            <w:tcW w:w="81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outstanding – basic</w:t>
            </w:r>
          </w:p>
        </w:tc>
        <w:tc>
          <w:tcPr>
            <w:tcW w:w="2180" w:type="dxa"/>
            <w:vAlign w:val="bottom"/>
          </w:tcPr>
          <w:p>
            <w:pPr>
              <w:jc w:val="right"/>
              <w:ind w:right="739"/>
              <w:spacing w:after="0"/>
              <w:rPr>
                <w:sz w:val="20"/>
                <w:szCs w:val="20"/>
                <w:color w:val="auto"/>
              </w:rPr>
            </w:pPr>
            <w:r>
              <w:rPr>
                <w:rFonts w:ascii="Arial" w:cs="Arial" w:eastAsia="Arial" w:hAnsi="Arial"/>
                <w:sz w:val="18"/>
                <w:szCs w:val="18"/>
                <w:color w:val="auto"/>
              </w:rPr>
              <w:t>4,591</w:t>
            </w:r>
          </w:p>
        </w:tc>
        <w:tc>
          <w:tcPr>
            <w:tcW w:w="880" w:type="dxa"/>
            <w:vAlign w:val="bottom"/>
          </w:tcPr>
          <w:p>
            <w:pPr>
              <w:jc w:val="right"/>
              <w:spacing w:after="0"/>
              <w:rPr>
                <w:sz w:val="20"/>
                <w:szCs w:val="20"/>
                <w:color w:val="auto"/>
              </w:rPr>
            </w:pPr>
            <w:r>
              <w:rPr>
                <w:rFonts w:ascii="Arial" w:cs="Arial" w:eastAsia="Arial" w:hAnsi="Arial"/>
                <w:sz w:val="18"/>
                <w:szCs w:val="18"/>
                <w:color w:val="auto"/>
              </w:rPr>
              <w:t>4,562</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180" w:type="dxa"/>
            <w:vAlign w:val="bottom"/>
          </w:tcPr>
          <w:p>
            <w:pPr>
              <w:jc w:val="right"/>
              <w:ind w:right="739"/>
              <w:spacing w:after="0"/>
              <w:rPr>
                <w:sz w:val="20"/>
                <w:szCs w:val="20"/>
                <w:color w:val="auto"/>
              </w:rPr>
            </w:pPr>
            <w:r>
              <w:rPr>
                <w:rFonts w:ascii="Arial" w:cs="Arial" w:eastAsia="Arial" w:hAnsi="Arial"/>
                <w:sz w:val="18"/>
                <w:szCs w:val="18"/>
                <w:color w:val="auto"/>
              </w:rPr>
              <w:t>74</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number of common shares outstanding – diluted</w:t>
            </w:r>
          </w:p>
        </w:tc>
        <w:tc>
          <w:tcPr>
            <w:tcW w:w="218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rPr>
              <w:t>4,665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Diluted earnings per common share attributable to Comcast Corporation shareholders (“diluted EPS”) considers the impact of potentially dilutive securities using the treasury stock method. The amount of potential common shares related to our share-based compensation plans that were excluded from diluted EPS because their effect would have been antidilutive was not material in any of the periods presented.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40" w:type="dxa"/>
            <w:vAlign w:val="bottom"/>
          </w:tcPr>
          <w:p>
            <w:pPr>
              <w:spacing w:after="0"/>
              <w:rPr>
                <w:sz w:val="14"/>
                <w:szCs w:val="14"/>
                <w:color w:val="auto"/>
              </w:rPr>
            </w:pPr>
          </w:p>
        </w:tc>
        <w:tc>
          <w:tcPr>
            <w:tcW w:w="1240" w:type="dxa"/>
            <w:vAlign w:val="bottom"/>
          </w:tcPr>
          <w:p>
            <w:pPr>
              <w:jc w:val="right"/>
              <w:ind w:right="416"/>
              <w:spacing w:after="0"/>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4"/>
                <w:szCs w:val="14"/>
                <w:color w:val="auto"/>
              </w:rPr>
            </w:pPr>
          </w:p>
        </w:tc>
        <w:tc>
          <w:tcPr>
            <w:tcW w:w="1220" w:type="dxa"/>
            <w:vAlign w:val="bottom"/>
          </w:tcPr>
          <w:p>
            <w:pPr>
              <w:jc w:val="right"/>
              <w:ind w:right="23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680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6800" w:type="dxa"/>
            <w:vAlign w:val="bottom"/>
          </w:tcPr>
          <w:p>
            <w:pPr>
              <w:ind w:left="20"/>
              <w:spacing w:after="0"/>
              <w:rPr>
                <w:sz w:val="20"/>
                <w:szCs w:val="20"/>
                <w:color w:val="auto"/>
              </w:rPr>
            </w:pPr>
            <w:r>
              <w:rPr>
                <w:rFonts w:ascii="Arial" w:cs="Arial" w:eastAsia="Arial" w:hAnsi="Arial"/>
                <w:sz w:val="18"/>
                <w:szCs w:val="18"/>
                <w:color w:val="auto"/>
              </w:rPr>
              <w:t>Cumulative translation adjustments</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1,769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Deferred gains (losses) on cash flow hedges</w:t>
            </w:r>
          </w:p>
        </w:tc>
        <w:tc>
          <w:tcPr>
            <w:tcW w:w="1640" w:type="dxa"/>
            <w:vAlign w:val="bottom"/>
          </w:tcPr>
          <w:p>
            <w:pPr>
              <w:spacing w:after="0"/>
              <w:rPr>
                <w:sz w:val="19"/>
                <w:szCs w:val="19"/>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Unrecognized gains (losses) on employee benefit obligations and other</w:t>
            </w:r>
          </w:p>
        </w:tc>
        <w:tc>
          <w:tcPr>
            <w:tcW w:w="16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193</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1,972</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1,884</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3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2021, we granted 12.8 million RSUs and 42.3 million stock options related to our annual management awards. The weighted-average fair values associated with these grants were $54.62 per RSU and $9.64 per stock option.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3"/>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8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6"/>
              </w:rPr>
              <w:t>2020</w:t>
            </w:r>
          </w:p>
        </w:tc>
      </w:tr>
      <w:tr>
        <w:trPr>
          <w:trHeight w:val="226"/>
        </w:trPr>
        <w:tc>
          <w:tcPr>
            <w:tcW w:w="8180" w:type="dxa"/>
            <w:vAlign w:val="bottom"/>
          </w:tcPr>
          <w:p>
            <w:pPr>
              <w:ind w:left="20"/>
              <w:spacing w:after="0"/>
              <w:rPr>
                <w:sz w:val="20"/>
                <w:szCs w:val="20"/>
                <w:color w:val="auto"/>
              </w:rPr>
            </w:pPr>
            <w:r>
              <w:rPr>
                <w:rFonts w:ascii="Arial" w:cs="Arial" w:eastAsia="Arial" w:hAnsi="Arial"/>
                <w:sz w:val="18"/>
                <w:szCs w:val="18"/>
                <w:color w:val="auto"/>
              </w:rPr>
              <w:t>Restricted share units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206</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19"/>
                <w:szCs w:val="19"/>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90</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Employee stock purchase plans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11</w:t>
            </w: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307</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we had unrecognized pretax compensation expense of $1.6 billion and $821 million related to nonvested RSUs and nonvested stock options,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w w:val="94"/>
              </w:rPr>
              <w:t>Three Months Ended</w:t>
            </w:r>
          </w:p>
        </w:tc>
        <w:tc>
          <w:tcPr>
            <w:tcW w:w="900" w:type="dxa"/>
            <w:vAlign w:val="bottom"/>
          </w:tcPr>
          <w:p>
            <w:pPr>
              <w:spacing w:after="0"/>
              <w:rPr>
                <w:sz w:val="14"/>
                <w:szCs w:val="14"/>
                <w:color w:val="auto"/>
              </w:rPr>
            </w:pPr>
          </w:p>
        </w:tc>
      </w:tr>
      <w:tr>
        <w:trPr>
          <w:trHeight w:val="183"/>
        </w:trPr>
        <w:tc>
          <w:tcPr>
            <w:tcW w:w="81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8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w w:val="96"/>
              </w:rPr>
              <w:t>2020</w:t>
            </w:r>
          </w:p>
        </w:tc>
      </w:tr>
      <w:tr>
        <w:trPr>
          <w:trHeight w:val="226"/>
        </w:trPr>
        <w:tc>
          <w:tcPr>
            <w:tcW w:w="8180" w:type="dxa"/>
            <w:vAlign w:val="bottom"/>
          </w:tcPr>
          <w:p>
            <w:pPr>
              <w:ind w:left="20"/>
              <w:spacing w:after="0"/>
              <w:rPr>
                <w:sz w:val="20"/>
                <w:szCs w:val="20"/>
                <w:color w:val="auto"/>
              </w:rPr>
            </w:pPr>
            <w:r>
              <w:rPr>
                <w:rFonts w:ascii="Arial" w:cs="Arial" w:eastAsia="Arial" w:hAnsi="Arial"/>
                <w:sz w:val="18"/>
                <w:szCs w:val="18"/>
                <w:color w:val="auto"/>
              </w:rPr>
              <w:t>Interest</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9"/>
              <w:spacing w:after="0"/>
              <w:rPr>
                <w:sz w:val="20"/>
                <w:szCs w:val="20"/>
                <w:color w:val="auto"/>
              </w:rPr>
            </w:pPr>
            <w:r>
              <w:rPr>
                <w:rFonts w:ascii="Arial" w:cs="Arial" w:eastAsia="Arial" w:hAnsi="Arial"/>
                <w:sz w:val="18"/>
                <w:szCs w:val="18"/>
                <w:color w:val="auto"/>
              </w:rPr>
              <w:t>911</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w:t>
            </w: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87</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w:t>
      </w:r>
    </w:p>
    <w:p>
      <w:pPr>
        <w:spacing w:after="0" w:line="77"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recognized operating lease assets and liabilities of $2.7 billion related to Universal Beijing Resort with lease terms of 33 years and using a weighted average discount rate of 4.4%</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acquired $1.6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recorded a liability of $1.2 billion for a quarterly cash dividend of $0.25 per common share paid in April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w:t>
      </w:r>
    </w:p>
    <w:p>
      <w:pPr>
        <w:spacing w:after="0" w:line="7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acquired $1.6 billion of property and equipment and intangible assets that were accrued but unpaid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recorded a liability of $1.1 billion for a quarterly cash dividend of $0.23 per common share paid in April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160" w:type="dxa"/>
            <w:vAlign w:val="bottom"/>
          </w:tcPr>
          <w:p>
            <w:pPr>
              <w:spacing w:after="0"/>
              <w:rPr>
                <w:sz w:val="14"/>
                <w:szCs w:val="14"/>
                <w:color w:val="auto"/>
              </w:rPr>
            </w:pPr>
          </w:p>
        </w:tc>
        <w:tc>
          <w:tcPr>
            <w:tcW w:w="1240" w:type="dxa"/>
            <w:vAlign w:val="bottom"/>
          </w:tcPr>
          <w:p>
            <w:pPr>
              <w:jc w:val="right"/>
              <w:ind w:right="416"/>
              <w:spacing w:after="0"/>
              <w:rPr>
                <w:sz w:val="20"/>
                <w:szCs w:val="20"/>
                <w:color w:val="auto"/>
              </w:rPr>
            </w:pPr>
            <w:r>
              <w:rPr>
                <w:rFonts w:ascii="Arial" w:cs="Arial" w:eastAsia="Arial" w:hAnsi="Arial"/>
                <w:sz w:val="14"/>
                <w:szCs w:val="14"/>
                <w:color w:val="auto"/>
              </w:rPr>
              <w:t>March 31,</w:t>
            </w:r>
          </w:p>
        </w:tc>
        <w:tc>
          <w:tcPr>
            <w:tcW w:w="340" w:type="dxa"/>
            <w:vAlign w:val="bottom"/>
          </w:tcPr>
          <w:p>
            <w:pPr>
              <w:spacing w:after="0"/>
              <w:rPr>
                <w:sz w:val="14"/>
                <w:szCs w:val="14"/>
                <w:color w:val="auto"/>
              </w:rPr>
            </w:pPr>
          </w:p>
        </w:tc>
        <w:tc>
          <w:tcPr>
            <w:tcW w:w="1220" w:type="dxa"/>
            <w:vAlign w:val="bottom"/>
          </w:tcPr>
          <w:p>
            <w:pPr>
              <w:jc w:val="right"/>
              <w:ind w:right="23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628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62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14,950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2160" w:type="dxa"/>
            <w:vAlign w:val="bottom"/>
          </w:tcPr>
          <w:p>
            <w:pPr>
              <w:spacing w:after="0"/>
              <w:rPr>
                <w:sz w:val="19"/>
                <w:szCs w:val="19"/>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included in other noncurrent assets, net</w:t>
            </w:r>
          </w:p>
        </w:tc>
        <w:tc>
          <w:tcPr>
            <w:tcW w:w="2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14,976</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11,768</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In the first quarter of 2021, we redeemed all of the NBCUniversal Enterprise, Inc. preferred stock and made cash payments equal to the aggregate liquidation preference of $725 million. As of December 31, 2020, the preferred stock had a carrying value equal to its liquidation preference and was presented in redeemable noncontrolling interests and redeemable subsidiary preferred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subject to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760"/>
        <w:spacing w:after="0" w:line="27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jc w:val="both"/>
        <w:ind w:right="20"/>
        <w:spacing w:after="0" w:line="277" w:lineRule="auto"/>
        <w:rPr>
          <w:sz w:val="20"/>
          <w:szCs w:val="20"/>
          <w:color w:val="auto"/>
        </w:rPr>
      </w:pPr>
      <w:r>
        <w:rPr>
          <w:rFonts w:ascii="Arial" w:cs="Arial" w:eastAsia="Arial" w:hAnsi="Arial"/>
          <w:sz w:val="18"/>
          <w:szCs w:val="18"/>
          <w:color w:val="auto"/>
        </w:rPr>
        <w:t>The following discussion is provided as a supplement to, and should be read in conjunction with, the condensed consolidated financial statements and related notes included in this Quarterly Report on Form 10-Q and our 2020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global media and technology company with three primary businesses: Comcast Cable, NBCUniversal, and Sky. We present our operations for (1) Comcast Cable in one reportable business segment, referred to as Cable Communications; (2) NBCUniversal in three reportable business segments: Media, Studios and Theme Parks (collectively, the “NBCUniversal segments”); and (3) Sky in one reportable business segment. Refer to Note 2 for information on our reportable segments, including a description of the segment change implemented in the first quarter of 2021. All amounts are presented on a consistent basis under the new segment structure.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novel coronavirus disease 2019 (“COVID-19”) and measures taken to prevent its spread across the globe have impacted our businesses in a number of ways. COVID-19 has had, and we expect will continue to have, material negative impacts on NBCUniversal and Sky results of operations primarily due to the temporary restrictions and closures at our theme parks and the impacts of professional sports, respectively. We expect the impacts of the COVID-19 pandemic will continue to have a material adverse impact on our consolidated results of operations over the near to medium term, although the extent of such impact will depend on restrictive governmental measures, further deterioration of the global economy, widespread availability and acceptance of vaccines and consumer behavior in response to COVID-19. The most significant effects of COVID-19 began in the second half of the first quarter of 2020. The following summary provides a discussion of current and potential future effects of the pandemic with direct impacts to our businesses.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Communications</w:t>
      </w:r>
    </w:p>
    <w:p>
      <w:pPr>
        <w:spacing w:after="0" w:line="72" w:lineRule="exact"/>
        <w:rPr>
          <w:sz w:val="20"/>
          <w:szCs w:val="20"/>
          <w:color w:val="auto"/>
        </w:rPr>
      </w:pPr>
    </w:p>
    <w:p>
      <w:pPr>
        <w:jc w:val="both"/>
        <w:ind w:left="66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Beginning in March 2020 and continuing through June 2021, new qualifying customers for Internet Essentials, our low-income internet adoption program, receive 60 days of free broadband services. Our customer metrics do not include customers in the free Internet Essentials offer or certain high-risk customers who continued to receive service following nonpayment as a result of COVID-19 programs. The number of customers excluded from our customer metrics has continued to decrease as some of these customers either began paying for service, resulting in customer net additions, or disconnected and no longer receive service, and we expect this to continue in future periods. We also believe there continues to be a risk associated with collections on customer accounts.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NBCUniversal</w:t>
      </w:r>
    </w:p>
    <w:p>
      <w:pPr>
        <w:spacing w:after="0" w:line="72" w:lineRule="exact"/>
        <w:rPr>
          <w:sz w:val="20"/>
          <w:szCs w:val="20"/>
          <w:color w:val="auto"/>
        </w:rPr>
      </w:pPr>
    </w:p>
    <w:p>
      <w:pPr>
        <w:jc w:val="both"/>
        <w:ind w:left="660" w:hanging="328"/>
        <w:spacing w:after="0" w:line="293"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first quarter of 2021, our theme parks in Orlando and Japan were open with limited capacity while our park in Hollywood remained closed. In April 2021, our theme park in Hollywood reopened with limited capacity, but our theme park in Japan has temporarily closed. The limited capacity and closure of our theme parks had a significant impact on our revenue and Adjusted EBITDA for the three months ended March 31, 2021 on a consolidated basis. We expect the results of operations at our theme parks will continue to be negatively impacted and we cannot predict if any parks will remain open or the level of attendance at our reopened parks. We currently expect that Universal Beijing Resort will open during summer 2021 and we have resumed the development of the Epic Universe theme park in Orlando in the first quarter of 2021.</w:t>
      </w:r>
    </w:p>
    <w:p>
      <w:pPr>
        <w:spacing w:after="0" w:line="56" w:lineRule="exact"/>
        <w:rPr>
          <w:rFonts w:ascii="Arial" w:cs="Arial" w:eastAsia="Arial" w:hAnsi="Arial"/>
          <w:sz w:val="16"/>
          <w:szCs w:val="16"/>
          <w:color w:val="auto"/>
        </w:rPr>
      </w:pPr>
    </w:p>
    <w:p>
      <w:pPr>
        <w:jc w:val="both"/>
        <w:ind w:left="660" w:hanging="328"/>
        <w:spacing w:after="0" w:line="273"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Delays to the start of current seasons for certain professional sports leagues, including the NHL and NBA, resulted in the shift of additional events into the first quarter of 2021, which impacted the timing of revenue and expense recognition, since both advertising revenue and costs associated with broadcasting these programs are recognized when events are broadcast. We also expect additional events in the second quarter of 2021 compared to the same period in the prior year. We cannot predict the ultimate timing of when, or the extent to which, sporting events will occur in future periods. In addition, the 2020 Tokyo Olympics have been postponed from the third quarter of 2020 to the third quarter of 2021, resulting in a corresponding delay of the associated revenue and costs.</w:t>
      </w:r>
    </w:p>
    <w:p>
      <w:pPr>
        <w:spacing w:after="0" w:line="69"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studio production operations have resumed, with some at a limited capacity. Additionally, with the temporary closure and limited-capacity operation of many movie theaters worldwide, we have delayed or altered the theatrical distribution strategy for certain of our films, both domestically and internationally. Delays in theatrical releases will affect both current and future periods as a result of corresponding delays in subsequent content licensing windows. We expect results of operations in our Studios segment to continue to be negatively impacted over the near to medium term as a result of COVID-19.</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Sky</w:t>
      </w:r>
    </w:p>
    <w:p>
      <w:pPr>
        <w:spacing w:after="0" w:line="72" w:lineRule="exact"/>
        <w:rPr>
          <w:sz w:val="20"/>
          <w:szCs w:val="20"/>
          <w:color w:val="auto"/>
        </w:rPr>
      </w:pPr>
    </w:p>
    <w:p>
      <w:pPr>
        <w:jc w:val="both"/>
        <w:ind w:left="660" w:hanging="328"/>
        <w:spacing w:after="0" w:line="275"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Direct-to-consumer revenue has been negatively impacted, and future periods may be negatively impacted, as a result of lower sports subscription revenue due to the extent of reopening of our commercial customers. In addition, delays to the start of the current seasons for certain sports, including European football, resulted in the shift of additional events and the significant costs associated with broadcasting these programs into the first quarter of 2021. We also expect additional events in the second quarter of 2021 compared to the same period in the prior year. We cannot predict the ultimate timing of when, or the extent to which, sporting events will occur in future periods.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2020, our businesses implemented separate cost savings initiatives, with the most significant relating to severance at NBCUniversal in connection with the realignment of the operating structure in our television businesses as well as overall reductions in the cost base. The costs of these initiatives were presented in Corporate and Other. Payments related to NBCUniversal employee severance are expected to be completed in 2021 and the related costs savings will be realized in operating costs and expenses primarily beginning in 2021. A portion of these cost savings may be reallocated to investments in content and other strategic initiatives.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3"/>
          </w:tcPr>
          <w:p>
            <w:pPr>
              <w:jc w:val="right"/>
              <w:ind w:right="851"/>
              <w:spacing w:after="0"/>
              <w:rPr>
                <w:sz w:val="20"/>
                <w:szCs w:val="20"/>
                <w:color w:val="auto"/>
              </w:rPr>
            </w:pPr>
            <w:r>
              <w:rPr>
                <w:rFonts w:ascii="Arial" w:cs="Arial" w:eastAsia="Arial" w:hAnsi="Arial"/>
                <w:sz w:val="14"/>
                <w:szCs w:val="14"/>
                <w:color w:val="auto"/>
              </w:rPr>
              <w:t>Three Months Ended</w:t>
            </w:r>
          </w:p>
        </w:tc>
        <w:tc>
          <w:tcPr>
            <w:tcW w:w="1100" w:type="dxa"/>
            <w:vAlign w:val="bottom"/>
          </w:tcPr>
          <w:p>
            <w:pPr>
              <w:jc w:val="center"/>
              <w:spacing w:after="0"/>
              <w:rPr>
                <w:sz w:val="20"/>
                <w:szCs w:val="20"/>
                <w:color w:val="auto"/>
              </w:rPr>
            </w:pPr>
            <w:r>
              <w:rPr>
                <w:rFonts w:ascii="Arial" w:cs="Arial" w:eastAsia="Arial" w:hAnsi="Arial"/>
                <w:sz w:val="14"/>
                <w:szCs w:val="14"/>
                <w:color w:val="auto"/>
                <w:w w:val="90"/>
              </w:rPr>
              <w:t>Increase/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March 31,</w:t>
            </w:r>
          </w:p>
        </w:tc>
        <w:tc>
          <w:tcPr>
            <w:tcW w:w="1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2021</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color w:val="auto"/>
              </w:rPr>
              <w:t>2020</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27,205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26,609</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8,919</w:t>
            </w:r>
          </w:p>
        </w:tc>
        <w:tc>
          <w:tcPr>
            <w:tcW w:w="42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8,301</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Other operating and administrative</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8,269</w:t>
            </w:r>
          </w:p>
        </w:tc>
        <w:tc>
          <w:tcPr>
            <w:tcW w:w="42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8,254</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360"/>
              <w:spacing w:after="0"/>
              <w:rPr>
                <w:sz w:val="20"/>
                <w:szCs w:val="20"/>
                <w:color w:val="auto"/>
              </w:rPr>
            </w:pPr>
            <w:r>
              <w:rPr>
                <w:rFonts w:ascii="Arial" w:cs="Arial" w:eastAsia="Arial" w:hAnsi="Arial"/>
                <w:sz w:val="18"/>
                <w:szCs w:val="18"/>
                <w:color w:val="auto"/>
              </w:rPr>
              <w:t>Advertising, marketing and promotion</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1,616</w:t>
            </w:r>
          </w:p>
        </w:tc>
        <w:tc>
          <w:tcPr>
            <w:tcW w:w="42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1,938</w:t>
            </w: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2,117</w:t>
            </w:r>
          </w:p>
        </w:tc>
        <w:tc>
          <w:tcPr>
            <w:tcW w:w="42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2,107</w:t>
            </w: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1,245</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1,157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5,039</w:t>
            </w:r>
          </w:p>
        </w:tc>
        <w:tc>
          <w:tcPr>
            <w:tcW w:w="42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4,852</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(1,018)</w:t>
            </w:r>
          </w:p>
        </w:tc>
        <w:tc>
          <w:tcPr>
            <w:tcW w:w="420" w:type="dxa"/>
            <w:vAlign w:val="bottom"/>
          </w:tcPr>
          <w:p>
            <w:pPr>
              <w:spacing w:after="0"/>
              <w:rPr>
                <w:sz w:val="19"/>
                <w:szCs w:val="19"/>
                <w:color w:val="auto"/>
              </w:rPr>
            </w:pPr>
          </w:p>
        </w:tc>
        <w:tc>
          <w:tcPr>
            <w:tcW w:w="1120" w:type="dxa"/>
            <w:vAlign w:val="bottom"/>
          </w:tcPr>
          <w:p>
            <w:pPr>
              <w:jc w:val="right"/>
              <w:ind w:right="191"/>
              <w:spacing w:after="0"/>
              <w:rPr>
                <w:sz w:val="20"/>
                <w:szCs w:val="20"/>
                <w:color w:val="auto"/>
              </w:rPr>
            </w:pPr>
            <w:r>
              <w:rPr>
                <w:rFonts w:ascii="Arial" w:cs="Arial" w:eastAsia="Arial" w:hAnsi="Arial"/>
                <w:sz w:val="18"/>
                <w:szCs w:val="18"/>
                <w:color w:val="auto"/>
              </w:rPr>
              <w:t>(1,212)</w:t>
            </w: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and other income (loss), net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390</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(716)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1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4,411</w:t>
            </w:r>
          </w:p>
        </w:tc>
        <w:tc>
          <w:tcPr>
            <w:tcW w:w="42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2,924</w:t>
            </w:r>
          </w:p>
        </w:tc>
        <w:tc>
          <w:tcPr>
            <w:tcW w:w="1100" w:type="dxa"/>
            <w:vAlign w:val="bottom"/>
          </w:tcPr>
          <w:p>
            <w:pPr>
              <w:jc w:val="right"/>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(700)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3,292</w:t>
            </w:r>
          </w:p>
        </w:tc>
        <w:tc>
          <w:tcPr>
            <w:tcW w:w="420" w:type="dxa"/>
            <w:vAlign w:val="bottom"/>
          </w:tcPr>
          <w:p>
            <w:pPr>
              <w:spacing w:after="0"/>
              <w:rPr>
                <w:sz w:val="19"/>
                <w:szCs w:val="19"/>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2,224</w:t>
            </w:r>
          </w:p>
        </w:tc>
        <w:tc>
          <w:tcPr>
            <w:tcW w:w="110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20" w:type="dxa"/>
            <w:vAlign w:val="bottom"/>
          </w:tcPr>
          <w:p>
            <w:pPr>
              <w:ind w:left="20"/>
              <w:spacing w:after="0" w:line="176" w:lineRule="exact"/>
              <w:rPr>
                <w:sz w:val="20"/>
                <w:szCs w:val="20"/>
                <w:color w:val="auto"/>
              </w:rPr>
            </w:pPr>
            <w:r>
              <w:rPr>
                <w:rFonts w:ascii="Arial" w:cs="Arial" w:eastAsia="Arial" w:hAnsi="Arial"/>
                <w:sz w:val="18"/>
                <w:szCs w:val="18"/>
                <w:color w:val="auto"/>
                <w:w w:val="99"/>
              </w:rPr>
              <w:t>Less: Net income (loss) attributable to noncontrolling interests and redeemable subsidiary</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5"/>
                <w:szCs w:val="15"/>
                <w:color w:val="auto"/>
              </w:rPr>
            </w:pPr>
          </w:p>
        </w:tc>
        <w:tc>
          <w:tcPr>
            <w:tcW w:w="1120" w:type="dxa"/>
            <w:vAlign w:val="bottom"/>
            <w:vMerge w:val="restart"/>
          </w:tcPr>
          <w:p>
            <w:pPr>
              <w:jc w:val="right"/>
              <w:ind w:right="231"/>
              <w:spacing w:after="0"/>
              <w:rPr>
                <w:sz w:val="20"/>
                <w:szCs w:val="20"/>
                <w:color w:val="auto"/>
              </w:rPr>
            </w:pPr>
            <w:r>
              <w:rPr>
                <w:rFonts w:ascii="Arial" w:cs="Arial" w:eastAsia="Arial" w:hAnsi="Arial"/>
                <w:sz w:val="18"/>
                <w:szCs w:val="18"/>
                <w:color w:val="auto"/>
              </w:rPr>
              <w:t>77</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(147.8)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preferred stock</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3,329</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2,147</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55.1 %</w:t>
            </w:r>
          </w:p>
        </w:tc>
        <w:tc>
          <w:tcPr>
            <w:tcW w:w="0" w:type="dxa"/>
            <w:vAlign w:val="bottom"/>
          </w:tcPr>
          <w:p>
            <w:pPr>
              <w:spacing w:after="0"/>
              <w:rPr>
                <w:sz w:val="1"/>
                <w:szCs w:val="1"/>
                <w:color w:val="auto"/>
              </w:rPr>
            </w:pPr>
          </w:p>
        </w:tc>
      </w:tr>
      <w:tr>
        <w:trPr>
          <w:trHeight w:val="225"/>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w w:val="97"/>
              </w:rPr>
              <w:t>Basic earnings per common share attributable to Comcast Corporation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0.73</w:t>
            </w:r>
          </w:p>
        </w:tc>
        <w:tc>
          <w:tcPr>
            <w:tcW w:w="4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b w:val="1"/>
                <w:bCs w:val="1"/>
                <w:color w:val="auto"/>
              </w:rPr>
              <w:t>0.47</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55.3 %</w:t>
            </w:r>
          </w:p>
        </w:tc>
        <w:tc>
          <w:tcPr>
            <w:tcW w:w="0" w:type="dxa"/>
            <w:vAlign w:val="bottom"/>
          </w:tcPr>
          <w:p>
            <w:pPr>
              <w:spacing w:after="0"/>
              <w:rPr>
                <w:sz w:val="1"/>
                <w:szCs w:val="1"/>
                <w:color w:val="auto"/>
              </w:rPr>
            </w:pPr>
          </w:p>
        </w:tc>
      </w:tr>
      <w:tr>
        <w:trPr>
          <w:trHeight w:val="241"/>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Diluted earnings per common share attributable to Comcast Corporation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0.71</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0.46</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54.3 %</w:t>
            </w:r>
          </w:p>
        </w:tc>
        <w:tc>
          <w:tcPr>
            <w:tcW w:w="0" w:type="dxa"/>
            <w:vAlign w:val="bottom"/>
          </w:tcPr>
          <w:p>
            <w:pPr>
              <w:spacing w:after="0"/>
              <w:rPr>
                <w:sz w:val="1"/>
                <w:szCs w:val="1"/>
                <w:color w:val="auto"/>
              </w:rPr>
            </w:pPr>
          </w:p>
        </w:tc>
      </w:tr>
      <w:tr>
        <w:trPr>
          <w:trHeight w:val="95"/>
        </w:trPr>
        <w:tc>
          <w:tcPr>
            <w:tcW w:w="7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color w:val="auto"/>
                <w:vertAlign w:val="superscript"/>
              </w:rPr>
              <w:t>(a)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8,413</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8,130</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3.5 %</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 Percentage changes that are considered not meaningful are denoted with NM.</w:t>
      </w:r>
    </w:p>
    <w:p>
      <w:pPr>
        <w:spacing w:after="0" w:line="55" w:lineRule="exact"/>
        <w:rPr>
          <w:sz w:val="20"/>
          <w:szCs w:val="20"/>
          <w:color w:val="auto"/>
        </w:rPr>
      </w:pPr>
    </w:p>
    <w:p>
      <w:pPr>
        <w:ind w:left="260" w:hanging="252"/>
        <w:spacing w:after="0" w:line="273" w:lineRule="auto"/>
        <w:tabs>
          <w:tab w:leader="none" w:pos="257"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Adjusted EBITDA is a non-GAAP financial measure. Refer to the “Non-GAAP Financial Measures” section on page 24 for additional information, including our definition and our use of Adjusted EBITDA, and for a reconciliation from net income attributable to Comcast Corporation to Adjusted EBITDA.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Cable Communications, Sky and Media drove increases in consolidated revenue for the three months ended March 31, 2021, which were partially offset by decreases in revenue in Theme Parks and Studios.</w:t>
      </w:r>
    </w:p>
    <w:p>
      <w:pPr>
        <w:spacing w:after="0" w:line="62" w:lineRule="exact"/>
        <w:rPr>
          <w:sz w:val="20"/>
          <w:szCs w:val="20"/>
          <w:color w:val="auto"/>
        </w:rPr>
      </w:pPr>
    </w:p>
    <w:p>
      <w:pPr>
        <w:ind w:right="2120"/>
        <w:spacing w:after="0" w:line="367" w:lineRule="auto"/>
        <w:rPr>
          <w:sz w:val="20"/>
          <w:szCs w:val="20"/>
          <w:color w:val="auto"/>
        </w:rPr>
      </w:pPr>
      <w:r>
        <w:rPr>
          <w:rFonts w:ascii="Arial" w:cs="Arial" w:eastAsia="Arial" w:hAnsi="Arial"/>
          <w:sz w:val="18"/>
          <w:szCs w:val="18"/>
          <w:color w:val="auto"/>
        </w:rPr>
        <w:t xml:space="preserve">Revenue for our segments and other businesses is discussed separately below under the heading “Segment Operating Results.” </w:t>
      </w:r>
      <w:r>
        <w:rPr>
          <w:rFonts w:ascii="Arial" w:cs="Arial" w:eastAsia="Arial" w:hAnsi="Arial"/>
          <w:sz w:val="18"/>
          <w:szCs w:val="18"/>
          <w:b w:val="1"/>
          <w:bCs w:val="1"/>
          <w:color w:val="auto"/>
        </w:rPr>
        <w:t>Consolidated Costs and Expenses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Sky, Media and Cable Communications drove increases in consolidated operating costs and expenses for the three months ended March 31, 2021, which were partially offset by decreases in operating costs and expenses in Studios and Theme Parks.</w:t>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costs and expenses for our segments and our corporate operations, businesses development initiatives and other businesses are discussed separately below under the heading “Segment Operating Results.”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 Expense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3"/>
          </w:tcPr>
          <w:p>
            <w:pPr>
              <w:jc w:val="right"/>
              <w:ind w:right="833"/>
              <w:spacing w:after="0"/>
              <w:rPr>
                <w:sz w:val="20"/>
                <w:szCs w:val="20"/>
                <w:color w:val="auto"/>
              </w:rPr>
            </w:pPr>
            <w:r>
              <w:rPr>
                <w:rFonts w:ascii="Arial" w:cs="Arial" w:eastAsia="Arial" w:hAnsi="Arial"/>
                <w:sz w:val="14"/>
                <w:szCs w:val="14"/>
                <w:color w:val="auto"/>
              </w:rPr>
              <w:t>Three Months Ended</w:t>
            </w:r>
          </w:p>
        </w:tc>
        <w:tc>
          <w:tcPr>
            <w:tcW w:w="1300" w:type="dxa"/>
            <w:vAlign w:val="bottom"/>
          </w:tcPr>
          <w:p>
            <w:pPr>
              <w:jc w:val="center"/>
              <w:ind w:right="17"/>
              <w:spacing w:after="0"/>
              <w:rPr>
                <w:sz w:val="20"/>
                <w:szCs w:val="20"/>
                <w:color w:val="auto"/>
              </w:rPr>
            </w:pPr>
            <w:r>
              <w:rPr>
                <w:rFonts w:ascii="Arial" w:cs="Arial" w:eastAsia="Arial" w:hAnsi="Arial"/>
                <w:sz w:val="14"/>
                <w:szCs w:val="14"/>
                <w:color w:val="auto"/>
                <w:w w:val="90"/>
              </w:rPr>
              <w:t>Increase/</w:t>
            </w:r>
          </w:p>
        </w:tc>
      </w:tr>
      <w:tr>
        <w:trPr>
          <w:trHeight w:val="183"/>
        </w:trPr>
        <w:tc>
          <w:tcPr>
            <w:tcW w:w="7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89"/>
              </w:rPr>
              <w:t>(Decrease)</w:t>
            </w:r>
          </w:p>
        </w:tc>
      </w:tr>
      <w:tr>
        <w:trPr>
          <w:trHeight w:val="186"/>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2021</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2020</w:t>
            </w:r>
          </w:p>
        </w:tc>
        <w:tc>
          <w:tcPr>
            <w:tcW w:w="13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6"/>
              </w:rPr>
              <w:t>%</w:t>
            </w:r>
          </w:p>
        </w:tc>
      </w:tr>
      <w:tr>
        <w:trPr>
          <w:trHeight w:val="226"/>
        </w:trPr>
        <w:tc>
          <w:tcPr>
            <w:tcW w:w="7120" w:type="dxa"/>
            <w:vAlign w:val="bottom"/>
          </w:tcPr>
          <w:p>
            <w:pPr>
              <w:ind w:left="20"/>
              <w:spacing w:after="0"/>
              <w:rPr>
                <w:sz w:val="20"/>
                <w:szCs w:val="20"/>
                <w:color w:val="auto"/>
              </w:rPr>
            </w:pPr>
            <w:r>
              <w:rPr>
                <w:rFonts w:ascii="Arial" w:cs="Arial" w:eastAsia="Arial" w:hAnsi="Arial"/>
                <w:sz w:val="18"/>
                <w:szCs w:val="18"/>
                <w:color w:val="auto"/>
              </w:rPr>
              <w:t>Cable Communications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1,929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3"/>
              <w:spacing w:after="0"/>
              <w:rPr>
                <w:sz w:val="20"/>
                <w:szCs w:val="20"/>
                <w:color w:val="auto"/>
              </w:rPr>
            </w:pPr>
            <w:r>
              <w:rPr>
                <w:rFonts w:ascii="Arial" w:cs="Arial" w:eastAsia="Arial" w:hAnsi="Arial"/>
                <w:sz w:val="18"/>
                <w:szCs w:val="18"/>
                <w:color w:val="auto"/>
              </w:rPr>
              <w:t>1,946</w:t>
            </w:r>
          </w:p>
        </w:tc>
        <w:tc>
          <w:tcPr>
            <w:tcW w:w="130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NBCUniversal</w:t>
            </w:r>
          </w:p>
        </w:tc>
        <w:tc>
          <w:tcPr>
            <w:tcW w:w="3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583</w:t>
            </w:r>
          </w:p>
        </w:tc>
        <w:tc>
          <w:tcPr>
            <w:tcW w:w="44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Arial" w:cs="Arial" w:eastAsia="Arial" w:hAnsi="Arial"/>
                <w:sz w:val="18"/>
                <w:szCs w:val="18"/>
                <w:color w:val="auto"/>
              </w:rPr>
              <w:t>566</w:t>
            </w:r>
          </w:p>
        </w:tc>
        <w:tc>
          <w:tcPr>
            <w:tcW w:w="1300" w:type="dxa"/>
            <w:vAlign w:val="bottom"/>
          </w:tcPr>
          <w:p>
            <w:pPr>
              <w:jc w:val="right"/>
              <w:ind w:right="157"/>
              <w:spacing w:after="0"/>
              <w:rPr>
                <w:sz w:val="20"/>
                <w:szCs w:val="20"/>
                <w:color w:val="auto"/>
              </w:rPr>
            </w:pPr>
            <w:r>
              <w:rPr>
                <w:rFonts w:ascii="Arial" w:cs="Arial" w:eastAsia="Arial" w:hAnsi="Arial"/>
                <w:sz w:val="18"/>
                <w:szCs w:val="18"/>
                <w:color w:val="auto"/>
              </w:rPr>
              <w:t>3.0</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Sky</w:t>
            </w:r>
          </w:p>
        </w:tc>
        <w:tc>
          <w:tcPr>
            <w:tcW w:w="30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814</w:t>
            </w:r>
          </w:p>
        </w:tc>
        <w:tc>
          <w:tcPr>
            <w:tcW w:w="440" w:type="dxa"/>
            <w:vAlign w:val="bottom"/>
          </w:tcPr>
          <w:p>
            <w:pPr>
              <w:spacing w:after="0"/>
              <w:rPr>
                <w:sz w:val="19"/>
                <w:szCs w:val="19"/>
                <w:color w:val="auto"/>
              </w:rPr>
            </w:pPr>
          </w:p>
        </w:tc>
        <w:tc>
          <w:tcPr>
            <w:tcW w:w="1100" w:type="dxa"/>
            <w:vAlign w:val="bottom"/>
          </w:tcPr>
          <w:p>
            <w:pPr>
              <w:jc w:val="right"/>
              <w:ind w:right="213"/>
              <w:spacing w:after="0"/>
              <w:rPr>
                <w:sz w:val="20"/>
                <w:szCs w:val="20"/>
                <w:color w:val="auto"/>
              </w:rPr>
            </w:pPr>
            <w:r>
              <w:rPr>
                <w:rFonts w:ascii="Arial" w:cs="Arial" w:eastAsia="Arial" w:hAnsi="Arial"/>
                <w:sz w:val="18"/>
                <w:szCs w:val="18"/>
                <w:color w:val="auto"/>
              </w:rPr>
              <w:t>718</w:t>
            </w:r>
          </w:p>
        </w:tc>
        <w:tc>
          <w:tcPr>
            <w:tcW w:w="1300" w:type="dxa"/>
            <w:vAlign w:val="bottom"/>
          </w:tcPr>
          <w:p>
            <w:pPr>
              <w:jc w:val="right"/>
              <w:ind w:right="157"/>
              <w:spacing w:after="0"/>
              <w:rPr>
                <w:sz w:val="20"/>
                <w:szCs w:val="20"/>
                <w:color w:val="auto"/>
              </w:rPr>
            </w:pPr>
            <w:r>
              <w:rPr>
                <w:rFonts w:ascii="Arial" w:cs="Arial" w:eastAsia="Arial" w:hAnsi="Arial"/>
                <w:sz w:val="18"/>
                <w:szCs w:val="18"/>
                <w:color w:val="auto"/>
              </w:rPr>
              <w:t>13.3</w:t>
            </w:r>
          </w:p>
        </w:tc>
      </w:tr>
      <w:tr>
        <w:trPr>
          <w:trHeight w:val="230"/>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36</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34</w:t>
            </w:r>
          </w:p>
        </w:tc>
        <w:tc>
          <w:tcPr>
            <w:tcW w:w="13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6.4</w:t>
            </w:r>
          </w:p>
        </w:tc>
      </w:tr>
      <w:tr>
        <w:trPr>
          <w:trHeight w:val="230"/>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Comcast Consolidated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3,362</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3,264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3.0 %</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depreciation and amortization expense increased for the three months ended March 31, 2021 primarily due to increased amortization expense at Sky due to the impact of foreign currency.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from acquisition-related intangible assets totaled $592 million and $575 million for the three months ended March 31, 2021 and 2020, respectively. Amounts primarily relate to customer relationship intangible assets recorded in connection with the Sky transaction in the fourth quarter of 2018 and the NBCUniversal transaction in 2011.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Interest Expense</w:t>
      </w:r>
    </w:p>
    <w:p>
      <w:pPr>
        <w:spacing w:after="0" w:line="7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Interest expense decreased for the three months ended March 31, 2021 compared to the same period in 2020 primarily due to a $140 million charge recorded in the prior year period related to the early redemption of senior notes, as well as lower weighted-average interest rates in the current year period.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and Other Income (Loss),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880" w:type="dxa"/>
            <w:vAlign w:val="bottom"/>
          </w:tcPr>
          <w:p>
            <w:pPr>
              <w:spacing w:after="0"/>
              <w:rPr>
                <w:sz w:val="14"/>
                <w:szCs w:val="14"/>
                <w:color w:val="auto"/>
              </w:rPr>
            </w:pPr>
          </w:p>
        </w:tc>
      </w:tr>
      <w:tr>
        <w:trPr>
          <w:trHeight w:val="183"/>
        </w:trPr>
        <w:tc>
          <w:tcPr>
            <w:tcW w:w="8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color w:val="auto"/>
              </w:rPr>
              <w:t>March 31,</w:t>
            </w:r>
          </w:p>
        </w:tc>
        <w:tc>
          <w:tcPr>
            <w:tcW w:w="880" w:type="dxa"/>
            <w:vAlign w:val="bottom"/>
            <w:tcBorders>
              <w:bottom w:val="single" w:sz="8" w:color="auto"/>
            </w:tcBorders>
          </w:tcPr>
          <w:p>
            <w:pPr>
              <w:spacing w:after="0"/>
              <w:rPr>
                <w:sz w:val="15"/>
                <w:szCs w:val="15"/>
                <w:color w:val="auto"/>
              </w:rPr>
            </w:pPr>
          </w:p>
        </w:tc>
      </w:tr>
      <w:tr>
        <w:trPr>
          <w:trHeight w:val="18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89"/>
              </w:rPr>
              <w:t>2020</w:t>
            </w:r>
          </w:p>
        </w:tc>
      </w:tr>
      <w:tr>
        <w:trPr>
          <w:trHeight w:val="226"/>
        </w:trPr>
        <w:tc>
          <w:tcPr>
            <w:tcW w:w="8240" w:type="dxa"/>
            <w:vAlign w:val="bottom"/>
          </w:tcPr>
          <w:p>
            <w:pPr>
              <w:ind w:left="20"/>
              <w:spacing w:after="0"/>
              <w:rPr>
                <w:sz w:val="20"/>
                <w:szCs w:val="20"/>
                <w:color w:val="auto"/>
              </w:rPr>
            </w:pPr>
            <w:r>
              <w:rPr>
                <w:rFonts w:ascii="Arial" w:cs="Arial" w:eastAsia="Arial" w:hAnsi="Arial"/>
                <w:sz w:val="18"/>
                <w:szCs w:val="18"/>
                <w:color w:val="auto"/>
              </w:rPr>
              <w:t>Equity in net income (losses) of investees,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136</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Realized and unrealized gains (losses) on equity securities, net</w:t>
            </w:r>
          </w:p>
        </w:tc>
        <w:tc>
          <w:tcPr>
            <w:tcW w:w="34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237</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(loss), net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17</w:t>
            </w:r>
          </w:p>
        </w:tc>
        <w:tc>
          <w:tcPr>
            <w:tcW w:w="6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investment and other income (loss),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390</w:t>
            </w:r>
          </w:p>
        </w:tc>
        <w:tc>
          <w:tcPr>
            <w:tcW w:w="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w:t>
            </w:r>
          </w:p>
        </w:tc>
      </w:tr>
    </w:tbl>
    <w:p>
      <w:pPr>
        <w:spacing w:after="0" w:line="1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change in investment and other income (loss) net for the three months ended March 31, 2021 compared to the same period in 2020 was primarily due to equity in net income (losses) of investees, net related to our investment in Atairos Group, Inc. and realized and unrealized gains (losses) on equity securities, net related to fair value adjustments for nonmarketable equity securities. The income (losses) at Atairos were driven by fair value adjustments on its underlying investments with income of $77 million and losses of $581 million for the three months ended March 31, 2021 and 2020,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Tax Expense</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tax expense for the three months ended March 31, 2021 and 2020 reflects an effective income tax rate that differs from the federal statutory rate primarily due to state and foreign income taxes and adjustments associated with uncertain tax positions. The increase in income tax expense for the three months ended March 31, 2021 compared to the same period in 2020 was primarily due to higher income before income taxes.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segment operating results are presented based on how we assess operating performance and internally report financial information. We use Adjusted EBITDA as the measure of profit or loss for our operating segments. See Note 2 for our definition of Adjusted EBITDA and a reconciliation from the aggregate amount of Adjusted EBITDA for our reportable business segments to consolidated income before income taxes.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tcPr>
          <w:p>
            <w:pPr>
              <w:jc w:val="right"/>
              <w:ind w:right="193"/>
              <w:spacing w:after="0"/>
              <w:rPr>
                <w:sz w:val="20"/>
                <w:szCs w:val="20"/>
                <w:color w:val="auto"/>
              </w:rPr>
            </w:pPr>
            <w:r>
              <w:rPr>
                <w:rFonts w:ascii="Arial" w:cs="Arial" w:eastAsia="Arial" w:hAnsi="Arial"/>
                <w:sz w:val="14"/>
                <w:szCs w:val="14"/>
                <w:color w:val="auto"/>
              </w:rPr>
              <w:t>Increase/</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3"/>
        </w:trPr>
        <w:tc>
          <w:tcPr>
            <w:tcW w:w="4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(Decrease)</w:t>
            </w: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86"/>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w w:val="96"/>
              </w:rPr>
              <w:t>2020</w:t>
            </w:r>
          </w:p>
        </w:tc>
        <w:tc>
          <w:tcPr>
            <w:tcW w:w="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29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r>
      <w:tr>
        <w:trPr>
          <w:trHeight w:val="226"/>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840" w:type="dxa"/>
            <w:vAlign w:val="bottom"/>
          </w:tcPr>
          <w:p>
            <w:pPr>
              <w:ind w:left="680"/>
              <w:spacing w:after="0"/>
              <w:rPr>
                <w:sz w:val="20"/>
                <w:szCs w:val="20"/>
                <w:color w:val="auto"/>
              </w:rPr>
            </w:pPr>
            <w:r>
              <w:rPr>
                <w:rFonts w:ascii="Arial" w:cs="Arial" w:eastAsia="Arial" w:hAnsi="Arial"/>
                <w:sz w:val="18"/>
                <w:szCs w:val="18"/>
                <w:color w:val="auto"/>
              </w:rPr>
              <w:t>Broadband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5,600</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5,001</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599</w:t>
            </w: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4840" w:type="dxa"/>
            <w:vAlign w:val="bottom"/>
          </w:tcPr>
          <w:p>
            <w:pPr>
              <w:ind w:left="680"/>
              <w:spacing w:after="0"/>
              <w:rPr>
                <w:sz w:val="20"/>
                <w:szCs w:val="20"/>
                <w:color w:val="auto"/>
              </w:rPr>
            </w:pPr>
            <w:r>
              <w:rPr>
                <w:rFonts w:ascii="Arial" w:cs="Arial" w:eastAsia="Arial" w:hAnsi="Arial"/>
                <w:sz w:val="18"/>
                <w:szCs w:val="18"/>
                <w:color w:val="auto"/>
              </w:rPr>
              <w:t>Video</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5,623</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5,632</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(9)</w:t>
            </w: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r>
      <w:tr>
        <w:trPr>
          <w:trHeight w:val="229"/>
        </w:trPr>
        <w:tc>
          <w:tcPr>
            <w:tcW w:w="4840" w:type="dxa"/>
            <w:vAlign w:val="bottom"/>
          </w:tcPr>
          <w:p>
            <w:pPr>
              <w:ind w:left="68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871</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899</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(28)</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r>
      <w:tr>
        <w:trPr>
          <w:trHeight w:val="230"/>
        </w:trPr>
        <w:tc>
          <w:tcPr>
            <w:tcW w:w="4840" w:type="dxa"/>
            <w:vAlign w:val="bottom"/>
          </w:tcPr>
          <w:p>
            <w:pPr>
              <w:ind w:left="68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513</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343</w:t>
            </w:r>
          </w:p>
        </w:tc>
        <w:tc>
          <w:tcPr>
            <w:tcW w:w="520" w:type="dxa"/>
            <w:vAlign w:val="bottom"/>
          </w:tcPr>
          <w:p>
            <w:pPr>
              <w:spacing w:after="0"/>
              <w:rPr>
                <w:sz w:val="19"/>
                <w:szCs w:val="19"/>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170</w:t>
            </w:r>
          </w:p>
        </w:tc>
        <w:tc>
          <w:tcPr>
            <w:tcW w:w="880" w:type="dxa"/>
            <w:vAlign w:val="bottom"/>
          </w:tcPr>
          <w:p>
            <w:pPr>
              <w:jc w:val="right"/>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19"/>
                <w:szCs w:val="19"/>
                <w:color w:val="auto"/>
              </w:rPr>
            </w:pP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2,167</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2,043</w:t>
            </w:r>
          </w:p>
        </w:tc>
        <w:tc>
          <w:tcPr>
            <w:tcW w:w="520" w:type="dxa"/>
            <w:vAlign w:val="bottom"/>
          </w:tcPr>
          <w:p>
            <w:pPr>
              <w:spacing w:after="0"/>
              <w:rPr>
                <w:sz w:val="19"/>
                <w:szCs w:val="19"/>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124</w:t>
            </w: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618</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557</w:t>
            </w:r>
          </w:p>
        </w:tc>
        <w:tc>
          <w:tcPr>
            <w:tcW w:w="520" w:type="dxa"/>
            <w:vAlign w:val="bottom"/>
          </w:tcPr>
          <w:p>
            <w:pPr>
              <w:spacing w:after="0"/>
              <w:rPr>
                <w:sz w:val="19"/>
                <w:szCs w:val="19"/>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61</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9"/>
                <w:szCs w:val="19"/>
                <w:color w:val="auto"/>
              </w:rPr>
            </w:pPr>
          </w:p>
        </w:tc>
      </w:tr>
      <w:tr>
        <w:trPr>
          <w:trHeight w:val="230"/>
        </w:trPr>
        <w:tc>
          <w:tcPr>
            <w:tcW w:w="4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413</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443</w:t>
            </w: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auto"/>
            </w:tcBorders>
          </w:tcPr>
          <w:p>
            <w:pPr>
              <w:spacing w:after="0"/>
              <w:rPr>
                <w:sz w:val="20"/>
                <w:szCs w:val="20"/>
                <w:color w:val="auto"/>
              </w:rPr>
            </w:pPr>
          </w:p>
        </w:tc>
      </w:tr>
      <w:tr>
        <w:trPr>
          <w:trHeight w:val="218"/>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15,805</w:t>
            </w:r>
          </w:p>
        </w:tc>
        <w:tc>
          <w:tcPr>
            <w:tcW w:w="66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b w:val="1"/>
                <w:bCs w:val="1"/>
                <w:color w:val="auto"/>
              </w:rPr>
              <w:t>14,918</w:t>
            </w:r>
          </w:p>
        </w:tc>
        <w:tc>
          <w:tcPr>
            <w:tcW w:w="520" w:type="dxa"/>
            <w:vAlign w:val="bottom"/>
          </w:tcPr>
          <w:p>
            <w:pPr>
              <w:spacing w:after="0"/>
              <w:rPr>
                <w:sz w:val="18"/>
                <w:szCs w:val="18"/>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b w:val="1"/>
                <w:bCs w:val="1"/>
                <w:color w:val="auto"/>
              </w:rPr>
              <w:t>887</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80" w:type="dxa"/>
            <w:vAlign w:val="bottom"/>
          </w:tcPr>
          <w:p>
            <w:pPr>
              <w:spacing w:after="0"/>
              <w:rPr>
                <w:sz w:val="18"/>
                <w:szCs w:val="18"/>
                <w:color w:val="auto"/>
              </w:rPr>
            </w:pPr>
          </w:p>
        </w:tc>
      </w:tr>
      <w:tr>
        <w:trPr>
          <w:trHeight w:val="233"/>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Programming</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3,670</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3,479</w:t>
            </w:r>
          </w:p>
        </w:tc>
        <w:tc>
          <w:tcPr>
            <w:tcW w:w="520" w:type="dxa"/>
            <w:vAlign w:val="bottom"/>
          </w:tcPr>
          <w:p>
            <w:pPr>
              <w:spacing w:after="0"/>
              <w:rPr>
                <w:sz w:val="19"/>
                <w:szCs w:val="19"/>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191</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Technical and product support</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2,021</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2,012</w:t>
            </w:r>
          </w:p>
        </w:tc>
        <w:tc>
          <w:tcPr>
            <w:tcW w:w="520" w:type="dxa"/>
            <w:vAlign w:val="bottom"/>
          </w:tcPr>
          <w:p>
            <w:pPr>
              <w:spacing w:after="0"/>
              <w:rPr>
                <w:sz w:val="19"/>
                <w:szCs w:val="19"/>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9</w:t>
            </w: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Customer service</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602</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637</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(35)</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905</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954</w:t>
            </w:r>
          </w:p>
        </w:tc>
        <w:tc>
          <w:tcPr>
            <w:tcW w:w="520" w:type="dxa"/>
            <w:vAlign w:val="bottom"/>
          </w:tcPr>
          <w:p>
            <w:pPr>
              <w:spacing w:after="0"/>
              <w:rPr>
                <w:sz w:val="19"/>
                <w:szCs w:val="19"/>
                <w:color w:val="auto"/>
              </w:rPr>
            </w:pPr>
          </w:p>
        </w:tc>
        <w:tc>
          <w:tcPr>
            <w:tcW w:w="1740" w:type="dxa"/>
            <w:vAlign w:val="bottom"/>
          </w:tcPr>
          <w:p>
            <w:pPr>
              <w:jc w:val="right"/>
              <w:ind w:right="653"/>
              <w:spacing w:after="0"/>
              <w:rPr>
                <w:sz w:val="20"/>
                <w:szCs w:val="20"/>
                <w:color w:val="auto"/>
              </w:rPr>
            </w:pPr>
            <w:r>
              <w:rPr>
                <w:rFonts w:ascii="Arial" w:cs="Arial" w:eastAsia="Arial" w:hAnsi="Arial"/>
                <w:sz w:val="18"/>
                <w:szCs w:val="18"/>
                <w:color w:val="auto"/>
              </w:rPr>
              <w:t>(49)</w:t>
            </w: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Franchise and other regulatory fees</w:t>
            </w:r>
          </w:p>
        </w:tc>
        <w:tc>
          <w:tcPr>
            <w:tcW w:w="34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501</w:t>
            </w:r>
          </w:p>
        </w:tc>
        <w:tc>
          <w:tcPr>
            <w:tcW w:w="660" w:type="dxa"/>
            <w:vAlign w:val="bottom"/>
          </w:tcPr>
          <w:p>
            <w:pPr>
              <w:spacing w:after="0"/>
              <w:rPr>
                <w:sz w:val="19"/>
                <w:szCs w:val="19"/>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406</w:t>
            </w:r>
          </w:p>
        </w:tc>
        <w:tc>
          <w:tcPr>
            <w:tcW w:w="520" w:type="dxa"/>
            <w:vAlign w:val="bottom"/>
          </w:tcPr>
          <w:p>
            <w:pPr>
              <w:spacing w:after="0"/>
              <w:rPr>
                <w:sz w:val="19"/>
                <w:szCs w:val="19"/>
                <w:color w:val="auto"/>
              </w:rPr>
            </w:pPr>
          </w:p>
        </w:tc>
        <w:tc>
          <w:tcPr>
            <w:tcW w:w="1740" w:type="dxa"/>
            <w:vAlign w:val="bottom"/>
          </w:tcPr>
          <w:p>
            <w:pPr>
              <w:jc w:val="right"/>
              <w:ind w:right="713"/>
              <w:spacing w:after="0"/>
              <w:rPr>
                <w:sz w:val="20"/>
                <w:szCs w:val="20"/>
                <w:color w:val="auto"/>
              </w:rPr>
            </w:pPr>
            <w:r>
              <w:rPr>
                <w:rFonts w:ascii="Arial" w:cs="Arial" w:eastAsia="Arial" w:hAnsi="Arial"/>
                <w:sz w:val="18"/>
                <w:szCs w:val="18"/>
                <w:color w:val="auto"/>
              </w:rPr>
              <w:t>95</w:t>
            </w:r>
          </w:p>
        </w:tc>
        <w:tc>
          <w:tcPr>
            <w:tcW w:w="880" w:type="dxa"/>
            <w:vAlign w:val="bottom"/>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9"/>
                <w:szCs w:val="19"/>
                <w:color w:val="auto"/>
              </w:rPr>
            </w:pPr>
          </w:p>
        </w:tc>
      </w:tr>
      <w:tr>
        <w:trPr>
          <w:trHeight w:val="230"/>
        </w:trPr>
        <w:tc>
          <w:tcPr>
            <w:tcW w:w="48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1,276</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1,354</w:t>
            </w: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rPr>
              <w:t>(78)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auto"/>
            </w:tcBorders>
          </w:tcPr>
          <w:p>
            <w:pPr>
              <w:spacing w:after="0"/>
              <w:rPr>
                <w:sz w:val="20"/>
                <w:szCs w:val="20"/>
                <w:color w:val="auto"/>
              </w:rPr>
            </w:pP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8,975</w:t>
            </w: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8,842</w:t>
            </w:r>
          </w:p>
        </w:tc>
        <w:tc>
          <w:tcPr>
            <w:tcW w:w="5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rPr>
              <w:t>133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rPr>
                <w:sz w:val="19"/>
                <w:szCs w:val="19"/>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6,830</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6,076</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b w:val="1"/>
                <w:bCs w:val="1"/>
                <w:color w:val="auto"/>
              </w:rPr>
              <w:t>754</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12.4 %</w:t>
            </w:r>
          </w:p>
        </w:tc>
      </w:tr>
      <w:tr>
        <w:trPr>
          <w:trHeight w:val="918"/>
        </w:trPr>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13"/>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484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74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Net Additions</w:t>
            </w:r>
          </w:p>
        </w:tc>
        <w:tc>
          <w:tcPr>
            <w:tcW w:w="0" w:type="dxa"/>
            <w:vAlign w:val="bottom"/>
          </w:tcPr>
          <w:p>
            <w:pPr>
              <w:spacing w:after="0"/>
              <w:rPr>
                <w:sz w:val="1"/>
                <w:szCs w:val="1"/>
                <w:color w:val="auto"/>
              </w:rPr>
            </w:pPr>
          </w:p>
        </w:tc>
      </w:tr>
      <w:tr>
        <w:trPr>
          <w:trHeight w:val="135"/>
        </w:trPr>
        <w:tc>
          <w:tcPr>
            <w:tcW w:w="708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March 31,</w:t>
            </w:r>
          </w:p>
        </w:tc>
        <w:tc>
          <w:tcPr>
            <w:tcW w:w="700" w:type="dxa"/>
            <w:vAlign w:val="bottom"/>
          </w:tcPr>
          <w:p>
            <w:pPr>
              <w:spacing w:after="0"/>
              <w:rPr>
                <w:sz w:val="11"/>
                <w:szCs w:val="11"/>
                <w:color w:val="auto"/>
              </w:rPr>
            </w:pPr>
          </w:p>
        </w:tc>
        <w:tc>
          <w:tcPr>
            <w:tcW w:w="208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83"/>
        </w:trPr>
        <w:tc>
          <w:tcPr>
            <w:tcW w:w="708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left="614"/>
              <w:spacing w:after="0"/>
              <w:rPr>
                <w:sz w:val="20"/>
                <w:szCs w:val="20"/>
                <w:color w:val="auto"/>
              </w:rPr>
            </w:pPr>
            <w:r>
              <w:rPr>
                <w:rFonts w:ascii="Arial" w:cs="Arial" w:eastAsia="Arial" w:hAnsi="Arial"/>
                <w:sz w:val="14"/>
                <w:szCs w:val="14"/>
                <w:color w:val="auto"/>
                <w:w w:val="96"/>
              </w:rPr>
              <w:t>March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2021</w:t>
            </w:r>
          </w:p>
        </w:tc>
        <w:tc>
          <w:tcPr>
            <w:tcW w:w="7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w w:val="96"/>
              </w:rPr>
              <w:t>2020</w:t>
            </w: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2021</w:t>
            </w:r>
          </w:p>
        </w:tc>
        <w:tc>
          <w:tcPr>
            <w:tcW w:w="7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226"/>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Customer relationships</w:t>
            </w: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Residential customer relationships</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31,062</w:t>
            </w:r>
          </w:p>
        </w:tc>
        <w:tc>
          <w:tcPr>
            <w:tcW w:w="700" w:type="dxa"/>
            <w:vAlign w:val="bottom"/>
          </w:tcPr>
          <w:p>
            <w:pPr>
              <w:jc w:val="right"/>
              <w:spacing w:after="0"/>
              <w:rPr>
                <w:sz w:val="20"/>
                <w:szCs w:val="20"/>
                <w:color w:val="auto"/>
              </w:rPr>
            </w:pPr>
            <w:r>
              <w:rPr>
                <w:rFonts w:ascii="Arial" w:cs="Arial" w:eastAsia="Arial" w:hAnsi="Arial"/>
                <w:sz w:val="18"/>
                <w:szCs w:val="18"/>
                <w:color w:val="auto"/>
              </w:rPr>
              <w:t>29,483</w:t>
            </w:r>
          </w:p>
        </w:tc>
        <w:tc>
          <w:tcPr>
            <w:tcW w:w="1380" w:type="dxa"/>
            <w:vAlign w:val="bottom"/>
          </w:tcPr>
          <w:p>
            <w:pPr>
              <w:jc w:val="right"/>
              <w:ind w:right="334"/>
              <w:spacing w:after="0"/>
              <w:rPr>
                <w:sz w:val="20"/>
                <w:szCs w:val="20"/>
                <w:color w:val="auto"/>
              </w:rPr>
            </w:pPr>
            <w:r>
              <w:rPr>
                <w:rFonts w:ascii="Arial" w:cs="Arial" w:eastAsia="Arial" w:hAnsi="Arial"/>
                <w:sz w:val="18"/>
                <w:szCs w:val="18"/>
                <w:color w:val="auto"/>
              </w:rPr>
              <w:t>370</w:t>
            </w:r>
          </w:p>
        </w:tc>
        <w:tc>
          <w:tcPr>
            <w:tcW w:w="70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rPr>
              <w:t>Business services customer relationships</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2,437</w:t>
            </w:r>
          </w:p>
        </w:tc>
        <w:tc>
          <w:tcPr>
            <w:tcW w:w="700" w:type="dxa"/>
            <w:vAlign w:val="bottom"/>
          </w:tcPr>
          <w:p>
            <w:pPr>
              <w:jc w:val="right"/>
              <w:spacing w:after="0"/>
              <w:rPr>
                <w:sz w:val="20"/>
                <w:szCs w:val="20"/>
                <w:color w:val="auto"/>
              </w:rPr>
            </w:pPr>
            <w:r>
              <w:rPr>
                <w:rFonts w:ascii="Arial" w:cs="Arial" w:eastAsia="Arial" w:hAnsi="Arial"/>
                <w:sz w:val="18"/>
                <w:szCs w:val="18"/>
                <w:color w:val="auto"/>
              </w:rPr>
              <w:t>2,408</w:t>
            </w:r>
          </w:p>
        </w:tc>
        <w:tc>
          <w:tcPr>
            <w:tcW w:w="1380" w:type="dxa"/>
            <w:vAlign w:val="bottom"/>
          </w:tcPr>
          <w:p>
            <w:pPr>
              <w:jc w:val="right"/>
              <w:ind w:right="334"/>
              <w:spacing w:after="0"/>
              <w:rPr>
                <w:sz w:val="20"/>
                <w:szCs w:val="20"/>
                <w:color w:val="auto"/>
              </w:rPr>
            </w:pPr>
            <w:r>
              <w:rPr>
                <w:rFonts w:ascii="Arial" w:cs="Arial" w:eastAsia="Arial" w:hAnsi="Arial"/>
                <w:sz w:val="18"/>
                <w:szCs w:val="18"/>
                <w:color w:val="auto"/>
              </w:rPr>
              <w:t>11</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customer relationships</w:t>
            </w:r>
          </w:p>
        </w:tc>
        <w:tc>
          <w:tcPr>
            <w:tcW w:w="13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33,499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31,891</w:t>
            </w: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380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Residential customer relationships mix</w:t>
            </w: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rPr>
              <w:t>One product customers</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12,997</w:t>
            </w:r>
          </w:p>
        </w:tc>
        <w:tc>
          <w:tcPr>
            <w:tcW w:w="700" w:type="dxa"/>
            <w:vAlign w:val="bottom"/>
          </w:tcPr>
          <w:p>
            <w:pPr>
              <w:jc w:val="right"/>
              <w:spacing w:after="0"/>
              <w:rPr>
                <w:sz w:val="20"/>
                <w:szCs w:val="20"/>
                <w:color w:val="auto"/>
              </w:rPr>
            </w:pPr>
            <w:r>
              <w:rPr>
                <w:rFonts w:ascii="Arial" w:cs="Arial" w:eastAsia="Arial" w:hAnsi="Arial"/>
                <w:sz w:val="18"/>
                <w:szCs w:val="18"/>
                <w:color w:val="auto"/>
              </w:rPr>
              <w:t>10,775</w:t>
            </w:r>
          </w:p>
        </w:tc>
        <w:tc>
          <w:tcPr>
            <w:tcW w:w="1380" w:type="dxa"/>
            <w:vAlign w:val="bottom"/>
          </w:tcPr>
          <w:p>
            <w:pPr>
              <w:jc w:val="right"/>
              <w:ind w:right="334"/>
              <w:spacing w:after="0"/>
              <w:rPr>
                <w:sz w:val="20"/>
                <w:szCs w:val="20"/>
                <w:color w:val="auto"/>
              </w:rPr>
            </w:pPr>
            <w:r>
              <w:rPr>
                <w:rFonts w:ascii="Arial" w:cs="Arial" w:eastAsia="Arial" w:hAnsi="Arial"/>
                <w:sz w:val="18"/>
                <w:szCs w:val="18"/>
                <w:color w:val="auto"/>
              </w:rPr>
              <w:t>589</w:t>
            </w:r>
          </w:p>
        </w:tc>
        <w:tc>
          <w:tcPr>
            <w:tcW w:w="700" w:type="dxa"/>
            <w:vAlign w:val="bottom"/>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Two product customers</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8,645</w:t>
            </w:r>
          </w:p>
        </w:tc>
        <w:tc>
          <w:tcPr>
            <w:tcW w:w="700" w:type="dxa"/>
            <w:vAlign w:val="bottom"/>
          </w:tcPr>
          <w:p>
            <w:pPr>
              <w:jc w:val="right"/>
              <w:spacing w:after="0"/>
              <w:rPr>
                <w:sz w:val="20"/>
                <w:szCs w:val="20"/>
                <w:color w:val="auto"/>
              </w:rPr>
            </w:pPr>
            <w:r>
              <w:rPr>
                <w:rFonts w:ascii="Arial" w:cs="Arial" w:eastAsia="Arial" w:hAnsi="Arial"/>
                <w:sz w:val="18"/>
                <w:szCs w:val="18"/>
                <w:color w:val="auto"/>
              </w:rPr>
              <w:t>8,848</w:t>
            </w:r>
          </w:p>
        </w:tc>
        <w:tc>
          <w:tcPr>
            <w:tcW w:w="1380" w:type="dxa"/>
            <w:vAlign w:val="bottom"/>
          </w:tcPr>
          <w:p>
            <w:pPr>
              <w:jc w:val="right"/>
              <w:ind w:right="274"/>
              <w:spacing w:after="0"/>
              <w:rPr>
                <w:sz w:val="20"/>
                <w:szCs w:val="20"/>
                <w:color w:val="auto"/>
              </w:rPr>
            </w:pPr>
            <w:r>
              <w:rPr>
                <w:rFonts w:ascii="Arial" w:cs="Arial" w:eastAsia="Arial" w:hAnsi="Arial"/>
                <w:sz w:val="18"/>
                <w:szCs w:val="18"/>
                <w:color w:val="auto"/>
              </w:rPr>
              <w:t>(89)</w:t>
            </w: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Three or more product customers</w:t>
            </w:r>
          </w:p>
        </w:tc>
        <w:tc>
          <w:tcPr>
            <w:tcW w:w="13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9,420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w:t>
            </w:r>
          </w:p>
        </w:tc>
        <w:tc>
          <w:tcPr>
            <w:tcW w:w="13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(130)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Broadband</w:t>
            </w: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28,774</w:t>
            </w:r>
          </w:p>
        </w:tc>
        <w:tc>
          <w:tcPr>
            <w:tcW w:w="700" w:type="dxa"/>
            <w:vAlign w:val="bottom"/>
          </w:tcPr>
          <w:p>
            <w:pPr>
              <w:jc w:val="right"/>
              <w:spacing w:after="0"/>
              <w:rPr>
                <w:sz w:val="20"/>
                <w:szCs w:val="20"/>
                <w:color w:val="auto"/>
              </w:rPr>
            </w:pPr>
            <w:r>
              <w:rPr>
                <w:rFonts w:ascii="Arial" w:cs="Arial" w:eastAsia="Arial" w:hAnsi="Arial"/>
                <w:sz w:val="18"/>
                <w:szCs w:val="18"/>
                <w:color w:val="auto"/>
              </w:rPr>
              <w:t>26,854</w:t>
            </w:r>
          </w:p>
        </w:tc>
        <w:tc>
          <w:tcPr>
            <w:tcW w:w="1380" w:type="dxa"/>
            <w:vAlign w:val="bottom"/>
          </w:tcPr>
          <w:p>
            <w:pPr>
              <w:jc w:val="right"/>
              <w:ind w:right="334"/>
              <w:spacing w:after="0"/>
              <w:rPr>
                <w:sz w:val="20"/>
                <w:szCs w:val="20"/>
                <w:color w:val="auto"/>
              </w:rPr>
            </w:pPr>
            <w:r>
              <w:rPr>
                <w:rFonts w:ascii="Arial" w:cs="Arial" w:eastAsia="Arial" w:hAnsi="Arial"/>
                <w:sz w:val="18"/>
                <w:szCs w:val="18"/>
                <w:color w:val="auto"/>
              </w:rPr>
              <w:t>448</w:t>
            </w:r>
          </w:p>
        </w:tc>
        <w:tc>
          <w:tcPr>
            <w:tcW w:w="70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Business services customers</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2,261</w:t>
            </w:r>
          </w:p>
        </w:tc>
        <w:tc>
          <w:tcPr>
            <w:tcW w:w="700" w:type="dxa"/>
            <w:vAlign w:val="bottom"/>
          </w:tcPr>
          <w:p>
            <w:pPr>
              <w:jc w:val="right"/>
              <w:spacing w:after="0"/>
              <w:rPr>
                <w:sz w:val="20"/>
                <w:szCs w:val="20"/>
                <w:color w:val="auto"/>
              </w:rPr>
            </w:pPr>
            <w:r>
              <w:rPr>
                <w:rFonts w:ascii="Arial" w:cs="Arial" w:eastAsia="Arial" w:hAnsi="Arial"/>
                <w:sz w:val="18"/>
                <w:szCs w:val="18"/>
                <w:color w:val="auto"/>
              </w:rPr>
              <w:t>2,226</w:t>
            </w:r>
          </w:p>
        </w:tc>
        <w:tc>
          <w:tcPr>
            <w:tcW w:w="1380" w:type="dxa"/>
            <w:vAlign w:val="bottom"/>
          </w:tcPr>
          <w:p>
            <w:pPr>
              <w:jc w:val="right"/>
              <w:ind w:right="334"/>
              <w:spacing w:after="0"/>
              <w:rPr>
                <w:sz w:val="20"/>
                <w:szCs w:val="20"/>
                <w:color w:val="auto"/>
              </w:rPr>
            </w:pPr>
            <w:r>
              <w:rPr>
                <w:rFonts w:ascii="Arial" w:cs="Arial" w:eastAsia="Arial" w:hAnsi="Arial"/>
                <w:sz w:val="18"/>
                <w:szCs w:val="18"/>
                <w:color w:val="auto"/>
              </w:rPr>
              <w:t>12</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broadband customers</w:t>
            </w:r>
          </w:p>
        </w:tc>
        <w:tc>
          <w:tcPr>
            <w:tcW w:w="13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31,034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29,080</w:t>
            </w: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461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Video</w:t>
            </w: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18,590</w:t>
            </w:r>
          </w:p>
        </w:tc>
        <w:tc>
          <w:tcPr>
            <w:tcW w:w="700" w:type="dxa"/>
            <w:vAlign w:val="bottom"/>
          </w:tcPr>
          <w:p>
            <w:pPr>
              <w:jc w:val="right"/>
              <w:spacing w:after="0"/>
              <w:rPr>
                <w:sz w:val="20"/>
                <w:szCs w:val="20"/>
                <w:color w:val="auto"/>
              </w:rPr>
            </w:pPr>
            <w:r>
              <w:rPr>
                <w:rFonts w:ascii="Arial" w:cs="Arial" w:eastAsia="Arial" w:hAnsi="Arial"/>
                <w:sz w:val="18"/>
                <w:szCs w:val="18"/>
                <w:color w:val="auto"/>
              </w:rPr>
              <w:t>19,900</w:t>
            </w:r>
          </w:p>
        </w:tc>
        <w:tc>
          <w:tcPr>
            <w:tcW w:w="1380" w:type="dxa"/>
            <w:vAlign w:val="bottom"/>
          </w:tcPr>
          <w:p>
            <w:pPr>
              <w:jc w:val="right"/>
              <w:ind w:right="274"/>
              <w:spacing w:after="0"/>
              <w:rPr>
                <w:sz w:val="20"/>
                <w:szCs w:val="20"/>
                <w:color w:val="auto"/>
              </w:rPr>
            </w:pPr>
            <w:r>
              <w:rPr>
                <w:rFonts w:ascii="Arial" w:cs="Arial" w:eastAsia="Arial" w:hAnsi="Arial"/>
                <w:sz w:val="18"/>
                <w:szCs w:val="18"/>
                <w:color w:val="auto"/>
              </w:rPr>
              <w:t>(404)</w:t>
            </w:r>
          </w:p>
        </w:tc>
        <w:tc>
          <w:tcPr>
            <w:tcW w:w="70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rPr>
              <w:t>Business services customers</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765</w:t>
            </w:r>
          </w:p>
        </w:tc>
        <w:tc>
          <w:tcPr>
            <w:tcW w:w="700" w:type="dxa"/>
            <w:vAlign w:val="bottom"/>
          </w:tcPr>
          <w:p>
            <w:pPr>
              <w:jc w:val="right"/>
              <w:spacing w:after="0"/>
              <w:rPr>
                <w:sz w:val="20"/>
                <w:szCs w:val="20"/>
                <w:color w:val="auto"/>
              </w:rPr>
            </w:pPr>
            <w:r>
              <w:rPr>
                <w:rFonts w:ascii="Arial" w:cs="Arial" w:eastAsia="Arial" w:hAnsi="Arial"/>
                <w:sz w:val="18"/>
                <w:szCs w:val="18"/>
                <w:color w:val="auto"/>
              </w:rPr>
              <w:t>944</w:t>
            </w:r>
          </w:p>
        </w:tc>
        <w:tc>
          <w:tcPr>
            <w:tcW w:w="1380" w:type="dxa"/>
            <w:vAlign w:val="bottom"/>
          </w:tcPr>
          <w:p>
            <w:pPr>
              <w:jc w:val="right"/>
              <w:ind w:right="274"/>
              <w:spacing w:after="0"/>
              <w:rPr>
                <w:sz w:val="20"/>
                <w:szCs w:val="20"/>
                <w:color w:val="auto"/>
              </w:rPr>
            </w:pPr>
            <w:r>
              <w:rPr>
                <w:rFonts w:ascii="Arial" w:cs="Arial" w:eastAsia="Arial" w:hAnsi="Arial"/>
                <w:sz w:val="18"/>
                <w:szCs w:val="18"/>
                <w:color w:val="auto"/>
              </w:rPr>
              <w:t>(87)</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video customers</w:t>
            </w:r>
          </w:p>
        </w:tc>
        <w:tc>
          <w:tcPr>
            <w:tcW w:w="13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19,355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20,845</w:t>
            </w:r>
          </w:p>
        </w:tc>
        <w:tc>
          <w:tcPr>
            <w:tcW w:w="13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(491)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Voice</w:t>
            </w: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Residential customers</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9,533</w:t>
            </w:r>
          </w:p>
        </w:tc>
        <w:tc>
          <w:tcPr>
            <w:tcW w:w="700" w:type="dxa"/>
            <w:vAlign w:val="bottom"/>
          </w:tcPr>
          <w:p>
            <w:pPr>
              <w:jc w:val="right"/>
              <w:spacing w:after="0"/>
              <w:rPr>
                <w:sz w:val="20"/>
                <w:szCs w:val="20"/>
                <w:color w:val="auto"/>
              </w:rPr>
            </w:pPr>
            <w:r>
              <w:rPr>
                <w:rFonts w:ascii="Arial" w:cs="Arial" w:eastAsia="Arial" w:hAnsi="Arial"/>
                <w:sz w:val="18"/>
                <w:szCs w:val="18"/>
                <w:color w:val="auto"/>
              </w:rPr>
              <w:t>9,840</w:t>
            </w:r>
          </w:p>
        </w:tc>
        <w:tc>
          <w:tcPr>
            <w:tcW w:w="1380" w:type="dxa"/>
            <w:vAlign w:val="bottom"/>
          </w:tcPr>
          <w:p>
            <w:pPr>
              <w:jc w:val="right"/>
              <w:ind w:right="274"/>
              <w:spacing w:after="0"/>
              <w:rPr>
                <w:sz w:val="20"/>
                <w:szCs w:val="20"/>
                <w:color w:val="auto"/>
              </w:rPr>
            </w:pPr>
            <w:r>
              <w:rPr>
                <w:rFonts w:ascii="Arial" w:cs="Arial" w:eastAsia="Arial" w:hAnsi="Arial"/>
                <w:sz w:val="18"/>
                <w:szCs w:val="18"/>
                <w:color w:val="auto"/>
              </w:rPr>
              <w:t>(112)</w:t>
            </w: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7080" w:type="dxa"/>
            <w:vAlign w:val="bottom"/>
          </w:tcPr>
          <w:p>
            <w:pPr>
              <w:ind w:left="180"/>
              <w:spacing w:after="0"/>
              <w:rPr>
                <w:sz w:val="20"/>
                <w:szCs w:val="20"/>
                <w:color w:val="auto"/>
              </w:rPr>
            </w:pPr>
            <w:r>
              <w:rPr>
                <w:rFonts w:ascii="Arial" w:cs="Arial" w:eastAsia="Arial" w:hAnsi="Arial"/>
                <w:sz w:val="18"/>
                <w:szCs w:val="18"/>
                <w:color w:val="auto"/>
              </w:rPr>
              <w:t>Business services customers</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1,363</w:t>
            </w:r>
          </w:p>
        </w:tc>
        <w:tc>
          <w:tcPr>
            <w:tcW w:w="700" w:type="dxa"/>
            <w:vAlign w:val="bottom"/>
          </w:tcPr>
          <w:p>
            <w:pPr>
              <w:jc w:val="right"/>
              <w:spacing w:after="0"/>
              <w:rPr>
                <w:sz w:val="20"/>
                <w:szCs w:val="20"/>
                <w:color w:val="auto"/>
              </w:rPr>
            </w:pPr>
            <w:r>
              <w:rPr>
                <w:rFonts w:ascii="Arial" w:cs="Arial" w:eastAsia="Arial" w:hAnsi="Arial"/>
                <w:sz w:val="18"/>
                <w:szCs w:val="18"/>
                <w:color w:val="auto"/>
              </w:rPr>
              <w:t>1,347</w:t>
            </w:r>
          </w:p>
        </w:tc>
        <w:tc>
          <w:tcPr>
            <w:tcW w:w="1380" w:type="dxa"/>
            <w:vAlign w:val="bottom"/>
          </w:tcPr>
          <w:p>
            <w:pPr>
              <w:jc w:val="right"/>
              <w:ind w:right="334"/>
              <w:spacing w:after="0"/>
              <w:rPr>
                <w:sz w:val="20"/>
                <w:szCs w:val="20"/>
                <w:color w:val="auto"/>
              </w:rPr>
            </w:pPr>
            <w:r>
              <w:rPr>
                <w:rFonts w:ascii="Arial" w:cs="Arial" w:eastAsia="Arial" w:hAnsi="Arial"/>
                <w:sz w:val="18"/>
                <w:szCs w:val="18"/>
                <w:color w:val="auto"/>
              </w:rPr>
              <w:t>6</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voice customers</w:t>
            </w:r>
          </w:p>
        </w:tc>
        <w:tc>
          <w:tcPr>
            <w:tcW w:w="13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10,896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11,187</w:t>
            </w:r>
          </w:p>
        </w:tc>
        <w:tc>
          <w:tcPr>
            <w:tcW w:w="138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(106)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2"/>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Wireless</w:t>
            </w: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Wireless lines</w:t>
            </w:r>
          </w:p>
        </w:tc>
        <w:tc>
          <w:tcPr>
            <w:tcW w:w="13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3,103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138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278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Customer metrics are presented based on actual amounts. Minor differences may exist due to rounding. Customer relationships represent the number of residential and business customers that subscribe to at least one of our services. One product, two product, and three or more product customers represent residential customers that subscribe to one, two, or three or more of our services, respectively. For multiple dwelling units (“MDUs”), including buildings located on college campuses, whose residents have the ability to receive additional services, such as additional programming choices or our high-definition video (“HD”) or digital video recorder (“DVR”) services, we count and report customers based on the number of potential billable relationships within each MDU. For MDUs whose residents are not able to receive additional services, the MDU is counted as a single customer. Residential broadband and video customer metrics include certain customers that have prepaid for services. Business customers are generally counted based on the number of locations receiving services within our distribution system, with certain offerings such as Ethernet network services counted as individual customer relationships. Wireless lines represent the number of activated, eligible wireless devices on customers’ accounts. Individual customer relationships may have multiple wireless lines. Customer metrics for 2021 and 2020 do not include customers in the free Internet Essentials offer or certain high-risk customers who continued to receive service following nonpayment (refer to “Impacts of COVID-19” for further discussion). Total residential customer relationships and broadband customers were updated in the first quarter of 2021 due to a conforming change to methodology, resulting in a reduction of approximately 26,000 customers. There was no impact to net additions and information for all periods presented have been recast on a comparable basis.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500" w:type="dxa"/>
            <w:vAlign w:val="bottom"/>
            <w:vMerge w:val="restart"/>
          </w:tcPr>
          <w:p>
            <w:pPr>
              <w:jc w:val="right"/>
              <w:ind w:right="139"/>
              <w:spacing w:after="0"/>
              <w:rPr>
                <w:sz w:val="20"/>
                <w:szCs w:val="20"/>
                <w:color w:val="auto"/>
              </w:rPr>
            </w:pPr>
            <w:r>
              <w:rPr>
                <w:rFonts w:ascii="Arial" w:cs="Arial" w:eastAsia="Arial" w:hAnsi="Arial"/>
                <w:sz w:val="14"/>
                <w:szCs w:val="14"/>
                <w:color w:val="auto"/>
                <w:w w:val="99"/>
              </w:rPr>
              <w:t>Increase/(Decrease)</w:t>
            </w:r>
          </w:p>
        </w:tc>
        <w:tc>
          <w:tcPr>
            <w:tcW w:w="0" w:type="dxa"/>
            <w:vAlign w:val="bottom"/>
          </w:tcPr>
          <w:p>
            <w:pPr>
              <w:spacing w:after="0"/>
              <w:rPr>
                <w:sz w:val="1"/>
                <w:szCs w:val="1"/>
                <w:color w:val="auto"/>
              </w:rPr>
            </w:pPr>
          </w:p>
        </w:tc>
      </w:tr>
      <w:tr>
        <w:trPr>
          <w:trHeight w:val="186"/>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w w:val="96"/>
              </w:rPr>
              <w:t>2020</w:t>
            </w: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6620" w:type="dxa"/>
            <w:vAlign w:val="bottom"/>
          </w:tcPr>
          <w:p>
            <w:pPr>
              <w:ind w:left="20"/>
              <w:spacing w:after="0"/>
              <w:rPr>
                <w:sz w:val="20"/>
                <w:szCs w:val="20"/>
                <w:color w:val="auto"/>
              </w:rPr>
            </w:pPr>
            <w:r>
              <w:rPr>
                <w:rFonts w:ascii="Arial" w:cs="Arial" w:eastAsia="Arial" w:hAnsi="Arial"/>
                <w:sz w:val="18"/>
                <w:szCs w:val="18"/>
                <w:color w:val="auto"/>
              </w:rPr>
              <w:t>Average monthly total revenue per customer relationship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81"/>
              <w:spacing w:after="0"/>
              <w:rPr>
                <w:sz w:val="20"/>
                <w:szCs w:val="20"/>
                <w:color w:val="auto"/>
              </w:rPr>
            </w:pPr>
            <w:r>
              <w:rPr>
                <w:rFonts w:ascii="Arial" w:cs="Arial" w:eastAsia="Arial" w:hAnsi="Arial"/>
                <w:sz w:val="18"/>
                <w:szCs w:val="18"/>
                <w:color w:val="auto"/>
              </w:rPr>
              <w:t>158.17</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156.84</w:t>
            </w:r>
          </w:p>
        </w:tc>
        <w:tc>
          <w:tcPr>
            <w:tcW w:w="150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 monthly Adjusted EBITDA per customer relationship</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color w:val="auto"/>
              </w:rPr>
              <w:t>68.35</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63.88</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monthly total revenue per customer relationship is impacted by rate adjustments and changes in the types and levels of services received by our residential and business services customers, as well as changes in advertising revenue. While revenue from our residential broadband, video and voice services is also impacted by changes in the allocation of revenue among services sold in a bundle, the allocation does not impact average monthly total revenue per customer relationship.</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services has a different contribution to operating margin and we also use average monthly Adjusted EBITDA per customer relationship to evaluate the profitability of our customer base across our service offerings. We believe these metrics are useful to understand the trends in our business and average monthly Adjusted EBITDA per customer relationship is useful particularly as we continue to focus on growing our higher-margin businesses, including residential broadband and business services.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Broadband</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for the three months ended March 31, 2021 compared to the same period in 2020 due to an increase in the number of residential broadband customers and an increase in average rates.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was flat for the three months ended March 31, 2021 compared to the same period in 2020 due to a decline in the number of residential video customers, offset by an increase in average rates. We expect that the number of residential video customers will continue to decline, negatively impacting video revenue as a result of the competitive environment and shifting video consumption patterns.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decreased for the three months ended March 31, 2021 compared to the same period in 2020 primarily due to a decrease in the number of residential voice customers. We expect that the number of residential voice customers and voice revenue will continue to decline.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Wireless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for the three months ended March 31, 2021 compared to the same period in 2020 primarily due to increases in the number of customer lines and sales of devices.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increased for the three months ended March 31, 2021 compared to the same period in 2020 primarily due to an increase in average rates and an increase in the number of customers receiving our services.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increased for the three months ended March 31, 2021 compared to the same period in 2020 primarily due to an increase in revenue from our advanced advertising business and from recent acquisitions.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decreased for the three months ended March 31, 2021 compared to the same period in 2020 due to decreases in certain billing and collection fees and a decrease in revenue from our security and automation business.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Costs and Expenses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Programming expenses increased for the three months ended March 31, 2021 compared to the same period in 2020 primarily due to an increase in retransmission consent fees, partially offset by a decline in the number of video customers. We anticipate that our programming expenses will be impacted by rate increases to a greater extent in 2021 compared to 2020 due to the timing of contract renewals, partially offset by expected declines in the number of residential video customers.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Technical and product support expenses were flat for the three months ended March 31, 2021 compared to the same period in 2020 due to increased costs associated with our wireless phone service, offset by lower personnel costs.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Customer service expenses decreased for the three months ended March 31, 2021 compared to the same period in 2020 primarily due to lower labor costs as a result of cost savings initiatives and reduced call volumes.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marketing and promotion expenses decreased for the three months ended March 31, 2021 compared to the same period in 2020 primarily due to a decrease in the costs associated with attracting new customers and promoting our service offerings.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Franchise and other regulatory fees increased for the three months ended March 31, 2021 compared to the same period in 2020 primarily due to an increase in regulatory costs.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costs and expenses decreased for the three months ended March 31, 2021 compared to the same period in 2020 primarily due to a decrease in bad debt expense.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 – Operating Margin</w:t>
      </w:r>
    </w:p>
    <w:p>
      <w:pPr>
        <w:spacing w:after="0" w:line="1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operating margin is Adjusted EBITDA as a percentage of revenue. We believe this metric is useful particularly as we continue to focus on growing our higher-margin businesses, including residential broadband and business services, and on improving overall operating cost management.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margin for the three months ended March 31, 2021 and 2020 was 43.2% and 40.7%, respectively. The most significant operating costs and expenses are the programming expenses we incur to provide content to our video customers, which increased 5.5% for the three months ended March 31, 2021 compared to the same period in 2020.</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jc w:val="right"/>
              <w:ind w:right="13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3"/>
        </w:trPr>
        <w:tc>
          <w:tcPr>
            <w:tcW w:w="5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w w:val="89"/>
              </w:rPr>
              <w:t>2020</w:t>
            </w: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5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w:t>
            </w:r>
          </w:p>
        </w:tc>
      </w:tr>
      <w:tr>
        <w:trPr>
          <w:trHeight w:val="226"/>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060" w:type="dxa"/>
            <w:vAlign w:val="bottom"/>
          </w:tcPr>
          <w:p>
            <w:pPr>
              <w:ind w:left="360"/>
              <w:spacing w:after="0"/>
              <w:rPr>
                <w:sz w:val="20"/>
                <w:szCs w:val="20"/>
                <w:color w:val="auto"/>
              </w:rPr>
            </w:pPr>
            <w:r>
              <w:rPr>
                <w:rFonts w:ascii="Arial" w:cs="Arial" w:eastAsia="Arial" w:hAnsi="Arial"/>
                <w:sz w:val="18"/>
                <w:szCs w:val="18"/>
                <w:color w:val="auto"/>
              </w:rPr>
              <w:t>Media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5,036</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4,878</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54"/>
              <w:spacing w:after="0"/>
              <w:rPr>
                <w:sz w:val="20"/>
                <w:szCs w:val="20"/>
                <w:color w:val="auto"/>
              </w:rPr>
            </w:pPr>
            <w:r>
              <w:rPr>
                <w:rFonts w:ascii="Arial" w:cs="Arial" w:eastAsia="Arial" w:hAnsi="Arial"/>
                <w:sz w:val="18"/>
                <w:szCs w:val="18"/>
                <w:color w:val="auto"/>
              </w:rPr>
              <w:t>158</w:t>
            </w:r>
          </w:p>
        </w:tc>
        <w:tc>
          <w:tcPr>
            <w:tcW w:w="102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5060" w:type="dxa"/>
            <w:vAlign w:val="bottom"/>
          </w:tcPr>
          <w:p>
            <w:pPr>
              <w:ind w:left="360"/>
              <w:spacing w:after="0"/>
              <w:rPr>
                <w:sz w:val="20"/>
                <w:szCs w:val="20"/>
                <w:color w:val="auto"/>
              </w:rPr>
            </w:pPr>
            <w:r>
              <w:rPr>
                <w:rFonts w:ascii="Arial" w:cs="Arial" w:eastAsia="Arial" w:hAnsi="Arial"/>
                <w:sz w:val="18"/>
                <w:szCs w:val="18"/>
                <w:color w:val="auto"/>
              </w:rPr>
              <w:t>Studios</w:t>
            </w:r>
          </w:p>
        </w:tc>
        <w:tc>
          <w:tcPr>
            <w:tcW w:w="32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2,396</w:t>
            </w:r>
          </w:p>
        </w:tc>
        <w:tc>
          <w:tcPr>
            <w:tcW w:w="64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2,409</w:t>
            </w:r>
          </w:p>
        </w:tc>
        <w:tc>
          <w:tcPr>
            <w:tcW w:w="500" w:type="dxa"/>
            <w:vAlign w:val="bottom"/>
          </w:tcPr>
          <w:p>
            <w:pPr>
              <w:spacing w:after="0"/>
              <w:rPr>
                <w:sz w:val="19"/>
                <w:szCs w:val="19"/>
                <w:color w:val="auto"/>
              </w:rPr>
            </w:pPr>
          </w:p>
        </w:tc>
        <w:tc>
          <w:tcPr>
            <w:tcW w:w="1580" w:type="dxa"/>
            <w:vAlign w:val="bottom"/>
          </w:tcPr>
          <w:p>
            <w:pPr>
              <w:jc w:val="right"/>
              <w:ind w:right="514"/>
              <w:spacing w:after="0"/>
              <w:rPr>
                <w:sz w:val="20"/>
                <w:szCs w:val="20"/>
                <w:color w:val="auto"/>
              </w:rPr>
            </w:pPr>
            <w:r>
              <w:rPr>
                <w:rFonts w:ascii="Arial" w:cs="Arial" w:eastAsia="Arial" w:hAnsi="Arial"/>
                <w:sz w:val="18"/>
                <w:szCs w:val="18"/>
                <w:color w:val="auto"/>
              </w:rPr>
              <w:t>(13)</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(0.6)</w:t>
            </w: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Theme Parks</w:t>
            </w:r>
          </w:p>
        </w:tc>
        <w:tc>
          <w:tcPr>
            <w:tcW w:w="32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619</w:t>
            </w:r>
          </w:p>
        </w:tc>
        <w:tc>
          <w:tcPr>
            <w:tcW w:w="64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925</w:t>
            </w:r>
          </w:p>
        </w:tc>
        <w:tc>
          <w:tcPr>
            <w:tcW w:w="500" w:type="dxa"/>
            <w:vAlign w:val="bottom"/>
          </w:tcPr>
          <w:p>
            <w:pPr>
              <w:spacing w:after="0"/>
              <w:rPr>
                <w:sz w:val="19"/>
                <w:szCs w:val="19"/>
                <w:color w:val="auto"/>
              </w:rPr>
            </w:pPr>
          </w:p>
        </w:tc>
        <w:tc>
          <w:tcPr>
            <w:tcW w:w="1580" w:type="dxa"/>
            <w:vAlign w:val="bottom"/>
          </w:tcPr>
          <w:p>
            <w:pPr>
              <w:jc w:val="right"/>
              <w:ind w:right="514"/>
              <w:spacing w:after="0"/>
              <w:rPr>
                <w:sz w:val="20"/>
                <w:szCs w:val="20"/>
                <w:color w:val="auto"/>
              </w:rPr>
            </w:pPr>
            <w:r>
              <w:rPr>
                <w:rFonts w:ascii="Arial" w:cs="Arial" w:eastAsia="Arial" w:hAnsi="Arial"/>
                <w:sz w:val="18"/>
                <w:szCs w:val="18"/>
                <w:color w:val="auto"/>
              </w:rPr>
              <w:t>(306)</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(33.1)</w:t>
            </w:r>
          </w:p>
        </w:tc>
      </w:tr>
      <w:tr>
        <w:trPr>
          <w:trHeight w:val="229"/>
        </w:trPr>
        <w:tc>
          <w:tcPr>
            <w:tcW w:w="5060" w:type="dxa"/>
            <w:vAlign w:val="bottom"/>
          </w:tcPr>
          <w:p>
            <w:pPr>
              <w:ind w:left="360"/>
              <w:spacing w:after="0"/>
              <w:rPr>
                <w:sz w:val="20"/>
                <w:szCs w:val="20"/>
                <w:color w:val="auto"/>
              </w:rPr>
            </w:pPr>
            <w:r>
              <w:rPr>
                <w:rFonts w:ascii="Arial" w:cs="Arial" w:eastAsia="Arial" w:hAnsi="Arial"/>
                <w:sz w:val="18"/>
                <w:szCs w:val="18"/>
                <w:color w:val="auto"/>
              </w:rPr>
              <w:t>Headquarters and Other</w:t>
            </w:r>
          </w:p>
        </w:tc>
        <w:tc>
          <w:tcPr>
            <w:tcW w:w="32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19"/>
                <w:szCs w:val="19"/>
                <w:color w:val="auto"/>
              </w:rPr>
            </w:pPr>
          </w:p>
        </w:tc>
        <w:tc>
          <w:tcPr>
            <w:tcW w:w="1580" w:type="dxa"/>
            <w:vAlign w:val="bottom"/>
          </w:tcPr>
          <w:p>
            <w:pPr>
              <w:jc w:val="right"/>
              <w:ind w:right="554"/>
              <w:spacing w:after="0"/>
              <w:rPr>
                <w:sz w:val="20"/>
                <w:szCs w:val="20"/>
                <w:color w:val="auto"/>
              </w:rPr>
            </w:pPr>
            <w:r>
              <w:rPr>
                <w:rFonts w:ascii="Arial" w:cs="Arial" w:eastAsia="Arial" w:hAnsi="Arial"/>
                <w:sz w:val="18"/>
                <w:szCs w:val="18"/>
                <w:color w:val="auto"/>
              </w:rPr>
              <w:t>7</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85.9</w:t>
            </w:r>
          </w:p>
        </w:tc>
      </w:tr>
      <w:tr>
        <w:trPr>
          <w:trHeight w:val="230"/>
        </w:trPr>
        <w:tc>
          <w:tcPr>
            <w:tcW w:w="5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Eliminations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(1,043)</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(492)</w:t>
            </w: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rPr>
              <w:t>(551)</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(111.5)</w:t>
            </w:r>
          </w:p>
        </w:tc>
      </w:tr>
      <w:tr>
        <w:trPr>
          <w:trHeight w:val="23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7,024</w:t>
            </w:r>
          </w:p>
        </w:tc>
        <w:tc>
          <w:tcPr>
            <w:tcW w:w="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7,729</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b w:val="1"/>
                <w:bCs w:val="1"/>
                <w:color w:val="auto"/>
              </w:rPr>
              <w:t>(705)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 %</w:t>
            </w:r>
          </w:p>
        </w:tc>
      </w:tr>
      <w:tr>
        <w:trPr>
          <w:trHeight w:val="229"/>
        </w:trPr>
        <w:tc>
          <w:tcPr>
            <w:tcW w:w="5060" w:type="dxa"/>
            <w:vAlign w:val="bottom"/>
          </w:tcPr>
          <w:p>
            <w:pPr>
              <w:ind w:left="18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060" w:type="dxa"/>
            <w:vAlign w:val="bottom"/>
          </w:tcPr>
          <w:p>
            <w:pPr>
              <w:ind w:left="360"/>
              <w:spacing w:after="0"/>
              <w:rPr>
                <w:sz w:val="20"/>
                <w:szCs w:val="20"/>
                <w:color w:val="auto"/>
              </w:rPr>
            </w:pPr>
            <w:r>
              <w:rPr>
                <w:rFonts w:ascii="Arial" w:cs="Arial" w:eastAsia="Arial" w:hAnsi="Arial"/>
                <w:sz w:val="18"/>
                <w:szCs w:val="18"/>
                <w:color w:val="auto"/>
              </w:rPr>
              <w:t>Media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1,473</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1,529</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14"/>
              <w:spacing w:after="0"/>
              <w:rPr>
                <w:sz w:val="20"/>
                <w:szCs w:val="20"/>
                <w:color w:val="auto"/>
              </w:rPr>
            </w:pPr>
            <w:r>
              <w:rPr>
                <w:rFonts w:ascii="Arial" w:cs="Arial" w:eastAsia="Arial" w:hAnsi="Arial"/>
                <w:sz w:val="18"/>
                <w:szCs w:val="18"/>
                <w:color w:val="auto"/>
              </w:rPr>
              <w:t>(56)</w:t>
            </w:r>
          </w:p>
        </w:tc>
        <w:tc>
          <w:tcPr>
            <w:tcW w:w="102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Studios</w:t>
            </w:r>
          </w:p>
        </w:tc>
        <w:tc>
          <w:tcPr>
            <w:tcW w:w="32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497</w:t>
            </w:r>
          </w:p>
        </w:tc>
        <w:tc>
          <w:tcPr>
            <w:tcW w:w="64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300</w:t>
            </w:r>
          </w:p>
        </w:tc>
        <w:tc>
          <w:tcPr>
            <w:tcW w:w="500" w:type="dxa"/>
            <w:vAlign w:val="bottom"/>
          </w:tcPr>
          <w:p>
            <w:pPr>
              <w:spacing w:after="0"/>
              <w:rPr>
                <w:sz w:val="19"/>
                <w:szCs w:val="19"/>
                <w:color w:val="auto"/>
              </w:rPr>
            </w:pPr>
          </w:p>
        </w:tc>
        <w:tc>
          <w:tcPr>
            <w:tcW w:w="1580" w:type="dxa"/>
            <w:vAlign w:val="bottom"/>
          </w:tcPr>
          <w:p>
            <w:pPr>
              <w:jc w:val="right"/>
              <w:ind w:right="554"/>
              <w:spacing w:after="0"/>
              <w:rPr>
                <w:sz w:val="20"/>
                <w:szCs w:val="20"/>
                <w:color w:val="auto"/>
              </w:rPr>
            </w:pPr>
            <w:r>
              <w:rPr>
                <w:rFonts w:ascii="Arial" w:cs="Arial" w:eastAsia="Arial" w:hAnsi="Arial"/>
                <w:sz w:val="18"/>
                <w:szCs w:val="18"/>
                <w:color w:val="auto"/>
              </w:rPr>
              <w:t>197</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65.7</w:t>
            </w:r>
          </w:p>
        </w:tc>
      </w:tr>
      <w:tr>
        <w:trPr>
          <w:trHeight w:val="229"/>
        </w:trPr>
        <w:tc>
          <w:tcPr>
            <w:tcW w:w="5060" w:type="dxa"/>
            <w:vAlign w:val="bottom"/>
          </w:tcPr>
          <w:p>
            <w:pPr>
              <w:ind w:left="360"/>
              <w:spacing w:after="0"/>
              <w:rPr>
                <w:sz w:val="20"/>
                <w:szCs w:val="20"/>
                <w:color w:val="auto"/>
              </w:rPr>
            </w:pPr>
            <w:r>
              <w:rPr>
                <w:rFonts w:ascii="Arial" w:cs="Arial" w:eastAsia="Arial" w:hAnsi="Arial"/>
                <w:sz w:val="18"/>
                <w:szCs w:val="18"/>
                <w:color w:val="auto"/>
              </w:rPr>
              <w:t>Theme Parks</w:t>
            </w:r>
          </w:p>
        </w:tc>
        <w:tc>
          <w:tcPr>
            <w:tcW w:w="320" w:type="dxa"/>
            <w:vAlign w:val="bottom"/>
          </w:tcPr>
          <w:p>
            <w:pPr>
              <w:spacing w:after="0"/>
              <w:rPr>
                <w:sz w:val="19"/>
                <w:szCs w:val="19"/>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(61)</w:t>
            </w:r>
          </w:p>
        </w:tc>
        <w:tc>
          <w:tcPr>
            <w:tcW w:w="64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19"/>
                <w:szCs w:val="19"/>
                <w:color w:val="auto"/>
              </w:rPr>
            </w:pPr>
          </w:p>
        </w:tc>
        <w:tc>
          <w:tcPr>
            <w:tcW w:w="1580" w:type="dxa"/>
            <w:vAlign w:val="bottom"/>
          </w:tcPr>
          <w:p>
            <w:pPr>
              <w:jc w:val="right"/>
              <w:ind w:right="514"/>
              <w:spacing w:after="0"/>
              <w:rPr>
                <w:sz w:val="20"/>
                <w:szCs w:val="20"/>
                <w:color w:val="auto"/>
              </w:rPr>
            </w:pPr>
            <w:r>
              <w:rPr>
                <w:rFonts w:ascii="Arial" w:cs="Arial" w:eastAsia="Arial" w:hAnsi="Arial"/>
                <w:sz w:val="18"/>
                <w:szCs w:val="18"/>
                <w:color w:val="auto"/>
              </w:rPr>
              <w:t>(148)</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(170.9)</w:t>
            </w:r>
          </w:p>
        </w:tc>
      </w:tr>
      <w:tr>
        <w:trPr>
          <w:trHeight w:val="229"/>
        </w:trPr>
        <w:tc>
          <w:tcPr>
            <w:tcW w:w="5060" w:type="dxa"/>
            <w:vAlign w:val="bottom"/>
          </w:tcPr>
          <w:p>
            <w:pPr>
              <w:ind w:left="360"/>
              <w:spacing w:after="0"/>
              <w:rPr>
                <w:sz w:val="20"/>
                <w:szCs w:val="20"/>
                <w:color w:val="auto"/>
              </w:rPr>
            </w:pPr>
            <w:r>
              <w:rPr>
                <w:rFonts w:ascii="Arial" w:cs="Arial" w:eastAsia="Arial" w:hAnsi="Arial"/>
                <w:sz w:val="18"/>
                <w:szCs w:val="18"/>
                <w:color w:val="auto"/>
              </w:rPr>
              <w:t>Headquarters and Other</w:t>
            </w:r>
          </w:p>
        </w:tc>
        <w:tc>
          <w:tcPr>
            <w:tcW w:w="320" w:type="dxa"/>
            <w:vAlign w:val="bottom"/>
          </w:tcPr>
          <w:p>
            <w:pPr>
              <w:spacing w:after="0"/>
              <w:rPr>
                <w:sz w:val="19"/>
                <w:szCs w:val="19"/>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(209)</w:t>
            </w:r>
          </w:p>
        </w:tc>
        <w:tc>
          <w:tcPr>
            <w:tcW w:w="64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(221)</w:t>
            </w:r>
          </w:p>
        </w:tc>
        <w:tc>
          <w:tcPr>
            <w:tcW w:w="500" w:type="dxa"/>
            <w:vAlign w:val="bottom"/>
          </w:tcPr>
          <w:p>
            <w:pPr>
              <w:spacing w:after="0"/>
              <w:rPr>
                <w:sz w:val="19"/>
                <w:szCs w:val="19"/>
                <w:color w:val="auto"/>
              </w:rPr>
            </w:pPr>
          </w:p>
        </w:tc>
        <w:tc>
          <w:tcPr>
            <w:tcW w:w="1580" w:type="dxa"/>
            <w:vAlign w:val="bottom"/>
          </w:tcPr>
          <w:p>
            <w:pPr>
              <w:jc w:val="right"/>
              <w:ind w:right="554"/>
              <w:spacing w:after="0"/>
              <w:rPr>
                <w:sz w:val="20"/>
                <w:szCs w:val="20"/>
                <w:color w:val="auto"/>
              </w:rPr>
            </w:pPr>
            <w:r>
              <w:rPr>
                <w:rFonts w:ascii="Arial" w:cs="Arial" w:eastAsia="Arial" w:hAnsi="Arial"/>
                <w:sz w:val="18"/>
                <w:szCs w:val="18"/>
                <w:color w:val="auto"/>
              </w:rPr>
              <w:t>12</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5.7</w:t>
            </w:r>
          </w:p>
        </w:tc>
      </w:tr>
      <w:tr>
        <w:trPr>
          <w:trHeight w:val="230"/>
        </w:trPr>
        <w:tc>
          <w:tcPr>
            <w:tcW w:w="5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Eliminations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(210)</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rPr>
              <w:t>(204)</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NM</w:t>
            </w:r>
          </w:p>
        </w:tc>
      </w:tr>
      <w:tr>
        <w:trPr>
          <w:trHeight w:val="230"/>
        </w:trPr>
        <w:tc>
          <w:tcPr>
            <w:tcW w:w="50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Total Adjusted EBITDA</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rPr>
              <w:t>1,490</w:t>
            </w:r>
          </w:p>
        </w:tc>
        <w:tc>
          <w:tcPr>
            <w:tcW w:w="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1,689</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b w:val="1"/>
                <w:bCs w:val="1"/>
                <w:color w:val="auto"/>
              </w:rPr>
              <w:t>(199)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Segment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jc w:val="right"/>
              <w:ind w:right="135"/>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96"/>
              </w:rPr>
              <w:t>2020</w:t>
            </w: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35"/>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r>
      <w:tr>
        <w:trPr>
          <w:trHeight w:val="22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2,094</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2,167</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(73)</w:t>
            </w:r>
          </w:p>
        </w:tc>
        <w:tc>
          <w:tcPr>
            <w:tcW w:w="1020" w:type="dxa"/>
            <w:vAlign w:val="bottom"/>
          </w:tcPr>
          <w:p>
            <w:pPr>
              <w:ind w:left="480"/>
              <w:spacing w:after="0"/>
              <w:rPr>
                <w:sz w:val="20"/>
                <w:szCs w:val="20"/>
                <w:color w:val="auto"/>
              </w:rPr>
            </w:pPr>
            <w:r>
              <w:rPr>
                <w:rFonts w:ascii="Arial" w:cs="Arial" w:eastAsia="Arial" w:hAnsi="Arial"/>
                <w:sz w:val="18"/>
                <w:szCs w:val="18"/>
                <w:color w:val="auto"/>
                <w:w w:val="89"/>
              </w:rPr>
              <w:t>(3.4) %</w:t>
            </w: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3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2,495</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2,287</w:t>
            </w:r>
          </w:p>
        </w:tc>
        <w:tc>
          <w:tcPr>
            <w:tcW w:w="520" w:type="dxa"/>
            <w:vAlign w:val="bottom"/>
          </w:tcPr>
          <w:p>
            <w:pPr>
              <w:spacing w:after="0"/>
              <w:rPr>
                <w:sz w:val="19"/>
                <w:szCs w:val="19"/>
                <w:color w:val="auto"/>
              </w:rPr>
            </w:pPr>
          </w:p>
        </w:tc>
        <w:tc>
          <w:tcPr>
            <w:tcW w:w="1580" w:type="dxa"/>
            <w:vAlign w:val="bottom"/>
          </w:tcPr>
          <w:p>
            <w:pPr>
              <w:jc w:val="right"/>
              <w:ind w:right="555"/>
              <w:spacing w:after="0"/>
              <w:rPr>
                <w:sz w:val="20"/>
                <w:szCs w:val="20"/>
                <w:color w:val="auto"/>
              </w:rPr>
            </w:pPr>
            <w:r>
              <w:rPr>
                <w:rFonts w:ascii="Arial" w:cs="Arial" w:eastAsia="Arial" w:hAnsi="Arial"/>
                <w:sz w:val="18"/>
                <w:szCs w:val="18"/>
                <w:color w:val="auto"/>
              </w:rPr>
              <w:t>208</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9.1</w:t>
            </w:r>
          </w:p>
        </w:tc>
      </w:tr>
      <w:tr>
        <w:trPr>
          <w:trHeight w:val="230"/>
        </w:trPr>
        <w:tc>
          <w:tcPr>
            <w:tcW w:w="5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447</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424</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23</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5.3</w:t>
            </w:r>
          </w:p>
        </w:tc>
      </w:tr>
      <w:tr>
        <w:trPr>
          <w:trHeight w:val="218"/>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5,036</w:t>
            </w:r>
          </w:p>
        </w:tc>
        <w:tc>
          <w:tcPr>
            <w:tcW w:w="6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4,878</w:t>
            </w:r>
          </w:p>
        </w:tc>
        <w:tc>
          <w:tcPr>
            <w:tcW w:w="520" w:type="dxa"/>
            <w:vAlign w:val="bottom"/>
          </w:tcPr>
          <w:p>
            <w:pPr>
              <w:spacing w:after="0"/>
              <w:rPr>
                <w:sz w:val="18"/>
                <w:szCs w:val="18"/>
                <w:color w:val="auto"/>
              </w:rPr>
            </w:pPr>
          </w:p>
        </w:tc>
        <w:tc>
          <w:tcPr>
            <w:tcW w:w="1580" w:type="dxa"/>
            <w:vAlign w:val="bottom"/>
          </w:tcPr>
          <w:p>
            <w:pPr>
              <w:jc w:val="right"/>
              <w:ind w:right="555"/>
              <w:spacing w:after="0"/>
              <w:rPr>
                <w:sz w:val="20"/>
                <w:szCs w:val="20"/>
                <w:color w:val="auto"/>
              </w:rPr>
            </w:pPr>
            <w:r>
              <w:rPr>
                <w:rFonts w:ascii="Arial" w:cs="Arial" w:eastAsia="Arial" w:hAnsi="Arial"/>
                <w:sz w:val="18"/>
                <w:szCs w:val="18"/>
                <w:b w:val="1"/>
                <w:bCs w:val="1"/>
                <w:color w:val="auto"/>
              </w:rPr>
              <w:t>158</w:t>
            </w:r>
          </w:p>
        </w:tc>
        <w:tc>
          <w:tcPr>
            <w:tcW w:w="1020" w:type="dxa"/>
            <w:vAlign w:val="bottom"/>
          </w:tcPr>
          <w:p>
            <w:pPr>
              <w:jc w:val="right"/>
              <w:ind w:right="152"/>
              <w:spacing w:after="0"/>
              <w:rPr>
                <w:sz w:val="20"/>
                <w:szCs w:val="20"/>
                <w:color w:val="auto"/>
              </w:rPr>
            </w:pPr>
            <w:r>
              <w:rPr>
                <w:rFonts w:ascii="Arial" w:cs="Arial" w:eastAsia="Arial" w:hAnsi="Arial"/>
                <w:sz w:val="18"/>
                <w:szCs w:val="18"/>
                <w:b w:val="1"/>
                <w:bCs w:val="1"/>
                <w:color w:val="auto"/>
              </w:rPr>
              <w:t>3.2</w:t>
            </w:r>
          </w:p>
        </w:tc>
      </w:t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2,522</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2,268</w:t>
            </w:r>
          </w:p>
        </w:tc>
        <w:tc>
          <w:tcPr>
            <w:tcW w:w="520" w:type="dxa"/>
            <w:vAlign w:val="bottom"/>
          </w:tcPr>
          <w:p>
            <w:pPr>
              <w:spacing w:after="0"/>
              <w:rPr>
                <w:sz w:val="19"/>
                <w:szCs w:val="19"/>
                <w:color w:val="auto"/>
              </w:rPr>
            </w:pPr>
          </w:p>
        </w:tc>
        <w:tc>
          <w:tcPr>
            <w:tcW w:w="1580" w:type="dxa"/>
            <w:vAlign w:val="bottom"/>
          </w:tcPr>
          <w:p>
            <w:pPr>
              <w:jc w:val="right"/>
              <w:ind w:right="555"/>
              <w:spacing w:after="0"/>
              <w:rPr>
                <w:sz w:val="20"/>
                <w:szCs w:val="20"/>
                <w:color w:val="auto"/>
              </w:rPr>
            </w:pPr>
            <w:r>
              <w:rPr>
                <w:rFonts w:ascii="Arial" w:cs="Arial" w:eastAsia="Arial" w:hAnsi="Arial"/>
                <w:sz w:val="18"/>
                <w:szCs w:val="18"/>
                <w:color w:val="auto"/>
              </w:rPr>
              <w:t>254</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11.2</w:t>
            </w: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819</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840</w:t>
            </w:r>
          </w:p>
        </w:tc>
        <w:tc>
          <w:tcPr>
            <w:tcW w:w="520" w:type="dxa"/>
            <w:vAlign w:val="bottom"/>
          </w:tcPr>
          <w:p>
            <w:pPr>
              <w:spacing w:after="0"/>
              <w:rPr>
                <w:sz w:val="19"/>
                <w:szCs w:val="19"/>
                <w:color w:val="auto"/>
              </w:rPr>
            </w:pP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(21)</w:t>
            </w:r>
          </w:p>
        </w:tc>
        <w:tc>
          <w:tcPr>
            <w:tcW w:w="1020" w:type="dxa"/>
            <w:vAlign w:val="bottom"/>
          </w:tcPr>
          <w:p>
            <w:pPr>
              <w:ind w:left="480"/>
              <w:spacing w:after="0"/>
              <w:rPr>
                <w:sz w:val="20"/>
                <w:szCs w:val="20"/>
                <w:color w:val="auto"/>
              </w:rPr>
            </w:pPr>
            <w:r>
              <w:rPr>
                <w:rFonts w:ascii="Arial" w:cs="Arial" w:eastAsia="Arial" w:hAnsi="Arial"/>
                <w:sz w:val="18"/>
                <w:szCs w:val="18"/>
                <w:color w:val="auto"/>
              </w:rPr>
              <w:t>(2.5)</w:t>
            </w:r>
          </w:p>
        </w:tc>
      </w:tr>
      <w:tr>
        <w:trPr>
          <w:trHeight w:val="230"/>
        </w:trPr>
        <w:tc>
          <w:tcPr>
            <w:tcW w:w="5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222</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241</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(19)</w:t>
            </w:r>
          </w:p>
        </w:tc>
        <w:tc>
          <w:tcPr>
            <w:tcW w:w="10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(7.9)</w:t>
            </w: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3,563</w:t>
            </w: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3,349</w:t>
            </w: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214</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6.4</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1,473</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1,529</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b w:val="1"/>
                <w:bCs w:val="1"/>
                <w:color w:val="auto"/>
              </w:rPr>
              <w:t>(56)</w:t>
            </w:r>
          </w:p>
        </w:tc>
        <w:tc>
          <w:tcPr>
            <w:tcW w:w="102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w w:val="98"/>
              </w:rPr>
              <w:t>(3.7)%</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Revenue</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increased for the three months ended March 31, 2021 compared to the same period in 2020 due to increases in distribution revenue and other revenue, partially offset by a decrease in advertising revenue. Distribution revenue increased due to contractual rate increases, partially offset by declines in the number of subscribers at our networks. Other revenue increased primarily due to an increase in revenue from our digital properties. Advertising revenue decreased primarily due to continued audience ratings declines at our networks, partially offset by higher prices for advertising units sold, an increase in the number of units sold related to sports and an increase in advertising revenue at Peacock. We expect the number of subscribers and audience ratings at our networks to continue to decline as a result of the competitive environment and shifting video consumption patterns. Revenue included $91 million related to Peacock for the three months ended March 31, 2021.</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Operating Costs and Expenses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costs and expenses increased for the three months ended March 31, 2021 compared to the same period in 2020 due to an increase in programming and production costs, partially offset by decreases in other operating and administrative costs and advertising, marketing and promotion costs. Programming and production costs increased primarily due to higher amortization expense related to programming at Peacock. Programming and production costs at our television networks increased slightly, reflecting higher sports programming costs driven by an increase in the number of sporting events offset by a decrease in</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entertainment programming costs from delays in production due to COVID-19. Other operating and administrative costs decreased due to cost savings initiatives, partially offset by increased costs related to Peacock. Advertising, marketing and promotion costs decreased due to lower spending on marketing related to our networks, partially offset by higher marketing related to Peacock. Operating costs and expenses included $368 million and $59 million related to Peacock for the three months ended March 31, 2021 and 2020, respectively, and we expect to continue to incur significant costs related to additional content and marketing for the new platform.</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Studios Segment Results of Operations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tcPr>
          <w:p>
            <w:pPr>
              <w:jc w:val="right"/>
              <w:ind w:right="135"/>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96"/>
              </w:rPr>
              <w:t>2020</w:t>
            </w: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35"/>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r>
      <w:tr>
        <w:trPr>
          <w:trHeight w:val="22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Content licensing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2,075</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1,819</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55"/>
              <w:spacing w:after="0"/>
              <w:rPr>
                <w:sz w:val="20"/>
                <w:szCs w:val="20"/>
                <w:color w:val="auto"/>
              </w:rPr>
            </w:pPr>
            <w:r>
              <w:rPr>
                <w:rFonts w:ascii="Arial" w:cs="Arial" w:eastAsia="Arial" w:hAnsi="Arial"/>
                <w:sz w:val="18"/>
                <w:szCs w:val="18"/>
                <w:color w:val="auto"/>
              </w:rPr>
              <w:t>256</w:t>
            </w:r>
          </w:p>
        </w:tc>
        <w:tc>
          <w:tcPr>
            <w:tcW w:w="1020" w:type="dxa"/>
            <w:vAlign w:val="bottom"/>
          </w:tcPr>
          <w:p>
            <w:pPr>
              <w:jc w:val="right"/>
              <w:spacing w:after="0"/>
              <w:rPr>
                <w:sz w:val="20"/>
                <w:szCs w:val="20"/>
                <w:color w:val="auto"/>
              </w:rPr>
            </w:pPr>
            <w:r>
              <w:rPr>
                <w:rFonts w:ascii="Arial" w:cs="Arial" w:eastAsia="Arial" w:hAnsi="Arial"/>
                <w:sz w:val="18"/>
                <w:szCs w:val="18"/>
                <w:color w:val="auto"/>
              </w:rPr>
              <w:t>14.1 %</w:t>
            </w: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rPr>
              <w:t>Theatrical</w:t>
            </w:r>
          </w:p>
        </w:tc>
        <w:tc>
          <w:tcPr>
            <w:tcW w:w="3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39</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316</w:t>
            </w:r>
          </w:p>
        </w:tc>
        <w:tc>
          <w:tcPr>
            <w:tcW w:w="520" w:type="dxa"/>
            <w:vAlign w:val="bottom"/>
          </w:tcPr>
          <w:p>
            <w:pPr>
              <w:spacing w:after="0"/>
              <w:rPr>
                <w:sz w:val="19"/>
                <w:szCs w:val="19"/>
                <w:color w:val="auto"/>
              </w:rPr>
            </w:pP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(277)</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(87.7)</w:t>
            </w:r>
          </w:p>
        </w:tc>
      </w:tr>
      <w:tr>
        <w:trPr>
          <w:trHeight w:val="230"/>
        </w:trPr>
        <w:tc>
          <w:tcPr>
            <w:tcW w:w="5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Home entertainment and other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282</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274</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8</w:t>
            </w:r>
          </w:p>
        </w:tc>
        <w:tc>
          <w:tcPr>
            <w:tcW w:w="10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2.8</w:t>
            </w:r>
          </w:p>
        </w:tc>
      </w:tr>
      <w:tr>
        <w:trPr>
          <w:trHeight w:val="218"/>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b w:val="1"/>
                <w:bCs w:val="1"/>
                <w:color w:val="auto"/>
              </w:rPr>
              <w:t>2,396</w:t>
            </w:r>
          </w:p>
        </w:tc>
        <w:tc>
          <w:tcPr>
            <w:tcW w:w="6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2,409</w:t>
            </w:r>
          </w:p>
        </w:tc>
        <w:tc>
          <w:tcPr>
            <w:tcW w:w="520" w:type="dxa"/>
            <w:vAlign w:val="bottom"/>
          </w:tcPr>
          <w:p>
            <w:pPr>
              <w:spacing w:after="0"/>
              <w:rPr>
                <w:sz w:val="18"/>
                <w:szCs w:val="18"/>
                <w:color w:val="auto"/>
              </w:rPr>
            </w:pPr>
          </w:p>
        </w:tc>
        <w:tc>
          <w:tcPr>
            <w:tcW w:w="1580" w:type="dxa"/>
            <w:vAlign w:val="bottom"/>
          </w:tcPr>
          <w:p>
            <w:pPr>
              <w:jc w:val="right"/>
              <w:ind w:right="495"/>
              <w:spacing w:after="0"/>
              <w:rPr>
                <w:sz w:val="20"/>
                <w:szCs w:val="20"/>
                <w:color w:val="auto"/>
              </w:rPr>
            </w:pPr>
            <w:r>
              <w:rPr>
                <w:rFonts w:ascii="Arial" w:cs="Arial" w:eastAsia="Arial" w:hAnsi="Arial"/>
                <w:sz w:val="18"/>
                <w:szCs w:val="18"/>
                <w:b w:val="1"/>
                <w:bCs w:val="1"/>
                <w:color w:val="auto"/>
              </w:rPr>
              <w:t>(13)</w:t>
            </w:r>
          </w:p>
        </w:tc>
        <w:tc>
          <w:tcPr>
            <w:tcW w:w="1020" w:type="dxa"/>
            <w:vAlign w:val="bottom"/>
          </w:tcPr>
          <w:p>
            <w:pPr>
              <w:jc w:val="right"/>
              <w:ind w:right="112"/>
              <w:spacing w:after="0"/>
              <w:rPr>
                <w:sz w:val="20"/>
                <w:szCs w:val="20"/>
                <w:color w:val="auto"/>
              </w:rPr>
            </w:pPr>
            <w:r>
              <w:rPr>
                <w:rFonts w:ascii="Arial" w:cs="Arial" w:eastAsia="Arial" w:hAnsi="Arial"/>
                <w:sz w:val="18"/>
                <w:szCs w:val="18"/>
                <w:b w:val="1"/>
                <w:bCs w:val="1"/>
                <w:color w:val="auto"/>
              </w:rPr>
              <w:t>(0.6)</w:t>
            </w:r>
          </w:p>
        </w:tc>
      </w:tr>
      <w:tr>
        <w:trPr>
          <w:trHeight w:val="23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1,614</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1,513</w:t>
            </w:r>
          </w:p>
        </w:tc>
        <w:tc>
          <w:tcPr>
            <w:tcW w:w="520" w:type="dxa"/>
            <w:vAlign w:val="bottom"/>
          </w:tcPr>
          <w:p>
            <w:pPr>
              <w:spacing w:after="0"/>
              <w:rPr>
                <w:sz w:val="19"/>
                <w:szCs w:val="19"/>
                <w:color w:val="auto"/>
              </w:rPr>
            </w:pPr>
          </w:p>
        </w:tc>
        <w:tc>
          <w:tcPr>
            <w:tcW w:w="1580" w:type="dxa"/>
            <w:vAlign w:val="bottom"/>
          </w:tcPr>
          <w:p>
            <w:pPr>
              <w:jc w:val="right"/>
              <w:ind w:right="555"/>
              <w:spacing w:after="0"/>
              <w:rPr>
                <w:sz w:val="20"/>
                <w:szCs w:val="20"/>
                <w:color w:val="auto"/>
              </w:rPr>
            </w:pPr>
            <w:r>
              <w:rPr>
                <w:rFonts w:ascii="Arial" w:cs="Arial" w:eastAsia="Arial" w:hAnsi="Arial"/>
                <w:sz w:val="18"/>
                <w:szCs w:val="18"/>
                <w:color w:val="auto"/>
              </w:rPr>
              <w:t>101</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6.6</w:t>
            </w: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161</w:t>
            </w:r>
          </w:p>
        </w:tc>
        <w:tc>
          <w:tcPr>
            <w:tcW w:w="6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213</w:t>
            </w:r>
          </w:p>
        </w:tc>
        <w:tc>
          <w:tcPr>
            <w:tcW w:w="520" w:type="dxa"/>
            <w:vAlign w:val="bottom"/>
          </w:tcPr>
          <w:p>
            <w:pPr>
              <w:spacing w:after="0"/>
              <w:rPr>
                <w:sz w:val="19"/>
                <w:szCs w:val="19"/>
                <w:color w:val="auto"/>
              </w:rPr>
            </w:pPr>
          </w:p>
        </w:tc>
        <w:tc>
          <w:tcPr>
            <w:tcW w:w="1580" w:type="dxa"/>
            <w:vAlign w:val="bottom"/>
          </w:tcPr>
          <w:p>
            <w:pPr>
              <w:jc w:val="right"/>
              <w:ind w:right="495"/>
              <w:spacing w:after="0"/>
              <w:rPr>
                <w:sz w:val="20"/>
                <w:szCs w:val="20"/>
                <w:color w:val="auto"/>
              </w:rPr>
            </w:pPr>
            <w:r>
              <w:rPr>
                <w:rFonts w:ascii="Arial" w:cs="Arial" w:eastAsia="Arial" w:hAnsi="Arial"/>
                <w:sz w:val="18"/>
                <w:szCs w:val="18"/>
                <w:color w:val="auto"/>
              </w:rPr>
              <w:t>(52)</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(24.7)</w:t>
            </w:r>
          </w:p>
        </w:tc>
      </w:tr>
      <w:tr>
        <w:trPr>
          <w:trHeight w:val="230"/>
        </w:trPr>
        <w:tc>
          <w:tcPr>
            <w:tcW w:w="5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124</w:t>
            </w:r>
          </w:p>
        </w:tc>
        <w:tc>
          <w:tcPr>
            <w:tcW w:w="6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383</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(259)</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(67.6)</w:t>
            </w: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1,899</w:t>
            </w: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2,109</w:t>
            </w: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(210)</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(10.0)</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497</w:t>
            </w: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300</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b w:val="1"/>
                <w:bCs w:val="1"/>
                <w:color w:val="auto"/>
              </w:rPr>
              <w:t>197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65.7 %</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Revenue</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decreased for the three months ended March 31, 2021 compared to the same period in 2020 due to a decrease in theatrical revenue, offset by an increase in content licensing revenue. Theatrical revenue decreased primarily due to the deferral of theatrical releases due to the temporary closure and limited-capacity operation of many movie theaters due to COVID-19</w:t>
      </w:r>
      <w:r>
        <w:rPr>
          <w:rFonts w:ascii="Arial" w:cs="Arial" w:eastAsia="Arial" w:hAnsi="Arial"/>
          <w:sz w:val="18"/>
          <w:szCs w:val="18"/>
          <w:i w:val="1"/>
          <w:iCs w:val="1"/>
          <w:color w:val="auto"/>
        </w:rPr>
        <w:t>.</w:t>
      </w:r>
      <w:r>
        <w:rPr>
          <w:rFonts w:ascii="Arial" w:cs="Arial" w:eastAsia="Arial" w:hAnsi="Arial"/>
          <w:sz w:val="18"/>
          <w:szCs w:val="18"/>
          <w:color w:val="auto"/>
        </w:rPr>
        <w:t xml:space="preserve"> Content licensing revenue increased primarily due to the timing of when content was made available under licensing agreements, including a new licensing agreement for content that became exclusively available for streaming on Peacock during the quarter.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Operating Costs and Expenses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costs and expenses decreased for the three months ended March 31, 2021 compared to the same period in 2020 due to decreases in advertising, marketing and promotion costs and other operating and administrative costs, partially offset by an increase in programming and production costs. Advertising, marketing and promotion costs decreased due to lower spending on theatrical film releases in the current year period. Other operating and administrative costs decreased due to cost savings initiatives. Programming and production costs increased primarily due to higher amortization associated with content licensing sales, including the new licensing agreement for content that became exclusively available for streaming on Peacock during the quarter, as well as the impact from the updated accounting guidance related to episodic television series, which was adopted and had a favorable impact on programming and production expense in the prior year period. These increases were partially offset by a decrease in amortization associated with theatrical film releases in the current year period.</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gridSpan w:val="2"/>
          </w:tcPr>
          <w:p>
            <w:pPr>
              <w:jc w:val="center"/>
              <w:ind w:right="356"/>
              <w:spacing w:after="0"/>
              <w:rPr>
                <w:sz w:val="20"/>
                <w:szCs w:val="20"/>
                <w:color w:val="auto"/>
              </w:rPr>
            </w:pPr>
            <w:r>
              <w:rPr>
                <w:rFonts w:ascii="Arial" w:cs="Arial" w:eastAsia="Arial" w:hAnsi="Arial"/>
                <w:sz w:val="14"/>
                <w:szCs w:val="14"/>
                <w:color w:val="auto"/>
                <w:w w:val="93"/>
              </w:rPr>
              <w:t>Three Months Ended</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ind w:right="137"/>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3"/>
        </w:trPr>
        <w:tc>
          <w:tcPr>
            <w:tcW w:w="50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336"/>
              <w:spacing w:after="0"/>
              <w:rPr>
                <w:sz w:val="20"/>
                <w:szCs w:val="20"/>
                <w:color w:val="auto"/>
              </w:rPr>
            </w:pPr>
            <w:r>
              <w:rPr>
                <w:rFonts w:ascii="Arial" w:cs="Arial" w:eastAsia="Arial" w:hAnsi="Arial"/>
                <w:sz w:val="14"/>
                <w:szCs w:val="14"/>
                <w:color w:val="auto"/>
                <w:w w:val="96"/>
              </w:rPr>
              <w:t>March 31,</w:t>
            </w: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rPr>
              <w:t>%</w:t>
            </w: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200"/>
              <w:spacing w:after="0"/>
              <w:rPr>
                <w:sz w:val="20"/>
                <w:szCs w:val="20"/>
                <w:color w:val="auto"/>
              </w:rPr>
            </w:pPr>
            <w:r>
              <w:rPr>
                <w:rFonts w:ascii="Arial" w:cs="Arial" w:eastAsia="Arial" w:hAnsi="Arial"/>
                <w:sz w:val="18"/>
                <w:szCs w:val="18"/>
                <w:color w:val="auto"/>
              </w:rPr>
              <w:t>619</w:t>
            </w:r>
          </w:p>
        </w:tc>
        <w:tc>
          <w:tcPr>
            <w:tcW w:w="1060" w:type="dxa"/>
            <w:vAlign w:val="bottom"/>
          </w:tcPr>
          <w:p>
            <w:pPr>
              <w:jc w:val="right"/>
              <w:ind w:right="776"/>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925</w:t>
            </w:r>
          </w:p>
        </w:tc>
        <w:tc>
          <w:tcPr>
            <w:tcW w:w="980" w:type="dxa"/>
            <w:vAlign w:val="bottom"/>
          </w:tcPr>
          <w:p>
            <w:pPr>
              <w:jc w:val="right"/>
              <w:ind w:right="65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7"/>
              <w:spacing w:after="0"/>
              <w:rPr>
                <w:sz w:val="20"/>
                <w:szCs w:val="20"/>
                <w:color w:val="auto"/>
              </w:rPr>
            </w:pPr>
            <w:r>
              <w:rPr>
                <w:rFonts w:ascii="Arial" w:cs="Arial" w:eastAsia="Arial" w:hAnsi="Arial"/>
                <w:sz w:val="18"/>
                <w:szCs w:val="18"/>
                <w:color w:val="auto"/>
              </w:rPr>
              <w:t>(306)</w:t>
            </w:r>
          </w:p>
        </w:tc>
        <w:tc>
          <w:tcPr>
            <w:tcW w:w="1020" w:type="dxa"/>
            <w:vAlign w:val="bottom"/>
          </w:tcPr>
          <w:p>
            <w:pPr>
              <w:jc w:val="right"/>
              <w:spacing w:after="0"/>
              <w:rPr>
                <w:sz w:val="20"/>
                <w:szCs w:val="20"/>
                <w:color w:val="auto"/>
              </w:rPr>
            </w:pPr>
            <w:r>
              <w:rPr>
                <w:rFonts w:ascii="Arial" w:cs="Arial" w:eastAsia="Arial" w:hAnsi="Arial"/>
                <w:sz w:val="18"/>
                <w:szCs w:val="18"/>
                <w:color w:val="auto"/>
              </w:rPr>
              <w:t>(33.1) %</w:t>
            </w:r>
          </w:p>
        </w:tc>
      </w:t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8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680</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838</w:t>
            </w: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color w:val="auto"/>
              </w:rPr>
              <w:t>(158)</w:t>
            </w: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(18.8)</w:t>
            </w:r>
          </w:p>
        </w:tc>
      </w:t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(61)</w:t>
            </w:r>
          </w:p>
        </w:tc>
        <w:tc>
          <w:tcPr>
            <w:tcW w:w="10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87</w:t>
            </w:r>
          </w:p>
        </w:tc>
        <w:tc>
          <w:tcPr>
            <w:tcW w:w="98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b w:val="1"/>
                <w:bCs w:val="1"/>
                <w:color w:val="auto"/>
              </w:rPr>
              <w:t>(148)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(170.9)%</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decreased for the three months ended March 31, 2021 compared to the same period in 2020 due to the temporary limited-capacity operation and closures of our theme parks as a result of COVID-19. Our theme parks closed beginning in late February 2020 in Japan and mid-March 2020 in Orlando and Hollywood. Our theme parks in Orlando and Japan reopened with</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limited-capacity in June 2020, while our theme park in Hollywood remained closed through the first quarter of 2021. In April 2021, our theme park in Hollywood reopened with limited capacity, but our theme park in Japan has temporarily closed.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decreased for the three months ended March 31, 2021 compared to the same period in 2020 primarily due to decreases in costs related to park operations due to the temporary limited-capacity operation and closures and lower marketing-related costs, partially offset by increased pre-opening costs associated with Universal Beijing Resort. We expect to incur significant additional pre-opening costs ahead of the expected opening of Universal Beijing Resort later in 2021.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Headquarters,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jc w:val="right"/>
              <w:ind w:right="139"/>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5"/>
                <w:szCs w:val="15"/>
                <w:color w:val="auto"/>
              </w:rPr>
            </w:pPr>
          </w:p>
        </w:tc>
      </w:tr>
      <w:tr>
        <w:trPr>
          <w:trHeight w:val="18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w w:val="96"/>
              </w:rPr>
              <w:t>2020</w:t>
            </w: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3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rPr>
              <w:t>%</w:t>
            </w:r>
          </w:p>
        </w:tc>
      </w:tr>
      <w:tr>
        <w:trPr>
          <w:trHeight w:val="22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9"/>
              <w:spacing w:after="0"/>
              <w:rPr>
                <w:sz w:val="20"/>
                <w:szCs w:val="20"/>
                <w:color w:val="auto"/>
              </w:rPr>
            </w:pPr>
            <w:r>
              <w:rPr>
                <w:rFonts w:ascii="Arial" w:cs="Arial" w:eastAsia="Arial" w:hAnsi="Arial"/>
                <w:sz w:val="18"/>
                <w:szCs w:val="18"/>
                <w:color w:val="auto"/>
              </w:rPr>
              <w:t>16</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59"/>
              <w:spacing w:after="0"/>
              <w:rPr>
                <w:sz w:val="20"/>
                <w:szCs w:val="20"/>
                <w:color w:val="auto"/>
              </w:rPr>
            </w:pPr>
            <w:r>
              <w:rPr>
                <w:rFonts w:ascii="Arial" w:cs="Arial" w:eastAsia="Arial" w:hAnsi="Arial"/>
                <w:sz w:val="18"/>
                <w:szCs w:val="18"/>
                <w:color w:val="auto"/>
              </w:rPr>
              <w:t>7</w:t>
            </w:r>
          </w:p>
        </w:tc>
        <w:tc>
          <w:tcPr>
            <w:tcW w:w="1020" w:type="dxa"/>
            <w:vAlign w:val="bottom"/>
          </w:tcPr>
          <w:p>
            <w:pPr>
              <w:jc w:val="right"/>
              <w:spacing w:after="0"/>
              <w:rPr>
                <w:sz w:val="20"/>
                <w:szCs w:val="20"/>
                <w:color w:val="auto"/>
              </w:rPr>
            </w:pPr>
            <w:r>
              <w:rPr>
                <w:rFonts w:ascii="Arial" w:cs="Arial" w:eastAsia="Arial" w:hAnsi="Arial"/>
                <w:sz w:val="18"/>
                <w:szCs w:val="18"/>
                <w:color w:val="auto"/>
              </w:rPr>
              <w:t>85.9 %</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225</w:t>
            </w: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230</w:t>
            </w: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color w:val="auto"/>
              </w:rPr>
              <w:t>(5)</w:t>
            </w: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(2.2)</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(209)</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(221)</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8"/>
                <w:szCs w:val="18"/>
                <w:b w:val="1"/>
                <w:bCs w:val="1"/>
                <w:color w:val="auto"/>
              </w:rPr>
              <w:t>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 and expenses include overhead, personnel costs and costs associated with corporate initiatives.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jc w:val="right"/>
              <w:ind w:right="139"/>
              <w:spacing w:after="0"/>
              <w:rPr>
                <w:sz w:val="20"/>
                <w:szCs w:val="20"/>
                <w:color w:val="auto"/>
              </w:rPr>
            </w:pPr>
            <w:r>
              <w:rPr>
                <w:rFonts w:ascii="Arial" w:cs="Arial" w:eastAsia="Arial" w:hAnsi="Arial"/>
                <w:sz w:val="14"/>
                <w:szCs w:val="14"/>
                <w:color w:val="auto"/>
              </w:rPr>
              <w:t>Increase/</w:t>
            </w:r>
          </w:p>
        </w:tc>
        <w:tc>
          <w:tcPr>
            <w:tcW w:w="1000" w:type="dxa"/>
            <w:vAlign w:val="bottom"/>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(Decrease)</w:t>
            </w:r>
          </w:p>
        </w:tc>
        <w:tc>
          <w:tcPr>
            <w:tcW w:w="1000" w:type="dxa"/>
            <w:vAlign w:val="bottom"/>
            <w:tcBorders>
              <w:bottom w:val="single" w:sz="8" w:color="auto"/>
            </w:tcBorders>
          </w:tcPr>
          <w:p>
            <w:pPr>
              <w:spacing w:after="0"/>
              <w:rPr>
                <w:sz w:val="15"/>
                <w:szCs w:val="15"/>
                <w:color w:val="auto"/>
              </w:rPr>
            </w:pPr>
          </w:p>
        </w:tc>
      </w:tr>
      <w:tr>
        <w:trPr>
          <w:trHeight w:val="18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w w:val="89"/>
              </w:rPr>
              <w:t>2020</w:t>
            </w: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5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rPr>
              <w:t>%</w:t>
            </w:r>
          </w:p>
        </w:tc>
      </w:tr>
      <w:tr>
        <w:trPr>
          <w:trHeight w:val="22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(1,043)</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(492)</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59"/>
              <w:spacing w:after="0"/>
              <w:rPr>
                <w:sz w:val="20"/>
                <w:szCs w:val="20"/>
                <w:color w:val="auto"/>
              </w:rPr>
            </w:pPr>
            <w:r>
              <w:rPr>
                <w:rFonts w:ascii="Arial" w:cs="Arial" w:eastAsia="Arial" w:hAnsi="Arial"/>
                <w:sz w:val="18"/>
                <w:szCs w:val="18"/>
                <w:color w:val="auto"/>
              </w:rPr>
              <w:t>551</w:t>
            </w:r>
          </w:p>
        </w:tc>
        <w:tc>
          <w:tcPr>
            <w:tcW w:w="1000" w:type="dxa"/>
            <w:vAlign w:val="bottom"/>
          </w:tcPr>
          <w:p>
            <w:pPr>
              <w:jc w:val="right"/>
              <w:spacing w:after="0"/>
              <w:rPr>
                <w:sz w:val="20"/>
                <w:szCs w:val="20"/>
                <w:color w:val="auto"/>
              </w:rPr>
            </w:pPr>
            <w:r>
              <w:rPr>
                <w:rFonts w:ascii="Arial" w:cs="Arial" w:eastAsia="Arial" w:hAnsi="Arial"/>
                <w:sz w:val="18"/>
                <w:szCs w:val="18"/>
                <w:color w:val="auto"/>
              </w:rPr>
              <w:t>111.5 %</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(833)</w:t>
            </w:r>
          </w:p>
        </w:tc>
        <w:tc>
          <w:tcPr>
            <w:tcW w:w="6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(486)</w:t>
            </w: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8"/>
                <w:szCs w:val="18"/>
                <w:color w:val="auto"/>
              </w:rPr>
              <w:t>347</w:t>
            </w: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70.9</w:t>
            </w:r>
          </w:p>
        </w:tc>
      </w:tr>
      <w:tr>
        <w:trPr>
          <w:trHeight w:val="23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(210)</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(6)</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8"/>
                <w:szCs w:val="18"/>
                <w:b w:val="1"/>
                <w:bCs w:val="1"/>
                <w:color w:val="auto"/>
              </w:rPr>
              <w:t>204</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NM</w:t>
            </w:r>
          </w:p>
        </w:tc>
      </w:tr>
    </w:tbl>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Amounts represent eliminations of transactions between our NBCUniversal segments. For the three months ended March 31, 2021, eliminations of revenue and operating costs and expenses increased as a result of licensing of content between our Studios and Media segments, including transactions with Peacock. For the three months ended March 31, 2021 and 2020, approximately 52% and 30% of Studios segment content licensing revenue resulted from transactions with other segments, primarily with the Media segment. Eliminations will increase or decrease to the extent that additional content is made available to our other segments. Refer to Note 2 for further description of transactions between our segments.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 Segment Results of Operations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tcPr>
          <w:p>
            <w:pPr>
              <w:jc w:val="right"/>
              <w:ind w:right="95"/>
              <w:spacing w:after="0"/>
              <w:rPr>
                <w:sz w:val="20"/>
                <w:szCs w:val="20"/>
                <w:color w:val="auto"/>
              </w:rPr>
            </w:pPr>
            <w:r>
              <w:rPr>
                <w:rFonts w:ascii="Arial" w:cs="Arial" w:eastAsia="Arial" w:hAnsi="Arial"/>
                <w:sz w:val="14"/>
                <w:szCs w:val="14"/>
                <w:color w:val="auto"/>
              </w:rPr>
              <w:t>Increase/</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center"/>
              <w:ind w:left="115"/>
              <w:spacing w:after="0"/>
              <w:rPr>
                <w:sz w:val="20"/>
                <w:szCs w:val="20"/>
                <w:color w:val="auto"/>
              </w:rPr>
            </w:pPr>
            <w:r>
              <w:rPr>
                <w:rFonts w:ascii="Arial" w:cs="Arial" w:eastAsia="Arial" w:hAnsi="Arial"/>
                <w:sz w:val="14"/>
                <w:szCs w:val="14"/>
                <w:color w:val="auto"/>
                <w:w w:val="92"/>
              </w:rPr>
              <w:t>Constant Currency</w:t>
            </w:r>
          </w:p>
        </w:tc>
        <w:tc>
          <w:tcPr>
            <w:tcW w:w="180" w:type="dxa"/>
            <w:vAlign w:val="bottom"/>
          </w:tcPr>
          <w:p>
            <w:pPr>
              <w:spacing w:after="0"/>
              <w:rPr>
                <w:sz w:val="14"/>
                <w:szCs w:val="14"/>
                <w:color w:val="auto"/>
              </w:rPr>
            </w:pPr>
          </w:p>
        </w:tc>
      </w:tr>
      <w:tr>
        <w:trPr>
          <w:trHeight w:val="189"/>
        </w:trPr>
        <w:tc>
          <w:tcPr>
            <w:tcW w:w="3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color w:val="auto"/>
              </w:rPr>
              <w:t>March 31,</w:t>
            </w: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(Decrease)</w:t>
            </w: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95"/>
              <w:spacing w:after="0" w:line="189" w:lineRule="exact"/>
              <w:rPr>
                <w:sz w:val="20"/>
                <w:szCs w:val="20"/>
                <w:color w:val="auto"/>
              </w:rPr>
            </w:pPr>
            <w:r>
              <w:rPr>
                <w:rFonts w:ascii="Arial" w:cs="Arial" w:eastAsia="Arial" w:hAnsi="Arial"/>
                <w:sz w:val="14"/>
                <w:szCs w:val="14"/>
                <w:color w:val="auto"/>
                <w:w w:val="90"/>
              </w:rPr>
              <w:t>Growth</w:t>
            </w:r>
            <w:r>
              <w:rPr>
                <w:rFonts w:ascii="Arial" w:cs="Arial" w:eastAsia="Arial" w:hAnsi="Arial"/>
                <w:sz w:val="18"/>
                <w:szCs w:val="18"/>
                <w:color w:val="auto"/>
                <w:w w:val="90"/>
                <w:vertAlign w:val="superscript"/>
              </w:rPr>
              <w:t>(a)</w:t>
            </w:r>
          </w:p>
        </w:tc>
        <w:tc>
          <w:tcPr>
            <w:tcW w:w="180" w:type="dxa"/>
            <w:vAlign w:val="bottom"/>
            <w:tcBorders>
              <w:bottom w:val="single" w:sz="8" w:color="auto"/>
            </w:tcBorders>
          </w:tcPr>
          <w:p>
            <w:pPr>
              <w:spacing w:after="0"/>
              <w:rPr>
                <w:sz w:val="16"/>
                <w:szCs w:val="16"/>
                <w:color w:val="auto"/>
              </w:rPr>
            </w:pPr>
          </w:p>
        </w:tc>
      </w:tr>
      <w:tr>
        <w:trPr>
          <w:trHeight w:val="179"/>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w w:val="96"/>
              </w:rPr>
              <w:t>2020</w:t>
            </w: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55"/>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115"/>
              <w:spacing w:after="0"/>
              <w:rPr>
                <w:sz w:val="20"/>
                <w:szCs w:val="20"/>
                <w:color w:val="auto"/>
              </w:rPr>
            </w:pPr>
            <w:r>
              <w:rPr>
                <w:rFonts w:ascii="Arial" w:cs="Arial" w:eastAsia="Arial" w:hAnsi="Arial"/>
                <w:sz w:val="14"/>
                <w:szCs w:val="14"/>
                <w:color w:val="auto"/>
                <w:w w:val="96"/>
              </w:rPr>
              <w:t>%</w:t>
            </w:r>
          </w:p>
        </w:tc>
        <w:tc>
          <w:tcPr>
            <w:tcW w:w="180" w:type="dxa"/>
            <w:vAlign w:val="bottom"/>
            <w:tcBorders>
              <w:bottom w:val="single" w:sz="8" w:color="auto"/>
            </w:tcBorders>
          </w:tcPr>
          <w:p>
            <w:pPr>
              <w:spacing w:after="0"/>
              <w:rPr>
                <w:sz w:val="15"/>
                <w:szCs w:val="15"/>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720" w:type="dxa"/>
            <w:vAlign w:val="bottom"/>
          </w:tcPr>
          <w:p>
            <w:pPr>
              <w:ind w:left="360"/>
              <w:spacing w:after="0"/>
              <w:rPr>
                <w:sz w:val="20"/>
                <w:szCs w:val="20"/>
                <w:color w:val="auto"/>
              </w:rPr>
            </w:pPr>
            <w:r>
              <w:rPr>
                <w:rFonts w:ascii="Arial" w:cs="Arial" w:eastAsia="Arial" w:hAnsi="Arial"/>
                <w:sz w:val="18"/>
                <w:szCs w:val="18"/>
                <w:color w:val="auto"/>
              </w:rPr>
              <w:t>Direct-to-consumer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4,065</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3,679</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15"/>
              <w:spacing w:after="0"/>
              <w:rPr>
                <w:sz w:val="20"/>
                <w:szCs w:val="20"/>
                <w:color w:val="auto"/>
              </w:rPr>
            </w:pPr>
            <w:r>
              <w:rPr>
                <w:rFonts w:ascii="Arial" w:cs="Arial" w:eastAsia="Arial" w:hAnsi="Arial"/>
                <w:sz w:val="18"/>
                <w:szCs w:val="18"/>
                <w:color w:val="auto"/>
              </w:rPr>
              <w:t>386</w:t>
            </w: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3720" w:type="dxa"/>
            <w:vAlign w:val="bottom"/>
          </w:tcPr>
          <w:p>
            <w:pPr>
              <w:ind w:left="360"/>
              <w:spacing w:after="0"/>
              <w:rPr>
                <w:sz w:val="20"/>
                <w:szCs w:val="20"/>
                <w:color w:val="auto"/>
              </w:rPr>
            </w:pPr>
            <w:r>
              <w:rPr>
                <w:rFonts w:ascii="Arial" w:cs="Arial" w:eastAsia="Arial" w:hAnsi="Arial"/>
                <w:sz w:val="18"/>
                <w:szCs w:val="18"/>
                <w:color w:val="auto"/>
              </w:rPr>
              <w:t>Content</w:t>
            </w:r>
          </w:p>
        </w:tc>
        <w:tc>
          <w:tcPr>
            <w:tcW w:w="32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358</w:t>
            </w:r>
          </w:p>
        </w:tc>
        <w:tc>
          <w:tcPr>
            <w:tcW w:w="64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325</w:t>
            </w:r>
          </w:p>
        </w:tc>
        <w:tc>
          <w:tcPr>
            <w:tcW w:w="480" w:type="dxa"/>
            <w:vAlign w:val="bottom"/>
          </w:tcPr>
          <w:p>
            <w:pPr>
              <w:spacing w:after="0"/>
              <w:rPr>
                <w:sz w:val="19"/>
                <w:szCs w:val="19"/>
                <w:color w:val="auto"/>
              </w:rPr>
            </w:pPr>
          </w:p>
        </w:tc>
        <w:tc>
          <w:tcPr>
            <w:tcW w:w="1440" w:type="dxa"/>
            <w:vAlign w:val="bottom"/>
          </w:tcPr>
          <w:p>
            <w:pPr>
              <w:jc w:val="right"/>
              <w:ind w:right="515"/>
              <w:spacing w:after="0"/>
              <w:rPr>
                <w:sz w:val="20"/>
                <w:szCs w:val="20"/>
                <w:color w:val="auto"/>
              </w:rPr>
            </w:pPr>
            <w:r>
              <w:rPr>
                <w:rFonts w:ascii="Arial" w:cs="Arial" w:eastAsia="Arial" w:hAnsi="Arial"/>
                <w:sz w:val="18"/>
                <w:szCs w:val="18"/>
                <w:color w:val="auto"/>
              </w:rPr>
              <w:t>33</w:t>
            </w: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r>
      <w:tr>
        <w:trPr>
          <w:trHeight w:val="230"/>
        </w:trPr>
        <w:tc>
          <w:tcPr>
            <w:tcW w:w="3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Advertising</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574</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513</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rPr>
              <w:t>61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auto"/>
            </w:tcBorders>
          </w:tcPr>
          <w:p>
            <w:pPr>
              <w:spacing w:after="0"/>
              <w:rPr>
                <w:sz w:val="20"/>
                <w:szCs w:val="20"/>
                <w:color w:val="auto"/>
              </w:rPr>
            </w:pPr>
          </w:p>
        </w:tc>
      </w:tr>
      <w:tr>
        <w:trPr>
          <w:trHeight w:val="218"/>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b w:val="1"/>
                <w:bCs w:val="1"/>
                <w:color w:val="auto"/>
              </w:rPr>
              <w:t>4,997</w:t>
            </w:r>
          </w:p>
        </w:tc>
        <w:tc>
          <w:tcPr>
            <w:tcW w:w="64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4,517</w:t>
            </w:r>
          </w:p>
        </w:tc>
        <w:tc>
          <w:tcPr>
            <w:tcW w:w="480" w:type="dxa"/>
            <w:vAlign w:val="bottom"/>
          </w:tcPr>
          <w:p>
            <w:pPr>
              <w:spacing w:after="0"/>
              <w:rPr>
                <w:sz w:val="18"/>
                <w:szCs w:val="18"/>
                <w:color w:val="auto"/>
              </w:rPr>
            </w:pPr>
          </w:p>
        </w:tc>
        <w:tc>
          <w:tcPr>
            <w:tcW w:w="1440" w:type="dxa"/>
            <w:vAlign w:val="bottom"/>
          </w:tcPr>
          <w:p>
            <w:pPr>
              <w:jc w:val="right"/>
              <w:ind w:right="515"/>
              <w:spacing w:after="0"/>
              <w:rPr>
                <w:sz w:val="20"/>
                <w:szCs w:val="20"/>
                <w:color w:val="auto"/>
              </w:rPr>
            </w:pPr>
            <w:r>
              <w:rPr>
                <w:rFonts w:ascii="Arial" w:cs="Arial" w:eastAsia="Arial" w:hAnsi="Arial"/>
                <w:sz w:val="18"/>
                <w:szCs w:val="18"/>
                <w:b w:val="1"/>
                <w:bCs w:val="1"/>
                <w:color w:val="auto"/>
              </w:rPr>
              <w:t>480</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80" w:type="dxa"/>
            <w:vAlign w:val="bottom"/>
          </w:tcPr>
          <w:p>
            <w:pPr>
              <w:spacing w:after="0"/>
              <w:rPr>
                <w:sz w:val="18"/>
                <w:szCs w:val="18"/>
                <w:color w:val="auto"/>
              </w:rPr>
            </w:pPr>
          </w:p>
        </w:tc>
      </w:tr>
      <w:tr>
        <w:trPr>
          <w:trHeight w:val="234"/>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9"/>
        </w:trPr>
        <w:tc>
          <w:tcPr>
            <w:tcW w:w="3720" w:type="dxa"/>
            <w:vAlign w:val="bottom"/>
          </w:tcPr>
          <w:p>
            <w:pPr>
              <w:ind w:left="360"/>
              <w:spacing w:after="0"/>
              <w:rPr>
                <w:sz w:val="20"/>
                <w:szCs w:val="20"/>
                <w:color w:val="auto"/>
              </w:rPr>
            </w:pPr>
            <w:r>
              <w:rPr>
                <w:rFonts w:ascii="Arial" w:cs="Arial" w:eastAsia="Arial" w:hAnsi="Arial"/>
                <w:sz w:val="18"/>
                <w:szCs w:val="18"/>
                <w:color w:val="auto"/>
              </w:rPr>
              <w:t>Programming and production</w:t>
            </w:r>
          </w:p>
        </w:tc>
        <w:tc>
          <w:tcPr>
            <w:tcW w:w="32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2,485</w:t>
            </w:r>
          </w:p>
        </w:tc>
        <w:tc>
          <w:tcPr>
            <w:tcW w:w="64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2,064</w:t>
            </w:r>
          </w:p>
        </w:tc>
        <w:tc>
          <w:tcPr>
            <w:tcW w:w="480" w:type="dxa"/>
            <w:vAlign w:val="bottom"/>
          </w:tcPr>
          <w:p>
            <w:pPr>
              <w:spacing w:after="0"/>
              <w:rPr>
                <w:sz w:val="19"/>
                <w:szCs w:val="19"/>
                <w:color w:val="auto"/>
              </w:rPr>
            </w:pPr>
          </w:p>
        </w:tc>
        <w:tc>
          <w:tcPr>
            <w:tcW w:w="1440" w:type="dxa"/>
            <w:vAlign w:val="bottom"/>
          </w:tcPr>
          <w:p>
            <w:pPr>
              <w:jc w:val="right"/>
              <w:ind w:right="515"/>
              <w:spacing w:after="0"/>
              <w:rPr>
                <w:sz w:val="20"/>
                <w:szCs w:val="20"/>
                <w:color w:val="auto"/>
              </w:rPr>
            </w:pPr>
            <w:r>
              <w:rPr>
                <w:rFonts w:ascii="Arial" w:cs="Arial" w:eastAsia="Arial" w:hAnsi="Arial"/>
                <w:sz w:val="18"/>
                <w:szCs w:val="18"/>
                <w:color w:val="auto"/>
              </w:rPr>
              <w:t>421</w:t>
            </w: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9"/>
                <w:szCs w:val="19"/>
                <w:color w:val="auto"/>
              </w:rPr>
            </w:pPr>
          </w:p>
        </w:tc>
      </w:tr>
      <w:tr>
        <w:trPr>
          <w:trHeight w:val="229"/>
        </w:trPr>
        <w:tc>
          <w:tcPr>
            <w:tcW w:w="3720" w:type="dxa"/>
            <w:vAlign w:val="bottom"/>
          </w:tcPr>
          <w:p>
            <w:pPr>
              <w:ind w:left="360"/>
              <w:spacing w:after="0"/>
              <w:rPr>
                <w:sz w:val="20"/>
                <w:szCs w:val="20"/>
                <w:color w:val="auto"/>
              </w:rPr>
            </w:pPr>
            <w:r>
              <w:rPr>
                <w:rFonts w:ascii="Arial" w:cs="Arial" w:eastAsia="Arial" w:hAnsi="Arial"/>
                <w:sz w:val="18"/>
                <w:szCs w:val="18"/>
                <w:color w:val="auto"/>
              </w:rPr>
              <w:t>Direct network costs</w:t>
            </w:r>
          </w:p>
        </w:tc>
        <w:tc>
          <w:tcPr>
            <w:tcW w:w="320" w:type="dxa"/>
            <w:vAlign w:val="bottom"/>
          </w:tcPr>
          <w:p>
            <w:pPr>
              <w:spacing w:after="0"/>
              <w:rPr>
                <w:sz w:val="19"/>
                <w:szCs w:val="19"/>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631</w:t>
            </w:r>
          </w:p>
        </w:tc>
        <w:tc>
          <w:tcPr>
            <w:tcW w:w="64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457</w:t>
            </w:r>
          </w:p>
        </w:tc>
        <w:tc>
          <w:tcPr>
            <w:tcW w:w="480" w:type="dxa"/>
            <w:vAlign w:val="bottom"/>
          </w:tcPr>
          <w:p>
            <w:pPr>
              <w:spacing w:after="0"/>
              <w:rPr>
                <w:sz w:val="19"/>
                <w:szCs w:val="19"/>
                <w:color w:val="auto"/>
              </w:rPr>
            </w:pPr>
          </w:p>
        </w:tc>
        <w:tc>
          <w:tcPr>
            <w:tcW w:w="1440" w:type="dxa"/>
            <w:vAlign w:val="bottom"/>
          </w:tcPr>
          <w:p>
            <w:pPr>
              <w:jc w:val="right"/>
              <w:ind w:right="515"/>
              <w:spacing w:after="0"/>
              <w:rPr>
                <w:sz w:val="20"/>
                <w:szCs w:val="20"/>
                <w:color w:val="auto"/>
              </w:rPr>
            </w:pPr>
            <w:r>
              <w:rPr>
                <w:rFonts w:ascii="Arial" w:cs="Arial" w:eastAsia="Arial" w:hAnsi="Arial"/>
                <w:sz w:val="18"/>
                <w:szCs w:val="18"/>
                <w:color w:val="auto"/>
              </w:rPr>
              <w:t>174</w:t>
            </w:r>
          </w:p>
        </w:tc>
        <w:tc>
          <w:tcPr>
            <w:tcW w:w="700" w:type="dxa"/>
            <w:vAlign w:val="bottom"/>
          </w:tcPr>
          <w:p>
            <w:pPr>
              <w:jc w:val="right"/>
              <w:spacing w:after="0"/>
              <w:rPr>
                <w:sz w:val="20"/>
                <w:szCs w:val="20"/>
                <w:color w:val="auto"/>
              </w:rPr>
            </w:pPr>
            <w:r>
              <w:rPr>
                <w:rFonts w:ascii="Arial" w:cs="Arial" w:eastAsia="Arial" w:hAnsi="Arial"/>
                <w:sz w:val="18"/>
                <w:szCs w:val="18"/>
                <w:color w:val="auto"/>
              </w:rPr>
              <w:t>38.1</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9"/>
                <w:szCs w:val="19"/>
                <w:color w:val="auto"/>
              </w:rPr>
            </w:pPr>
          </w:p>
        </w:tc>
      </w:tr>
      <w:tr>
        <w:trPr>
          <w:trHeight w:val="230"/>
        </w:trPr>
        <w:tc>
          <w:tcPr>
            <w:tcW w:w="37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1,517</w:t>
            </w: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1,445</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rPr>
              <w:t>72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auto"/>
            </w:tcBorders>
          </w:tcPr>
          <w:p>
            <w:pPr>
              <w:spacing w:after="0"/>
              <w:rPr>
                <w:sz w:val="20"/>
                <w:szCs w:val="20"/>
                <w:color w:val="auto"/>
              </w:rPr>
            </w:pPr>
          </w:p>
        </w:tc>
      </w:tr>
      <w:tr>
        <w:trPr>
          <w:trHeight w:val="22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4,633</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3,966</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rPr>
              <w:t>667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80" w:type="dxa"/>
            <w:vAlign w:val="bottom"/>
            <w:tcBorders>
              <w:bottom w:val="single" w:sz="8" w:color="auto"/>
            </w:tcBorders>
          </w:tcPr>
          <w:p>
            <w:pPr>
              <w:spacing w:after="0"/>
              <w:rPr>
                <w:sz w:val="19"/>
                <w:szCs w:val="19"/>
                <w:color w:val="auto"/>
              </w:rPr>
            </w:pPr>
          </w:p>
        </w:tc>
      </w:tr>
      <w:tr>
        <w:trPr>
          <w:trHeight w:val="230"/>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364</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551</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b w:val="1"/>
                <w:bCs w:val="1"/>
                <w:color w:val="auto"/>
              </w:rPr>
              <w:t>(187)</w:t>
            </w:r>
          </w:p>
        </w:tc>
        <w:tc>
          <w:tcPr>
            <w:tcW w:w="11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(33.9)%</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(39.6)%</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09" w:lineRule="exact"/>
        <w:rPr>
          <w:sz w:val="20"/>
          <w:szCs w:val="20"/>
          <w:color w:val="auto"/>
        </w:rPr>
      </w:pPr>
    </w:p>
    <w:p>
      <w:pPr>
        <w:ind w:left="260" w:hanging="252"/>
        <w:spacing w:after="0" w:line="273" w:lineRule="auto"/>
        <w:tabs>
          <w:tab w:leader="none" w:pos="257"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24 for additional information, including our definition and our use of constant currency, and for a reconciliation of Sky’s constant currency growth rates.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Net Additions</w:t>
            </w:r>
          </w:p>
        </w:tc>
        <w:tc>
          <w:tcPr>
            <w:tcW w:w="0" w:type="dxa"/>
            <w:vAlign w:val="bottom"/>
          </w:tcPr>
          <w:p>
            <w:pPr>
              <w:spacing w:after="0"/>
              <w:rPr>
                <w:sz w:val="1"/>
                <w:szCs w:val="1"/>
                <w:color w:val="auto"/>
              </w:rPr>
            </w:pPr>
          </w:p>
        </w:tc>
      </w:tr>
      <w:tr>
        <w:trPr>
          <w:trHeight w:val="134"/>
        </w:trPr>
        <w:tc>
          <w:tcPr>
            <w:tcW w:w="708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March 31,</w:t>
            </w:r>
          </w:p>
        </w:tc>
        <w:tc>
          <w:tcPr>
            <w:tcW w:w="700" w:type="dxa"/>
            <w:vAlign w:val="bottom"/>
          </w:tcPr>
          <w:p>
            <w:pPr>
              <w:spacing w:after="0"/>
              <w:rPr>
                <w:sz w:val="11"/>
                <w:szCs w:val="11"/>
                <w:color w:val="auto"/>
              </w:rPr>
            </w:pPr>
          </w:p>
        </w:tc>
        <w:tc>
          <w:tcPr>
            <w:tcW w:w="208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83"/>
        </w:trPr>
        <w:tc>
          <w:tcPr>
            <w:tcW w:w="708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left="624"/>
              <w:spacing w:after="0"/>
              <w:rPr>
                <w:sz w:val="20"/>
                <w:szCs w:val="20"/>
                <w:color w:val="auto"/>
              </w:rPr>
            </w:pPr>
            <w:r>
              <w:rPr>
                <w:rFonts w:ascii="Arial" w:cs="Arial" w:eastAsia="Arial" w:hAnsi="Arial"/>
                <w:sz w:val="14"/>
                <w:szCs w:val="14"/>
                <w:color w:val="auto"/>
                <w:w w:val="96"/>
              </w:rPr>
              <w:t>March 31,</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color w:val="auto"/>
              </w:rPr>
              <w:t>2021</w:t>
            </w: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w w:val="96"/>
              </w:rPr>
              <w:t>2020</w:t>
            </w:r>
          </w:p>
        </w:tc>
        <w:tc>
          <w:tcPr>
            <w:tcW w:w="138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color w:val="auto"/>
              </w:rPr>
              <w:t>2021</w:t>
            </w: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226"/>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customer relationships</w:t>
            </w:r>
          </w:p>
        </w:tc>
        <w:tc>
          <w:tcPr>
            <w:tcW w:w="1380" w:type="dxa"/>
            <w:vAlign w:val="bottom"/>
            <w:tcBorders>
              <w:bottom w:val="single" w:sz="8" w:color="auto"/>
            </w:tcBorders>
          </w:tcPr>
          <w:p>
            <w:pPr>
              <w:jc w:val="right"/>
              <w:ind w:right="342"/>
              <w:spacing w:after="0"/>
              <w:rPr>
                <w:sz w:val="20"/>
                <w:szCs w:val="20"/>
                <w:color w:val="auto"/>
              </w:rPr>
            </w:pPr>
            <w:r>
              <w:rPr>
                <w:rFonts w:ascii="Arial" w:cs="Arial" w:eastAsia="Arial" w:hAnsi="Arial"/>
                <w:sz w:val="18"/>
                <w:szCs w:val="18"/>
                <w:color w:val="auto"/>
              </w:rPr>
              <w:t>23,446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23,216</w:t>
            </w:r>
          </w:p>
        </w:tc>
        <w:tc>
          <w:tcPr>
            <w:tcW w:w="1380" w:type="dxa"/>
            <w:vAlign w:val="bottom"/>
            <w:tcBorders>
              <w:bottom w:val="single" w:sz="8" w:color="auto"/>
            </w:tcBorders>
          </w:tcPr>
          <w:p>
            <w:pPr>
              <w:jc w:val="right"/>
              <w:ind w:right="344"/>
              <w:spacing w:after="0"/>
              <w:rPr>
                <w:sz w:val="20"/>
                <w:szCs w:val="20"/>
                <w:color w:val="auto"/>
              </w:rPr>
            </w:pPr>
            <w:r>
              <w:rPr>
                <w:rFonts w:ascii="Arial" w:cs="Arial" w:eastAsia="Arial" w:hAnsi="Arial"/>
                <w:sz w:val="18"/>
                <w:szCs w:val="18"/>
                <w:color w:val="auto"/>
              </w:rPr>
              <w:t>221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Customer metrics are presented based on actual amounts. Minor differences may exist due to rounding. Customer relationships represent the number of residential customers that subscribe to at least one of Sky’s four primary services of video, broadband, voice and wireless phone service. Sky reports commercial customers, including hotels, bars, workplaces and restaurants, generally based on the number of locations receiving our services. In the first quarter of 2021, we implemented conforming changes to our methodology for counting commercial customers in Italy and Germany, which are now counted as described above, consistent with customers in the United Kingdom. Previously these customers were counted based on a residential equivalent unit in Italy and the number of active venues or rooms in Germany. This change resulted in a reduction in Sky’s total customer relationships of 714,000 as of December 31, 2020. The impact of the change in methodology to customer relationship net additions for any period was not material. For comparative purposes, we have updated Sky’s historical total customer relationships and average monthly direct-to-consumer revenue per customer relationship to reflect this adjustment.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vMerge w:val="restart"/>
          </w:tcPr>
          <w:p>
            <w:pPr>
              <w:jc w:val="center"/>
              <w:ind w:right="159"/>
              <w:spacing w:after="0"/>
              <w:rPr>
                <w:sz w:val="20"/>
                <w:szCs w:val="20"/>
                <w:color w:val="auto"/>
              </w:rPr>
            </w:pPr>
            <w:r>
              <w:rPr>
                <w:rFonts w:ascii="Arial" w:cs="Arial" w:eastAsia="Arial" w:hAnsi="Arial"/>
                <w:sz w:val="14"/>
                <w:szCs w:val="14"/>
                <w:color w:val="auto"/>
                <w:w w:val="93"/>
              </w:rPr>
              <w:t>Three Months Ended</w:t>
            </w:r>
          </w:p>
        </w:tc>
        <w:tc>
          <w:tcPr>
            <w:tcW w:w="1100" w:type="dxa"/>
            <w:vAlign w:val="bottom"/>
            <w:vMerge w:val="restart"/>
          </w:tcPr>
          <w:p>
            <w:pPr>
              <w:jc w:val="center"/>
              <w:ind w:right="104"/>
              <w:spacing w:after="0"/>
              <w:rPr>
                <w:sz w:val="20"/>
                <w:szCs w:val="20"/>
                <w:color w:val="auto"/>
              </w:rPr>
            </w:pPr>
            <w:r>
              <w:rPr>
                <w:rFonts w:ascii="Arial" w:cs="Arial" w:eastAsia="Arial" w:hAnsi="Arial"/>
                <w:sz w:val="14"/>
                <w:szCs w:val="14"/>
                <w:color w:val="auto"/>
                <w:w w:val="90"/>
              </w:rPr>
              <w:t>Increase/</w:t>
            </w:r>
          </w:p>
        </w:tc>
        <w:tc>
          <w:tcPr>
            <w:tcW w:w="920" w:type="dxa"/>
            <w:vAlign w:val="bottom"/>
          </w:tcPr>
          <w:p>
            <w:pPr>
              <w:jc w:val="center"/>
              <w:ind w:right="24"/>
              <w:spacing w:after="0"/>
              <w:rPr>
                <w:sz w:val="20"/>
                <w:szCs w:val="20"/>
                <w:color w:val="auto"/>
              </w:rPr>
            </w:pPr>
            <w:r>
              <w:rPr>
                <w:rFonts w:ascii="Arial" w:cs="Arial" w:eastAsia="Arial" w:hAnsi="Arial"/>
                <w:sz w:val="14"/>
                <w:szCs w:val="14"/>
                <w:color w:val="auto"/>
                <w:w w:val="89"/>
              </w:rPr>
              <w:t>Constant</w:t>
            </w:r>
          </w:p>
        </w:tc>
        <w:tc>
          <w:tcPr>
            <w:tcW w:w="0" w:type="dxa"/>
            <w:vAlign w:val="bottom"/>
          </w:tcPr>
          <w:p>
            <w:pPr>
              <w:spacing w:after="0"/>
              <w:rPr>
                <w:sz w:val="1"/>
                <w:szCs w:val="1"/>
                <w:color w:val="auto"/>
              </w:rPr>
            </w:pPr>
          </w:p>
        </w:tc>
      </w:tr>
      <w:tr>
        <w:trPr>
          <w:trHeight w:val="135"/>
        </w:trPr>
        <w:tc>
          <w:tcPr>
            <w:tcW w:w="7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920" w:type="dxa"/>
            <w:vAlign w:val="bottom"/>
          </w:tcPr>
          <w:p>
            <w:pPr>
              <w:jc w:val="center"/>
              <w:ind w:right="24"/>
              <w:spacing w:after="0" w:line="135" w:lineRule="exact"/>
              <w:rPr>
                <w:sz w:val="20"/>
                <w:szCs w:val="20"/>
                <w:color w:val="auto"/>
              </w:rPr>
            </w:pPr>
            <w:r>
              <w:rPr>
                <w:rFonts w:ascii="Arial" w:cs="Arial" w:eastAsia="Arial" w:hAnsi="Arial"/>
                <w:sz w:val="14"/>
                <w:szCs w:val="14"/>
                <w:color w:val="auto"/>
                <w:w w:val="95"/>
              </w:rPr>
              <w:t>Currency</w:t>
            </w:r>
          </w:p>
        </w:tc>
        <w:tc>
          <w:tcPr>
            <w:tcW w:w="0" w:type="dxa"/>
            <w:vAlign w:val="bottom"/>
          </w:tcPr>
          <w:p>
            <w:pPr>
              <w:spacing w:after="0"/>
              <w:rPr>
                <w:sz w:val="1"/>
                <w:szCs w:val="1"/>
                <w:color w:val="auto"/>
              </w:rPr>
            </w:pPr>
          </w:p>
        </w:tc>
      </w:tr>
      <w:tr>
        <w:trPr>
          <w:trHeight w:val="189"/>
        </w:trPr>
        <w:tc>
          <w:tcPr>
            <w:tcW w:w="7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4"/>
                <w:szCs w:val="14"/>
                <w:color w:val="auto"/>
                <w:w w:val="96"/>
              </w:rPr>
              <w:t>March 31,</w:t>
            </w:r>
          </w:p>
        </w:tc>
        <w:tc>
          <w:tcPr>
            <w:tcW w:w="11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w w:val="92"/>
              </w:rPr>
              <w:t>(Decrease)</w:t>
            </w:r>
          </w:p>
        </w:tc>
        <w:tc>
          <w:tcPr>
            <w:tcW w:w="920" w:type="dxa"/>
            <w:vAlign w:val="bottom"/>
            <w:tcBorders>
              <w:bottom w:val="single" w:sz="8" w:color="auto"/>
            </w:tcBorders>
          </w:tcPr>
          <w:p>
            <w:pPr>
              <w:jc w:val="center"/>
              <w:ind w:right="24"/>
              <w:spacing w:after="0" w:line="189" w:lineRule="exact"/>
              <w:rPr>
                <w:sz w:val="20"/>
                <w:szCs w:val="20"/>
                <w:color w:val="auto"/>
              </w:rPr>
            </w:pPr>
            <w:r>
              <w:rPr>
                <w:rFonts w:ascii="Arial" w:cs="Arial" w:eastAsia="Arial" w:hAnsi="Arial"/>
                <w:sz w:val="14"/>
                <w:szCs w:val="14"/>
                <w:color w:val="auto"/>
                <w:w w:val="90"/>
              </w:rPr>
              <w:t>Growth</w:t>
            </w:r>
            <w:r>
              <w:rPr>
                <w:rFonts w:ascii="Arial" w:cs="Arial" w:eastAsia="Arial" w:hAnsi="Arial"/>
                <w:sz w:val="18"/>
                <w:szCs w:val="18"/>
                <w:color w:val="auto"/>
                <w:w w:val="90"/>
                <w:vertAlign w:val="superscript"/>
              </w:rPr>
              <w:t>(a)</w:t>
            </w:r>
          </w:p>
        </w:tc>
        <w:tc>
          <w:tcPr>
            <w:tcW w:w="0" w:type="dxa"/>
            <w:vAlign w:val="bottom"/>
          </w:tcPr>
          <w:p>
            <w:pPr>
              <w:spacing w:after="0"/>
              <w:rPr>
                <w:sz w:val="1"/>
                <w:szCs w:val="1"/>
                <w:color w:val="auto"/>
              </w:rPr>
            </w:pPr>
          </w:p>
        </w:tc>
      </w:tr>
      <w:tr>
        <w:trPr>
          <w:trHeight w:val="179"/>
        </w:trPr>
        <w:tc>
          <w:tcPr>
            <w:tcW w:w="7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color w:val="auto"/>
              </w:rPr>
              <w:t>2021</w:t>
            </w: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2020</w:t>
            </w:r>
          </w:p>
        </w:tc>
        <w:tc>
          <w:tcPr>
            <w:tcW w:w="11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color w:val="auto"/>
                <w:w w:val="96"/>
              </w:rPr>
              <w:t>%</w:t>
            </w:r>
          </w:p>
        </w:tc>
        <w:tc>
          <w:tcPr>
            <w:tcW w:w="9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6"/>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 monthly direct-to-consumer revenue per customer relationship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58.06 $</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52.76</w:t>
            </w: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10.0 %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60" w:hanging="252"/>
        <w:spacing w:after="0" w:line="273" w:lineRule="auto"/>
        <w:tabs>
          <w:tab w:leader="none" w:pos="257"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Constant currency growth is a non-GAAP financial measure. Refer to the “Non-GAAP Financial Measures” section on page 24 for additional information, including our definition and our use of constant currency, and for a reconciliation of Sky’s constant currency growth rates.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Average monthly direct-to-consumer revenue per customer relationship is impacted by rate adjustments and changes in the types and levels of services received by Sky’s customers. Each of Sky’s services has a different contribution to Adjusted EBITDA. We believe average monthly direct-to-consumer revenue per customer relationship is useful in understanding the trends in our business across all of our direct-to-consumer service offerings.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Direct-to-Consumer</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for the three months ended March 31, 2021 compared to the same period in 2020. Excluding the impact of foreign currency, revenue increased primarily due to increases in average revenue per customer relationship and customer relationships.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increased for the three months ended March 31, 2021 compared to the same period in 2020. Excluding the impact of foreign currency, revenue increased primarily due to higher revenue from the distribution of Sky’s sports programming on third-party platforms, reflecting the negative impact of COVID-19 in the prior year period.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increased for the three months ended March 31, 2021 compared to the same period in 2020. Excluding the impact of foreign currency, revenue increased primarily due to higher advanced advertising revenue in the United Kingdom.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Segment – Operating Costs and Expenses</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Programming and production costs increased for the three months ended March 31, 2021 compared to the same period in 2020. Excluding the impact of foreign currency, programming and production costs increased primarily due to an increase in the number of sporting events in the current year period due to COVID-19, including the impacts of the delayed starts of the current European football seasons and the disrupted seasons in the first quarter of 2020. We currently hold Italian broadcast rights to Lega Nazionale Professionisti Serie A through the end of the 2020-2021 season. It is uncertain whether we will retain any broadcast or other rights related to future seasons, which would result in a reduction in programming and production costs and may result in a decline in customer relationships in Italy.</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 network costs increased for the three months ended March 31, 2021 compared to the same period in 2020. Excluding the impact of foreign currency, direct network costs increased primarily due to an increase in costs associated with Sky’s wireless phone and broadband services as a result of increases in the sale of handsets and the number of customers receiving these services.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expenses increased for the three months ended March 31, 2021 compared to the same period in 2020. Excluding the impact of foreign currency, other expenses decreased primarily due to lower personnel costs.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Results of Operations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tcPr>
          <w:p>
            <w:pPr>
              <w:jc w:val="center"/>
              <w:ind w:right="948"/>
              <w:spacing w:after="0"/>
              <w:rPr>
                <w:sz w:val="20"/>
                <w:szCs w:val="20"/>
                <w:color w:val="auto"/>
              </w:rPr>
            </w:pPr>
            <w:r>
              <w:rPr>
                <w:rFonts w:ascii="Arial" w:cs="Arial" w:eastAsia="Arial" w:hAnsi="Arial"/>
                <w:sz w:val="14"/>
                <w:szCs w:val="14"/>
                <w:color w:val="auto"/>
                <w:w w:val="93"/>
              </w:rPr>
              <w:t>Three Months Ended</w:t>
            </w:r>
          </w:p>
        </w:tc>
        <w:tc>
          <w:tcPr>
            <w:tcW w:w="1020" w:type="dxa"/>
            <w:vAlign w:val="bottom"/>
          </w:tcPr>
          <w:p>
            <w:pPr>
              <w:spacing w:after="0"/>
              <w:rPr>
                <w:sz w:val="14"/>
                <w:szCs w:val="14"/>
                <w:color w:val="auto"/>
              </w:rPr>
            </w:pPr>
          </w:p>
        </w:tc>
        <w:tc>
          <w:tcPr>
            <w:tcW w:w="2020" w:type="dxa"/>
            <w:vAlign w:val="bottom"/>
          </w:tcPr>
          <w:p>
            <w:pPr>
              <w:jc w:val="center"/>
              <w:ind w:right="908"/>
              <w:spacing w:after="0"/>
              <w:rPr>
                <w:sz w:val="20"/>
                <w:szCs w:val="20"/>
                <w:color w:val="auto"/>
              </w:rPr>
            </w:pPr>
            <w:r>
              <w:rPr>
                <w:rFonts w:ascii="Arial" w:cs="Arial" w:eastAsia="Arial" w:hAnsi="Arial"/>
                <w:sz w:val="14"/>
                <w:szCs w:val="14"/>
                <w:color w:val="auto"/>
                <w:w w:val="90"/>
              </w:rPr>
              <w:t>Increase/</w:t>
            </w:r>
          </w:p>
        </w:tc>
      </w:tr>
      <w:tr>
        <w:trPr>
          <w:trHeight w:val="183"/>
        </w:trPr>
        <w:tc>
          <w:tcPr>
            <w:tcW w:w="50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center"/>
              <w:ind w:right="948"/>
              <w:spacing w:after="0"/>
              <w:rPr>
                <w:sz w:val="20"/>
                <w:szCs w:val="20"/>
                <w:color w:val="auto"/>
              </w:rPr>
            </w:pPr>
            <w:r>
              <w:rPr>
                <w:rFonts w:ascii="Arial" w:cs="Arial" w:eastAsia="Arial" w:hAnsi="Arial"/>
                <w:sz w:val="14"/>
                <w:szCs w:val="14"/>
                <w:color w:val="auto"/>
                <w:w w:val="93"/>
              </w:rPr>
              <w:t>March 31,</w:t>
            </w:r>
          </w:p>
        </w:tc>
        <w:tc>
          <w:tcPr>
            <w:tcW w:w="10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center"/>
              <w:ind w:right="888"/>
              <w:spacing w:after="0"/>
              <w:rPr>
                <w:sz w:val="20"/>
                <w:szCs w:val="20"/>
                <w:color w:val="auto"/>
              </w:rPr>
            </w:pPr>
            <w:r>
              <w:rPr>
                <w:rFonts w:ascii="Arial" w:cs="Arial" w:eastAsia="Arial" w:hAnsi="Arial"/>
                <w:sz w:val="14"/>
                <w:szCs w:val="14"/>
                <w:color w:val="auto"/>
                <w:w w:val="89"/>
              </w:rPr>
              <w:t>(Decrease)</w:t>
            </w:r>
          </w:p>
        </w:tc>
      </w:tr>
      <w:tr>
        <w:trPr>
          <w:trHeight w:val="182"/>
        </w:trPr>
        <w:tc>
          <w:tcPr>
            <w:tcW w:w="502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Pr>
          <w:p>
            <w:pPr>
              <w:jc w:val="right"/>
              <w:spacing w:after="0"/>
              <w:rPr>
                <w:sz w:val="20"/>
                <w:szCs w:val="20"/>
                <w:color w:val="auto"/>
              </w:rPr>
            </w:pPr>
            <w:r>
              <w:rPr>
                <w:rFonts w:ascii="Arial" w:cs="Arial" w:eastAsia="Arial" w:hAnsi="Arial"/>
                <w:sz w:val="14"/>
                <w:szCs w:val="14"/>
                <w:color w:val="auto"/>
              </w:rPr>
              <w:t>2021</w:t>
            </w:r>
          </w:p>
        </w:tc>
        <w:tc>
          <w:tcPr>
            <w:tcW w:w="2280" w:type="dxa"/>
            <w:vAlign w:val="bottom"/>
          </w:tcPr>
          <w:p>
            <w:pPr>
              <w:jc w:val="right"/>
              <w:ind w:right="628"/>
              <w:spacing w:after="0"/>
              <w:rPr>
                <w:sz w:val="20"/>
                <w:szCs w:val="20"/>
                <w:color w:val="auto"/>
              </w:rPr>
            </w:pPr>
            <w:r>
              <w:rPr>
                <w:rFonts w:ascii="Arial" w:cs="Arial" w:eastAsia="Arial" w:hAnsi="Arial"/>
                <w:sz w:val="14"/>
                <w:szCs w:val="14"/>
                <w:color w:val="auto"/>
              </w:rPr>
              <w:t>2020</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648"/>
              <w:spacing w:after="0"/>
              <w:rPr>
                <w:sz w:val="20"/>
                <w:szCs w:val="20"/>
                <w:color w:val="auto"/>
              </w:rPr>
            </w:pPr>
            <w:r>
              <w:rPr>
                <w:rFonts w:ascii="Arial" w:cs="Arial" w:eastAsia="Arial" w:hAnsi="Arial"/>
                <w:sz w:val="14"/>
                <w:szCs w:val="14"/>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Revenue</w:t>
            </w:r>
          </w:p>
        </w:tc>
        <w:tc>
          <w:tcPr>
            <w:tcW w:w="14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89</w:t>
            </w:r>
          </w:p>
        </w:tc>
        <w:tc>
          <w:tcPr>
            <w:tcW w:w="6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120</w:t>
            </w:r>
          </w:p>
        </w:tc>
        <w:tc>
          <w:tcPr>
            <w:tcW w:w="6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(31)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 %</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146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382</w:t>
            </w:r>
          </w:p>
        </w:tc>
        <w:tc>
          <w:tcPr>
            <w:tcW w:w="66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327</w:t>
            </w:r>
          </w:p>
        </w:tc>
        <w:tc>
          <w:tcPr>
            <w:tcW w:w="68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55</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16.6</w:t>
            </w:r>
          </w:p>
        </w:tc>
      </w:tr>
      <w:tr>
        <w:trPr>
          <w:trHeight w:val="23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Adjustment for Sky transaction-related costs</w:t>
            </w:r>
          </w:p>
        </w:tc>
        <w:tc>
          <w:tcPr>
            <w:tcW w:w="1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w:t>
            </w:r>
          </w:p>
        </w:tc>
        <w:tc>
          <w:tcPr>
            <w:tcW w:w="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NM</w:t>
            </w:r>
          </w:p>
        </w:tc>
      </w:tr>
      <w:tr>
        <w:trPr>
          <w:trHeight w:val="23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(281)</w:t>
            </w:r>
          </w:p>
        </w:tc>
        <w:tc>
          <w:tcPr>
            <w:tcW w:w="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(193)</w:t>
            </w: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(88)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Revenue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Revenue primarily relates to Comcast Spectacor, which owns the Philadelphia Flyers and the Wells Fargo Center arena in Philadelphia, Pennsylvania.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for the three months ended March 31, 2021 compared to the same period in 2020 as a result of COVID-19.</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 Operating Costs and Expenses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primarily include overhead, personnel costs, the costs of other business initiatives, and operating costs and expenses associated with Comcast Spectacor.</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increased for the three months ended March 31, 2021 compared to the same period in 2020 primarily due to increases related to corporate activities and other business initiatives.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Adjusted EBITDA excludes the Sky transaction-related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jc w:val="center"/>
              <w:ind w:left="539"/>
              <w:spacing w:after="0"/>
              <w:rPr>
                <w:sz w:val="20"/>
                <w:szCs w:val="20"/>
                <w:color w:val="auto"/>
              </w:rPr>
            </w:pPr>
            <w:r>
              <w:rPr>
                <w:rFonts w:ascii="Arial" w:cs="Arial" w:eastAsia="Arial" w:hAnsi="Arial"/>
                <w:sz w:val="14"/>
                <w:szCs w:val="14"/>
                <w:color w:val="auto"/>
                <w:w w:val="90"/>
              </w:rPr>
              <w:t>Increase/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3"/>
        </w:trPr>
        <w:tc>
          <w:tcPr>
            <w:tcW w:w="5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color w:val="auto"/>
              </w:rPr>
              <w:t>March 31,</w:t>
            </w: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color w:val="auto"/>
                <w:w w:val="89"/>
              </w:rPr>
              <w:t>(Decrease)</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r>
        <w:trPr>
          <w:trHeight w:val="18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w w:val="96"/>
              </w:rPr>
              <w:t>2020</w:t>
            </w: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5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r>
      <w:tr>
        <w:trPr>
          <w:trHeight w:val="226"/>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(710)</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(675)</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ind w:left="760"/>
              <w:spacing w:after="0"/>
              <w:rPr>
                <w:sz w:val="20"/>
                <w:szCs w:val="20"/>
                <w:color w:val="auto"/>
              </w:rPr>
            </w:pPr>
            <w:r>
              <w:rPr>
                <w:rFonts w:ascii="Arial" w:cs="Arial" w:eastAsia="Arial" w:hAnsi="Arial"/>
                <w:sz w:val="18"/>
                <w:szCs w:val="18"/>
                <w:color w:val="auto"/>
              </w:rPr>
              <w:t>35</w:t>
            </w: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(720)</w:t>
            </w: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(682)</w:t>
            </w: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38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auto"/>
            </w:tcBorders>
          </w:tcPr>
          <w:p>
            <w:pPr>
              <w:spacing w:after="0"/>
              <w:rPr>
                <w:sz w:val="20"/>
                <w:szCs w:val="20"/>
                <w:color w:val="auto"/>
              </w:rPr>
            </w:pPr>
          </w:p>
        </w:tc>
      </w:t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10</w:t>
            </w: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7</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(3)</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(29.0)%</w:t>
            </w:r>
          </w:p>
        </w:tc>
      </w:tr>
    </w:tbl>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Amounts represent eliminations of transactions between Cable Communications, NBCUniversal, Sky and other businesses. Eliminations of transactions between NBCUniversal segments are presented separately. Refer to Note 2 for a description of transactions between our segments.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reconcile consolidated Adjusted EBITDA to net income attributable to Comcast Corporation. This measure should not be considered a substitute for operating income, net income (loss), net income attributable to Comcast Corporation, or net cash provided by operating activities that we have reported in accordance with GAAP.</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Attributable to Comcast Corporation to Adjusted EBITDA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3"/>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8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w w:val="96"/>
              </w:rPr>
              <w:t>2020</w:t>
            </w:r>
          </w:p>
        </w:tc>
      </w:tr>
      <w:tr>
        <w:trPr>
          <w:trHeight w:val="226"/>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75"/>
              <w:spacing w:after="0"/>
              <w:rPr>
                <w:sz w:val="20"/>
                <w:szCs w:val="20"/>
                <w:color w:val="auto"/>
              </w:rPr>
            </w:pPr>
            <w:r>
              <w:rPr>
                <w:rFonts w:ascii="Arial" w:cs="Arial" w:eastAsia="Arial" w:hAnsi="Arial"/>
                <w:sz w:val="18"/>
                <w:szCs w:val="18"/>
                <w:b w:val="1"/>
                <w:bCs w:val="1"/>
                <w:color w:val="auto"/>
              </w:rPr>
              <w:t>3,329</w:t>
            </w:r>
          </w:p>
        </w:tc>
        <w:tc>
          <w:tcPr>
            <w:tcW w:w="6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2,147</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interests and redeemable subsidiary preferred stock</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1,119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Investment and other (income) loss, net</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(390)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1,018</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1,212</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2,117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2,107</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1,245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Adjustment for Sky transaction-related costs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12</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8,413</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8,130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5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Sky Constant Currency Growth Rates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gridSpan w:val="2"/>
          </w:tcPr>
          <w:p>
            <w:pPr>
              <w:jc w:val="right"/>
              <w:ind w:right="13"/>
              <w:spacing w:after="0"/>
              <w:rPr>
                <w:sz w:val="20"/>
                <w:szCs w:val="20"/>
                <w:color w:val="auto"/>
              </w:rPr>
            </w:pPr>
            <w:r>
              <w:rPr>
                <w:rFonts w:ascii="Arial" w:cs="Arial" w:eastAsia="Arial" w:hAnsi="Arial"/>
                <w:sz w:val="14"/>
                <w:szCs w:val="14"/>
                <w:color w:val="auto"/>
              </w:rPr>
              <w:t>Three Months Ended</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March 31,</w:t>
            </w:r>
          </w:p>
        </w:tc>
        <w:tc>
          <w:tcPr>
            <w:tcW w:w="1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vMerge w:val="restart"/>
          </w:tcPr>
          <w:p>
            <w:pPr>
              <w:jc w:val="right"/>
              <w:ind w:right="373"/>
              <w:spacing w:after="0"/>
              <w:rPr>
                <w:sz w:val="20"/>
                <w:szCs w:val="20"/>
                <w:color w:val="auto"/>
              </w:rPr>
            </w:pPr>
            <w:r>
              <w:rPr>
                <w:rFonts w:ascii="Arial" w:cs="Arial" w:eastAsia="Arial" w:hAnsi="Arial"/>
                <w:sz w:val="14"/>
                <w:szCs w:val="14"/>
                <w:color w:val="auto"/>
              </w:rPr>
              <w:t>Actual</w:t>
            </w:r>
          </w:p>
        </w:tc>
        <w:tc>
          <w:tcPr>
            <w:tcW w:w="1480" w:type="dxa"/>
            <w:vAlign w:val="bottom"/>
            <w:gridSpan w:val="2"/>
            <w:vMerge w:val="restart"/>
          </w:tcPr>
          <w:p>
            <w:pPr>
              <w:jc w:val="right"/>
              <w:ind w:right="153"/>
              <w:spacing w:after="0"/>
              <w:rPr>
                <w:sz w:val="20"/>
                <w:szCs w:val="20"/>
                <w:color w:val="auto"/>
              </w:rPr>
            </w:pPr>
            <w:r>
              <w:rPr>
                <w:rFonts w:ascii="Arial" w:cs="Arial" w:eastAsia="Arial" w:hAnsi="Arial"/>
                <w:sz w:val="14"/>
                <w:szCs w:val="14"/>
                <w:color w:val="auto"/>
              </w:rPr>
              <w:t>Constant Currency</w:t>
            </w:r>
          </w:p>
        </w:tc>
        <w:tc>
          <w:tcPr>
            <w:tcW w:w="1200" w:type="dxa"/>
            <w:vAlign w:val="bottom"/>
          </w:tcPr>
          <w:p>
            <w:pPr>
              <w:jc w:val="center"/>
              <w:ind w:left="34"/>
              <w:spacing w:after="0" w:line="132" w:lineRule="exact"/>
              <w:rPr>
                <w:sz w:val="20"/>
                <w:szCs w:val="20"/>
                <w:color w:val="auto"/>
              </w:rPr>
            </w:pPr>
            <w:r>
              <w:rPr>
                <w:rFonts w:ascii="Arial" w:cs="Arial" w:eastAsia="Arial" w:hAnsi="Arial"/>
                <w:sz w:val="14"/>
                <w:szCs w:val="14"/>
                <w:color w:val="auto"/>
                <w:w w:val="92"/>
              </w:rPr>
              <w:t>Constant Currency</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gridSpan w:val="2"/>
            <w:vMerge w:val="continue"/>
          </w:tcPr>
          <w:p>
            <w:pPr>
              <w:spacing w:after="0"/>
              <w:rPr>
                <w:sz w:val="15"/>
                <w:szCs w:val="15"/>
                <w:color w:val="auto"/>
              </w:rPr>
            </w:pPr>
          </w:p>
        </w:tc>
        <w:tc>
          <w:tcPr>
            <w:tcW w:w="120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color w:val="auto"/>
                <w:w w:val="97"/>
              </w:rPr>
              <w:t>Growth</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 customer data)</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2020</w:t>
            </w:r>
          </w:p>
        </w:tc>
        <w:tc>
          <w:tcPr>
            <w:tcW w:w="120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color w:val="auto"/>
                <w:w w:val="96"/>
              </w:rPr>
              <w:t>%</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Direct-to-consumer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4,065</w:t>
            </w:r>
          </w:p>
        </w:tc>
        <w:tc>
          <w:tcPr>
            <w:tcW w:w="34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3,993</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Content</w:t>
            </w:r>
          </w:p>
        </w:tc>
        <w:tc>
          <w:tcPr>
            <w:tcW w:w="28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358</w:t>
            </w:r>
          </w:p>
        </w:tc>
        <w:tc>
          <w:tcPr>
            <w:tcW w:w="34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352</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574</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555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b w:val="1"/>
                <w:bCs w:val="1"/>
                <w:color w:val="auto"/>
              </w:rPr>
              <w:t>4,997</w:t>
            </w:r>
          </w:p>
        </w:tc>
        <w:tc>
          <w:tcPr>
            <w:tcW w:w="340" w:type="dxa"/>
            <w:vAlign w:val="bottom"/>
          </w:tcPr>
          <w:p>
            <w:pPr>
              <w:spacing w:after="0"/>
              <w:rPr>
                <w:sz w:val="18"/>
                <w:szCs w:val="18"/>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b w:val="1"/>
                <w:bCs w:val="1"/>
                <w:color w:val="auto"/>
              </w:rPr>
              <w:t>4,900</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Programming and production</w:t>
            </w:r>
          </w:p>
        </w:tc>
        <w:tc>
          <w:tcPr>
            <w:tcW w:w="28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2,485</w:t>
            </w:r>
          </w:p>
        </w:tc>
        <w:tc>
          <w:tcPr>
            <w:tcW w:w="34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2,240</w:t>
            </w: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140"/>
              <w:spacing w:after="0"/>
              <w:rPr>
                <w:sz w:val="20"/>
                <w:szCs w:val="20"/>
                <w:color w:val="auto"/>
              </w:rPr>
            </w:pPr>
            <w:r>
              <w:rPr>
                <w:rFonts w:ascii="Arial" w:cs="Arial" w:eastAsia="Arial" w:hAnsi="Arial"/>
                <w:sz w:val="18"/>
                <w:szCs w:val="18"/>
                <w:color w:val="auto"/>
              </w:rPr>
              <w:t>Direct network costs</w:t>
            </w:r>
          </w:p>
        </w:tc>
        <w:tc>
          <w:tcPr>
            <w:tcW w:w="280" w:type="dxa"/>
            <w:vAlign w:val="bottom"/>
          </w:tcPr>
          <w:p>
            <w:pPr>
              <w:spacing w:after="0"/>
              <w:rPr>
                <w:sz w:val="19"/>
                <w:szCs w:val="19"/>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631</w:t>
            </w:r>
          </w:p>
        </w:tc>
        <w:tc>
          <w:tcPr>
            <w:tcW w:w="340" w:type="dxa"/>
            <w:vAlign w:val="bottom"/>
          </w:tcPr>
          <w:p>
            <w:pPr>
              <w:spacing w:after="0"/>
              <w:rPr>
                <w:sz w:val="19"/>
                <w:szCs w:val="19"/>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493</w:t>
            </w:r>
          </w:p>
        </w:tc>
        <w:tc>
          <w:tcPr>
            <w:tcW w:w="1200" w:type="dxa"/>
            <w:vAlign w:val="bottom"/>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1,517</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1,565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4,633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4,298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364</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602</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(39.6)%</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Average monthly direct-to-consumer revenue per customer relationship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58.06</w:t>
            </w:r>
          </w:p>
        </w:tc>
        <w:tc>
          <w:tcPr>
            <w:tcW w:w="3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57.25</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w:t>
      </w:r>
    </w:p>
    <w:p>
      <w:pPr>
        <w:spacing w:after="0" w:line="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significant availability under our revolving credit facility and commercial paper program to meet our short-term liquidity requirements. As of March 31, 2021, amounts available under our revolving credit facility, net of amounts outstanding under our commercial paper program and outstanding letters of credit and bank guarantees, totaled $11.0 billion. We entered into a new revolving credit facility in March 2021 (see Note 5).</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customary covenants and restrictions set forth in agreements related to debt issued at Comcast and certain of our subsidiaries, including the indentures governing our public debt securities and the credit agreements governing the Comcast revolving credit facility. Our credit facility contains a financial covenant pertaining to leverage, which is the ratio of debt to EBITDA, as defined in the credit facility. Compliance with this financial covenant is tested on a quarterly basis under the terms of the credit facility. As of March 31, 2021, we met this financial covenant by a significant margin and we would expect to remain in compliance with this financial covenant and other covenants related to our debt. The covenants and restrictions in our revolving credit facility do not apply to certain entities, including Sky and our international theme parks.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00" w:type="dxa"/>
            <w:vAlign w:val="bottom"/>
          </w:tcPr>
          <w:p>
            <w:pPr>
              <w:spacing w:after="0"/>
              <w:rPr>
                <w:sz w:val="14"/>
                <w:szCs w:val="14"/>
                <w:color w:val="auto"/>
              </w:rPr>
            </w:pPr>
          </w:p>
        </w:tc>
      </w:tr>
      <w:tr>
        <w:trPr>
          <w:trHeight w:val="183"/>
        </w:trPr>
        <w:tc>
          <w:tcPr>
            <w:tcW w:w="8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March 31,</w:t>
            </w:r>
          </w:p>
        </w:tc>
        <w:tc>
          <w:tcPr>
            <w:tcW w:w="900" w:type="dxa"/>
            <w:vAlign w:val="bottom"/>
            <w:tcBorders>
              <w:bottom w:val="single" w:sz="8" w:color="auto"/>
            </w:tcBorders>
          </w:tcPr>
          <w:p>
            <w:pPr>
              <w:spacing w:after="0"/>
              <w:rPr>
                <w:sz w:val="15"/>
                <w:szCs w:val="15"/>
                <w:color w:val="auto"/>
              </w:rPr>
            </w:pPr>
          </w:p>
        </w:tc>
      </w:tr>
      <w:tr>
        <w:trPr>
          <w:trHeight w:val="186"/>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w w:val="96"/>
              </w:rPr>
              <w:t>2020</w:t>
            </w:r>
          </w:p>
        </w:tc>
      </w:tr>
      <w:tr>
        <w:trPr>
          <w:trHeight w:val="226"/>
        </w:trPr>
        <w:tc>
          <w:tcPr>
            <w:tcW w:w="81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5,039</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4,852</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3,362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3,264</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Noncash share-based compensation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373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(176)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(1,393)</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Payments of interest</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(911)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Payments of income taxes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(87)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151</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7,751</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5,824</w:t>
            </w:r>
          </w:p>
        </w:tc>
      </w:tr>
    </w:tbl>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variance in changes in operating assets and liabilities for the three months ended March 31, 2021 compared to the same period in 2020 was primarily due to the timing of amortization and related payments for our film and television costs, including the timing of sporting events, and collections of accounts receivables and increases in deferred revenue.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2021, we entered into an agreement with the NFL extending our rights for an additional 11 years through the 2033-2034 season. The new agreement includes exhibition rights for three additional Super Bowls and certain other rights, including streaming rights and additional exclusive games on Peacock.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used in investing activities for the three months ended March 31, 2021 consisted primarily of capital expenditures, cash paid for intangible assets and the construction of Universal Beijing Resort, which were partially offset by proceeds from sales of businesses and investments. Net cash used in investing activities for the three months ended March 31, 2020 consisted primarily of capital expenditures, cash paid for intangible assets and the construction of Universal Beijing Resort. Capital expenditures decreased for the three months ended March 31, 2021 compared to the same period in 2020 primarily due to a decrease in spending in our Theme Parks segment, partially offset by an increase in spending related to scalable infrastructure in our Cable Communications segment to increase network capacity. Proceeds from sales of businesses and investments increased for the three months ended March 31, 2021 compared to the same period in 2020 primarily due to the sale of marketable equity securities.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the three months ended March 31, 2021 consisted primarily of dividend payments, payments related to the redemption of NBCUniversal Enterprise redeemable subsidiary preferred stock presented in other financing activities and repurchases of common stock under our employee plans. Net cash provided by financing activities for the three months ended March 31, 2020 consisted primarily of proceeds from borrowings, including the issuance of senior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notes, partially offset by repayments of debt, including the early redemption of senior notes, dividend payments and repurchases of common stock under our employee plans.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had no commercial paper outstanding and there were no amounts outstanding under our revolving credit facility.</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See Notes 5 and 6 for additional information on our financing activities.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2021, our Board of Directors approved a 9% increase in our dividend to $1.00 per share on an annualized basis. In January 2021, our Board of Directors approved our first quarter dividend of $0.25 per share, which was paid in April 2021. We expect to continue to pay quarterly dividends, although each dividend is subject to approval by our Board of Directors. On January 27, 2021, we paid dividends of $1.1 billion.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and Guarantee Structure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billions)</w:t>
            </w: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March 31, 2021</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w w:val="97"/>
              </w:rPr>
              <w:t>December 31, 2020</w:t>
            </w:r>
          </w:p>
        </w:tc>
        <w:tc>
          <w:tcPr>
            <w:tcW w:w="0" w:type="dxa"/>
            <w:vAlign w:val="bottom"/>
          </w:tcPr>
          <w:p>
            <w:pPr>
              <w:spacing w:after="0"/>
              <w:rPr>
                <w:sz w:val="1"/>
                <w:szCs w:val="1"/>
                <w:color w:val="auto"/>
              </w:rPr>
            </w:pPr>
          </w:p>
        </w:tc>
      </w:tr>
      <w:tr>
        <w:trPr>
          <w:trHeight w:val="228"/>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Debt subject to cross-guarantees</w:t>
            </w: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40" w:type="dxa"/>
            <w:vAlign w:val="bottom"/>
          </w:tcPr>
          <w:p>
            <w:pPr>
              <w:ind w:left="20"/>
              <w:spacing w:after="0"/>
              <w:rPr>
                <w:sz w:val="20"/>
                <w:szCs w:val="20"/>
                <w:color w:val="auto"/>
              </w:rPr>
            </w:pPr>
            <w:r>
              <w:rPr>
                <w:rFonts w:ascii="Arial" w:cs="Arial" w:eastAsia="Arial" w:hAnsi="Arial"/>
                <w:sz w:val="18"/>
                <w:szCs w:val="18"/>
                <w:color w:val="auto"/>
              </w:rPr>
              <w:t>Comcast</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line="230" w:lineRule="exact"/>
              <w:rPr>
                <w:sz w:val="20"/>
                <w:szCs w:val="20"/>
                <w:color w:val="auto"/>
              </w:rPr>
            </w:pPr>
            <w:r>
              <w:rPr>
                <w:rFonts w:ascii="Arial" w:cs="Arial" w:eastAsia="Arial" w:hAnsi="Arial"/>
                <w:sz w:val="18"/>
                <w:szCs w:val="18"/>
                <w:color w:val="auto"/>
              </w:rPr>
              <w:t>NBCUniversal</w:t>
            </w:r>
            <w:r>
              <w:rPr>
                <w:rFonts w:ascii="Arial" w:cs="Arial" w:eastAsia="Arial" w:hAnsi="Arial"/>
                <w:sz w:val="23"/>
                <w:szCs w:val="23"/>
                <w:color w:val="auto"/>
                <w:vertAlign w:val="superscript"/>
              </w:rPr>
              <w:t>(a)</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6"/>
        </w:trPr>
        <w:tc>
          <w:tcPr>
            <w:tcW w:w="764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Comcast Cable</w:t>
            </w:r>
            <w:r>
              <w:rPr>
                <w:rFonts w:ascii="Arial" w:cs="Arial" w:eastAsia="Arial" w:hAnsi="Arial"/>
                <w:sz w:val="23"/>
                <w:szCs w:val="23"/>
                <w:color w:val="auto"/>
                <w:vertAlign w:val="superscript"/>
              </w:rPr>
              <w:t>(a)</w:t>
            </w: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4"/>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Debt subject to one-way guarantees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8"/>
        </w:trPr>
        <w:tc>
          <w:tcPr>
            <w:tcW w:w="76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40" w:type="dxa"/>
            <w:vAlign w:val="bottom"/>
          </w:tcPr>
          <w:p>
            <w:pPr>
              <w:ind w:left="20"/>
              <w:spacing w:after="0"/>
              <w:rPr>
                <w:sz w:val="20"/>
                <w:szCs w:val="20"/>
                <w:color w:val="auto"/>
              </w:rPr>
            </w:pPr>
            <w:r>
              <w:rPr>
                <w:rFonts w:ascii="Arial" w:cs="Arial" w:eastAsia="Arial" w:hAnsi="Arial"/>
                <w:sz w:val="18"/>
                <w:szCs w:val="18"/>
                <w:color w:val="auto"/>
              </w:rPr>
              <w:t>Sky</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6"/>
        </w:trPr>
        <w:tc>
          <w:tcPr>
            <w:tcW w:w="7640" w:type="dxa"/>
            <w:vAlign w:val="bottom"/>
            <w:tcBorders>
              <w:bottom w:val="single" w:sz="8" w:color="auto"/>
            </w:tcBorders>
          </w:tcPr>
          <w:p>
            <w:pPr>
              <w:ind w:left="20"/>
              <w:spacing w:after="0" w:line="235"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(a)</w:t>
            </w: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4"/>
        </w:trPr>
        <w:tc>
          <w:tcPr>
            <w:tcW w:w="7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Debt not guaranteed</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2"/>
        </w:trPr>
        <w:tc>
          <w:tcPr>
            <w:tcW w:w="76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640" w:type="dxa"/>
            <w:vAlign w:val="bottom"/>
          </w:tcPr>
          <w:p>
            <w:pPr>
              <w:ind w:left="20"/>
              <w:spacing w:after="0" w:line="235" w:lineRule="exact"/>
              <w:rPr>
                <w:sz w:val="20"/>
                <w:szCs w:val="20"/>
                <w:color w:val="auto"/>
              </w:rPr>
            </w:pPr>
            <w:r>
              <w:rPr>
                <w:rFonts w:ascii="Arial" w:cs="Arial" w:eastAsia="Arial" w:hAnsi="Arial"/>
                <w:sz w:val="18"/>
                <w:szCs w:val="18"/>
                <w:color w:val="auto"/>
              </w:rPr>
              <w:t>Universal Beijing Resort</w:t>
            </w:r>
            <w:r>
              <w:rPr>
                <w:rFonts w:ascii="Arial" w:cs="Arial" w:eastAsia="Arial" w:hAnsi="Arial"/>
                <w:sz w:val="23"/>
                <w:szCs w:val="23"/>
                <w:color w:val="auto"/>
                <w:vertAlign w:val="superscript"/>
              </w:rPr>
              <w:t>(b)</w:t>
            </w:r>
          </w:p>
        </w:tc>
        <w:tc>
          <w:tcPr>
            <w:tcW w:w="4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4"/>
        </w:trPr>
        <w:tc>
          <w:tcPr>
            <w:tcW w:w="7640" w:type="dxa"/>
            <w:vAlign w:val="bottom"/>
            <w:vMerge w:val="restart"/>
          </w:tcPr>
          <w:p>
            <w:pPr>
              <w:ind w:left="20"/>
              <w:spacing w:after="0"/>
              <w:rPr>
                <w:sz w:val="20"/>
                <w:szCs w:val="20"/>
                <w:color w:val="auto"/>
              </w:rPr>
            </w:pPr>
            <w:r>
              <w:rPr>
                <w:rFonts w:ascii="Arial" w:cs="Arial" w:eastAsia="Arial" w:hAnsi="Arial"/>
                <w:sz w:val="18"/>
                <w:szCs w:val="18"/>
                <w:color w:val="auto"/>
                <w:w w:val="91"/>
              </w:rPr>
              <w:t>Debt issuance costs, premiums, discounts, fair value adjustments for acquisition accounting and hedged</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5"/>
        </w:trPr>
        <w:tc>
          <w:tcPr>
            <w:tcW w:w="76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positions, net</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debt</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103.7</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hanging="332"/>
        <w:spacing w:after="0" w:line="273" w:lineRule="auto"/>
        <w:tabs>
          <w:tab w:leader="none" w:pos="337" w:val="left"/>
        </w:tabs>
        <w:numPr>
          <w:ilvl w:val="0"/>
          <w:numId w:val="17"/>
        </w:numPr>
        <w:rPr>
          <w:rFonts w:ascii="Arial" w:cs="Arial" w:eastAsia="Arial" w:hAnsi="Arial"/>
          <w:sz w:val="14"/>
          <w:szCs w:val="14"/>
          <w:color w:val="auto"/>
        </w:rPr>
      </w:pPr>
      <w:r>
        <w:rPr>
          <w:rFonts w:ascii="Arial" w:cs="Arial" w:eastAsia="Arial" w:hAnsi="Arial"/>
          <w:sz w:val="14"/>
          <w:szCs w:val="14"/>
          <w:color w:val="auto"/>
        </w:rPr>
        <w:t>NBCUniversal, Comcast Cable and Comcast Holdings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Universal Beijing Resort debt financing is secured by the assets of Universal Beijing Resort and the equity interests of the investors. See Note 6 for additional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Cross-guarantees</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31, 2021 and December 31, 2020, the combined Guarantors have noncurrent notes payable to non-guarantor subsidiaries of $125 billion and $124 billion, respectively, and for both periods have noncurrent notes receivable from non-guarantor subsidiaries of $26 billion.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One-way Guarantees</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Comcast provides full and unconditional guarantees of certain debt issued by Sky and other consolidated subsidiaries not subject to the periodic reporting requirements of the SEC.</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March 31, 2021 and December 31, 2020, Comcast and Comcast Holdings, the combined issuer and guarantor of the guaranteed subordinated debt, have noncurrent senior notes payable to non-guarantor subsidiaries of $95 billion and $94 billion, respectively, and noncurrent notes receivable from non-guarantor subsidiaries of $24 billion and $23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8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Following the change in presentation of our segment operating results in the first quarter of 2021, we reassessed the reporting units related to goodwill in our NBCUniversal segments and concluded that our reporting units are the same as our reportable segments. See Note 2 for additional information.</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2020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the information required under this item that was disclosed in our 2020 Annual Report on Form 10-K and there have been no significant changes to this information.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2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 10 included in this Quarterly Report on Form 10-Q for a discussion of legal proceedings.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of our 2020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8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w:anchor="page35">
        <w:r>
          <w:rPr>
            <w:rFonts w:ascii="Arial" w:cs="Arial" w:eastAsia="Arial" w:hAnsi="Arial"/>
            <w:sz w:val="18"/>
            <w:szCs w:val="18"/>
            <w:u w:val="single" w:color="auto"/>
            <w:color w:val="0000FF"/>
          </w:rPr>
          <w:t>10.1*</w:t>
        </w:r>
      </w:hyperlink>
      <w:r>
        <w:rPr>
          <w:rFonts w:ascii="Arial" w:cs="Arial" w:eastAsia="Arial" w:hAnsi="Arial"/>
          <w:sz w:val="18"/>
          <w:szCs w:val="18"/>
          <w:color w:val="0000FF"/>
        </w:rPr>
        <w:tab/>
      </w:r>
      <w:r>
        <w:rPr>
          <w:rFonts w:ascii="Arial" w:cs="Arial" w:eastAsia="Arial" w:hAnsi="Arial"/>
          <w:sz w:val="16"/>
          <w:szCs w:val="16"/>
          <w:color w:val="0000FF"/>
        </w:rPr>
        <w:t>Comcast Corporation 2002 Restricted Stock Plan, as amended and restated effective March 1, 2021</w:t>
      </w:r>
    </w:p>
    <w:p>
      <w:pPr>
        <w:spacing w:after="0" w:line="23"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w:anchor="page71">
        <w:r>
          <w:rPr>
            <w:rFonts w:ascii="Arial" w:cs="Arial" w:eastAsia="Arial" w:hAnsi="Arial"/>
            <w:sz w:val="18"/>
            <w:szCs w:val="18"/>
            <w:u w:val="single" w:color="auto"/>
            <w:color w:val="0000FF"/>
          </w:rPr>
          <w:t>10.2*</w:t>
        </w:r>
      </w:hyperlink>
      <w:r>
        <w:rPr>
          <w:rFonts w:ascii="Arial" w:cs="Arial" w:eastAsia="Arial" w:hAnsi="Arial"/>
          <w:sz w:val="18"/>
          <w:szCs w:val="18"/>
          <w:color w:val="0000FF"/>
        </w:rPr>
        <w:tab/>
      </w:r>
      <w:r>
        <w:rPr>
          <w:rFonts w:ascii="Arial" w:cs="Arial" w:eastAsia="Arial" w:hAnsi="Arial"/>
          <w:sz w:val="16"/>
          <w:szCs w:val="16"/>
          <w:color w:val="0000FF"/>
        </w:rPr>
        <w:t>Comcast Corporation 2002 Deferred Compensation Plan, as amended and restated effective March 1, 2021</w:t>
      </w:r>
    </w:p>
    <w:p>
      <w:pPr>
        <w:spacing w:after="0" w:line="23" w:lineRule="exact"/>
        <w:rPr>
          <w:sz w:val="20"/>
          <w:szCs w:val="20"/>
          <w:color w:val="auto"/>
        </w:rPr>
      </w:pPr>
    </w:p>
    <w:p>
      <w:pPr>
        <w:ind w:left="20"/>
        <w:spacing w:after="0"/>
        <w:tabs>
          <w:tab w:leader="none" w:pos="880" w:val="left"/>
        </w:tabs>
        <w:rPr>
          <w:rFonts w:ascii="Arial" w:cs="Arial" w:eastAsia="Arial" w:hAnsi="Arial"/>
          <w:sz w:val="18"/>
          <w:szCs w:val="18"/>
          <w:color w:val="0000FF"/>
        </w:rPr>
      </w:pPr>
      <w:hyperlink w:anchor="page100">
        <w:r>
          <w:rPr>
            <w:rFonts w:ascii="Arial" w:cs="Arial" w:eastAsia="Arial" w:hAnsi="Arial"/>
            <w:sz w:val="18"/>
            <w:szCs w:val="18"/>
            <w:u w:val="single" w:color="auto"/>
            <w:color w:val="0000FF"/>
          </w:rPr>
          <w:t>10.3*</w:t>
        </w:r>
      </w:hyperlink>
      <w:r>
        <w:rPr>
          <w:rFonts w:ascii="Arial" w:cs="Arial" w:eastAsia="Arial" w:hAnsi="Arial"/>
          <w:sz w:val="18"/>
          <w:szCs w:val="18"/>
          <w:color w:val="0000FF"/>
        </w:rPr>
        <w:tab/>
      </w:r>
      <w:r>
        <w:rPr>
          <w:rFonts w:ascii="Arial" w:cs="Arial" w:eastAsia="Arial" w:hAnsi="Arial"/>
          <w:sz w:val="16"/>
          <w:szCs w:val="16"/>
          <w:color w:val="0000FF"/>
        </w:rPr>
        <w:t>Comcast Corporation 2005 Deferred Compensation Plan, as amended and restated effective March 1, 2021</w:t>
      </w:r>
    </w:p>
    <w:p>
      <w:pPr>
        <w:spacing w:after="0" w:line="23" w:lineRule="exact"/>
        <w:rPr>
          <w:sz w:val="20"/>
          <w:szCs w:val="20"/>
          <w:color w:val="auto"/>
        </w:rPr>
      </w:pPr>
    </w:p>
    <w:p>
      <w:pPr>
        <w:jc w:val="both"/>
        <w:ind w:left="900" w:hanging="876"/>
        <w:spacing w:after="0" w:line="219" w:lineRule="auto"/>
        <w:tabs>
          <w:tab w:leader="none" w:pos="880" w:val="left"/>
        </w:tabs>
        <w:rPr>
          <w:rFonts w:ascii="Arial" w:cs="Arial" w:eastAsia="Arial" w:hAnsi="Arial"/>
          <w:sz w:val="18"/>
          <w:szCs w:val="18"/>
          <w:color w:val="0000FF"/>
        </w:rPr>
      </w:pPr>
      <w:hyperlink r:id="rId49">
        <w:r>
          <w:rPr>
            <w:rFonts w:ascii="Arial" w:cs="Arial" w:eastAsia="Arial" w:hAnsi="Arial"/>
            <w:sz w:val="18"/>
            <w:szCs w:val="18"/>
            <w:u w:val="single" w:color="auto"/>
            <w:color w:val="0000FF"/>
          </w:rPr>
          <w:t>10.4</w:t>
        </w:r>
      </w:hyperlink>
      <w:r>
        <w:rPr>
          <w:rFonts w:ascii="Arial" w:cs="Arial" w:eastAsia="Arial" w:hAnsi="Arial"/>
          <w:sz w:val="18"/>
          <w:szCs w:val="18"/>
          <w:color w:val="0000FF"/>
        </w:rPr>
        <w:tab/>
        <w:t>Credit Agreement dated as of March 30, 2021, among Comcast Corporation, the financial institutions party thereto, JPMorgan Chase Bank, N.A., as administrative agent, Citibank, N.A., as syndication agent, Bank of America, N.A., Mizuho Bank, Ltd., Morgan Stanley MUFG Partners, LLC and Wells Fargo Bank, National Association, as co-documentation agents (incorporated by reference to Exhibit 10.1 to Comcast’s Current Report on Form 8-K filed on March 31, 2021)</w:t>
      </w:r>
    </w:p>
    <w:p>
      <w:pPr>
        <w:spacing w:after="0" w:line="1" w:lineRule="exact"/>
        <w:rPr>
          <w:sz w:val="20"/>
          <w:szCs w:val="20"/>
          <w:color w:val="auto"/>
        </w:rPr>
      </w:pPr>
    </w:p>
    <w:p>
      <w:pPr>
        <w:ind w:left="900" w:hanging="874"/>
        <w:spacing w:after="0" w:line="234" w:lineRule="auto"/>
        <w:tabs>
          <w:tab w:leader="none" w:pos="900" w:val="left"/>
        </w:tabs>
        <w:numPr>
          <w:ilvl w:val="0"/>
          <w:numId w:val="18"/>
        </w:numPr>
        <w:rPr>
          <w:rFonts w:ascii="Arial" w:cs="Arial" w:eastAsia="Arial" w:hAnsi="Arial"/>
          <w:sz w:val="18"/>
          <w:szCs w:val="18"/>
          <w:u w:val="single" w:color="auto"/>
          <w:color w:val="0000FF"/>
        </w:rPr>
      </w:pPr>
      <w:r>
        <w:rPr>
          <w:rFonts w:ascii="Arial" w:cs="Arial" w:eastAsia="Arial" w:hAnsi="Arial"/>
          <w:sz w:val="18"/>
          <w:szCs w:val="18"/>
          <w:color w:val="auto"/>
        </w:rPr>
        <w:t>Subsidiary guarantors and issuers of guaranteed securities and affiliates whose securities collateralize securities of the registrant (incorporated by reference to Exhibit 22.1 to Comcast’s Quarterly Report on Form 10-Q for the quarter ended March 31, 2020)</w:t>
      </w:r>
    </w:p>
    <w:p>
      <w:pPr>
        <w:spacing w:after="0" w:line="1" w:lineRule="exact"/>
        <w:rPr>
          <w:sz w:val="20"/>
          <w:szCs w:val="20"/>
          <w:color w:val="auto"/>
        </w:rPr>
      </w:pPr>
    </w:p>
    <w:p>
      <w:pPr>
        <w:ind w:left="900" w:hanging="874"/>
        <w:spacing w:after="0"/>
        <w:tabs>
          <w:tab w:leader="none" w:pos="900" w:val="left"/>
        </w:tabs>
        <w:numPr>
          <w:ilvl w:val="0"/>
          <w:numId w:val="19"/>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22" w:lineRule="exact"/>
        <w:rPr>
          <w:rFonts w:ascii="Arial" w:cs="Arial" w:eastAsia="Arial" w:hAnsi="Arial"/>
          <w:sz w:val="18"/>
          <w:szCs w:val="18"/>
          <w:u w:val="single" w:color="auto"/>
          <w:color w:val="0000FF"/>
        </w:rPr>
      </w:pPr>
    </w:p>
    <w:p>
      <w:pPr>
        <w:ind w:left="900" w:hanging="874"/>
        <w:spacing w:after="0"/>
        <w:tabs>
          <w:tab w:leader="none" w:pos="900" w:val="left"/>
        </w:tabs>
        <w:numPr>
          <w:ilvl w:val="0"/>
          <w:numId w:val="19"/>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23" w:lineRule="exact"/>
        <w:rPr>
          <w:sz w:val="20"/>
          <w:szCs w:val="20"/>
          <w:color w:val="auto"/>
        </w:rPr>
      </w:pPr>
    </w:p>
    <w:p>
      <w:pPr>
        <w:jc w:val="both"/>
        <w:ind w:left="900" w:hanging="874"/>
        <w:spacing w:after="0" w:line="238"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months ended March 31, 2021, filed with the Securities and Exchange Commission on April 29, 2021, formatted in Inline Extensible Business Reporting Language (iXBRL):</w:t>
      </w:r>
    </w:p>
    <w:p>
      <w:pPr>
        <w:spacing w:after="0" w:line="1" w:lineRule="exact"/>
        <w:rPr>
          <w:rFonts w:ascii="Arial" w:cs="Arial" w:eastAsia="Arial" w:hAnsi="Arial"/>
          <w:sz w:val="16"/>
          <w:szCs w:val="16"/>
          <w:color w:val="auto"/>
        </w:rPr>
      </w:pPr>
    </w:p>
    <w:p>
      <w:pPr>
        <w:jc w:val="both"/>
        <w:ind w:left="900" w:firstLine="3"/>
        <w:spacing w:after="0" w:line="218"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0"/>
          <w:szCs w:val="20"/>
          <w:color w:val="auto"/>
        </w:rPr>
      </w:pPr>
    </w:p>
    <w:p>
      <w:pPr>
        <w:ind w:left="900" w:hanging="87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COMCAST CORPORATION</w:t>
      </w:r>
    </w:p>
    <w:p>
      <w:pPr>
        <w:spacing w:after="0" w:line="77" w:lineRule="exact"/>
        <w:rPr>
          <w:sz w:val="20"/>
          <w:szCs w:val="20"/>
          <w:color w:val="auto"/>
        </w:rPr>
      </w:pPr>
    </w:p>
    <w:p>
      <w:pPr>
        <w:ind w:left="580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Daniel C. Murdock</w:t>
      </w:r>
    </w:p>
    <w:p>
      <w:pPr>
        <w:ind w:left="6380"/>
        <w:spacing w:after="0" w:line="228" w:lineRule="auto"/>
        <w:rPr>
          <w:sz w:val="20"/>
          <w:szCs w:val="20"/>
          <w:color w:val="auto"/>
        </w:rPr>
      </w:pPr>
      <w:r>
        <w:rPr>
          <w:rFonts w:ascii="Arial" w:cs="Arial" w:eastAsia="Arial" w:hAnsi="Arial"/>
          <w:sz w:val="16"/>
          <w:szCs w:val="16"/>
          <w:color w:val="auto"/>
        </w:rPr>
        <w:t>Executive Vice President, Chief Accounting Officer and Controller</w:t>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(Principal Accounting Officer)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7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584"/>
        <w:spacing w:after="0"/>
        <w:rPr>
          <w:sz w:val="20"/>
          <w:szCs w:val="20"/>
          <w:color w:val="auto"/>
        </w:rPr>
      </w:pPr>
      <w:r>
        <w:rPr>
          <w:rFonts w:ascii="Arial" w:cs="Arial" w:eastAsia="Arial" w:hAnsi="Arial"/>
          <w:sz w:val="22"/>
          <w:szCs w:val="22"/>
          <w:b w:val="1"/>
          <w:bCs w:val="1"/>
          <w:color w:val="auto"/>
        </w:rPr>
        <w:t>COMCAST CORPORATION</w:t>
      </w:r>
    </w:p>
    <w:p>
      <w:pPr>
        <w:spacing w:after="0" w:line="220" w:lineRule="exact"/>
        <w:rPr>
          <w:sz w:val="20"/>
          <w:szCs w:val="20"/>
          <w:color w:val="auto"/>
        </w:rPr>
      </w:pPr>
    </w:p>
    <w:p>
      <w:pPr>
        <w:ind w:left="3304"/>
        <w:spacing w:after="0"/>
        <w:rPr>
          <w:sz w:val="20"/>
          <w:szCs w:val="20"/>
          <w:color w:val="auto"/>
        </w:rPr>
      </w:pPr>
      <w:r>
        <w:rPr>
          <w:rFonts w:ascii="Arial" w:cs="Arial" w:eastAsia="Arial" w:hAnsi="Arial"/>
          <w:sz w:val="22"/>
          <w:szCs w:val="22"/>
          <w:b w:val="1"/>
          <w:bCs w:val="1"/>
          <w:color w:val="auto"/>
        </w:rPr>
        <w:t>2002 RESTRICTED STOCK PLAN</w:t>
      </w:r>
    </w:p>
    <w:p>
      <w:pPr>
        <w:spacing w:after="0" w:line="220" w:lineRule="exact"/>
        <w:rPr>
          <w:sz w:val="20"/>
          <w:szCs w:val="20"/>
          <w:color w:val="auto"/>
        </w:rPr>
      </w:pPr>
    </w:p>
    <w:p>
      <w:pPr>
        <w:ind w:left="3164"/>
        <w:spacing w:after="0"/>
        <w:rPr>
          <w:sz w:val="20"/>
          <w:szCs w:val="20"/>
          <w:color w:val="auto"/>
        </w:rPr>
      </w:pPr>
      <w:r>
        <w:rPr>
          <w:rFonts w:ascii="Arial" w:cs="Arial" w:eastAsia="Arial" w:hAnsi="Arial"/>
          <w:sz w:val="22"/>
          <w:szCs w:val="22"/>
          <w:b w:val="1"/>
          <w:bCs w:val="1"/>
          <w:color w:val="auto"/>
        </w:rPr>
        <w:t>(As Amended and Restated, Effective March 1, 2021)</w:t>
      </w:r>
    </w:p>
    <w:p>
      <w:pPr>
        <w:spacing w:after="0" w:line="220" w:lineRule="exact"/>
        <w:rPr>
          <w:sz w:val="20"/>
          <w:szCs w:val="20"/>
          <w:color w:val="auto"/>
        </w:rPr>
      </w:pPr>
    </w:p>
    <w:p>
      <w:pPr>
        <w:ind w:left="644" w:hanging="644"/>
        <w:spacing w:after="0"/>
        <w:tabs>
          <w:tab w:leader="none" w:pos="644"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BACKGROUND AND PURPOSE</w:t>
      </w:r>
    </w:p>
    <w:p>
      <w:pPr>
        <w:spacing w:after="0" w:line="225" w:lineRule="exact"/>
        <w:rPr>
          <w:rFonts w:ascii="Arial" w:cs="Arial" w:eastAsia="Arial" w:hAnsi="Arial"/>
          <w:sz w:val="22"/>
          <w:szCs w:val="22"/>
          <w:b w:val="1"/>
          <w:bCs w:val="1"/>
          <w:color w:val="auto"/>
        </w:rPr>
      </w:pPr>
    </w:p>
    <w:p>
      <w:pPr>
        <w:ind w:left="4" w:firstLine="644"/>
        <w:spacing w:after="0" w:line="263" w:lineRule="auto"/>
        <w:tabs>
          <w:tab w:leader="none" w:pos="1297"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Background</w:t>
      </w:r>
      <w:r>
        <w:rPr>
          <w:rFonts w:ascii="Arial" w:cs="Arial" w:eastAsia="Arial" w:hAnsi="Arial"/>
          <w:sz w:val="22"/>
          <w:szCs w:val="22"/>
          <w:color w:val="auto"/>
        </w:rPr>
        <w:t>. COMCAST CORPORATION, a Pennsylvania corporation, hereby amends and restates the Comcast Corporation 2002 Restricted Stock Plan (the “Plan”) effective March 1, 2021.</w:t>
      </w:r>
    </w:p>
    <w:p>
      <w:pPr>
        <w:spacing w:after="0" w:line="174" w:lineRule="exact"/>
        <w:rPr>
          <w:rFonts w:ascii="Arial" w:cs="Arial" w:eastAsia="Arial" w:hAnsi="Arial"/>
          <w:sz w:val="22"/>
          <w:szCs w:val="22"/>
          <w:color w:val="auto"/>
        </w:rPr>
      </w:pPr>
    </w:p>
    <w:p>
      <w:pPr>
        <w:jc w:val="both"/>
        <w:ind w:left="4" w:firstLine="644"/>
        <w:spacing w:after="0" w:line="253" w:lineRule="auto"/>
        <w:tabs>
          <w:tab w:leader="none" w:pos="1295"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85" w:lineRule="exact"/>
        <w:rPr>
          <w:rFonts w:ascii="Arial" w:cs="Arial" w:eastAsia="Arial" w:hAnsi="Arial"/>
          <w:sz w:val="22"/>
          <w:szCs w:val="22"/>
          <w:color w:val="auto"/>
        </w:rPr>
      </w:pPr>
    </w:p>
    <w:p>
      <w:pPr>
        <w:jc w:val="both"/>
        <w:ind w:left="4" w:firstLine="644"/>
        <w:spacing w:after="0" w:line="258" w:lineRule="auto"/>
        <w:tabs>
          <w:tab w:leader="none" w:pos="1297" w:val="left"/>
        </w:tabs>
        <w:numPr>
          <w:ilvl w:val="1"/>
          <w:numId w:val="22"/>
        </w:numPr>
        <w:rPr>
          <w:rFonts w:ascii="Arial" w:cs="Arial" w:eastAsia="Arial" w:hAnsi="Arial"/>
          <w:sz w:val="21"/>
          <w:szCs w:val="21"/>
          <w:color w:val="auto"/>
        </w:rPr>
      </w:pPr>
      <w:r>
        <w:rPr>
          <w:rFonts w:ascii="Arial" w:cs="Arial" w:eastAsia="Arial" w:hAnsi="Arial"/>
          <w:sz w:val="21"/>
          <w:szCs w:val="21"/>
          <w:u w:val="single" w:color="auto"/>
          <w:color w:val="auto"/>
        </w:rPr>
        <w:t>Purpose of the Amendment; Credits Affected</w:t>
      </w:r>
      <w:r>
        <w:rPr>
          <w:rFonts w:ascii="Arial" w:cs="Arial" w:eastAsia="Arial" w:hAnsi="Arial"/>
          <w:sz w:val="21"/>
          <w:szCs w:val="21"/>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85" w:lineRule="exact"/>
        <w:rPr>
          <w:rFonts w:ascii="Arial" w:cs="Arial" w:eastAsia="Arial" w:hAnsi="Arial"/>
          <w:sz w:val="21"/>
          <w:szCs w:val="21"/>
          <w:color w:val="auto"/>
        </w:rPr>
      </w:pPr>
    </w:p>
    <w:p>
      <w:pPr>
        <w:jc w:val="both"/>
        <w:ind w:left="4" w:firstLine="644"/>
        <w:spacing w:after="0" w:line="250" w:lineRule="auto"/>
        <w:tabs>
          <w:tab w:leader="none" w:pos="1295"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Reservation of Right to Amend to Comply with Section 409A</w:t>
      </w:r>
      <w:r>
        <w:rPr>
          <w:rFonts w:ascii="Arial" w:cs="Arial" w:eastAsia="Arial" w:hAnsi="Arial"/>
          <w:sz w:val="22"/>
          <w:szCs w:val="22"/>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87" w:lineRule="exact"/>
        <w:rPr>
          <w:rFonts w:ascii="Arial" w:cs="Arial" w:eastAsia="Arial" w:hAnsi="Arial"/>
          <w:sz w:val="22"/>
          <w:szCs w:val="22"/>
          <w:color w:val="auto"/>
        </w:rPr>
      </w:pPr>
    </w:p>
    <w:p>
      <w:pPr>
        <w:jc w:val="both"/>
        <w:ind w:left="4" w:firstLine="644"/>
        <w:spacing w:after="0" w:line="246" w:lineRule="auto"/>
        <w:tabs>
          <w:tab w:leader="none" w:pos="1297"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Deferral Provisions of Plan Unfunded and Limited to Select Group of Management or Highly Compensated Employees</w:t>
      </w:r>
      <w:r>
        <w:rPr>
          <w:rFonts w:ascii="Arial" w:cs="Arial" w:eastAsia="Arial" w:hAnsi="Arial"/>
          <w:sz w:val="22"/>
          <w:szCs w:val="22"/>
          <w:b w:val="1"/>
          <w:bCs w:val="1"/>
          <w:color w:val="auto"/>
        </w:rPr>
        <w:t>.</w:t>
      </w:r>
      <w:r>
        <w:rPr>
          <w:rFonts w:ascii="Arial" w:cs="Arial" w:eastAsia="Arial" w:hAnsi="Arial"/>
          <w:sz w:val="22"/>
          <w:szCs w:val="22"/>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0584"/>
          </w:cols>
          <w:pgMar w:left="976" w:top="126" w:right="339" w:bottom="1440" w:gutter="0" w:footer="0" w:header="0"/>
        </w:sectPr>
      </w:pPr>
    </w:p>
    <w:bookmarkStart w:id="35" w:name="page36"/>
    <w:bookmarkEnd w:id="35"/>
    <w:p>
      <w:pPr>
        <w:jc w:val="both"/>
        <w:ind w:left="4" w:right="20" w:firstLine="644"/>
        <w:spacing w:after="0" w:line="253" w:lineRule="auto"/>
        <w:tabs>
          <w:tab w:leader="none" w:pos="1624"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References to Written Forms, Elections and Notices</w:t>
      </w:r>
      <w:r>
        <w:rPr>
          <w:rFonts w:ascii="Arial" w:cs="Arial" w:eastAsia="Arial" w:hAnsi="Arial"/>
          <w:sz w:val="22"/>
          <w:szCs w:val="22"/>
          <w:color w:val="auto"/>
        </w:rPr>
        <w:t>. Any action under the Plan that requires a written form, election, notice or other action shall be treated as completed if taken via electronic or other means, to the extent authorized by the Committee.</w:t>
      </w:r>
    </w:p>
    <w:p>
      <w:pPr>
        <w:spacing w:after="0" w:line="179" w:lineRule="exact"/>
        <w:rPr>
          <w:rFonts w:ascii="Arial" w:cs="Arial" w:eastAsia="Arial" w:hAnsi="Arial"/>
          <w:sz w:val="22"/>
          <w:szCs w:val="22"/>
          <w:color w:val="auto"/>
        </w:rPr>
      </w:pPr>
    </w:p>
    <w:p>
      <w:pPr>
        <w:ind w:left="644" w:hanging="644"/>
        <w:spacing w:after="0"/>
        <w:tabs>
          <w:tab w:leader="none" w:pos="644"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5" w:lineRule="exact"/>
        <w:rPr>
          <w:rFonts w:ascii="Arial" w:cs="Arial" w:eastAsia="Arial" w:hAnsi="Arial"/>
          <w:sz w:val="22"/>
          <w:szCs w:val="22"/>
          <w:b w:val="1"/>
          <w:bCs w:val="1"/>
          <w:color w:val="auto"/>
        </w:rPr>
      </w:pPr>
    </w:p>
    <w:p>
      <w:pPr>
        <w:ind w:left="1284" w:hanging="636"/>
        <w:spacing w:after="0"/>
        <w:tabs>
          <w:tab w:leader="none" w:pos="1284" w:val="left"/>
        </w:tabs>
        <w:numPr>
          <w:ilvl w:val="1"/>
          <w:numId w:val="24"/>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4" w:firstLine="644"/>
        <w:spacing w:after="0" w:line="297" w:lineRule="auto"/>
        <w:tabs>
          <w:tab w:leader="none" w:pos="1295" w:val="left"/>
        </w:tabs>
        <w:numPr>
          <w:ilvl w:val="1"/>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w:t>
      </w:r>
      <w:r>
        <w:rPr>
          <w:rFonts w:ascii="Arial" w:cs="Arial" w:eastAsia="Arial" w:hAnsi="Arial"/>
          <w:sz w:val="19"/>
          <w:szCs w:val="19"/>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amounts credited to the Income Fund or an Other Investment Fund are credited with income, gains, and losses as provided in Article 8, reduced by distributions in accordance with the Plan.</w:t>
      </w:r>
    </w:p>
    <w:p>
      <w:pPr>
        <w:spacing w:after="0" w:line="146" w:lineRule="exact"/>
        <w:rPr>
          <w:rFonts w:ascii="Arial" w:cs="Arial" w:eastAsia="Arial" w:hAnsi="Arial"/>
          <w:sz w:val="19"/>
          <w:szCs w:val="19"/>
          <w:color w:val="auto"/>
        </w:rPr>
      </w:pPr>
    </w:p>
    <w:p>
      <w:pPr>
        <w:ind w:left="1284" w:hanging="636"/>
        <w:spacing w:after="0"/>
        <w:tabs>
          <w:tab w:leader="none" w:pos="1284" w:val="left"/>
        </w:tabs>
        <w:numPr>
          <w:ilvl w:val="1"/>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Active Grantee</w:t>
      </w:r>
      <w:r>
        <w:rPr>
          <w:rFonts w:ascii="Arial" w:cs="Arial" w:eastAsia="Arial" w:hAnsi="Arial"/>
          <w:sz w:val="22"/>
          <w:szCs w:val="22"/>
          <w:color w:val="auto"/>
        </w:rPr>
        <w:t>” means each Grantee who is actively employed by a Participating Company.</w:t>
      </w:r>
    </w:p>
    <w:p>
      <w:pPr>
        <w:spacing w:after="0" w:line="219" w:lineRule="exact"/>
        <w:rPr>
          <w:rFonts w:ascii="Arial" w:cs="Arial" w:eastAsia="Arial" w:hAnsi="Arial"/>
          <w:sz w:val="22"/>
          <w:szCs w:val="22"/>
          <w:color w:val="auto"/>
        </w:rPr>
      </w:pPr>
    </w:p>
    <w:p>
      <w:pPr>
        <w:jc w:val="both"/>
        <w:ind w:left="4" w:firstLine="644"/>
        <w:spacing w:after="0" w:line="263" w:lineRule="auto"/>
        <w:tabs>
          <w:tab w:leader="none" w:pos="1295" w:val="left"/>
        </w:tabs>
        <w:numPr>
          <w:ilvl w:val="1"/>
          <w:numId w:val="2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5" w:lineRule="exact"/>
        <w:rPr>
          <w:rFonts w:ascii="Arial" w:cs="Arial" w:eastAsia="Arial" w:hAnsi="Arial"/>
          <w:sz w:val="21"/>
          <w:szCs w:val="21"/>
          <w:color w:val="auto"/>
        </w:rPr>
      </w:pPr>
    </w:p>
    <w:p>
      <w:pPr>
        <w:ind w:left="4" w:right="20" w:firstLine="644"/>
        <w:spacing w:after="0" w:line="263" w:lineRule="auto"/>
        <w:tabs>
          <w:tab w:leader="none" w:pos="1297" w:val="left"/>
        </w:tabs>
        <w:numPr>
          <w:ilvl w:val="1"/>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Rate of Pay</w:t>
      </w:r>
      <w:r>
        <w:rPr>
          <w:rFonts w:ascii="Arial" w:cs="Arial" w:eastAsia="Arial" w:hAnsi="Arial"/>
          <w:sz w:val="22"/>
          <w:szCs w:val="22"/>
          <w:color w:val="auto"/>
        </w:rPr>
        <w:t>” means, as of any date, an employee’s annualized base pay rate. An employee’s Annual Rate of Pay shall not include sales commissions or other similar payments or awards.</w:t>
      </w:r>
    </w:p>
    <w:p>
      <w:pPr>
        <w:spacing w:after="0" w:line="174" w:lineRule="exact"/>
        <w:rPr>
          <w:rFonts w:ascii="Arial" w:cs="Arial" w:eastAsia="Arial" w:hAnsi="Arial"/>
          <w:sz w:val="22"/>
          <w:szCs w:val="22"/>
          <w:color w:val="auto"/>
        </w:rPr>
      </w:pPr>
    </w:p>
    <w:p>
      <w:pPr>
        <w:ind w:left="1304" w:hanging="656"/>
        <w:spacing w:after="0"/>
        <w:tabs>
          <w:tab w:leader="none" w:pos="1304" w:val="left"/>
        </w:tabs>
        <w:numPr>
          <w:ilvl w:val="1"/>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Interest Rate</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1944" w:hanging="852"/>
        <w:spacing w:after="0"/>
        <w:tabs>
          <w:tab w:leader="none" w:pos="1944" w:val="left"/>
        </w:tabs>
        <w:numPr>
          <w:ilvl w:val="2"/>
          <w:numId w:val="24"/>
        </w:numPr>
        <w:rPr>
          <w:rFonts w:ascii="Arial" w:cs="Arial" w:eastAsia="Arial" w:hAnsi="Arial"/>
          <w:sz w:val="22"/>
          <w:szCs w:val="22"/>
          <w:color w:val="auto"/>
        </w:rPr>
      </w:pPr>
      <w:r>
        <w:rPr>
          <w:rFonts w:ascii="Arial" w:cs="Arial" w:eastAsia="Arial" w:hAnsi="Arial"/>
          <w:sz w:val="22"/>
          <w:szCs w:val="22"/>
          <w:color w:val="auto"/>
        </w:rPr>
        <w:t>Except as otherwise provided in Paragraph 2(f)(ii):</w:t>
      </w:r>
    </w:p>
    <w:p>
      <w:pPr>
        <w:spacing w:after="0" w:line="219" w:lineRule="exact"/>
        <w:rPr>
          <w:rFonts w:ascii="Arial" w:cs="Arial" w:eastAsia="Arial" w:hAnsi="Arial"/>
          <w:sz w:val="22"/>
          <w:szCs w:val="22"/>
          <w:color w:val="auto"/>
        </w:rPr>
      </w:pPr>
    </w:p>
    <w:p>
      <w:pPr>
        <w:jc w:val="both"/>
        <w:ind w:left="2584" w:hanging="640"/>
        <w:spacing w:after="0" w:line="246" w:lineRule="auto"/>
        <w:tabs>
          <w:tab w:leader="none" w:pos="2523" w:val="left"/>
        </w:tabs>
        <w:numPr>
          <w:ilvl w:val="3"/>
          <w:numId w:val="24"/>
        </w:numPr>
        <w:rPr>
          <w:rFonts w:ascii="Arial" w:cs="Arial" w:eastAsia="Arial" w:hAnsi="Arial"/>
          <w:sz w:val="22"/>
          <w:szCs w:val="22"/>
          <w:color w:val="auto"/>
        </w:rPr>
      </w:pPr>
      <w:r>
        <w:rPr>
          <w:rFonts w:ascii="Arial" w:cs="Arial" w:eastAsia="Arial" w:hAnsi="Arial"/>
          <w:sz w:val="22"/>
          <w:szCs w:val="22"/>
          <w:color w:val="auto"/>
        </w:rPr>
        <w:t>The Applicable Interest Rate with respect to amounts credited to the Income Fund that are attributable to (1) dividends and other distributions credited with respect to Deferred Stock Units that are deferred pursuant to Initial Deferral Elections made before January 1, 2010 and (2) Diversification Elections and Special Diversification Elections made before January 1, 2010 shall be the interest rate that, when compounded annually pursuant to rules established by the Committee from time to time, is mathematically equivalent to 8% (0.08) per annum,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4"/>
          </w:cols>
          <w:pgMar w:left="976" w:top="1428" w:right="339" w:bottom="1440" w:gutter="0" w:footer="0" w:header="0"/>
        </w:sectPr>
      </w:pPr>
    </w:p>
    <w:bookmarkStart w:id="36" w:name="page37"/>
    <w:bookmarkEnd w:id="36"/>
    <w:p>
      <w:pPr>
        <w:jc w:val="center"/>
        <w:ind w:right="120"/>
        <w:spacing w:after="0"/>
        <w:rPr>
          <w:sz w:val="20"/>
          <w:szCs w:val="20"/>
          <w:color w:val="auto"/>
        </w:rPr>
      </w:pPr>
      <w:r>
        <w:rPr>
          <w:rFonts w:ascii="Arial" w:cs="Arial" w:eastAsia="Arial" w:hAnsi="Arial"/>
          <w:sz w:val="22"/>
          <w:szCs w:val="22"/>
          <w:color w:val="auto"/>
        </w:rPr>
        <w:t>other interest rate established by the Committee from time to time.</w:t>
      </w:r>
    </w:p>
    <w:p>
      <w:pPr>
        <w:spacing w:after="0" w:line="220" w:lineRule="exact"/>
        <w:rPr>
          <w:sz w:val="20"/>
          <w:szCs w:val="20"/>
          <w:color w:val="auto"/>
        </w:rPr>
      </w:pPr>
    </w:p>
    <w:p>
      <w:pPr>
        <w:ind w:left="2120" w:hanging="640"/>
        <w:spacing w:after="0" w:line="263" w:lineRule="auto"/>
        <w:tabs>
          <w:tab w:leader="none" w:pos="205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Applicable Interest Rate with respect to amounts credited to the Income Fund that are attributable to:</w:t>
      </w:r>
    </w:p>
    <w:p>
      <w:pPr>
        <w:spacing w:after="0" w:line="174" w:lineRule="exact"/>
        <w:rPr>
          <w:rFonts w:ascii="Arial" w:cs="Arial" w:eastAsia="Arial" w:hAnsi="Arial"/>
          <w:sz w:val="22"/>
          <w:szCs w:val="22"/>
          <w:color w:val="auto"/>
        </w:rPr>
      </w:pPr>
    </w:p>
    <w:p>
      <w:pPr>
        <w:jc w:val="both"/>
        <w:ind w:left="1480" w:firstLine="648"/>
        <w:spacing w:after="0" w:line="253" w:lineRule="auto"/>
        <w:tabs>
          <w:tab w:leader="none" w:pos="2599" w:val="left"/>
        </w:tabs>
        <w:numPr>
          <w:ilvl w:val="1"/>
          <w:numId w:val="25"/>
        </w:numPr>
        <w:rPr>
          <w:rFonts w:ascii="Arial" w:cs="Arial" w:eastAsia="Arial" w:hAnsi="Arial"/>
          <w:sz w:val="22"/>
          <w:szCs w:val="22"/>
          <w:color w:val="auto"/>
        </w:rPr>
      </w:pPr>
      <w:r>
        <w:rPr>
          <w:rFonts w:ascii="Arial" w:cs="Arial" w:eastAsia="Arial" w:hAnsi="Arial"/>
          <w:sz w:val="22"/>
          <w:szCs w:val="22"/>
          <w:color w:val="auto"/>
        </w:rPr>
        <w:t>dividends and other distributions credited with respect to Deferred Stock Units that are deferred pursuant to Initial Deferral Elections made on or after January 1, 2010 and before January 1, 2014; and</w:t>
      </w:r>
    </w:p>
    <w:p>
      <w:pPr>
        <w:spacing w:after="0" w:line="185" w:lineRule="exact"/>
        <w:rPr>
          <w:rFonts w:ascii="Arial" w:cs="Arial" w:eastAsia="Arial" w:hAnsi="Arial"/>
          <w:sz w:val="22"/>
          <w:szCs w:val="22"/>
          <w:color w:val="auto"/>
        </w:rPr>
      </w:pPr>
    </w:p>
    <w:p>
      <w:pPr>
        <w:jc w:val="both"/>
        <w:ind w:left="1480" w:firstLine="648"/>
        <w:spacing w:after="0" w:line="271" w:lineRule="auto"/>
        <w:tabs>
          <w:tab w:leader="none" w:pos="2787" w:val="left"/>
        </w:tabs>
        <w:numPr>
          <w:ilvl w:val="1"/>
          <w:numId w:val="25"/>
        </w:numPr>
        <w:rPr>
          <w:rFonts w:ascii="Arial" w:cs="Arial" w:eastAsia="Arial" w:hAnsi="Arial"/>
          <w:sz w:val="21"/>
          <w:szCs w:val="21"/>
          <w:color w:val="auto"/>
        </w:rPr>
      </w:pPr>
      <w:r>
        <w:rPr>
          <w:rFonts w:ascii="Arial" w:cs="Arial" w:eastAsia="Arial" w:hAnsi="Arial"/>
          <w:sz w:val="21"/>
          <w:szCs w:val="21"/>
          <w:color w:val="auto"/>
        </w:rPr>
        <w:t>Diversification Elections and Special Diversification Elections made on or after January 1, 2010 and before January 1, 2014 and Subsequent Deferral Elections made before January 1, 2021 with respect to the amounts described in this Paragraph 2(f)(i)(B)(2);</w:t>
      </w:r>
    </w:p>
    <w:p>
      <w:pPr>
        <w:spacing w:after="0" w:line="167" w:lineRule="exact"/>
        <w:rPr>
          <w:sz w:val="20"/>
          <w:szCs w:val="20"/>
          <w:color w:val="auto"/>
        </w:rPr>
      </w:pPr>
    </w:p>
    <w:p>
      <w:pPr>
        <w:jc w:val="both"/>
        <w:ind w:left="1480"/>
        <w:spacing w:after="0" w:line="253" w:lineRule="auto"/>
        <w:rPr>
          <w:sz w:val="20"/>
          <w:szCs w:val="20"/>
          <w:color w:val="auto"/>
        </w:rPr>
      </w:pPr>
      <w:r>
        <w:rPr>
          <w:rFonts w:ascii="Arial" w:cs="Arial" w:eastAsia="Arial" w:hAnsi="Arial"/>
          <w:sz w:val="22"/>
          <w:szCs w:val="22"/>
          <w:color w:val="auto"/>
        </w:rPr>
        <w:t>shall be the interest rate that, when compounded annually pursuant to rules established by the Committee from time to time, is mathematically equivalent to 12% per annum, or such other interest rate established by the Committee from time to time.</w:t>
      </w:r>
    </w:p>
    <w:p>
      <w:pPr>
        <w:spacing w:after="0" w:line="185" w:lineRule="exact"/>
        <w:rPr>
          <w:sz w:val="20"/>
          <w:szCs w:val="20"/>
          <w:color w:val="auto"/>
        </w:rPr>
      </w:pPr>
    </w:p>
    <w:p>
      <w:pPr>
        <w:ind w:left="1980" w:hanging="500"/>
        <w:spacing w:after="0"/>
        <w:tabs>
          <w:tab w:leader="none" w:pos="19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Effective with respect to amounts credited to the Income Fund that are attributable to:</w:t>
      </w:r>
    </w:p>
    <w:p>
      <w:pPr>
        <w:spacing w:after="0" w:line="231" w:lineRule="exact"/>
        <w:rPr>
          <w:rFonts w:ascii="Arial" w:cs="Arial" w:eastAsia="Arial" w:hAnsi="Arial"/>
          <w:sz w:val="21"/>
          <w:szCs w:val="21"/>
          <w:color w:val="auto"/>
        </w:rPr>
      </w:pPr>
    </w:p>
    <w:p>
      <w:pPr>
        <w:jc w:val="both"/>
        <w:ind w:left="1480" w:firstLine="648"/>
        <w:spacing w:after="0" w:line="253" w:lineRule="auto"/>
        <w:tabs>
          <w:tab w:leader="none" w:pos="2599" w:val="left"/>
        </w:tabs>
        <w:numPr>
          <w:ilvl w:val="1"/>
          <w:numId w:val="26"/>
        </w:numPr>
        <w:rPr>
          <w:rFonts w:ascii="Arial" w:cs="Arial" w:eastAsia="Arial" w:hAnsi="Arial"/>
          <w:sz w:val="22"/>
          <w:szCs w:val="22"/>
          <w:color w:val="auto"/>
        </w:rPr>
      </w:pPr>
      <w:r>
        <w:rPr>
          <w:rFonts w:ascii="Arial" w:cs="Arial" w:eastAsia="Arial" w:hAnsi="Arial"/>
          <w:sz w:val="22"/>
          <w:szCs w:val="22"/>
          <w:color w:val="auto"/>
        </w:rPr>
        <w:t>dividends and other distributions credited with respect to Deferred Stock Units that are deferred pursuant to Initial Deferral Elections made on or after January 1, 2014 and before January 1, 2021:</w:t>
      </w:r>
    </w:p>
    <w:p>
      <w:pPr>
        <w:spacing w:after="0" w:line="185" w:lineRule="exact"/>
        <w:rPr>
          <w:rFonts w:ascii="Arial" w:cs="Arial" w:eastAsia="Arial" w:hAnsi="Arial"/>
          <w:sz w:val="22"/>
          <w:szCs w:val="22"/>
          <w:color w:val="auto"/>
        </w:rPr>
      </w:pPr>
    </w:p>
    <w:p>
      <w:pPr>
        <w:ind w:left="1480" w:right="20" w:firstLine="648"/>
        <w:spacing w:after="0" w:line="287" w:lineRule="auto"/>
        <w:tabs>
          <w:tab w:leader="none" w:pos="2599" w:val="left"/>
        </w:tabs>
        <w:numPr>
          <w:ilvl w:val="1"/>
          <w:numId w:val="26"/>
        </w:numPr>
        <w:rPr>
          <w:rFonts w:ascii="Arial" w:cs="Arial" w:eastAsia="Arial" w:hAnsi="Arial"/>
          <w:sz w:val="21"/>
          <w:szCs w:val="21"/>
          <w:color w:val="auto"/>
        </w:rPr>
      </w:pPr>
      <w:r>
        <w:rPr>
          <w:rFonts w:ascii="Arial" w:cs="Arial" w:eastAsia="Arial" w:hAnsi="Arial"/>
          <w:sz w:val="21"/>
          <w:szCs w:val="21"/>
          <w:color w:val="auto"/>
        </w:rPr>
        <w:t>dividends and other distributions credited with respect to Deferred Stock Units that are deferred pursuant to Regular Deferral Elections made before January 1, 2021; and</w:t>
      </w:r>
    </w:p>
    <w:p>
      <w:pPr>
        <w:spacing w:after="0" w:line="151" w:lineRule="exact"/>
        <w:rPr>
          <w:rFonts w:ascii="Arial" w:cs="Arial" w:eastAsia="Arial" w:hAnsi="Arial"/>
          <w:sz w:val="21"/>
          <w:szCs w:val="21"/>
          <w:color w:val="auto"/>
        </w:rPr>
      </w:pPr>
    </w:p>
    <w:p>
      <w:pPr>
        <w:jc w:val="both"/>
        <w:ind w:left="1480" w:firstLine="648"/>
        <w:spacing w:after="0" w:line="312" w:lineRule="auto"/>
        <w:tabs>
          <w:tab w:leader="none" w:pos="2659" w:val="left"/>
        </w:tabs>
        <w:numPr>
          <w:ilvl w:val="1"/>
          <w:numId w:val="26"/>
        </w:numPr>
        <w:rPr>
          <w:rFonts w:ascii="Arial" w:cs="Arial" w:eastAsia="Arial" w:hAnsi="Arial"/>
          <w:sz w:val="19"/>
          <w:szCs w:val="19"/>
          <w:color w:val="auto"/>
        </w:rPr>
      </w:pPr>
      <w:r>
        <w:rPr>
          <w:rFonts w:ascii="Arial" w:cs="Arial" w:eastAsia="Arial" w:hAnsi="Arial"/>
          <w:sz w:val="19"/>
          <w:szCs w:val="19"/>
          <w:color w:val="auto"/>
        </w:rPr>
        <w:t>Diversification Elections and Special Diversification Elections that become effective on or after January 1, 2014 and before January 1, 2021, and Subsequent Deferral Elections made before January 1, 2021 with respect to the amounts described in this Paragraph 2(f)(i)(C)(3);</w:t>
      </w:r>
    </w:p>
    <w:p>
      <w:pPr>
        <w:spacing w:after="0" w:line="133" w:lineRule="exact"/>
        <w:rPr>
          <w:sz w:val="20"/>
          <w:szCs w:val="20"/>
          <w:color w:val="auto"/>
        </w:rPr>
      </w:pPr>
    </w:p>
    <w:p>
      <w:pPr>
        <w:jc w:val="both"/>
        <w:ind w:left="1480"/>
        <w:spacing w:after="0" w:line="259" w:lineRule="auto"/>
        <w:rPr>
          <w:sz w:val="20"/>
          <w:szCs w:val="20"/>
          <w:color w:val="auto"/>
        </w:rPr>
      </w:pPr>
      <w:r>
        <w:rPr>
          <w:rFonts w:ascii="Arial" w:cs="Arial" w:eastAsia="Arial" w:hAnsi="Arial"/>
          <w:sz w:val="20"/>
          <w:szCs w:val="20"/>
          <w:color w:val="auto"/>
        </w:rPr>
        <w:t>the “Applicable Interest Rate” shall be the Applicable Interest Rate that applies to “Protected Account Balances” under the Comcast Corporation 2005 Deferred Compensation Plan (the “2005 Deferred Compensation Plan”) if, as of the September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immediately preceding the Plan Year to which the Initial Deferral Election, Regular Deferral Election or Diversification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120"/>
          </w:cols>
          <w:pgMar w:left="1440" w:top="1428" w:right="339" w:bottom="1440" w:gutter="0" w:footer="0" w:header="0"/>
        </w:sectPr>
      </w:pPr>
    </w:p>
    <w:bookmarkStart w:id="37" w:name="page38"/>
    <w:bookmarkEnd w:id="37"/>
    <w:p>
      <w:pPr>
        <w:jc w:val="both"/>
        <w:ind w:left="1480"/>
        <w:spacing w:after="0" w:line="289" w:lineRule="auto"/>
        <w:rPr>
          <w:sz w:val="20"/>
          <w:szCs w:val="20"/>
          <w:color w:val="auto"/>
        </w:rPr>
      </w:pPr>
      <w:r>
        <w:rPr>
          <w:rFonts w:ascii="Arial" w:cs="Arial" w:eastAsia="Arial" w:hAnsi="Arial"/>
          <w:sz w:val="19"/>
          <w:szCs w:val="19"/>
          <w:color w:val="auto"/>
        </w:rPr>
        <w:t>applies, the sum of (x) the Grantee’s Account under the 2005 Deferred Compensation Plan to the extent such Account is credited to the Income Fund, plus (y) the Grantee’s Account under the Comcast Corporation 2002 Deferred Compensation Plan (the “2002 Deferred Compensation Plan”) to the extent such Account is credited to the Income Fund, plus (z) the portion of the Grantee’s Account under this Plan credited to the Income Fund, is less than the High-Water Mark. If the conditions described in the preceding sentence do not apply, the “Applicable Interest Rate” shall be the Applicable Interest Rate that applies under the 2005 Deferred Compensation Plan to amounts credited pursuant to Initial Deferral Elections with respect to compensation earned after December 31, 2013, that are not Protected Account Balances.</w:t>
      </w:r>
    </w:p>
    <w:p>
      <w:pPr>
        <w:spacing w:after="0" w:line="157" w:lineRule="exact"/>
        <w:rPr>
          <w:sz w:val="20"/>
          <w:szCs w:val="20"/>
          <w:color w:val="auto"/>
        </w:rPr>
      </w:pPr>
    </w:p>
    <w:p>
      <w:pPr>
        <w:jc w:val="both"/>
        <w:ind w:left="1480" w:hanging="911"/>
        <w:spacing w:after="0" w:line="286" w:lineRule="auto"/>
        <w:tabs>
          <w:tab w:leader="none" w:pos="1480" w:val="left"/>
        </w:tabs>
        <w:numPr>
          <w:ilvl w:val="1"/>
          <w:numId w:val="27"/>
        </w:numPr>
        <w:rPr>
          <w:rFonts w:ascii="Arial" w:cs="Arial" w:eastAsia="Arial" w:hAnsi="Arial"/>
          <w:sz w:val="19"/>
          <w:szCs w:val="19"/>
          <w:color w:val="auto"/>
        </w:rPr>
      </w:pPr>
      <w:r>
        <w:rPr>
          <w:rFonts w:ascii="Arial" w:cs="Arial" w:eastAsia="Arial" w:hAnsi="Arial"/>
          <w:sz w:val="19"/>
          <w:szCs w:val="19"/>
          <w:color w:val="auto"/>
        </w:rPr>
        <w:t>Effective for the period beginning as soon as administratively practicable following (A) a significant reduction in a Grantee’s compensation and services to the Company, as determined by the Committee in its sole discretion, and (B) a Grantee’s employment termination date, in each case,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A Grantee’s re-employment by a Participating Company following an employment termination date shall not affect the Applicable Interest Rate that applies to the part of the Grantee’s Account (including interest credited with respect to such part of the Grantee’s Account) that was credited before such employment termination date. Notwithstanding the foregoing, the Committee may delegate its authority to determine the Applicable Interest Rate under this Paragraph 2(f)(ii) to an officer of the Company or committee of two or more officers of the Company.</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460" w:firstLine="644"/>
        <w:spacing w:after="0" w:line="263" w:lineRule="auto"/>
        <w:tabs>
          <w:tab w:leader="none" w:pos="125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AT&amp;T Broadband Transaction</w:t>
      </w:r>
      <w:r>
        <w:rPr>
          <w:rFonts w:ascii="Arial" w:cs="Arial" w:eastAsia="Arial" w:hAnsi="Arial"/>
          <w:sz w:val="22"/>
          <w:szCs w:val="22"/>
          <w:color w:val="auto"/>
        </w:rPr>
        <w:t>” means the acquisition of AT&amp;T Broadband Corp. (now known as Comcast Cable Communications, LLC) by the Company.</w:t>
      </w:r>
    </w:p>
    <w:p>
      <w:pPr>
        <w:spacing w:after="0" w:line="174" w:lineRule="exact"/>
        <w:rPr>
          <w:rFonts w:ascii="Arial" w:cs="Arial" w:eastAsia="Arial" w:hAnsi="Arial"/>
          <w:sz w:val="22"/>
          <w:szCs w:val="22"/>
          <w:color w:val="auto"/>
        </w:rPr>
      </w:pPr>
    </w:p>
    <w:p>
      <w:pPr>
        <w:ind w:left="820" w:hanging="636"/>
        <w:spacing w:after="0"/>
        <w:tabs>
          <w:tab w:leader="none" w:pos="8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an award of Restricted Stock or Restricted Stock Units granted under the Plan.</w:t>
      </w:r>
    </w:p>
    <w:p>
      <w:pPr>
        <w:spacing w:after="0" w:line="219" w:lineRule="exact"/>
        <w:rPr>
          <w:rFonts w:ascii="Arial" w:cs="Arial" w:eastAsia="Arial" w:hAnsi="Arial"/>
          <w:sz w:val="22"/>
          <w:szCs w:val="22"/>
          <w:color w:val="auto"/>
        </w:rPr>
      </w:pPr>
    </w:p>
    <w:p>
      <w:pPr>
        <w:ind w:left="820" w:hanging="636"/>
        <w:spacing w:after="0"/>
        <w:tabs>
          <w:tab w:leader="none" w:pos="8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20"/>
          </w:cols>
          <w:pgMar w:left="1440" w:top="1428" w:right="339" w:bottom="1440" w:gutter="0" w:footer="0" w:header="0"/>
        </w:sectPr>
      </w:pPr>
    </w:p>
    <w:bookmarkStart w:id="38" w:name="page39"/>
    <w:bookmarkEnd w:id="38"/>
    <w:p>
      <w:pPr>
        <w:ind w:left="820" w:hanging="636"/>
        <w:spacing w:after="0"/>
        <w:tabs>
          <w:tab w:leader="none" w:pos="8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1480" w:hanging="852"/>
        <w:spacing w:after="0" w:line="263" w:lineRule="auto"/>
        <w:tabs>
          <w:tab w:leader="none" w:pos="1480" w:val="left"/>
        </w:tabs>
        <w:numPr>
          <w:ilvl w:val="1"/>
          <w:numId w:val="29"/>
        </w:numPr>
        <w:rPr>
          <w:rFonts w:ascii="Arial" w:cs="Arial" w:eastAsia="Arial" w:hAnsi="Arial"/>
          <w:sz w:val="22"/>
          <w:szCs w:val="22"/>
          <w:color w:val="auto"/>
        </w:rPr>
      </w:pPr>
      <w:r>
        <w:rPr>
          <w:rFonts w:ascii="Arial" w:cs="Arial" w:eastAsia="Arial" w:hAnsi="Arial"/>
          <w:sz w:val="22"/>
          <w:szCs w:val="22"/>
          <w:color w:val="auto"/>
        </w:rPr>
        <w:t>Except as provided in Paragraph 2(j)(ii), “Change in Control” means the occurrence of any one or more of the following events:</w:t>
      </w:r>
    </w:p>
    <w:p>
      <w:pPr>
        <w:spacing w:after="0" w:line="174" w:lineRule="exact"/>
        <w:rPr>
          <w:rFonts w:ascii="Arial" w:cs="Arial" w:eastAsia="Arial" w:hAnsi="Arial"/>
          <w:sz w:val="22"/>
          <w:szCs w:val="22"/>
          <w:color w:val="auto"/>
        </w:rPr>
      </w:pPr>
    </w:p>
    <w:p>
      <w:pPr>
        <w:ind w:left="2120" w:hanging="640"/>
        <w:spacing w:after="0" w:line="289" w:lineRule="auto"/>
        <w:tabs>
          <w:tab w:leader="none" w:pos="2011" w:val="left"/>
        </w:tabs>
        <w:numPr>
          <w:ilvl w:val="2"/>
          <w:numId w:val="29"/>
        </w:numPr>
        <w:rPr>
          <w:rFonts w:ascii="Arial" w:cs="Arial" w:eastAsia="Arial" w:hAnsi="Arial"/>
          <w:sz w:val="19"/>
          <w:szCs w:val="19"/>
          <w:color w:val="auto"/>
        </w:rPr>
      </w:pPr>
      <w:r>
        <w:rPr>
          <w:rFonts w:ascii="Arial" w:cs="Arial" w:eastAsia="Arial" w:hAnsi="Arial"/>
          <w:sz w:val="19"/>
          <w:szCs w:val="19"/>
          <w:color w:val="auto"/>
        </w:rPr>
        <w:t>following February 22, 2016, any person or “group” (as defined in Section 13(d) of the 1934 Act) (each, a “Person”), other than an employee benefit plan or trust maintained by the Company, becomes the “beneficial owner” (as defined in Rule 13d-3 under the 1934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spacing w:after="0" w:line="1" w:lineRule="exact"/>
        <w:rPr>
          <w:rFonts w:ascii="Arial" w:cs="Arial" w:eastAsia="Arial" w:hAnsi="Arial"/>
          <w:sz w:val="19"/>
          <w:szCs w:val="19"/>
          <w:color w:val="auto"/>
        </w:rPr>
      </w:pPr>
    </w:p>
    <w:p>
      <w:pPr>
        <w:jc w:val="both"/>
        <w:ind w:left="2120" w:hanging="640"/>
        <w:spacing w:after="0" w:line="247" w:lineRule="auto"/>
        <w:tabs>
          <w:tab w:leader="none" w:pos="2050" w:val="left"/>
        </w:tabs>
        <w:numPr>
          <w:ilvl w:val="2"/>
          <w:numId w:val="29"/>
        </w:numPr>
        <w:rPr>
          <w:rFonts w:ascii="Arial" w:cs="Arial" w:eastAsia="Arial" w:hAnsi="Arial"/>
          <w:sz w:val="22"/>
          <w:szCs w:val="22"/>
          <w:color w:val="auto"/>
        </w:rPr>
      </w:pPr>
      <w:r>
        <w:rPr>
          <w:rFonts w:ascii="Arial" w:cs="Arial" w:eastAsia="Arial" w:hAnsi="Arial"/>
          <w:sz w:val="22"/>
          <w:szCs w:val="22"/>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30" w:lineRule="exact"/>
        <w:rPr>
          <w:rFonts w:ascii="Arial" w:cs="Arial" w:eastAsia="Arial" w:hAnsi="Arial"/>
          <w:sz w:val="22"/>
          <w:szCs w:val="22"/>
          <w:color w:val="auto"/>
        </w:rPr>
      </w:pPr>
    </w:p>
    <w:p>
      <w:pPr>
        <w:jc w:val="both"/>
        <w:ind w:left="2120" w:hanging="640"/>
        <w:spacing w:after="0" w:line="287" w:lineRule="auto"/>
        <w:tabs>
          <w:tab w:leader="none" w:pos="2207" w:val="left"/>
        </w:tabs>
        <w:numPr>
          <w:ilvl w:val="2"/>
          <w:numId w:val="29"/>
        </w:numPr>
        <w:rPr>
          <w:rFonts w:ascii="Arial" w:cs="Arial" w:eastAsia="Arial" w:hAnsi="Arial"/>
          <w:sz w:val="19"/>
          <w:szCs w:val="19"/>
          <w:color w:val="auto"/>
        </w:rPr>
      </w:pPr>
      <w:r>
        <w:rPr>
          <w:rFonts w:ascii="Arial" w:cs="Arial" w:eastAsia="Arial" w:hAnsi="Arial"/>
          <w:sz w:val="19"/>
          <w:szCs w:val="19"/>
          <w:color w:val="auto"/>
        </w:rPr>
        <w:t>the consummation of (x) a merger, consolidation, reorganization or similar corporate transaction involving the Company or any of its subsidiaries with any other corporation or entity, which would result in the combined voting power of the Company’s securities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merger, consolidation, reorganization or other similar transaction, or (y) any sale, lease, exchange or other transfer to any Person of all or substantially all of the assets of the Company, in one transaction or a series of related transactions;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20"/>
          </w:cols>
          <w:pgMar w:left="1440" w:top="1428" w:right="339" w:bottom="1440" w:gutter="0" w:footer="0" w:header="0"/>
        </w:sectPr>
      </w:pPr>
    </w:p>
    <w:bookmarkStart w:id="39" w:name="page40"/>
    <w:bookmarkEnd w:id="39"/>
    <w:p>
      <w:pPr>
        <w:ind w:left="2584" w:hanging="640"/>
        <w:spacing w:after="0" w:line="263" w:lineRule="auto"/>
        <w:tabs>
          <w:tab w:leader="none" w:pos="2608" w:val="left"/>
        </w:tabs>
        <w:numPr>
          <w:ilvl w:val="3"/>
          <w:numId w:val="30"/>
        </w:numPr>
        <w:rPr>
          <w:rFonts w:ascii="Arial" w:cs="Arial" w:eastAsia="Arial" w:hAnsi="Arial"/>
          <w:sz w:val="22"/>
          <w:szCs w:val="22"/>
          <w:color w:val="auto"/>
        </w:rPr>
      </w:pPr>
      <w:r>
        <w:rPr>
          <w:rFonts w:ascii="Arial" w:cs="Arial" w:eastAsia="Arial" w:hAnsi="Arial"/>
          <w:sz w:val="22"/>
          <w:szCs w:val="22"/>
          <w:color w:val="auto"/>
        </w:rPr>
        <w:t>the approval by the shareholders of the Company of a liquidation or dissolution of the Company.</w:t>
      </w:r>
    </w:p>
    <w:p>
      <w:pPr>
        <w:spacing w:after="0" w:line="174" w:lineRule="exact"/>
        <w:rPr>
          <w:rFonts w:ascii="Arial" w:cs="Arial" w:eastAsia="Arial" w:hAnsi="Arial"/>
          <w:sz w:val="22"/>
          <w:szCs w:val="22"/>
          <w:color w:val="auto"/>
        </w:rPr>
      </w:pPr>
    </w:p>
    <w:p>
      <w:pPr>
        <w:jc w:val="both"/>
        <w:ind w:left="1944" w:hanging="911"/>
        <w:spacing w:after="0" w:line="263" w:lineRule="auto"/>
        <w:tabs>
          <w:tab w:leader="none" w:pos="1944" w:val="left"/>
        </w:tabs>
        <w:numPr>
          <w:ilvl w:val="2"/>
          <w:numId w:val="31"/>
        </w:numPr>
        <w:rPr>
          <w:rFonts w:ascii="Arial" w:cs="Arial" w:eastAsia="Arial" w:hAnsi="Arial"/>
          <w:sz w:val="21"/>
          <w:szCs w:val="21"/>
          <w:color w:val="auto"/>
        </w:rPr>
      </w:pPr>
      <w:r>
        <w:rPr>
          <w:rFonts w:ascii="Arial" w:cs="Arial" w:eastAsia="Arial" w:hAnsi="Arial"/>
          <w:sz w:val="21"/>
          <w:szCs w:val="21"/>
          <w:color w:val="auto"/>
        </w:rPr>
        <w:t>For purposes of Paragraph 8, and with respect to the distribution of amounts subject to an Award that constitute “deferred compensation” (within the meaning of Section 409A), the term “Change in Control” shall mean any transaction or series of transactions that constitutes a change in the ownership or effective control or a change in the ownership of a substantial portion of the assets of the Company, within the meaning of Section 409A.</w:t>
      </w:r>
    </w:p>
    <w:p>
      <w:pPr>
        <w:spacing w:after="0" w:line="175" w:lineRule="exact"/>
        <w:rPr>
          <w:rFonts w:ascii="Arial" w:cs="Arial" w:eastAsia="Arial" w:hAnsi="Arial"/>
          <w:sz w:val="21"/>
          <w:szCs w:val="21"/>
          <w:color w:val="auto"/>
        </w:rPr>
      </w:pPr>
    </w:p>
    <w:p>
      <w:pPr>
        <w:ind w:left="1284" w:hanging="636"/>
        <w:spacing w:after="0"/>
        <w:tabs>
          <w:tab w:leader="none" w:pos="1284" w:val="left"/>
        </w:tabs>
        <w:numPr>
          <w:ilvl w:val="1"/>
          <w:numId w:val="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19" w:lineRule="exact"/>
        <w:rPr>
          <w:rFonts w:ascii="Arial" w:cs="Arial" w:eastAsia="Arial" w:hAnsi="Arial"/>
          <w:sz w:val="22"/>
          <w:szCs w:val="22"/>
          <w:color w:val="auto"/>
        </w:rPr>
      </w:pPr>
    </w:p>
    <w:p>
      <w:pPr>
        <w:jc w:val="both"/>
        <w:ind w:left="4" w:firstLine="644"/>
        <w:spacing w:after="0" w:line="248" w:lineRule="auto"/>
        <w:tabs>
          <w:tab w:leader="none" w:pos="1288" w:val="left"/>
        </w:tabs>
        <w:numPr>
          <w:ilvl w:val="1"/>
          <w:numId w:val="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Comcast Plan</w:t>
      </w:r>
      <w:r>
        <w:rPr>
          <w:rFonts w:ascii="Arial" w:cs="Arial" w:eastAsia="Arial" w:hAnsi="Arial"/>
          <w:sz w:val="22"/>
          <w:szCs w:val="22"/>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91" w:lineRule="exact"/>
        <w:rPr>
          <w:rFonts w:ascii="Arial" w:cs="Arial" w:eastAsia="Arial" w:hAnsi="Arial"/>
          <w:sz w:val="22"/>
          <w:szCs w:val="22"/>
          <w:color w:val="auto"/>
        </w:rPr>
      </w:pPr>
    </w:p>
    <w:p>
      <w:pPr>
        <w:jc w:val="both"/>
        <w:ind w:left="4" w:firstLine="644"/>
        <w:spacing w:after="0" w:line="253" w:lineRule="auto"/>
        <w:tabs>
          <w:tab w:leader="none" w:pos="1288" w:val="left"/>
        </w:tabs>
        <w:numPr>
          <w:ilvl w:val="1"/>
          <w:numId w:val="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provided that all references to the Committee shall be treated as references to the Committee’s delegate with respect to any Award granted within the scope of the delegate’s authority pursuant to Paragraph 5(f).</w:t>
      </w:r>
    </w:p>
    <w:p>
      <w:pPr>
        <w:spacing w:after="0" w:line="185" w:lineRule="exact"/>
        <w:rPr>
          <w:rFonts w:ascii="Arial" w:cs="Arial" w:eastAsia="Arial" w:hAnsi="Arial"/>
          <w:sz w:val="22"/>
          <w:szCs w:val="22"/>
          <w:color w:val="auto"/>
        </w:rPr>
      </w:pPr>
    </w:p>
    <w:p>
      <w:pPr>
        <w:ind w:left="1284" w:hanging="636"/>
        <w:spacing w:after="0"/>
        <w:tabs>
          <w:tab w:leader="none" w:pos="1284" w:val="left"/>
        </w:tabs>
        <w:numPr>
          <w:ilvl w:val="1"/>
          <w:numId w:val="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Class A Common Stock, par value $0.01, of the Company.</w:t>
      </w:r>
    </w:p>
    <w:p>
      <w:pPr>
        <w:spacing w:after="0" w:line="219" w:lineRule="exact"/>
        <w:rPr>
          <w:rFonts w:ascii="Arial" w:cs="Arial" w:eastAsia="Arial" w:hAnsi="Arial"/>
          <w:sz w:val="22"/>
          <w:szCs w:val="22"/>
          <w:color w:val="auto"/>
        </w:rPr>
      </w:pPr>
    </w:p>
    <w:p>
      <w:pPr>
        <w:ind w:left="4" w:firstLine="644"/>
        <w:spacing w:after="0" w:line="263" w:lineRule="auto"/>
        <w:tabs>
          <w:tab w:leader="none" w:pos="1295" w:val="left"/>
        </w:tabs>
        <w:numPr>
          <w:ilvl w:val="1"/>
          <w:numId w:val="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Comcast Corporation, a Pennsylvania corporation, including any successor thereto by merger, consolidation, acquisition of all or substantially all the assets thereof, or otherwise.</w:t>
      </w:r>
    </w:p>
    <w:p>
      <w:pPr>
        <w:spacing w:after="0" w:line="174" w:lineRule="exact"/>
        <w:rPr>
          <w:rFonts w:ascii="Arial" w:cs="Arial" w:eastAsia="Arial" w:hAnsi="Arial"/>
          <w:sz w:val="22"/>
          <w:szCs w:val="22"/>
          <w:color w:val="auto"/>
        </w:rPr>
      </w:pPr>
    </w:p>
    <w:p>
      <w:pPr>
        <w:jc w:val="both"/>
        <w:ind w:left="4" w:firstLine="644"/>
        <w:spacing w:after="0" w:line="291" w:lineRule="auto"/>
        <w:tabs>
          <w:tab w:leader="none" w:pos="1592" w:val="left"/>
        </w:tabs>
        <w:numPr>
          <w:ilvl w:val="1"/>
          <w:numId w:val="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Stock Fund</w:t>
      </w:r>
      <w:r>
        <w:rPr>
          <w:rFonts w:ascii="Arial" w:cs="Arial" w:eastAsia="Arial" w:hAnsi="Arial"/>
          <w:sz w:val="19"/>
          <w:szCs w:val="19"/>
          <w:color w:val="auto"/>
        </w:rPr>
        <w:t>” means a hypothetical investment fund pursuant to which Deferred Stock Units are credited with respect to a portion of an Award subject to an Election, and thereafter until (i) the date of distribution or</w:t>
      </w:r>
    </w:p>
    <w:p>
      <w:pPr>
        <w:spacing w:after="0" w:line="1" w:lineRule="exact"/>
        <w:rPr>
          <w:rFonts w:ascii="Arial" w:cs="Arial" w:eastAsia="Arial" w:hAnsi="Arial"/>
          <w:sz w:val="19"/>
          <w:szCs w:val="19"/>
          <w:color w:val="auto"/>
        </w:rPr>
      </w:pPr>
    </w:p>
    <w:p>
      <w:pPr>
        <w:jc w:val="both"/>
        <w:ind w:left="4" w:hanging="4"/>
        <w:spacing w:after="0" w:line="287" w:lineRule="auto"/>
        <w:tabs>
          <w:tab w:leader="none" w:pos="329"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otherwise deliverable as Shares upon the Vesting Date associated with Restricted Stock or Restricted Stock Units, and all dividends and other distributions paid with respect to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 provided that dividends and other distributions paid with respect to Common Stock shall be credited with interest at the Applicable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4"/>
          </w:cols>
          <w:pgMar w:left="976" w:top="1428" w:right="339" w:bottom="1440" w:gutter="0" w:footer="0" w:header="0"/>
        </w:sectPr>
      </w:pPr>
    </w:p>
    <w:bookmarkStart w:id="40" w:name="page41"/>
    <w:bookmarkEnd w:id="40"/>
    <w:p>
      <w:pPr>
        <w:jc w:val="both"/>
        <w:spacing w:after="0" w:line="258" w:lineRule="auto"/>
        <w:rPr>
          <w:sz w:val="20"/>
          <w:szCs w:val="20"/>
          <w:color w:val="auto"/>
        </w:rPr>
      </w:pPr>
      <w:r>
        <w:rPr>
          <w:rFonts w:ascii="Arial" w:cs="Arial" w:eastAsia="Arial" w:hAnsi="Arial"/>
          <w:sz w:val="21"/>
          <w:szCs w:val="21"/>
          <w:color w:val="auto"/>
        </w:rPr>
        <w:t>commencing as of the date on which dividends or other distributions are paid, provided further that dividends and other distributions paid with respect to the Accounts of Non-Employee Directors after July 31, 2020 shall be credited to the Company Stock Fund as a hypothetical purchase of Common Stock at Fair Market Value on the applicable dividend or distribution payment date, and dividends and other distributions paid with respect to the Accounts of Covered Grantees after February 28, 2021 shall be credited to Other Investment Funds as a hypothetical purchase of one or more Other Investment Funds on the applicable dividend or distribution payment date. To the extent a distribution of a Grantee’s Account is attributable to amounts credited to the Company Stock Fund (i) as Deferred Stock Units that have never been the subject of a completed Diversification Election or (ii) under circumstances described in Paragraph 8(j)(ii)(A), distributions shall be made in the form of Common Stock. All other distributions of Account balances shall be made in cash.</w:t>
      </w:r>
    </w:p>
    <w:p>
      <w:pPr>
        <w:spacing w:after="0" w:line="185" w:lineRule="exact"/>
        <w:rPr>
          <w:sz w:val="20"/>
          <w:szCs w:val="20"/>
          <w:color w:val="auto"/>
        </w:rPr>
      </w:pPr>
    </w:p>
    <w:p>
      <w:pPr>
        <w:jc w:val="both"/>
        <w:ind w:firstLine="644"/>
        <w:spacing w:after="0" w:line="271" w:lineRule="auto"/>
        <w:tabs>
          <w:tab w:leader="none" w:pos="1696" w:val="left"/>
        </w:tabs>
        <w:numPr>
          <w:ilvl w:val="0"/>
          <w:numId w:val="3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Grantee</w:t>
      </w:r>
      <w:r>
        <w:rPr>
          <w:rFonts w:ascii="Arial" w:cs="Arial" w:eastAsia="Arial" w:hAnsi="Arial"/>
          <w:sz w:val="21"/>
          <w:szCs w:val="21"/>
          <w:color w:val="auto"/>
        </w:rPr>
        <w:t>” means, as of any relevant date of determination, (i) any Section 16 Officer for whom disclosure was required pursuant to Item 402 of SEC Regulation S-K in the Company’s most recent filing with the SEC under the 1934 Act and (ii) any individual, as determined by the Committee in its discretion.</w:t>
      </w:r>
    </w:p>
    <w:p>
      <w:pPr>
        <w:spacing w:after="0" w:line="167" w:lineRule="exact"/>
        <w:rPr>
          <w:rFonts w:ascii="Arial" w:cs="Arial" w:eastAsia="Arial" w:hAnsi="Arial"/>
          <w:sz w:val="21"/>
          <w:szCs w:val="21"/>
          <w:color w:val="auto"/>
        </w:rPr>
      </w:pPr>
    </w:p>
    <w:p>
      <w:pPr>
        <w:ind w:left="1300" w:hanging="656"/>
        <w:spacing w:after="0"/>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Grant</w:t>
      </w:r>
      <w:r>
        <w:rPr>
          <w:rFonts w:ascii="Arial" w:cs="Arial" w:eastAsia="Arial" w:hAnsi="Arial"/>
          <w:sz w:val="22"/>
          <w:szCs w:val="22"/>
          <w:color w:val="auto"/>
        </w:rPr>
        <w:t>” means the date on which an Award is granted.</w:t>
      </w:r>
    </w:p>
    <w:p>
      <w:pPr>
        <w:spacing w:after="0" w:line="219" w:lineRule="exact"/>
        <w:rPr>
          <w:rFonts w:ascii="Arial" w:cs="Arial" w:eastAsia="Arial" w:hAnsi="Arial"/>
          <w:sz w:val="22"/>
          <w:szCs w:val="22"/>
          <w:color w:val="auto"/>
        </w:rPr>
      </w:pPr>
    </w:p>
    <w:p>
      <w:pPr>
        <w:ind w:left="1300" w:hanging="656"/>
        <w:spacing w:after="0"/>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Deceased Grantee</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1940" w:hanging="852"/>
        <w:spacing w:after="0"/>
        <w:tabs>
          <w:tab w:leader="none" w:pos="194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 Grantee whose employment by a Participating Company is terminated by death; or</w:t>
      </w:r>
    </w:p>
    <w:p>
      <w:pPr>
        <w:spacing w:after="0" w:line="219" w:lineRule="exact"/>
        <w:rPr>
          <w:rFonts w:ascii="Arial" w:cs="Arial" w:eastAsia="Arial" w:hAnsi="Arial"/>
          <w:sz w:val="22"/>
          <w:szCs w:val="22"/>
          <w:color w:val="auto"/>
        </w:rPr>
      </w:pPr>
    </w:p>
    <w:p>
      <w:pPr>
        <w:ind w:left="1940" w:hanging="911"/>
        <w:spacing w:after="0"/>
        <w:tabs>
          <w:tab w:leader="none" w:pos="194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 Grantee who dies following termination of employment by a Participating Company.</w:t>
      </w:r>
    </w:p>
    <w:p>
      <w:pPr>
        <w:spacing w:after="0" w:line="219" w:lineRule="exact"/>
        <w:rPr>
          <w:rFonts w:ascii="Arial" w:cs="Arial" w:eastAsia="Arial" w:hAnsi="Arial"/>
          <w:sz w:val="22"/>
          <w:szCs w:val="22"/>
          <w:color w:val="auto"/>
        </w:rPr>
      </w:pPr>
    </w:p>
    <w:p>
      <w:pPr>
        <w:ind w:left="1280" w:hanging="636"/>
        <w:spacing w:after="0"/>
        <w:tabs>
          <w:tab w:leader="none" w:pos="12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Deferral Eligible Employee</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1940" w:hanging="852"/>
        <w:spacing w:after="0"/>
        <w:tabs>
          <w:tab w:leader="none" w:pos="1940" w:val="left"/>
        </w:tabs>
        <w:numPr>
          <w:ilvl w:val="1"/>
          <w:numId w:val="34"/>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w:t>
      </w:r>
    </w:p>
    <w:p>
      <w:pPr>
        <w:spacing w:after="0" w:line="219" w:lineRule="exact"/>
        <w:rPr>
          <w:rFonts w:ascii="Arial" w:cs="Arial" w:eastAsia="Arial" w:hAnsi="Arial"/>
          <w:sz w:val="22"/>
          <w:szCs w:val="22"/>
          <w:color w:val="auto"/>
        </w:rPr>
      </w:pPr>
    </w:p>
    <w:p>
      <w:pPr>
        <w:ind w:left="2580" w:hanging="640"/>
        <w:spacing w:after="0" w:line="250" w:lineRule="auto"/>
        <w:tabs>
          <w:tab w:leader="none" w:pos="2444" w:val="left"/>
        </w:tabs>
        <w:numPr>
          <w:ilvl w:val="2"/>
          <w:numId w:val="34"/>
        </w:numPr>
        <w:rPr>
          <w:rFonts w:ascii="Arial" w:cs="Arial" w:eastAsia="Arial" w:hAnsi="Arial"/>
          <w:sz w:val="22"/>
          <w:szCs w:val="22"/>
          <w:color w:val="auto"/>
        </w:rPr>
      </w:pPr>
      <w:r>
        <w:rPr>
          <w:rFonts w:ascii="Arial" w:cs="Arial" w:eastAsia="Arial" w:hAnsi="Arial"/>
          <w:sz w:val="22"/>
          <w:szCs w:val="22"/>
          <w:color w:val="auto"/>
        </w:rPr>
        <w:t>An Eligible Employee whose Annual Rate of Pay is $250,000 or more as of both: (x) the date on which an Initial Deferral Election or Regular Deferral Election is filed with the Committee; and (y) the first day of the calendar year in which such Initial Deferral Election or Regular Deferral Election is filed.</w:t>
      </w:r>
    </w:p>
    <w:p>
      <w:pPr>
        <w:spacing w:after="0" w:line="187" w:lineRule="exact"/>
        <w:rPr>
          <w:rFonts w:ascii="Arial" w:cs="Arial" w:eastAsia="Arial" w:hAnsi="Arial"/>
          <w:sz w:val="22"/>
          <w:szCs w:val="22"/>
          <w:color w:val="auto"/>
        </w:rPr>
      </w:pPr>
    </w:p>
    <w:p>
      <w:pPr>
        <w:ind w:left="2440" w:hanging="500"/>
        <w:spacing w:after="0"/>
        <w:tabs>
          <w:tab w:leader="none" w:pos="2440" w:val="left"/>
        </w:tabs>
        <w:numPr>
          <w:ilvl w:val="2"/>
          <w:numId w:val="34"/>
        </w:numPr>
        <w:rPr>
          <w:rFonts w:ascii="Arial" w:cs="Arial" w:eastAsia="Arial" w:hAnsi="Arial"/>
          <w:sz w:val="22"/>
          <w:szCs w:val="22"/>
          <w:color w:val="auto"/>
        </w:rPr>
      </w:pPr>
      <w:r>
        <w:rPr>
          <w:rFonts w:ascii="Arial" w:cs="Arial" w:eastAsia="Arial" w:hAnsi="Arial"/>
          <w:sz w:val="22"/>
          <w:szCs w:val="22"/>
          <w:color w:val="auto"/>
        </w:rPr>
        <w:t>Each New Key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0"/>
          </w:cols>
          <w:pgMar w:left="980" w:top="1428" w:right="339" w:bottom="1440" w:gutter="0" w:footer="0" w:header="0"/>
        </w:sectPr>
      </w:pPr>
    </w:p>
    <w:bookmarkStart w:id="41" w:name="page42"/>
    <w:bookmarkEnd w:id="41"/>
    <w:p>
      <w:pPr>
        <w:ind w:left="3240" w:hanging="640"/>
        <w:spacing w:after="0" w:line="263" w:lineRule="auto"/>
        <w:tabs>
          <w:tab w:leader="none" w:pos="3126" w:val="left"/>
        </w:tabs>
        <w:numPr>
          <w:ilvl w:val="1"/>
          <w:numId w:val="35"/>
        </w:numPr>
        <w:rPr>
          <w:rFonts w:ascii="Arial" w:cs="Arial" w:eastAsia="Arial" w:hAnsi="Arial"/>
          <w:sz w:val="22"/>
          <w:szCs w:val="22"/>
          <w:color w:val="auto"/>
        </w:rPr>
      </w:pPr>
      <w:r>
        <w:rPr>
          <w:rFonts w:ascii="Arial" w:cs="Arial" w:eastAsia="Arial" w:hAnsi="Arial"/>
          <w:sz w:val="22"/>
          <w:szCs w:val="22"/>
          <w:color w:val="auto"/>
        </w:rPr>
        <w:t>Each other employee of a Participating Company who is designated by the Committee, in its sole and absolute discretion, as a Deferral Eligible Employee.</w:t>
      </w:r>
    </w:p>
    <w:p>
      <w:pPr>
        <w:spacing w:after="0" w:line="174" w:lineRule="exact"/>
        <w:rPr>
          <w:rFonts w:ascii="Arial" w:cs="Arial" w:eastAsia="Arial" w:hAnsi="Arial"/>
          <w:sz w:val="22"/>
          <w:szCs w:val="22"/>
          <w:color w:val="auto"/>
        </w:rPr>
      </w:pPr>
    </w:p>
    <w:p>
      <w:pPr>
        <w:ind w:left="2600" w:hanging="911"/>
        <w:spacing w:after="0"/>
        <w:tabs>
          <w:tab w:leader="none" w:pos="26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Effective on and after January 1, 2019:</w:t>
      </w:r>
    </w:p>
    <w:p>
      <w:pPr>
        <w:spacing w:after="0" w:line="219" w:lineRule="exact"/>
        <w:rPr>
          <w:rFonts w:ascii="Arial" w:cs="Arial" w:eastAsia="Arial" w:hAnsi="Arial"/>
          <w:sz w:val="22"/>
          <w:szCs w:val="22"/>
          <w:color w:val="auto"/>
        </w:rPr>
      </w:pPr>
    </w:p>
    <w:p>
      <w:pPr>
        <w:ind w:left="3240" w:hanging="640"/>
        <w:spacing w:after="0" w:line="250" w:lineRule="auto"/>
        <w:tabs>
          <w:tab w:leader="none" w:pos="3104" w:val="left"/>
        </w:tabs>
        <w:numPr>
          <w:ilvl w:val="1"/>
          <w:numId w:val="36"/>
        </w:numPr>
        <w:rPr>
          <w:rFonts w:ascii="Arial" w:cs="Arial" w:eastAsia="Arial" w:hAnsi="Arial"/>
          <w:sz w:val="22"/>
          <w:szCs w:val="22"/>
          <w:color w:val="auto"/>
        </w:rPr>
      </w:pPr>
      <w:r>
        <w:rPr>
          <w:rFonts w:ascii="Arial" w:cs="Arial" w:eastAsia="Arial" w:hAnsi="Arial"/>
          <w:sz w:val="22"/>
          <w:szCs w:val="22"/>
          <w:color w:val="auto"/>
        </w:rPr>
        <w:t>An Eligible Employee whose Annual Rate of Pay is $350,000 or more as of both: (x) the date on which an Initial Deferral Election or Regular Deferral Election is filed with the Committee; and (y) the first day of the calendar year in which such Initial Deferral Election or Regular Deferral Election is filed.</w:t>
      </w:r>
    </w:p>
    <w:p>
      <w:pPr>
        <w:spacing w:after="0" w:line="187" w:lineRule="exact"/>
        <w:rPr>
          <w:rFonts w:ascii="Arial" w:cs="Arial" w:eastAsia="Arial" w:hAnsi="Arial"/>
          <w:sz w:val="22"/>
          <w:szCs w:val="22"/>
          <w:color w:val="auto"/>
        </w:rPr>
      </w:pPr>
    </w:p>
    <w:p>
      <w:pPr>
        <w:ind w:left="3100" w:hanging="500"/>
        <w:spacing w:after="0"/>
        <w:tabs>
          <w:tab w:leader="none" w:pos="31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Each New Key Employee.</w:t>
      </w:r>
    </w:p>
    <w:p>
      <w:pPr>
        <w:spacing w:after="0" w:line="219" w:lineRule="exact"/>
        <w:rPr>
          <w:rFonts w:ascii="Arial" w:cs="Arial" w:eastAsia="Arial" w:hAnsi="Arial"/>
          <w:sz w:val="22"/>
          <w:szCs w:val="22"/>
          <w:color w:val="auto"/>
        </w:rPr>
      </w:pPr>
    </w:p>
    <w:p>
      <w:pPr>
        <w:ind w:left="3240" w:hanging="640"/>
        <w:spacing w:after="0" w:line="263" w:lineRule="auto"/>
        <w:tabs>
          <w:tab w:leader="none" w:pos="3126" w:val="left"/>
        </w:tabs>
        <w:numPr>
          <w:ilvl w:val="1"/>
          <w:numId w:val="36"/>
        </w:numPr>
        <w:rPr>
          <w:rFonts w:ascii="Arial" w:cs="Arial" w:eastAsia="Arial" w:hAnsi="Arial"/>
          <w:sz w:val="22"/>
          <w:szCs w:val="22"/>
          <w:color w:val="auto"/>
        </w:rPr>
      </w:pPr>
      <w:r>
        <w:rPr>
          <w:rFonts w:ascii="Arial" w:cs="Arial" w:eastAsia="Arial" w:hAnsi="Arial"/>
          <w:sz w:val="22"/>
          <w:szCs w:val="22"/>
          <w:color w:val="auto"/>
        </w:rPr>
        <w:t>Each other employee of a Participating Company who is designated by the Committee, in its sole and absolute discretion, as a Deferral Eligible Employee.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Notwithstanding anything in this Paragraph 2(t) to the contrary, except as otherwise provided by the Committee or its delegate, no Grantee who is an employee of NBCUniversal, LLC, a Delaware limited liability company, and its subsidiaries (collectively, “NBCUniversal”) shall be a Deferral Eligible Employee with respect to any Award granted to such Grantee on or after January 29, 2011.</w:t>
      </w:r>
    </w:p>
    <w:p>
      <w:pPr>
        <w:spacing w:after="0" w:line="188" w:lineRule="exact"/>
        <w:rPr>
          <w:sz w:val="20"/>
          <w:szCs w:val="20"/>
          <w:color w:val="auto"/>
        </w:rPr>
      </w:pPr>
    </w:p>
    <w:p>
      <w:pPr>
        <w:ind w:left="1940" w:hanging="636"/>
        <w:spacing w:after="0"/>
        <w:tabs>
          <w:tab w:leader="none" w:pos="19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Stock Units</w:t>
      </w:r>
      <w:r>
        <w:rPr>
          <w:rFonts w:ascii="Arial" w:cs="Arial" w:eastAsia="Arial" w:hAnsi="Arial"/>
          <w:sz w:val="22"/>
          <w:szCs w:val="22"/>
          <w:color w:val="auto"/>
        </w:rPr>
        <w:t>” means the number of hypothetical Shares subject to an Election.</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jc w:val="both"/>
        <w:ind w:left="2600" w:hanging="852"/>
        <w:spacing w:after="0" w:line="250" w:lineRule="auto"/>
        <w:tabs>
          <w:tab w:leader="none" w:pos="26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two-calendar year period; or</w:t>
      </w:r>
    </w:p>
    <w:p>
      <w:pPr>
        <w:spacing w:after="0" w:line="187" w:lineRule="exact"/>
        <w:rPr>
          <w:rFonts w:ascii="Arial" w:cs="Arial" w:eastAsia="Arial" w:hAnsi="Arial"/>
          <w:sz w:val="22"/>
          <w:szCs w:val="22"/>
          <w:color w:val="auto"/>
        </w:rPr>
      </w:pPr>
    </w:p>
    <w:p>
      <w:pPr>
        <w:ind w:left="2600" w:hanging="911"/>
        <w:spacing w:after="0" w:line="343" w:lineRule="auto"/>
        <w:tabs>
          <w:tab w:leader="none" w:pos="2600" w:val="left"/>
        </w:tabs>
        <w:numPr>
          <w:ilvl w:val="1"/>
          <w:numId w:val="37"/>
        </w:numPr>
        <w:rPr>
          <w:rFonts w:ascii="Arial" w:cs="Arial" w:eastAsia="Arial" w:hAnsi="Arial"/>
          <w:sz w:val="19"/>
          <w:szCs w:val="19"/>
          <w:color w:val="auto"/>
        </w:rPr>
      </w:pPr>
      <w:r>
        <w:rPr>
          <w:rFonts w:ascii="Arial" w:cs="Arial" w:eastAsia="Arial" w:hAnsi="Arial"/>
          <w:sz w:val="19"/>
          <w:szCs w:val="19"/>
          <w:color w:val="auto"/>
        </w:rPr>
        <w:t>If different from the definition in Paragraph 2(v)(i) above, “Disability” as it may be defined in such Grantee’s employment agreement between the Grantee and the Company or an Affiliate, if any.</w:t>
      </w:r>
    </w:p>
    <w:p>
      <w:pPr>
        <w:spacing w:after="0" w:line="104" w:lineRule="exact"/>
        <w:rPr>
          <w:rFonts w:ascii="Arial" w:cs="Arial" w:eastAsia="Arial" w:hAnsi="Arial"/>
          <w:sz w:val="19"/>
          <w:szCs w:val="19"/>
          <w:color w:val="auto"/>
        </w:rPr>
      </w:pPr>
    </w:p>
    <w:p>
      <w:pPr>
        <w:ind w:left="1940" w:hanging="636"/>
        <w:spacing w:after="0"/>
        <w:tabs>
          <w:tab w:leader="none" w:pos="19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Disabled Grantee</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2600" w:hanging="852"/>
        <w:spacing w:after="0"/>
        <w:tabs>
          <w:tab w:leader="none" w:pos="2600" w:val="left"/>
        </w:tabs>
        <w:numPr>
          <w:ilvl w:val="1"/>
          <w:numId w:val="37"/>
        </w:numPr>
        <w:rPr>
          <w:rFonts w:ascii="Arial" w:cs="Arial" w:eastAsia="Arial" w:hAnsi="Arial"/>
          <w:sz w:val="19"/>
          <w:szCs w:val="19"/>
          <w:color w:val="auto"/>
        </w:rPr>
      </w:pPr>
      <w:r>
        <w:rPr>
          <w:rFonts w:ascii="Arial" w:cs="Arial" w:eastAsia="Arial" w:hAnsi="Arial"/>
          <w:sz w:val="19"/>
          <w:szCs w:val="19"/>
          <w:color w:val="auto"/>
        </w:rPr>
        <w:t>A Grantee whose employment by a Participating Company is terminated by reason of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42" w:name="page43"/>
    <w:bookmarkEnd w:id="42"/>
    <w:p>
      <w:pPr>
        <w:ind w:left="1480" w:right="20" w:hanging="911"/>
        <w:spacing w:after="0" w:line="263" w:lineRule="auto"/>
        <w:tabs>
          <w:tab w:leader="none" w:pos="1480"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duly-appointed legal guardian of an individual described in Paragraph 2(w)(i) acting on behalf of such individual.</w:t>
      </w:r>
    </w:p>
    <w:p>
      <w:pPr>
        <w:spacing w:after="0" w:line="174" w:lineRule="exact"/>
        <w:rPr>
          <w:rFonts w:ascii="Arial" w:cs="Arial" w:eastAsia="Arial" w:hAnsi="Arial"/>
          <w:sz w:val="22"/>
          <w:szCs w:val="22"/>
          <w:color w:val="auto"/>
        </w:rPr>
      </w:pPr>
    </w:p>
    <w:p>
      <w:pPr>
        <w:jc w:val="both"/>
        <w:ind w:left="-460" w:firstLine="644"/>
        <w:spacing w:after="0" w:line="247" w:lineRule="auto"/>
        <w:tabs>
          <w:tab w:leader="none" w:pos="831"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Diversification Election</w:t>
      </w:r>
      <w:r>
        <w:rPr>
          <w:rFonts w:ascii="Arial" w:cs="Arial" w:eastAsia="Arial" w:hAnsi="Arial"/>
          <w:sz w:val="22"/>
          <w:szCs w:val="22"/>
          <w:color w:val="auto"/>
        </w:rPr>
        <w:t>” means a Grantee’s election to have a portion of the Grantee’s Account credited in the form of Deferred Stock Units and attributable to any grant of Restricted Stock or Restricted Stock Units deemed liquidated and credited thereafter under the Income Fund or an Other Investment Fund, as provided in Paragraph 8(k)(i), if (and to the extent that) it is approved by the Committee or its delegate in accordance with Paragraph 8(k)(ii), provided that no Diversification Election by a Grantee who is a Non-Employee Director shall be recognized on or after July 31, 2020.</w:t>
      </w:r>
    </w:p>
    <w:p>
      <w:pPr>
        <w:spacing w:after="0" w:line="192" w:lineRule="exact"/>
        <w:rPr>
          <w:rFonts w:ascii="Arial" w:cs="Arial" w:eastAsia="Arial" w:hAnsi="Arial"/>
          <w:sz w:val="22"/>
          <w:szCs w:val="22"/>
          <w:color w:val="auto"/>
        </w:rPr>
      </w:pPr>
    </w:p>
    <w:p>
      <w:pPr>
        <w:ind w:left="-460" w:firstLine="644"/>
        <w:spacing w:after="0" w:line="263" w:lineRule="auto"/>
        <w:tabs>
          <w:tab w:leader="none" w:pos="831"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Election</w:t>
      </w:r>
      <w:r>
        <w:rPr>
          <w:rFonts w:ascii="Arial" w:cs="Arial" w:eastAsia="Arial" w:hAnsi="Arial"/>
          <w:sz w:val="22"/>
          <w:szCs w:val="22"/>
          <w:color w:val="auto"/>
        </w:rPr>
        <w:t>” means, as applicable, an Initial Deferral Election, Regular Deferral Election, or a Subsequent Deferral Election.</w:t>
      </w:r>
    </w:p>
    <w:p>
      <w:pPr>
        <w:spacing w:after="0" w:line="174" w:lineRule="exact"/>
        <w:rPr>
          <w:rFonts w:ascii="Arial" w:cs="Arial" w:eastAsia="Arial" w:hAnsi="Arial"/>
          <w:sz w:val="22"/>
          <w:szCs w:val="22"/>
          <w:color w:val="auto"/>
        </w:rPr>
      </w:pPr>
    </w:p>
    <w:p>
      <w:pPr>
        <w:ind w:left="820" w:hanging="636"/>
        <w:spacing w:after="0"/>
        <w:tabs>
          <w:tab w:leader="none" w:pos="820" w:val="left"/>
        </w:tabs>
        <w:numPr>
          <w:ilvl w:val="0"/>
          <w:numId w:val="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 employee of a Participating Company, as determined by the Committee.</w:t>
      </w:r>
    </w:p>
    <w:p>
      <w:pPr>
        <w:spacing w:after="0" w:line="254" w:lineRule="exact"/>
        <w:rPr>
          <w:sz w:val="20"/>
          <w:szCs w:val="20"/>
          <w:color w:val="auto"/>
        </w:rPr>
      </w:pPr>
    </w:p>
    <w:p>
      <w:pPr>
        <w:ind w:left="840" w:hanging="656"/>
        <w:spacing w:after="0"/>
        <w:tabs>
          <w:tab w:leader="none" w:pos="8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jc w:val="both"/>
        <w:ind w:left="1480" w:hanging="852"/>
        <w:spacing w:after="0" w:line="250" w:lineRule="auto"/>
        <w:tabs>
          <w:tab w:leader="none" w:pos="14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If Shares or shares of any Other Investment Fund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87" w:lineRule="exact"/>
        <w:rPr>
          <w:rFonts w:ascii="Arial" w:cs="Arial" w:eastAsia="Arial" w:hAnsi="Arial"/>
          <w:sz w:val="22"/>
          <w:szCs w:val="22"/>
          <w:color w:val="auto"/>
        </w:rPr>
      </w:pPr>
    </w:p>
    <w:p>
      <w:pPr>
        <w:jc w:val="both"/>
        <w:ind w:left="1480" w:hanging="911"/>
        <w:spacing w:after="0" w:line="250" w:lineRule="auto"/>
        <w:tabs>
          <w:tab w:leader="none" w:pos="14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If Shares or shares of any Other Investment Fund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87" w:lineRule="exact"/>
        <w:rPr>
          <w:rFonts w:ascii="Arial" w:cs="Arial" w:eastAsia="Arial" w:hAnsi="Arial"/>
          <w:sz w:val="22"/>
          <w:szCs w:val="22"/>
          <w:color w:val="auto"/>
        </w:rPr>
      </w:pPr>
    </w:p>
    <w:p>
      <w:pPr>
        <w:ind w:left="1480" w:hanging="971"/>
        <w:spacing w:after="0" w:line="263" w:lineRule="auto"/>
        <w:tabs>
          <w:tab w:leader="none" w:pos="14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If Shares or shares of any Other Investment Fund are not so listed nor trades of shares so reported, Fair Market Value shall be determined by the Committee in good faith.</w:t>
      </w:r>
    </w:p>
    <w:p>
      <w:pPr>
        <w:spacing w:after="0" w:line="174" w:lineRule="exact"/>
        <w:rPr>
          <w:rFonts w:ascii="Arial" w:cs="Arial" w:eastAsia="Arial" w:hAnsi="Arial"/>
          <w:sz w:val="22"/>
          <w:szCs w:val="22"/>
          <w:color w:val="auto"/>
        </w:rPr>
      </w:pPr>
    </w:p>
    <w:p>
      <w:pPr>
        <w:ind w:left="-460" w:firstLine="644"/>
        <w:spacing w:after="0" w:line="263" w:lineRule="auto"/>
        <w:tabs>
          <w:tab w:leader="none" w:pos="777"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Family Member</w:t>
      </w:r>
      <w:r>
        <w:rPr>
          <w:rFonts w:ascii="Arial" w:cs="Arial" w:eastAsia="Arial" w:hAnsi="Arial"/>
          <w:sz w:val="22"/>
          <w:szCs w:val="22"/>
          <w:color w:val="auto"/>
        </w:rPr>
        <w:t>” has the meaning given to such term in General Instructions A.1(a)(5) to Form S-8 under the Securities Act of 1933, as amended, and any successor thereto.</w:t>
      </w:r>
    </w:p>
    <w:p>
      <w:pPr>
        <w:spacing w:after="0" w:line="174" w:lineRule="exact"/>
        <w:rPr>
          <w:rFonts w:ascii="Arial" w:cs="Arial" w:eastAsia="Arial" w:hAnsi="Arial"/>
          <w:sz w:val="22"/>
          <w:szCs w:val="22"/>
          <w:color w:val="auto"/>
        </w:rPr>
      </w:pPr>
    </w:p>
    <w:p>
      <w:pPr>
        <w:ind w:left="-460" w:right="20" w:firstLine="644"/>
        <w:spacing w:after="0" w:line="263" w:lineRule="auto"/>
        <w:tabs>
          <w:tab w:leader="none" w:pos="753"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Grandfathered Amount</w:t>
      </w:r>
      <w:r>
        <w:rPr>
          <w:rFonts w:ascii="Arial" w:cs="Arial" w:eastAsia="Arial" w:hAnsi="Arial"/>
          <w:sz w:val="22"/>
          <w:szCs w:val="22"/>
          <w:color w:val="auto"/>
        </w:rPr>
        <w:t>” means amounts described in Paragraph 1(c) that were deferred under the Plan and that were earned and vested before January 1, 2005.</w:t>
      </w:r>
    </w:p>
    <w:p>
      <w:pPr>
        <w:spacing w:after="0" w:line="174" w:lineRule="exact"/>
        <w:rPr>
          <w:rFonts w:ascii="Arial" w:cs="Arial" w:eastAsia="Arial" w:hAnsi="Arial"/>
          <w:sz w:val="22"/>
          <w:szCs w:val="22"/>
          <w:color w:val="auto"/>
        </w:rPr>
      </w:pPr>
    </w:p>
    <w:p>
      <w:pPr>
        <w:ind w:left="760" w:hanging="576"/>
        <w:spacing w:after="0"/>
        <w:tabs>
          <w:tab w:leader="none" w:pos="7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Grantee</w:t>
      </w:r>
      <w:r>
        <w:rPr>
          <w:rFonts w:ascii="Arial" w:cs="Arial" w:eastAsia="Arial" w:hAnsi="Arial"/>
          <w:sz w:val="22"/>
          <w:szCs w:val="22"/>
          <w:color w:val="auto"/>
        </w:rPr>
        <w:t>” means an Eligible Employee or Non-Employee Director who is granted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20"/>
          </w:cols>
          <w:pgMar w:left="1440" w:top="1428" w:right="339" w:bottom="1440" w:gutter="0" w:footer="0" w:header="0"/>
        </w:sectPr>
      </w:pPr>
    </w:p>
    <w:bookmarkStart w:id="43" w:name="page44"/>
    <w:bookmarkEnd w:id="43"/>
    <w:p>
      <w:pPr>
        <w:jc w:val="both"/>
        <w:ind w:left="-460" w:firstLine="644"/>
        <w:spacing w:after="0" w:line="259" w:lineRule="auto"/>
        <w:tabs>
          <w:tab w:leader="none" w:pos="915" w:val="left"/>
        </w:tabs>
        <w:numPr>
          <w:ilvl w:val="0"/>
          <w:numId w:val="4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Hardship</w:t>
      </w:r>
      <w:r>
        <w:rPr>
          <w:rFonts w:ascii="Arial" w:cs="Arial" w:eastAsia="Arial" w:hAnsi="Arial"/>
          <w:sz w:val="21"/>
          <w:szCs w:val="21"/>
          <w:color w:val="auto"/>
        </w:rPr>
        <w:t>” means an “unforeseeable emergency,” as defined in Section 409A. The Committee shall determine whether the circumstances of the Grantee constitute an unforeseeable emergency and thus a Hardship within the meaning of this Paragraph 2(ee).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2(ee) for all Grantees in similar circumstances.</w:t>
      </w:r>
    </w:p>
    <w:p>
      <w:pPr>
        <w:spacing w:after="0" w:line="183" w:lineRule="exact"/>
        <w:rPr>
          <w:rFonts w:ascii="Arial" w:cs="Arial" w:eastAsia="Arial" w:hAnsi="Arial"/>
          <w:sz w:val="21"/>
          <w:szCs w:val="21"/>
          <w:color w:val="auto"/>
        </w:rPr>
      </w:pPr>
    </w:p>
    <w:p>
      <w:pPr>
        <w:ind w:left="680" w:hanging="496"/>
        <w:spacing w:after="0"/>
        <w:tabs>
          <w:tab w:leader="none" w:pos="6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 Balance Participant</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1480" w:hanging="648"/>
        <w:spacing w:after="0" w:line="263" w:lineRule="auto"/>
        <w:tabs>
          <w:tab w:leader="none" w:pos="1274" w:val="left"/>
        </w:tabs>
        <w:numPr>
          <w:ilvl w:val="1"/>
          <w:numId w:val="41"/>
        </w:numPr>
        <w:rPr>
          <w:rFonts w:ascii="Arial" w:cs="Arial" w:eastAsia="Arial" w:hAnsi="Arial"/>
          <w:sz w:val="22"/>
          <w:szCs w:val="22"/>
          <w:color w:val="auto"/>
        </w:rPr>
      </w:pPr>
      <w:r>
        <w:rPr>
          <w:rFonts w:ascii="Arial" w:cs="Arial" w:eastAsia="Arial" w:hAnsi="Arial"/>
          <w:sz w:val="22"/>
          <w:szCs w:val="22"/>
          <w:color w:val="auto"/>
        </w:rPr>
        <w:t>A Grantee the value of whose Account that is deemed invested in the Income Fund is greater than or equal to the Income Fund Limit, as determined by the Committee;</w:t>
      </w:r>
    </w:p>
    <w:p>
      <w:pPr>
        <w:spacing w:after="0" w:line="174" w:lineRule="exact"/>
        <w:rPr>
          <w:rFonts w:ascii="Arial" w:cs="Arial" w:eastAsia="Arial" w:hAnsi="Arial"/>
          <w:sz w:val="22"/>
          <w:szCs w:val="22"/>
          <w:color w:val="auto"/>
        </w:rPr>
      </w:pPr>
    </w:p>
    <w:p>
      <w:pPr>
        <w:ind w:left="1480" w:hanging="648"/>
        <w:spacing w:after="0" w:line="263" w:lineRule="auto"/>
        <w:tabs>
          <w:tab w:leader="none" w:pos="1333" w:val="left"/>
        </w:tabs>
        <w:numPr>
          <w:ilvl w:val="1"/>
          <w:numId w:val="41"/>
        </w:numPr>
        <w:rPr>
          <w:rFonts w:ascii="Arial" w:cs="Arial" w:eastAsia="Arial" w:hAnsi="Arial"/>
          <w:sz w:val="22"/>
          <w:szCs w:val="22"/>
          <w:color w:val="auto"/>
        </w:rPr>
      </w:pPr>
      <w:r>
        <w:rPr>
          <w:rFonts w:ascii="Arial" w:cs="Arial" w:eastAsia="Arial" w:hAnsi="Arial"/>
          <w:sz w:val="22"/>
          <w:szCs w:val="22"/>
          <w:color w:val="auto"/>
        </w:rPr>
        <w:t>Effective July 31, 2020, a Grantee who is, as of any relevant date of determination, a Non-Employee Director; and</w:t>
      </w:r>
    </w:p>
    <w:p>
      <w:pPr>
        <w:spacing w:after="0" w:line="174" w:lineRule="exact"/>
        <w:rPr>
          <w:rFonts w:ascii="Arial" w:cs="Arial" w:eastAsia="Arial" w:hAnsi="Arial"/>
          <w:sz w:val="22"/>
          <w:szCs w:val="22"/>
          <w:color w:val="auto"/>
        </w:rPr>
      </w:pPr>
    </w:p>
    <w:p>
      <w:pPr>
        <w:ind w:left="1480" w:hanging="648"/>
        <w:spacing w:after="0" w:line="263" w:lineRule="auto"/>
        <w:tabs>
          <w:tab w:leader="none" w:pos="1415" w:val="left"/>
        </w:tabs>
        <w:numPr>
          <w:ilvl w:val="1"/>
          <w:numId w:val="41"/>
        </w:numPr>
        <w:rPr>
          <w:rFonts w:ascii="Arial" w:cs="Arial" w:eastAsia="Arial" w:hAnsi="Arial"/>
          <w:sz w:val="22"/>
          <w:szCs w:val="22"/>
          <w:color w:val="auto"/>
        </w:rPr>
      </w:pPr>
      <w:r>
        <w:rPr>
          <w:rFonts w:ascii="Arial" w:cs="Arial" w:eastAsia="Arial" w:hAnsi="Arial"/>
          <w:sz w:val="22"/>
          <w:szCs w:val="22"/>
          <w:color w:val="auto"/>
        </w:rPr>
        <w:t>Effective February 28, 2021, a Grantee who is, as of any relevant date of determination, a Covered Grantee.</w:t>
      </w:r>
    </w:p>
    <w:p>
      <w:pPr>
        <w:spacing w:after="0" w:line="174" w:lineRule="exact"/>
        <w:rPr>
          <w:rFonts w:ascii="Arial" w:cs="Arial" w:eastAsia="Arial" w:hAnsi="Arial"/>
          <w:sz w:val="22"/>
          <w:szCs w:val="22"/>
          <w:color w:val="auto"/>
        </w:rPr>
      </w:pPr>
    </w:p>
    <w:p>
      <w:pPr>
        <w:ind w:left="760" w:hanging="576"/>
        <w:spacing w:after="0"/>
        <w:tabs>
          <w:tab w:leader="none" w:pos="7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High-Water Mark</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1480" w:hanging="648"/>
        <w:spacing w:after="0" w:line="312" w:lineRule="auto"/>
        <w:tabs>
          <w:tab w:leader="none" w:pos="1268" w:val="left"/>
        </w:tabs>
        <w:numPr>
          <w:ilvl w:val="1"/>
          <w:numId w:val="41"/>
        </w:numPr>
        <w:rPr>
          <w:rFonts w:ascii="Arial" w:cs="Arial" w:eastAsia="Arial" w:hAnsi="Arial"/>
          <w:sz w:val="19"/>
          <w:szCs w:val="19"/>
          <w:color w:val="auto"/>
        </w:rPr>
      </w:pPr>
      <w:r>
        <w:rPr>
          <w:rFonts w:ascii="Arial" w:cs="Arial" w:eastAsia="Arial" w:hAnsi="Arial"/>
          <w:sz w:val="19"/>
          <w:szCs w:val="19"/>
          <w:color w:val="auto"/>
        </w:rPr>
        <w:t>With respect to amounts credited to the Income Fund on account of Diversification Elections made in 2014, the highest of the sum of the amounts described in (A), (B) and (C) below as of the last day of any calendar quarter beginning after December 31, 2008 and before October 1, 2013:</w:t>
      </w:r>
    </w:p>
    <w:p>
      <w:pPr>
        <w:spacing w:after="0" w:line="133" w:lineRule="exact"/>
        <w:rPr>
          <w:rFonts w:ascii="Arial" w:cs="Arial" w:eastAsia="Arial" w:hAnsi="Arial"/>
          <w:sz w:val="19"/>
          <w:szCs w:val="19"/>
          <w:color w:val="auto"/>
        </w:rPr>
      </w:pPr>
    </w:p>
    <w:p>
      <w:pPr>
        <w:ind w:left="2120" w:right="20" w:hanging="640"/>
        <w:spacing w:after="0" w:line="263" w:lineRule="auto"/>
        <w:tabs>
          <w:tab w:leader="none" w:pos="2016" w:val="left"/>
        </w:tabs>
        <w:numPr>
          <w:ilvl w:val="2"/>
          <w:numId w:val="41"/>
        </w:numPr>
        <w:rPr>
          <w:rFonts w:ascii="Arial" w:cs="Arial" w:eastAsia="Arial" w:hAnsi="Arial"/>
          <w:sz w:val="22"/>
          <w:szCs w:val="22"/>
          <w:color w:val="auto"/>
        </w:rPr>
      </w:pPr>
      <w:r>
        <w:rPr>
          <w:rFonts w:ascii="Arial" w:cs="Arial" w:eastAsia="Arial" w:hAnsi="Arial"/>
          <w:sz w:val="22"/>
          <w:szCs w:val="22"/>
          <w:color w:val="auto"/>
        </w:rPr>
        <w:t>the Grantee’s Account under the 2005 Deferred Compensation Plan, to the extent credited to the Income Fund; plus</w:t>
      </w:r>
    </w:p>
    <w:p>
      <w:pPr>
        <w:spacing w:after="0" w:line="174" w:lineRule="exact"/>
        <w:rPr>
          <w:rFonts w:ascii="Arial" w:cs="Arial" w:eastAsia="Arial" w:hAnsi="Arial"/>
          <w:sz w:val="22"/>
          <w:szCs w:val="22"/>
          <w:color w:val="auto"/>
        </w:rPr>
      </w:pPr>
    </w:p>
    <w:p>
      <w:pPr>
        <w:ind w:left="2120" w:right="20" w:hanging="640"/>
        <w:spacing w:after="0" w:line="263" w:lineRule="auto"/>
        <w:tabs>
          <w:tab w:leader="none" w:pos="2008" w:val="left"/>
        </w:tabs>
        <w:numPr>
          <w:ilvl w:val="2"/>
          <w:numId w:val="41"/>
        </w:numPr>
        <w:rPr>
          <w:rFonts w:ascii="Arial" w:cs="Arial" w:eastAsia="Arial" w:hAnsi="Arial"/>
          <w:sz w:val="22"/>
          <w:szCs w:val="22"/>
          <w:color w:val="auto"/>
        </w:rPr>
      </w:pPr>
      <w:r>
        <w:rPr>
          <w:rFonts w:ascii="Arial" w:cs="Arial" w:eastAsia="Arial" w:hAnsi="Arial"/>
          <w:sz w:val="22"/>
          <w:szCs w:val="22"/>
          <w:color w:val="auto"/>
        </w:rPr>
        <w:t>the Grantee’s Account under the 2002 Deferred Compensation Plan, to the extent credited to the Income Fund; plus</w:t>
      </w:r>
    </w:p>
    <w:p>
      <w:pPr>
        <w:spacing w:after="0" w:line="174" w:lineRule="exact"/>
        <w:rPr>
          <w:rFonts w:ascii="Arial" w:cs="Arial" w:eastAsia="Arial" w:hAnsi="Arial"/>
          <w:sz w:val="22"/>
          <w:szCs w:val="22"/>
          <w:color w:val="auto"/>
        </w:rPr>
      </w:pPr>
    </w:p>
    <w:p>
      <w:pPr>
        <w:ind w:left="1980" w:hanging="500"/>
        <w:spacing w:after="0"/>
        <w:tabs>
          <w:tab w:leader="none" w:pos="1980" w:val="left"/>
        </w:tabs>
        <w:numPr>
          <w:ilvl w:val="2"/>
          <w:numId w:val="41"/>
        </w:numPr>
        <w:rPr>
          <w:rFonts w:ascii="Arial" w:cs="Arial" w:eastAsia="Arial" w:hAnsi="Arial"/>
          <w:sz w:val="22"/>
          <w:szCs w:val="22"/>
          <w:color w:val="auto"/>
        </w:rPr>
      </w:pPr>
      <w:r>
        <w:rPr>
          <w:rFonts w:ascii="Arial" w:cs="Arial" w:eastAsia="Arial" w:hAnsi="Arial"/>
          <w:sz w:val="22"/>
          <w:szCs w:val="22"/>
          <w:color w:val="auto"/>
        </w:rPr>
        <w:t>the portion of the Grantee’s Account under this Plan credited to the Income Fund.</w:t>
      </w:r>
    </w:p>
    <w:p>
      <w:pPr>
        <w:spacing w:after="0" w:line="219" w:lineRule="exact"/>
        <w:rPr>
          <w:rFonts w:ascii="Arial" w:cs="Arial" w:eastAsia="Arial" w:hAnsi="Arial"/>
          <w:sz w:val="22"/>
          <w:szCs w:val="22"/>
          <w:color w:val="auto"/>
        </w:rPr>
      </w:pPr>
    </w:p>
    <w:p>
      <w:pPr>
        <w:ind w:left="1480" w:hanging="648"/>
        <w:spacing w:after="0" w:line="253" w:lineRule="auto"/>
        <w:tabs>
          <w:tab w:leader="none" w:pos="1401" w:val="left"/>
        </w:tabs>
        <w:numPr>
          <w:ilvl w:val="1"/>
          <w:numId w:val="41"/>
        </w:numPr>
        <w:rPr>
          <w:rFonts w:ascii="Arial" w:cs="Arial" w:eastAsia="Arial" w:hAnsi="Arial"/>
          <w:sz w:val="22"/>
          <w:szCs w:val="22"/>
          <w:color w:val="auto"/>
        </w:rPr>
      </w:pPr>
      <w:r>
        <w:rPr>
          <w:rFonts w:ascii="Arial" w:cs="Arial" w:eastAsia="Arial" w:hAnsi="Arial"/>
          <w:sz w:val="22"/>
          <w:szCs w:val="22"/>
          <w:color w:val="auto"/>
        </w:rPr>
        <w:t>With respect to amounts credited to the Income Fund on account of Diversification Elections and Special Diversification Elections made after 2014, the sum of (x) plus (y) where (x) equals the highest of the sum of the amounts described in Paragraphs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120"/>
          </w:cols>
          <w:pgMar w:left="1440" w:top="1428" w:right="339" w:bottom="1440" w:gutter="0" w:footer="0" w:header="0"/>
        </w:sectPr>
      </w:pPr>
    </w:p>
    <w:bookmarkStart w:id="44" w:name="page45"/>
    <w:bookmarkEnd w:id="44"/>
    <w:p>
      <w:pPr>
        <w:ind w:left="1480"/>
        <w:spacing w:after="0" w:line="263" w:lineRule="auto"/>
        <w:rPr>
          <w:sz w:val="20"/>
          <w:szCs w:val="20"/>
          <w:color w:val="auto"/>
        </w:rPr>
      </w:pPr>
      <w:r>
        <w:rPr>
          <w:rFonts w:ascii="Arial" w:cs="Arial" w:eastAsia="Arial" w:hAnsi="Arial"/>
          <w:sz w:val="22"/>
          <w:szCs w:val="22"/>
          <w:color w:val="auto"/>
        </w:rPr>
        <w:t>2(ee)(i)(A), (B) and (C) as of the last day of any calendar quarter beginning after December 31, 2008 and before January 1, 2014, and (y) equals the sum of:</w:t>
      </w:r>
    </w:p>
    <w:p>
      <w:pPr>
        <w:spacing w:after="0" w:line="175" w:lineRule="exact"/>
        <w:rPr>
          <w:sz w:val="20"/>
          <w:szCs w:val="20"/>
          <w:color w:val="auto"/>
        </w:rPr>
      </w:pPr>
    </w:p>
    <w:p>
      <w:pPr>
        <w:ind w:left="2120" w:hanging="640"/>
        <w:spacing w:after="0" w:line="265" w:lineRule="auto"/>
        <w:tabs>
          <w:tab w:leader="none" w:pos="2029" w:val="left"/>
        </w:tabs>
        <w:numPr>
          <w:ilvl w:val="2"/>
          <w:numId w:val="42"/>
        </w:numPr>
        <w:rPr>
          <w:rFonts w:ascii="Arial" w:cs="Arial" w:eastAsia="Arial" w:hAnsi="Arial"/>
          <w:sz w:val="21"/>
          <w:szCs w:val="21"/>
          <w:color w:val="auto"/>
        </w:rPr>
      </w:pPr>
      <w:r>
        <w:rPr>
          <w:rFonts w:ascii="Arial" w:cs="Arial" w:eastAsia="Arial" w:hAnsi="Arial"/>
          <w:sz w:val="21"/>
          <w:szCs w:val="21"/>
          <w:color w:val="auto"/>
        </w:rPr>
        <w:t>The amount credited to the Income Fund with respect to a Grantee’s Account under Section 3.8 of the 2005 Deferred Compensation Plan after December 31, 2013 and on or before September 30, 2014 that is contractually committed pursuant to an employment agreement entered into on or before December 31, 2013; plus</w:t>
      </w:r>
    </w:p>
    <w:p>
      <w:pPr>
        <w:spacing w:after="0" w:line="175" w:lineRule="exact"/>
        <w:rPr>
          <w:rFonts w:ascii="Arial" w:cs="Arial" w:eastAsia="Arial" w:hAnsi="Arial"/>
          <w:sz w:val="21"/>
          <w:szCs w:val="21"/>
          <w:color w:val="auto"/>
        </w:rPr>
      </w:pPr>
    </w:p>
    <w:p>
      <w:pPr>
        <w:ind w:left="2120" w:hanging="640"/>
        <w:spacing w:after="0" w:line="250" w:lineRule="auto"/>
        <w:tabs>
          <w:tab w:leader="none" w:pos="2015" w:val="left"/>
        </w:tabs>
        <w:numPr>
          <w:ilvl w:val="2"/>
          <w:numId w:val="42"/>
        </w:numPr>
        <w:rPr>
          <w:rFonts w:ascii="Arial" w:cs="Arial" w:eastAsia="Arial" w:hAnsi="Arial"/>
          <w:sz w:val="22"/>
          <w:szCs w:val="22"/>
          <w:color w:val="auto"/>
        </w:rPr>
      </w:pPr>
      <w:r>
        <w:rPr>
          <w:rFonts w:ascii="Arial" w:cs="Arial" w:eastAsia="Arial" w:hAnsi="Arial"/>
          <w:sz w:val="22"/>
          <w:szCs w:val="22"/>
          <w:color w:val="auto"/>
        </w:rPr>
        <w:t>The deferred portion of a Grantee’s cash bonus award earned for 2013 to the extent credited to the Income Fund and payable, but for the Grantee’s deferral election under the 2005 Deferred Compensation Plan after December 31, 2013 and on or before September 30, 2014; plus</w:t>
      </w:r>
    </w:p>
    <w:p>
      <w:pPr>
        <w:spacing w:after="0" w:line="187" w:lineRule="exact"/>
        <w:rPr>
          <w:rFonts w:ascii="Arial" w:cs="Arial" w:eastAsia="Arial" w:hAnsi="Arial"/>
          <w:sz w:val="22"/>
          <w:szCs w:val="22"/>
          <w:color w:val="auto"/>
        </w:rPr>
      </w:pPr>
    </w:p>
    <w:p>
      <w:pPr>
        <w:jc w:val="both"/>
        <w:ind w:left="2120" w:hanging="640"/>
        <w:spacing w:after="0" w:line="250" w:lineRule="auto"/>
        <w:tabs>
          <w:tab w:leader="none" w:pos="2064" w:val="left"/>
        </w:tabs>
        <w:numPr>
          <w:ilvl w:val="2"/>
          <w:numId w:val="42"/>
        </w:numPr>
        <w:rPr>
          <w:rFonts w:ascii="Arial" w:cs="Arial" w:eastAsia="Arial" w:hAnsi="Arial"/>
          <w:sz w:val="22"/>
          <w:szCs w:val="22"/>
          <w:color w:val="auto"/>
        </w:rPr>
      </w:pPr>
      <w:r>
        <w:rPr>
          <w:rFonts w:ascii="Arial" w:cs="Arial" w:eastAsia="Arial" w:hAnsi="Arial"/>
          <w:sz w:val="22"/>
          <w:szCs w:val="22"/>
          <w:color w:val="auto"/>
        </w:rPr>
        <w:t>The amount credited to the Income Fund pursuant to a Diversification Election or Special Diversification Election made by a Grantee before January 1, 2014 with respect to Restricted Stock Units that vest after December 31, 2013 and on or before September 30, 2014.</w:t>
      </w:r>
    </w:p>
    <w:p>
      <w:pPr>
        <w:spacing w:after="0" w:line="187" w:lineRule="exact"/>
        <w:rPr>
          <w:rFonts w:ascii="Arial" w:cs="Arial" w:eastAsia="Arial" w:hAnsi="Arial"/>
          <w:sz w:val="22"/>
          <w:szCs w:val="22"/>
          <w:color w:val="auto"/>
        </w:rPr>
      </w:pPr>
    </w:p>
    <w:p>
      <w:pPr>
        <w:jc w:val="both"/>
        <w:ind w:left="-460" w:firstLine="644"/>
        <w:spacing w:after="0" w:line="257" w:lineRule="auto"/>
        <w:tabs>
          <w:tab w:leader="none" w:pos="899" w:val="left"/>
        </w:tabs>
        <w:numPr>
          <w:ilvl w:val="0"/>
          <w:numId w:val="4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Income Fund</w:t>
      </w:r>
      <w:r>
        <w:rPr>
          <w:rFonts w:ascii="Arial" w:cs="Arial" w:eastAsia="Arial" w:hAnsi="Arial"/>
          <w:sz w:val="21"/>
          <w:szCs w:val="21"/>
          <w:color w:val="auto"/>
        </w:rPr>
        <w:t>” means a hypothetical investment fund pursuant to which an amount equal to the Fair Market Value of Deferred Stock Units subject to a Diversification Election is credited as of the effective date of such Diversification Election and, except as otherwise provided in Paragraph 8(j) and Paragraph 8(k), as to which interest is credited thereafter until the date of distribution at the Applicable Interest Rate. In addition, the Income Fund shall also be deemed to hold dividend equivalents and earnings on dividend equivalents credited to a Grantee’s Account as described in Paragraph 2(b) and Paragraph 2(p). Notwithstanding any other provision of the Plan to the contrary, for purposes of determining the time and form of payment of amounts credited to the Income Fund, the rules of the 2005 Deferred Compensation Plan shall apply on the same basis as if such amounts were credited to a Grantee’s account under such 2005 Deferred Compensation Plan. The “</w:t>
      </w:r>
      <w:r>
        <w:rPr>
          <w:rFonts w:ascii="Arial" w:cs="Arial" w:eastAsia="Arial" w:hAnsi="Arial"/>
          <w:sz w:val="21"/>
          <w:szCs w:val="21"/>
          <w:u w:val="single" w:color="auto"/>
          <w:color w:val="auto"/>
        </w:rPr>
        <w:t>9% Fund</w:t>
      </w:r>
      <w:r>
        <w:rPr>
          <w:rFonts w:ascii="Arial" w:cs="Arial" w:eastAsia="Arial" w:hAnsi="Arial"/>
          <w:sz w:val="21"/>
          <w:szCs w:val="21"/>
          <w:color w:val="auto"/>
        </w:rPr>
        <w:t>” means that portion of the Income Fund with respect to which the Applicable Interest Rate is 9%. The “</w:t>
      </w:r>
      <w:r>
        <w:rPr>
          <w:rFonts w:ascii="Arial" w:cs="Arial" w:eastAsia="Arial" w:hAnsi="Arial"/>
          <w:sz w:val="21"/>
          <w:szCs w:val="21"/>
          <w:u w:val="single" w:color="auto"/>
          <w:color w:val="auto"/>
        </w:rPr>
        <w:t>12% Fund</w:t>
      </w:r>
      <w:r>
        <w:rPr>
          <w:rFonts w:ascii="Arial" w:cs="Arial" w:eastAsia="Arial" w:hAnsi="Arial"/>
          <w:sz w:val="21"/>
          <w:szCs w:val="21"/>
          <w:color w:val="auto"/>
        </w:rPr>
        <w:t>” means that portion of the Income Fund with respect to which the Applicable Interest Rate is 12%. The “</w:t>
      </w:r>
      <w:r>
        <w:rPr>
          <w:rFonts w:ascii="Arial" w:cs="Arial" w:eastAsia="Arial" w:hAnsi="Arial"/>
          <w:sz w:val="21"/>
          <w:szCs w:val="21"/>
          <w:u w:val="single" w:color="auto"/>
          <w:color w:val="auto"/>
        </w:rPr>
        <w:t>Prime Plus One Fund</w:t>
      </w:r>
      <w:r>
        <w:rPr>
          <w:rFonts w:ascii="Arial" w:cs="Arial" w:eastAsia="Arial" w:hAnsi="Arial"/>
          <w:sz w:val="21"/>
          <w:szCs w:val="21"/>
          <w:color w:val="auto"/>
        </w:rPr>
        <w:t>” means that portion of the Income Fund with respect to which the Applicable Interest Rate is described in Paragraph 2(f)(ii). For purposes of this Paragraph 2(hh), the Income Fund shall include amounts credited to the Income Fund under the 2002 Deferred Compensation Plan and the 2005 Deferred Compensation Plan.</w:t>
      </w:r>
    </w:p>
    <w:p>
      <w:pPr>
        <w:spacing w:after="0" w:line="186" w:lineRule="exact"/>
        <w:rPr>
          <w:rFonts w:ascii="Arial" w:cs="Arial" w:eastAsia="Arial" w:hAnsi="Arial"/>
          <w:sz w:val="21"/>
          <w:szCs w:val="21"/>
          <w:color w:val="auto"/>
        </w:rPr>
      </w:pPr>
    </w:p>
    <w:p>
      <w:pPr>
        <w:ind w:left="660" w:hanging="476"/>
        <w:spacing w:after="0"/>
        <w:tabs>
          <w:tab w:leader="none" w:pos="6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Income Fund Limit</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1480" w:hanging="648"/>
        <w:spacing w:after="0" w:line="263" w:lineRule="auto"/>
        <w:tabs>
          <w:tab w:leader="none" w:pos="1332" w:val="left"/>
        </w:tabs>
        <w:numPr>
          <w:ilvl w:val="1"/>
          <w:numId w:val="43"/>
        </w:numPr>
        <w:rPr>
          <w:rFonts w:ascii="Arial" w:cs="Arial" w:eastAsia="Arial" w:hAnsi="Arial"/>
          <w:sz w:val="22"/>
          <w:szCs w:val="22"/>
          <w:color w:val="auto"/>
        </w:rPr>
      </w:pPr>
      <w:r>
        <w:rPr>
          <w:rFonts w:ascii="Arial" w:cs="Arial" w:eastAsia="Arial" w:hAnsi="Arial"/>
          <w:sz w:val="22"/>
          <w:szCs w:val="22"/>
          <w:color w:val="auto"/>
        </w:rPr>
        <w:t>With respect to Grantees other than Non-Employee Directors and Covered Grantees, $100 million, provided that if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120"/>
          </w:cols>
          <w:pgMar w:left="1440" w:top="1428" w:right="339" w:bottom="1440" w:gutter="0" w:footer="0" w:header="0"/>
        </w:sectPr>
      </w:pPr>
    </w:p>
    <w:bookmarkStart w:id="45" w:name="page46"/>
    <w:bookmarkEnd w:id="45"/>
    <w:p>
      <w:pPr>
        <w:jc w:val="both"/>
        <w:ind w:left="2600"/>
        <w:spacing w:after="0" w:line="302" w:lineRule="auto"/>
        <w:rPr>
          <w:sz w:val="20"/>
          <w:szCs w:val="20"/>
          <w:color w:val="auto"/>
        </w:rPr>
      </w:pPr>
      <w:r>
        <w:rPr>
          <w:rFonts w:ascii="Arial" w:cs="Arial" w:eastAsia="Arial" w:hAnsi="Arial"/>
          <w:sz w:val="19"/>
          <w:szCs w:val="19"/>
          <w:color w:val="auto"/>
        </w:rPr>
        <w:t>credited to a Grantee’s Income Fund is greater than $100 million as of December 31, 2019, the Income Fund Limit applicable to such Grantee for any applicable Plan Year shall be equal to the amount credited to a Grantee’s Income Fund as of the December 31 immediately preceding such applicable Plan Year until such balance is equal to or less than $100 million.</w:t>
      </w:r>
    </w:p>
    <w:p>
      <w:pPr>
        <w:spacing w:after="0" w:line="142" w:lineRule="exact"/>
        <w:rPr>
          <w:sz w:val="20"/>
          <w:szCs w:val="20"/>
          <w:color w:val="auto"/>
        </w:rPr>
      </w:pPr>
    </w:p>
    <w:p>
      <w:pPr>
        <w:ind w:left="2600" w:hanging="648"/>
        <w:spacing w:after="0" w:line="263" w:lineRule="auto"/>
        <w:tabs>
          <w:tab w:leader="none" w:pos="2496" w:val="left"/>
        </w:tabs>
        <w:numPr>
          <w:ilvl w:val="0"/>
          <w:numId w:val="44"/>
        </w:numPr>
        <w:rPr>
          <w:rFonts w:ascii="Arial" w:cs="Arial" w:eastAsia="Arial" w:hAnsi="Arial"/>
          <w:sz w:val="22"/>
          <w:szCs w:val="22"/>
          <w:color w:val="auto"/>
        </w:rPr>
      </w:pPr>
      <w:r>
        <w:rPr>
          <w:rFonts w:ascii="Arial" w:cs="Arial" w:eastAsia="Arial" w:hAnsi="Arial"/>
          <w:sz w:val="22"/>
          <w:szCs w:val="22"/>
          <w:color w:val="auto"/>
        </w:rPr>
        <w:t>With respect to Grantees who are Non-Employee Directors, effective as of July 31, 2020, $0 (zero dollars).</w:t>
      </w:r>
    </w:p>
    <w:p>
      <w:pPr>
        <w:spacing w:after="0" w:line="174" w:lineRule="exact"/>
        <w:rPr>
          <w:rFonts w:ascii="Arial" w:cs="Arial" w:eastAsia="Arial" w:hAnsi="Arial"/>
          <w:sz w:val="22"/>
          <w:szCs w:val="22"/>
          <w:color w:val="auto"/>
        </w:rPr>
      </w:pPr>
    </w:p>
    <w:p>
      <w:pPr>
        <w:ind w:left="2600" w:hanging="648"/>
        <w:spacing w:after="0" w:line="263" w:lineRule="auto"/>
        <w:tabs>
          <w:tab w:leader="none" w:pos="2587" w:val="left"/>
        </w:tabs>
        <w:numPr>
          <w:ilvl w:val="0"/>
          <w:numId w:val="44"/>
        </w:numPr>
        <w:rPr>
          <w:rFonts w:ascii="Arial" w:cs="Arial" w:eastAsia="Arial" w:hAnsi="Arial"/>
          <w:sz w:val="22"/>
          <w:szCs w:val="22"/>
          <w:color w:val="auto"/>
        </w:rPr>
      </w:pPr>
      <w:r>
        <w:rPr>
          <w:rFonts w:ascii="Arial" w:cs="Arial" w:eastAsia="Arial" w:hAnsi="Arial"/>
          <w:sz w:val="22"/>
          <w:szCs w:val="22"/>
          <w:color w:val="auto"/>
        </w:rPr>
        <w:t>With respect to Grantees who are Covered Grantees, effective as of February 28, 2021, $0 (zero dollars).</w:t>
      </w:r>
    </w:p>
    <w:p>
      <w:pPr>
        <w:spacing w:after="0" w:line="174" w:lineRule="exact"/>
        <w:rPr>
          <w:rFonts w:ascii="Arial" w:cs="Arial" w:eastAsia="Arial" w:hAnsi="Arial"/>
          <w:sz w:val="22"/>
          <w:szCs w:val="22"/>
          <w:color w:val="auto"/>
        </w:rPr>
      </w:pPr>
    </w:p>
    <w:p>
      <w:pPr>
        <w:ind w:left="2600" w:hanging="648"/>
        <w:spacing w:after="0" w:line="263" w:lineRule="auto"/>
        <w:tabs>
          <w:tab w:leader="none" w:pos="2490" w:val="left"/>
        </w:tabs>
        <w:numPr>
          <w:ilvl w:val="0"/>
          <w:numId w:val="44"/>
        </w:numPr>
        <w:rPr>
          <w:rFonts w:ascii="Arial" w:cs="Arial" w:eastAsia="Arial" w:hAnsi="Arial"/>
          <w:sz w:val="22"/>
          <w:szCs w:val="22"/>
          <w:color w:val="auto"/>
        </w:rPr>
      </w:pPr>
      <w:r>
        <w:rPr>
          <w:rFonts w:ascii="Arial" w:cs="Arial" w:eastAsia="Arial" w:hAnsi="Arial"/>
          <w:sz w:val="22"/>
          <w:szCs w:val="22"/>
          <w:color w:val="auto"/>
        </w:rPr>
        <w:t>Effective as of the last day of the month following the date a Grantee first becomes a Non-Employee Director or a Covered Grantee, $0 (zero dollars).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Committee may waive or modify downward the Income Fund Limit applicable to one or more High Balance Participants in its discretion. For purposes of this Paragraph 2(ii), the Income Fund shall include amounts credited to the Income Fund under the 2002 Deferred Compensation Plan and 2005 Deferred Compensation Plan.</w:t>
      </w:r>
    </w:p>
    <w:p>
      <w:pPr>
        <w:spacing w:after="0" w:line="185" w:lineRule="exact"/>
        <w:rPr>
          <w:sz w:val="20"/>
          <w:szCs w:val="20"/>
          <w:color w:val="auto"/>
        </w:rPr>
      </w:pPr>
    </w:p>
    <w:p>
      <w:pPr>
        <w:jc w:val="both"/>
        <w:ind w:left="660" w:firstLine="644"/>
        <w:spacing w:after="0" w:line="271" w:lineRule="auto"/>
        <w:tabs>
          <w:tab w:leader="none" w:pos="1801" w:val="left"/>
        </w:tabs>
        <w:numPr>
          <w:ilvl w:val="0"/>
          <w:numId w:val="4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Deferral Election</w:t>
      </w:r>
      <w:r>
        <w:rPr>
          <w:rFonts w:ascii="Arial" w:cs="Arial" w:eastAsia="Arial" w:hAnsi="Arial"/>
          <w:sz w:val="21"/>
          <w:szCs w:val="21"/>
          <w:color w:val="auto"/>
        </w:rPr>
        <w:t>” means a written election on a form provided by the Committee, pursuant to which a Grantee: (i) elects, within the time or times specified in Paragraph 8(a)(i), to defer the distribution date of Shares issuable with respect to Restricted Stock Units; and (ii) designates the distribution date of such Shares.</w:t>
      </w:r>
    </w:p>
    <w:p>
      <w:pPr>
        <w:spacing w:after="0" w:line="167" w:lineRule="exact"/>
        <w:rPr>
          <w:rFonts w:ascii="Arial" w:cs="Arial" w:eastAsia="Arial" w:hAnsi="Arial"/>
          <w:sz w:val="21"/>
          <w:szCs w:val="21"/>
          <w:color w:val="auto"/>
        </w:rPr>
      </w:pPr>
    </w:p>
    <w:p>
      <w:pPr>
        <w:ind w:left="1880" w:hanging="576"/>
        <w:spacing w:after="0"/>
        <w:tabs>
          <w:tab w:leader="none" w:pos="18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Key Employee</w:t>
      </w:r>
      <w:r>
        <w:rPr>
          <w:rFonts w:ascii="Arial" w:cs="Arial" w:eastAsia="Arial" w:hAnsi="Arial"/>
          <w:sz w:val="22"/>
          <w:szCs w:val="22"/>
          <w:color w:val="auto"/>
        </w:rPr>
        <w:t>” means:</w:t>
      </w:r>
    </w:p>
    <w:p>
      <w:pPr>
        <w:spacing w:after="0" w:line="219" w:lineRule="exact"/>
        <w:rPr>
          <w:rFonts w:ascii="Arial" w:cs="Arial" w:eastAsia="Arial" w:hAnsi="Arial"/>
          <w:sz w:val="22"/>
          <w:szCs w:val="22"/>
          <w:color w:val="auto"/>
        </w:rPr>
      </w:pPr>
    </w:p>
    <w:p>
      <w:pPr>
        <w:ind w:left="2600" w:hanging="648"/>
        <w:spacing w:after="0" w:line="263" w:lineRule="auto"/>
        <w:tabs>
          <w:tab w:leader="none" w:pos="2408" w:val="left"/>
        </w:tabs>
        <w:numPr>
          <w:ilvl w:val="1"/>
          <w:numId w:val="45"/>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 each employee of a Participating Company who:</w:t>
      </w:r>
    </w:p>
    <w:p>
      <w:pPr>
        <w:spacing w:after="0" w:line="174" w:lineRule="exact"/>
        <w:rPr>
          <w:rFonts w:ascii="Arial" w:cs="Arial" w:eastAsia="Arial" w:hAnsi="Arial"/>
          <w:sz w:val="22"/>
          <w:szCs w:val="22"/>
          <w:color w:val="auto"/>
        </w:rPr>
      </w:pPr>
    </w:p>
    <w:p>
      <w:pPr>
        <w:ind w:left="3240" w:hanging="640"/>
        <w:spacing w:after="0" w:line="263" w:lineRule="auto"/>
        <w:tabs>
          <w:tab w:leader="none" w:pos="3291" w:val="left"/>
        </w:tabs>
        <w:numPr>
          <w:ilvl w:val="2"/>
          <w:numId w:val="45"/>
        </w:numPr>
        <w:rPr>
          <w:rFonts w:ascii="Arial" w:cs="Arial" w:eastAsia="Arial" w:hAnsi="Arial"/>
          <w:sz w:val="22"/>
          <w:szCs w:val="22"/>
          <w:color w:val="auto"/>
        </w:rPr>
      </w:pPr>
      <w:r>
        <w:rPr>
          <w:rFonts w:ascii="Arial" w:cs="Arial" w:eastAsia="Arial" w:hAnsi="Arial"/>
          <w:sz w:val="22"/>
          <w:szCs w:val="22"/>
          <w:color w:val="auto"/>
        </w:rPr>
        <w:t>becomes an employee of a Participating Company and has an Annual Rate of Pay of $250,000 or more as of his employment commencement date; or</w:t>
      </w:r>
    </w:p>
    <w:p>
      <w:pPr>
        <w:spacing w:after="0" w:line="174" w:lineRule="exact"/>
        <w:rPr>
          <w:rFonts w:ascii="Arial" w:cs="Arial" w:eastAsia="Arial" w:hAnsi="Arial"/>
          <w:sz w:val="22"/>
          <w:szCs w:val="22"/>
          <w:color w:val="auto"/>
        </w:rPr>
      </w:pPr>
    </w:p>
    <w:p>
      <w:pPr>
        <w:ind w:left="3240" w:hanging="640"/>
        <w:spacing w:after="0" w:line="263" w:lineRule="auto"/>
        <w:tabs>
          <w:tab w:leader="none" w:pos="3221" w:val="left"/>
        </w:tabs>
        <w:numPr>
          <w:ilvl w:val="2"/>
          <w:numId w:val="45"/>
        </w:numPr>
        <w:rPr>
          <w:rFonts w:ascii="Arial" w:cs="Arial" w:eastAsia="Arial" w:hAnsi="Arial"/>
          <w:sz w:val="22"/>
          <w:szCs w:val="22"/>
          <w:color w:val="auto"/>
        </w:rPr>
      </w:pPr>
      <w:r>
        <w:rPr>
          <w:rFonts w:ascii="Arial" w:cs="Arial" w:eastAsia="Arial" w:hAnsi="Arial"/>
          <w:sz w:val="22"/>
          <w:szCs w:val="22"/>
          <w:color w:val="auto"/>
        </w:rPr>
        <w:t>has an Annual Rate of Pay that is increased to $250,000 or more and who, immediately preceding such increase, was not a Deferral Eligible Employee.</w:t>
      </w:r>
    </w:p>
    <w:p>
      <w:pPr>
        <w:spacing w:after="0" w:line="174" w:lineRule="exact"/>
        <w:rPr>
          <w:rFonts w:ascii="Arial" w:cs="Arial" w:eastAsia="Arial" w:hAnsi="Arial"/>
          <w:sz w:val="22"/>
          <w:szCs w:val="22"/>
          <w:color w:val="auto"/>
        </w:rPr>
      </w:pPr>
    </w:p>
    <w:p>
      <w:pPr>
        <w:ind w:left="2440" w:hanging="488"/>
        <w:spacing w:after="0"/>
        <w:tabs>
          <w:tab w:leader="none" w:pos="2440" w:val="left"/>
        </w:tabs>
        <w:numPr>
          <w:ilvl w:val="1"/>
          <w:numId w:val="45"/>
        </w:numPr>
        <w:rPr>
          <w:rFonts w:ascii="Arial" w:cs="Arial" w:eastAsia="Arial" w:hAnsi="Arial"/>
          <w:sz w:val="22"/>
          <w:szCs w:val="22"/>
          <w:color w:val="auto"/>
        </w:rPr>
      </w:pPr>
      <w:r>
        <w:rPr>
          <w:rFonts w:ascii="Arial" w:cs="Arial" w:eastAsia="Arial" w:hAnsi="Arial"/>
          <w:sz w:val="22"/>
          <w:szCs w:val="22"/>
          <w:color w:val="auto"/>
        </w:rPr>
        <w:t>Effective on and after January 1, 2019, each employee of a Participating Company who:</w:t>
      </w:r>
    </w:p>
    <w:p>
      <w:pPr>
        <w:spacing w:after="0" w:line="219" w:lineRule="exact"/>
        <w:rPr>
          <w:rFonts w:ascii="Arial" w:cs="Arial" w:eastAsia="Arial" w:hAnsi="Arial"/>
          <w:sz w:val="22"/>
          <w:szCs w:val="22"/>
          <w:color w:val="auto"/>
        </w:rPr>
      </w:pPr>
    </w:p>
    <w:p>
      <w:pPr>
        <w:ind w:left="3240" w:hanging="640"/>
        <w:spacing w:after="0" w:line="263" w:lineRule="auto"/>
        <w:tabs>
          <w:tab w:leader="none" w:pos="3291" w:val="left"/>
        </w:tabs>
        <w:numPr>
          <w:ilvl w:val="2"/>
          <w:numId w:val="45"/>
        </w:numPr>
        <w:rPr>
          <w:rFonts w:ascii="Arial" w:cs="Arial" w:eastAsia="Arial" w:hAnsi="Arial"/>
          <w:sz w:val="22"/>
          <w:szCs w:val="22"/>
          <w:color w:val="auto"/>
        </w:rPr>
      </w:pPr>
      <w:r>
        <w:rPr>
          <w:rFonts w:ascii="Arial" w:cs="Arial" w:eastAsia="Arial" w:hAnsi="Arial"/>
          <w:sz w:val="22"/>
          <w:szCs w:val="22"/>
          <w:color w:val="auto"/>
        </w:rPr>
        <w:t>becomes an employee of a Participating Company and has an Annual Rate of Pay of $350,000 or more as of his employment commencement 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46" w:name="page47"/>
    <w:bookmarkEnd w:id="46"/>
    <w:p>
      <w:pPr>
        <w:ind w:left="2120" w:hanging="640"/>
        <w:spacing w:after="0" w:line="263" w:lineRule="auto"/>
        <w:tabs>
          <w:tab w:leader="none" w:pos="2101" w:val="left"/>
        </w:tabs>
        <w:numPr>
          <w:ilvl w:val="2"/>
          <w:numId w:val="46"/>
        </w:numPr>
        <w:rPr>
          <w:rFonts w:ascii="Arial" w:cs="Arial" w:eastAsia="Arial" w:hAnsi="Arial"/>
          <w:sz w:val="22"/>
          <w:szCs w:val="22"/>
          <w:color w:val="auto"/>
        </w:rPr>
      </w:pPr>
      <w:r>
        <w:rPr>
          <w:rFonts w:ascii="Arial" w:cs="Arial" w:eastAsia="Arial" w:hAnsi="Arial"/>
          <w:sz w:val="22"/>
          <w:szCs w:val="22"/>
          <w:color w:val="auto"/>
        </w:rPr>
        <w:t>has an Annual Rate of Pay that is increased to $350,000 or more and who, immediately preceding such increase, was not a Deferral Eligible Employee.</w:t>
      </w:r>
    </w:p>
    <w:p>
      <w:pPr>
        <w:spacing w:after="0" w:line="174" w:lineRule="exact"/>
        <w:rPr>
          <w:rFonts w:ascii="Arial" w:cs="Arial" w:eastAsia="Arial" w:hAnsi="Arial"/>
          <w:sz w:val="22"/>
          <w:szCs w:val="22"/>
          <w:color w:val="auto"/>
        </w:rPr>
      </w:pPr>
    </w:p>
    <w:p>
      <w:pPr>
        <w:ind w:left="-460" w:firstLine="644"/>
        <w:spacing w:after="0" w:line="343" w:lineRule="auto"/>
        <w:tabs>
          <w:tab w:leader="none" w:pos="722" w:val="left"/>
        </w:tabs>
        <w:numPr>
          <w:ilvl w:val="0"/>
          <w:numId w:val="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Non-Employee Director</w:t>
      </w:r>
      <w:r>
        <w:rPr>
          <w:rFonts w:ascii="Arial" w:cs="Arial" w:eastAsia="Arial" w:hAnsi="Arial"/>
          <w:sz w:val="19"/>
          <w:szCs w:val="19"/>
          <w:color w:val="auto"/>
        </w:rPr>
        <w:t>” means an individual who is a member of the Board, and who is not an Eligible Employee, including an individual who is a member of the Board and who previously was an employee of the Company.</w:t>
      </w:r>
    </w:p>
    <w:p>
      <w:pPr>
        <w:spacing w:after="0" w:line="104" w:lineRule="exact"/>
        <w:rPr>
          <w:rFonts w:ascii="Arial" w:cs="Arial" w:eastAsia="Arial" w:hAnsi="Arial"/>
          <w:sz w:val="19"/>
          <w:szCs w:val="19"/>
          <w:color w:val="auto"/>
        </w:rPr>
      </w:pPr>
    </w:p>
    <w:p>
      <w:pPr>
        <w:ind w:left="-460" w:firstLine="644"/>
        <w:spacing w:after="0" w:line="287" w:lineRule="auto"/>
        <w:tabs>
          <w:tab w:leader="none" w:pos="965" w:val="left"/>
        </w:tabs>
        <w:numPr>
          <w:ilvl w:val="0"/>
          <w:numId w:val="4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Normal Retirement</w:t>
      </w:r>
      <w:r>
        <w:rPr>
          <w:rFonts w:ascii="Arial" w:cs="Arial" w:eastAsia="Arial" w:hAnsi="Arial"/>
          <w:sz w:val="21"/>
          <w:szCs w:val="21"/>
          <w:color w:val="auto"/>
        </w:rPr>
        <w:t>” means a Grantee’s termination of employment that is treated by the Participating Company as a retirement under its employment policies and practices as in effect from time to time.</w:t>
      </w:r>
    </w:p>
    <w:p>
      <w:pPr>
        <w:spacing w:after="0" w:line="151" w:lineRule="exact"/>
        <w:rPr>
          <w:rFonts w:ascii="Arial" w:cs="Arial" w:eastAsia="Arial" w:hAnsi="Arial"/>
          <w:sz w:val="21"/>
          <w:szCs w:val="21"/>
          <w:color w:val="auto"/>
        </w:rPr>
      </w:pPr>
    </w:p>
    <w:p>
      <w:pPr>
        <w:ind w:left="760" w:hanging="576"/>
        <w:spacing w:after="0"/>
        <w:tabs>
          <w:tab w:leader="none" w:pos="7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Available Shares</w:t>
      </w:r>
      <w:r>
        <w:rPr>
          <w:rFonts w:ascii="Arial" w:cs="Arial" w:eastAsia="Arial" w:hAnsi="Arial"/>
          <w:sz w:val="22"/>
          <w:szCs w:val="22"/>
          <w:color w:val="auto"/>
        </w:rPr>
        <w:t>” means, as of any date, the sum of:</w:t>
      </w:r>
    </w:p>
    <w:p>
      <w:pPr>
        <w:spacing w:after="0" w:line="219" w:lineRule="exact"/>
        <w:rPr>
          <w:rFonts w:ascii="Arial" w:cs="Arial" w:eastAsia="Arial" w:hAnsi="Arial"/>
          <w:sz w:val="22"/>
          <w:szCs w:val="22"/>
          <w:color w:val="auto"/>
        </w:rPr>
      </w:pPr>
    </w:p>
    <w:p>
      <w:pPr>
        <w:ind w:left="1480" w:hanging="648"/>
        <w:spacing w:after="0" w:line="312" w:lineRule="auto"/>
        <w:tabs>
          <w:tab w:leader="none" w:pos="1353"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133" w:lineRule="exact"/>
        <w:rPr>
          <w:rFonts w:ascii="Arial" w:cs="Arial" w:eastAsia="Arial" w:hAnsi="Arial"/>
          <w:sz w:val="19"/>
          <w:szCs w:val="19"/>
          <w:color w:val="auto"/>
        </w:rPr>
      </w:pPr>
    </w:p>
    <w:p>
      <w:pPr>
        <w:ind w:left="1300" w:hanging="468"/>
        <w:spacing w:after="0"/>
        <w:tabs>
          <w:tab w:leader="none" w:pos="13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excess, if any of:</w:t>
      </w:r>
    </w:p>
    <w:p>
      <w:pPr>
        <w:spacing w:after="0" w:line="219" w:lineRule="exact"/>
        <w:rPr>
          <w:rFonts w:ascii="Arial" w:cs="Arial" w:eastAsia="Arial" w:hAnsi="Arial"/>
          <w:sz w:val="22"/>
          <w:szCs w:val="22"/>
          <w:color w:val="auto"/>
        </w:rPr>
      </w:pPr>
    </w:p>
    <w:p>
      <w:pPr>
        <w:ind w:left="2120" w:hanging="640"/>
        <w:spacing w:after="0" w:line="263" w:lineRule="auto"/>
        <w:tabs>
          <w:tab w:leader="none" w:pos="1992" w:val="left"/>
        </w:tabs>
        <w:numPr>
          <w:ilvl w:val="2"/>
          <w:numId w:val="47"/>
        </w:numPr>
        <w:rPr>
          <w:rFonts w:ascii="Arial" w:cs="Arial" w:eastAsia="Arial" w:hAnsi="Arial"/>
          <w:sz w:val="22"/>
          <w:szCs w:val="22"/>
          <w:color w:val="auto"/>
        </w:rPr>
      </w:pPr>
      <w:r>
        <w:rPr>
          <w:rFonts w:ascii="Arial" w:cs="Arial" w:eastAsia="Arial" w:hAnsi="Arial"/>
          <w:sz w:val="22"/>
          <w:szCs w:val="22"/>
          <w:color w:val="auto"/>
        </w:rPr>
        <w:t>The total number of Shares owned by a Grantee or such Grantee’s Family Member other than the Shares described in Paragraph 2(nn)(i); over</w:t>
      </w:r>
    </w:p>
    <w:p>
      <w:pPr>
        <w:spacing w:after="0" w:line="174" w:lineRule="exact"/>
        <w:rPr>
          <w:rFonts w:ascii="Arial" w:cs="Arial" w:eastAsia="Arial" w:hAnsi="Arial"/>
          <w:sz w:val="22"/>
          <w:szCs w:val="22"/>
          <w:color w:val="auto"/>
        </w:rPr>
      </w:pPr>
    </w:p>
    <w:p>
      <w:pPr>
        <w:ind w:left="1980" w:hanging="500"/>
        <w:spacing w:after="0"/>
        <w:tabs>
          <w:tab w:leader="none" w:pos="1980" w:val="left"/>
        </w:tabs>
        <w:numPr>
          <w:ilvl w:val="2"/>
          <w:numId w:val="47"/>
        </w:numPr>
        <w:rPr>
          <w:rFonts w:ascii="Arial" w:cs="Arial" w:eastAsia="Arial" w:hAnsi="Arial"/>
          <w:sz w:val="22"/>
          <w:szCs w:val="22"/>
          <w:color w:val="auto"/>
        </w:rPr>
      </w:pPr>
      <w:r>
        <w:rPr>
          <w:rFonts w:ascii="Arial" w:cs="Arial" w:eastAsia="Arial" w:hAnsi="Arial"/>
          <w:sz w:val="22"/>
          <w:szCs w:val="22"/>
          <w:color w:val="auto"/>
        </w:rPr>
        <w:t>The sum of:</w:t>
      </w:r>
    </w:p>
    <w:p>
      <w:pPr>
        <w:spacing w:after="0" w:line="219" w:lineRule="exact"/>
        <w:rPr>
          <w:rFonts w:ascii="Arial" w:cs="Arial" w:eastAsia="Arial" w:hAnsi="Arial"/>
          <w:sz w:val="22"/>
          <w:szCs w:val="22"/>
          <w:color w:val="auto"/>
        </w:rPr>
      </w:pPr>
    </w:p>
    <w:p>
      <w:pPr>
        <w:ind w:left="1480" w:firstLine="648"/>
        <w:spacing w:after="0" w:line="263" w:lineRule="auto"/>
        <w:tabs>
          <w:tab w:leader="none" w:pos="2605" w:val="left"/>
        </w:tabs>
        <w:numPr>
          <w:ilvl w:val="3"/>
          <w:numId w:val="47"/>
        </w:numPr>
        <w:rPr>
          <w:rFonts w:ascii="Arial" w:cs="Arial" w:eastAsia="Arial" w:hAnsi="Arial"/>
          <w:sz w:val="22"/>
          <w:szCs w:val="22"/>
          <w:color w:val="auto"/>
        </w:rPr>
      </w:pPr>
      <w:r>
        <w:rPr>
          <w:rFonts w:ascii="Arial" w:cs="Arial" w:eastAsia="Arial" w:hAnsi="Arial"/>
          <w:sz w:val="22"/>
          <w:szCs w:val="22"/>
          <w:color w:val="auto"/>
        </w:rPr>
        <w:t>The number of such Shares owned by such Grantee or such Grantee’s Family Member for less than six months; plus</w:t>
      </w:r>
    </w:p>
    <w:p>
      <w:pPr>
        <w:spacing w:after="0" w:line="174" w:lineRule="exact"/>
        <w:rPr>
          <w:rFonts w:ascii="Arial" w:cs="Arial" w:eastAsia="Arial" w:hAnsi="Arial"/>
          <w:sz w:val="22"/>
          <w:szCs w:val="22"/>
          <w:color w:val="auto"/>
        </w:rPr>
      </w:pPr>
    </w:p>
    <w:p>
      <w:pPr>
        <w:jc w:val="both"/>
        <w:ind w:left="1480" w:firstLine="648"/>
        <w:spacing w:after="0" w:line="271" w:lineRule="auto"/>
        <w:tabs>
          <w:tab w:leader="none" w:pos="2605" w:val="left"/>
        </w:tabs>
        <w:numPr>
          <w:ilvl w:val="3"/>
          <w:numId w:val="47"/>
        </w:numPr>
        <w:rPr>
          <w:rFonts w:ascii="Arial" w:cs="Arial" w:eastAsia="Arial" w:hAnsi="Arial"/>
          <w:sz w:val="21"/>
          <w:szCs w:val="21"/>
          <w:color w:val="auto"/>
        </w:rPr>
      </w:pPr>
      <w:r>
        <w:rPr>
          <w:rFonts w:ascii="Arial" w:cs="Arial" w:eastAsia="Arial" w:hAnsi="Arial"/>
          <w:sz w:val="21"/>
          <w:szCs w:val="21"/>
          <w:color w:val="auto"/>
        </w:rPr>
        <w:t>The number of such Shares owned by such Grantee or such Grantee’s Family Member that has, within the preceding six months, been the subject of a certification pursuant to Paragraph 9(c)(ii) or any similar certification under any other Comcast Plan; plus</w:t>
      </w:r>
    </w:p>
    <w:p>
      <w:pPr>
        <w:spacing w:after="0" w:line="167" w:lineRule="exact"/>
        <w:rPr>
          <w:rFonts w:ascii="Arial" w:cs="Arial" w:eastAsia="Arial" w:hAnsi="Arial"/>
          <w:sz w:val="21"/>
          <w:szCs w:val="21"/>
          <w:color w:val="auto"/>
        </w:rPr>
      </w:pPr>
    </w:p>
    <w:p>
      <w:pPr>
        <w:jc w:val="both"/>
        <w:ind w:left="1480" w:firstLine="648"/>
        <w:spacing w:after="0" w:line="247" w:lineRule="auto"/>
        <w:tabs>
          <w:tab w:leader="none" w:pos="2605" w:val="left"/>
        </w:tabs>
        <w:numPr>
          <w:ilvl w:val="3"/>
          <w:numId w:val="47"/>
        </w:numPr>
        <w:rPr>
          <w:rFonts w:ascii="Arial" w:cs="Arial" w:eastAsia="Arial" w:hAnsi="Arial"/>
          <w:sz w:val="22"/>
          <w:szCs w:val="22"/>
          <w:color w:val="auto"/>
        </w:rPr>
      </w:pPr>
      <w:r>
        <w:rPr>
          <w:rFonts w:ascii="Arial" w:cs="Arial" w:eastAsia="Arial" w:hAnsi="Arial"/>
          <w:sz w:val="22"/>
          <w:szCs w:val="22"/>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120"/>
          </w:cols>
          <w:pgMar w:left="1440" w:top="1428" w:right="339" w:bottom="1440" w:gutter="0" w:footer="0" w:header="0"/>
        </w:sectPr>
      </w:pPr>
    </w:p>
    <w:bookmarkStart w:id="47" w:name="page48"/>
    <w:bookmarkEnd w:id="47"/>
    <w:p>
      <w:pPr>
        <w:jc w:val="both"/>
        <w:ind w:left="1940" w:firstLine="648"/>
        <w:spacing w:after="0" w:line="302" w:lineRule="auto"/>
        <w:tabs>
          <w:tab w:leader="none" w:pos="3065"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For purposes of this Paragraph 2(nn), a Share that is subject to an Election pursuant to Paragraph 8 or a deferral election pursuant to another Comcast Plan shall not be treated as owned by a Grantee until all conditions to the delivery of such Share have lapsed. For purposes of determining the number of Other Available Shares, the term “Shares” shall also include the securities held by a Grantee or such Grantee’s Family Member immediately before the consummation of the AT&amp;T Broadband Transaction that have converted into Shares.</w:t>
      </w:r>
    </w:p>
    <w:p>
      <w:pPr>
        <w:spacing w:after="0" w:line="175" w:lineRule="exact"/>
        <w:rPr>
          <w:sz w:val="20"/>
          <w:szCs w:val="20"/>
          <w:color w:val="auto"/>
        </w:rPr>
      </w:pPr>
    </w:p>
    <w:p>
      <w:pPr>
        <w:jc w:val="both"/>
        <w:ind w:firstLine="644"/>
        <w:spacing w:after="0" w:line="297" w:lineRule="auto"/>
        <w:tabs>
          <w:tab w:leader="none" w:pos="1291" w:val="left"/>
        </w:tabs>
        <w:numPr>
          <w:ilvl w:val="0"/>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Investment Fund</w:t>
      </w:r>
      <w:r>
        <w:rPr>
          <w:rFonts w:ascii="Arial" w:cs="Arial" w:eastAsia="Arial" w:hAnsi="Arial"/>
          <w:sz w:val="19"/>
          <w:szCs w:val="19"/>
          <w:color w:val="auto"/>
        </w:rPr>
        <w:t>” means the Company Stock Fund and such other hypothetical investment funds designated by the Committee, pursuant to which income, gains, and losses are credited to a Grantee’s Account as if the Account, to the extent deemed invested in such Other Investment Fund, were credited with income, gains, and losses as if actually invested in such Other Investment Fund. The Grantee shall designate the Other Investment Funds in which the Grantee’s Account shall be invested in accordance with rules established by the Committee.</w:t>
      </w:r>
    </w:p>
    <w:p>
      <w:pPr>
        <w:spacing w:after="0" w:line="146" w:lineRule="exact"/>
        <w:rPr>
          <w:rFonts w:ascii="Arial" w:cs="Arial" w:eastAsia="Arial" w:hAnsi="Arial"/>
          <w:sz w:val="19"/>
          <w:szCs w:val="19"/>
          <w:color w:val="auto"/>
        </w:rPr>
      </w:pPr>
    </w:p>
    <w:p>
      <w:pPr>
        <w:ind w:left="1220" w:hanging="576"/>
        <w:spacing w:after="0"/>
        <w:tabs>
          <w:tab w:leader="none" w:pos="12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Company</w:t>
      </w:r>
      <w:r>
        <w:rPr>
          <w:rFonts w:ascii="Arial" w:cs="Arial" w:eastAsia="Arial" w:hAnsi="Arial"/>
          <w:sz w:val="22"/>
          <w:szCs w:val="22"/>
          <w:color w:val="auto"/>
        </w:rPr>
        <w:t>” means the Company and each of the Subsidiary Companies.</w:t>
      </w:r>
    </w:p>
    <w:p>
      <w:pPr>
        <w:spacing w:after="0" w:line="219" w:lineRule="exact"/>
        <w:rPr>
          <w:rFonts w:ascii="Arial" w:cs="Arial" w:eastAsia="Arial" w:hAnsi="Arial"/>
          <w:sz w:val="22"/>
          <w:szCs w:val="22"/>
          <w:color w:val="auto"/>
        </w:rPr>
      </w:pPr>
    </w:p>
    <w:p>
      <w:pPr>
        <w:ind w:left="1320" w:hanging="676"/>
        <w:spacing w:after="0"/>
        <w:tabs>
          <w:tab w:leader="none" w:pos="13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Performance-Based Compensation</w:t>
      </w:r>
      <w:r>
        <w:rPr>
          <w:rFonts w:ascii="Arial" w:cs="Arial" w:eastAsia="Arial" w:hAnsi="Arial"/>
          <w:sz w:val="19"/>
          <w:szCs w:val="19"/>
          <w:color w:val="auto"/>
        </w:rPr>
        <w:t>” means “Performance-Based Compensation” within the meaning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409A.</w:t>
      </w:r>
    </w:p>
    <w:p>
      <w:pPr>
        <w:spacing w:after="0" w:line="201" w:lineRule="exact"/>
        <w:rPr>
          <w:rFonts w:ascii="Arial" w:cs="Arial" w:eastAsia="Arial" w:hAnsi="Arial"/>
          <w:sz w:val="19"/>
          <w:szCs w:val="19"/>
          <w:color w:val="auto"/>
        </w:rPr>
      </w:pPr>
    </w:p>
    <w:p>
      <w:pPr>
        <w:ind w:firstLine="644"/>
        <w:spacing w:after="0" w:line="263" w:lineRule="auto"/>
        <w:tabs>
          <w:tab w:leader="none" w:pos="1179"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a period of at least 12 months during which a Grantee may earn Performance-Based Compensation.</w:t>
      </w:r>
    </w:p>
    <w:p>
      <w:pPr>
        <w:spacing w:after="0" w:line="174" w:lineRule="exact"/>
        <w:rPr>
          <w:rFonts w:ascii="Arial" w:cs="Arial" w:eastAsia="Arial" w:hAnsi="Arial"/>
          <w:sz w:val="22"/>
          <w:szCs w:val="22"/>
          <w:color w:val="auto"/>
        </w:rPr>
      </w:pPr>
    </w:p>
    <w:p>
      <w:pPr>
        <w:ind w:left="1260" w:hanging="616"/>
        <w:spacing w:after="0"/>
        <w:tabs>
          <w:tab w:leader="none" w:pos="12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partnership, an association, a trust or any other entity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organization.</w:t>
      </w:r>
    </w:p>
    <w:p>
      <w:pPr>
        <w:spacing w:after="0" w:line="201" w:lineRule="exact"/>
        <w:rPr>
          <w:rFonts w:ascii="Arial" w:cs="Arial" w:eastAsia="Arial" w:hAnsi="Arial"/>
          <w:sz w:val="19"/>
          <w:szCs w:val="19"/>
          <w:color w:val="auto"/>
        </w:rPr>
      </w:pPr>
    </w:p>
    <w:p>
      <w:pPr>
        <w:ind w:left="1120" w:hanging="476"/>
        <w:spacing w:after="0"/>
        <w:tabs>
          <w:tab w:leader="none" w:pos="11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the Comcast Corporation 2002 Restricted Stock Plan, as set forth herein, and as amended from</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to time.</w:t>
      </w:r>
    </w:p>
    <w:p>
      <w:pPr>
        <w:spacing w:after="0" w:line="201" w:lineRule="exact"/>
        <w:rPr>
          <w:rFonts w:ascii="Arial" w:cs="Arial" w:eastAsia="Arial" w:hAnsi="Arial"/>
          <w:sz w:val="19"/>
          <w:szCs w:val="19"/>
          <w:color w:val="auto"/>
        </w:rPr>
      </w:pPr>
    </w:p>
    <w:p>
      <w:pPr>
        <w:ind w:left="1220" w:hanging="576"/>
        <w:spacing w:after="0"/>
        <w:tabs>
          <w:tab w:leader="none" w:pos="12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the calendar year.</w:t>
      </w:r>
    </w:p>
    <w:p>
      <w:pPr>
        <w:spacing w:after="0" w:line="219" w:lineRule="exact"/>
        <w:rPr>
          <w:rFonts w:ascii="Arial" w:cs="Arial" w:eastAsia="Arial" w:hAnsi="Arial"/>
          <w:sz w:val="22"/>
          <w:szCs w:val="22"/>
          <w:color w:val="auto"/>
        </w:rPr>
      </w:pPr>
    </w:p>
    <w:p>
      <w:pPr>
        <w:jc w:val="both"/>
        <w:ind w:firstLine="644"/>
        <w:spacing w:after="0" w:line="248" w:lineRule="auto"/>
        <w:tabs>
          <w:tab w:leader="none" w:pos="1237"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22"/>
          <w:szCs w:val="22"/>
          <w:u w:val="single" w:color="auto"/>
          <w:color w:val="auto"/>
        </w:rPr>
        <w:t>The Wall Street Journal</w:t>
      </w:r>
      <w:r>
        <w:rPr>
          <w:rFonts w:ascii="Arial" w:cs="Arial" w:eastAsia="Arial" w:hAnsi="Arial"/>
          <w:sz w:val="22"/>
          <w:szCs w:val="22"/>
          <w:color w:val="auto"/>
        </w:rPr>
        <w:t xml:space="preserve"> on the last business day preceding the first day of such calendar year, and as adjusted as of the last business day preceding the first day of each calendar year beginning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80"/>
          </w:cols>
          <w:pgMar w:left="980" w:top="1428" w:right="339" w:bottom="1440" w:gutter="0" w:footer="0" w:header="0"/>
        </w:sectPr>
      </w:pPr>
    </w:p>
    <w:bookmarkStart w:id="48" w:name="page49"/>
    <w:bookmarkEnd w:id="48"/>
    <w:p>
      <w:pPr>
        <w:jc w:val="both"/>
        <w:ind w:firstLine="644"/>
        <w:spacing w:after="0" w:line="312" w:lineRule="auto"/>
        <w:tabs>
          <w:tab w:leader="none" w:pos="1374" w:val="left"/>
        </w:tabs>
        <w:numPr>
          <w:ilvl w:val="0"/>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Regular Deferral Election</w:t>
      </w:r>
      <w:r>
        <w:rPr>
          <w:rFonts w:ascii="Arial" w:cs="Arial" w:eastAsia="Arial" w:hAnsi="Arial"/>
          <w:sz w:val="19"/>
          <w:szCs w:val="19"/>
          <w:color w:val="auto"/>
        </w:rPr>
        <w:t>” means a written election on a form provided by the Committee, pursuant to which a Grantee: (i) elects, within the time or times specified in Paragraph 8(a)(ii), to defer the distribution date of Shares issuable with respect to Restricted Stock Units; and (ii) designates the distribution date of such Shares.</w:t>
      </w:r>
    </w:p>
    <w:p>
      <w:pPr>
        <w:spacing w:after="0" w:line="133" w:lineRule="exact"/>
        <w:rPr>
          <w:rFonts w:ascii="Arial" w:cs="Arial" w:eastAsia="Arial" w:hAnsi="Arial"/>
          <w:sz w:val="19"/>
          <w:szCs w:val="19"/>
          <w:color w:val="auto"/>
        </w:rPr>
      </w:pPr>
    </w:p>
    <w:p>
      <w:pPr>
        <w:ind w:left="1220" w:hanging="576"/>
        <w:spacing w:after="0"/>
        <w:tabs>
          <w:tab w:leader="none" w:pos="12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Shares subject to restrictions as set forth in an Award.</w:t>
      </w:r>
    </w:p>
    <w:p>
      <w:pPr>
        <w:spacing w:after="0" w:line="219" w:lineRule="exact"/>
        <w:rPr>
          <w:rFonts w:ascii="Arial" w:cs="Arial" w:eastAsia="Arial" w:hAnsi="Arial"/>
          <w:sz w:val="22"/>
          <w:szCs w:val="22"/>
          <w:color w:val="auto"/>
        </w:rPr>
      </w:pPr>
    </w:p>
    <w:p>
      <w:pPr>
        <w:ind w:right="20" w:firstLine="644"/>
        <w:spacing w:after="0" w:line="263" w:lineRule="auto"/>
        <w:tabs>
          <w:tab w:leader="none" w:pos="1237"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w:t>
      </w:r>
      <w:r>
        <w:rPr>
          <w:rFonts w:ascii="Arial" w:cs="Arial" w:eastAsia="Arial" w:hAnsi="Arial"/>
          <w:sz w:val="22"/>
          <w:szCs w:val="22"/>
          <w:color w:val="auto"/>
        </w:rPr>
        <w:t>” means a unit that entitles the Grantee, upon the Vesting Date set forth in an Award, to receive one Share.</w:t>
      </w:r>
    </w:p>
    <w:p>
      <w:pPr>
        <w:spacing w:after="0" w:line="174" w:lineRule="exact"/>
        <w:rPr>
          <w:rFonts w:ascii="Arial" w:cs="Arial" w:eastAsia="Arial" w:hAnsi="Arial"/>
          <w:sz w:val="22"/>
          <w:szCs w:val="22"/>
          <w:color w:val="auto"/>
        </w:rPr>
      </w:pPr>
    </w:p>
    <w:p>
      <w:pPr>
        <w:ind w:left="1200" w:hanging="556"/>
        <w:spacing w:after="0"/>
        <w:tabs>
          <w:tab w:leader="none" w:pos="12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Retired Grantee</w:t>
      </w:r>
      <w:r>
        <w:rPr>
          <w:rFonts w:ascii="Arial" w:cs="Arial" w:eastAsia="Arial" w:hAnsi="Arial"/>
          <w:sz w:val="19"/>
          <w:szCs w:val="19"/>
          <w:color w:val="auto"/>
        </w:rPr>
        <w:t>” means a Grantee who has terminated employment pursuant to a Normal Retirement.</w:t>
      </w:r>
    </w:p>
    <w:p>
      <w:pPr>
        <w:spacing w:after="0" w:line="254" w:lineRule="exact"/>
        <w:rPr>
          <w:sz w:val="20"/>
          <w:szCs w:val="20"/>
          <w:color w:val="auto"/>
        </w:rPr>
      </w:pPr>
    </w:p>
    <w:p>
      <w:pPr>
        <w:ind w:left="1300" w:hanging="656"/>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16b-3</w:t>
      </w:r>
      <w:r>
        <w:rPr>
          <w:rFonts w:ascii="Arial" w:cs="Arial" w:eastAsia="Arial" w:hAnsi="Arial"/>
          <w:sz w:val="22"/>
          <w:szCs w:val="22"/>
          <w:color w:val="auto"/>
        </w:rPr>
        <w:t>” means Rule 16b-3 promulgated under the 1934 Act, as in effect from time to time.</w:t>
      </w:r>
    </w:p>
    <w:p>
      <w:pPr>
        <w:spacing w:after="0" w:line="219" w:lineRule="exact"/>
        <w:rPr>
          <w:rFonts w:ascii="Arial" w:cs="Arial" w:eastAsia="Arial" w:hAnsi="Arial"/>
          <w:sz w:val="22"/>
          <w:szCs w:val="22"/>
          <w:color w:val="auto"/>
        </w:rPr>
      </w:pPr>
    </w:p>
    <w:p>
      <w:pPr>
        <w:ind w:left="1360" w:hanging="716"/>
        <w:spacing w:after="0"/>
        <w:tabs>
          <w:tab w:leader="none" w:pos="13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16 Officer</w:t>
      </w:r>
      <w:r>
        <w:rPr>
          <w:rFonts w:ascii="Arial" w:cs="Arial" w:eastAsia="Arial" w:hAnsi="Arial"/>
          <w:sz w:val="19"/>
          <w:szCs w:val="19"/>
          <w:color w:val="auto"/>
        </w:rPr>
        <w:t>” means an “officer” of the Company, as defined pursuant to Rule 16a-1(f) under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1934 Act.</w:t>
      </w:r>
    </w:p>
    <w:p>
      <w:pPr>
        <w:spacing w:after="0" w:line="201" w:lineRule="exact"/>
        <w:rPr>
          <w:rFonts w:ascii="Arial" w:cs="Arial" w:eastAsia="Arial" w:hAnsi="Arial"/>
          <w:sz w:val="19"/>
          <w:szCs w:val="19"/>
          <w:color w:val="auto"/>
        </w:rPr>
      </w:pPr>
    </w:p>
    <w:p>
      <w:pPr>
        <w:ind w:left="1300" w:hanging="656"/>
        <w:spacing w:after="0"/>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or “</w:t>
      </w:r>
      <w:r>
        <w:rPr>
          <w:rFonts w:ascii="Arial" w:cs="Arial" w:eastAsia="Arial" w:hAnsi="Arial"/>
          <w:sz w:val="22"/>
          <w:szCs w:val="22"/>
          <w:u w:val="single" w:color="auto"/>
          <w:color w:val="auto"/>
        </w:rPr>
        <w:t>Shares</w:t>
      </w:r>
      <w:r>
        <w:rPr>
          <w:rFonts w:ascii="Arial" w:cs="Arial" w:eastAsia="Arial" w:hAnsi="Arial"/>
          <w:sz w:val="22"/>
          <w:szCs w:val="22"/>
          <w:color w:val="auto"/>
        </w:rPr>
        <w:t>” means a share or shares of Common Stock.</w:t>
      </w:r>
    </w:p>
    <w:p>
      <w:pPr>
        <w:spacing w:after="0" w:line="219" w:lineRule="exact"/>
        <w:rPr>
          <w:rFonts w:ascii="Arial" w:cs="Arial" w:eastAsia="Arial" w:hAnsi="Arial"/>
          <w:sz w:val="22"/>
          <w:szCs w:val="22"/>
          <w:color w:val="auto"/>
        </w:rPr>
      </w:pPr>
    </w:p>
    <w:p>
      <w:pPr>
        <w:jc w:val="both"/>
        <w:ind w:firstLine="644"/>
        <w:spacing w:after="0" w:line="263" w:lineRule="auto"/>
        <w:tabs>
          <w:tab w:leader="none" w:pos="1359" w:val="left"/>
        </w:tabs>
        <w:numPr>
          <w:ilvl w:val="0"/>
          <w:numId w:val="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Diversification Election</w:t>
      </w:r>
      <w:r>
        <w:rPr>
          <w:rFonts w:ascii="Arial" w:cs="Arial" w:eastAsia="Arial" w:hAnsi="Arial"/>
          <w:sz w:val="21"/>
          <w:szCs w:val="21"/>
          <w:color w:val="auto"/>
        </w:rPr>
        <w:t>” means, with respect to each separate Award, a Diversification Election made before October 22, 2020 by a Grantee other than a Non-Employee Director to have more than 40 percent of the Deferred Stock Units credited to such Grantee’s Account in the Company Stock Fund liquidated and credited thereafter under the Income Fund or an Other Investment Fund, as provided in Paragraph 8(k)(i), if (and to the extent that) it is approved by the Committee or its delegate in accordance with Paragraph 8(k)(ii).</w:t>
      </w:r>
    </w:p>
    <w:p>
      <w:pPr>
        <w:spacing w:after="0" w:line="175" w:lineRule="exact"/>
        <w:rPr>
          <w:rFonts w:ascii="Arial" w:cs="Arial" w:eastAsia="Arial" w:hAnsi="Arial"/>
          <w:sz w:val="21"/>
          <w:szCs w:val="21"/>
          <w:color w:val="auto"/>
        </w:rPr>
      </w:pPr>
    </w:p>
    <w:p>
      <w:pPr>
        <w:jc w:val="both"/>
        <w:ind w:firstLine="644"/>
        <w:spacing w:after="0" w:line="265" w:lineRule="auto"/>
        <w:tabs>
          <w:tab w:leader="none" w:pos="1322" w:val="left"/>
        </w:tabs>
        <w:numPr>
          <w:ilvl w:val="0"/>
          <w:numId w:val="5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Subsequent Deferral Election</w:t>
      </w:r>
      <w:r>
        <w:rPr>
          <w:rFonts w:ascii="Arial" w:cs="Arial" w:eastAsia="Arial" w:hAnsi="Arial"/>
          <w:sz w:val="21"/>
          <w:szCs w:val="21"/>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75" w:lineRule="exact"/>
        <w:rPr>
          <w:rFonts w:ascii="Arial" w:cs="Arial" w:eastAsia="Arial" w:hAnsi="Arial"/>
          <w:sz w:val="21"/>
          <w:szCs w:val="21"/>
          <w:color w:val="auto"/>
        </w:rPr>
      </w:pPr>
    </w:p>
    <w:p>
      <w:pPr>
        <w:ind w:right="20" w:firstLine="644"/>
        <w:spacing w:after="0" w:line="263" w:lineRule="auto"/>
        <w:tabs>
          <w:tab w:leader="none" w:pos="131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Companies</w:t>
      </w:r>
      <w:r>
        <w:rPr>
          <w:rFonts w:ascii="Arial" w:cs="Arial" w:eastAsia="Arial" w:hAnsi="Arial"/>
          <w:sz w:val="22"/>
          <w:szCs w:val="22"/>
          <w:color w:val="auto"/>
        </w:rPr>
        <w:t>” means all business entities that, at the time in question, are subsidiaries of the Company, within the meaning of section 424(f) of the Code.</w:t>
      </w:r>
    </w:p>
    <w:p>
      <w:pPr>
        <w:spacing w:after="0" w:line="174" w:lineRule="exact"/>
        <w:rPr>
          <w:rFonts w:ascii="Arial" w:cs="Arial" w:eastAsia="Arial" w:hAnsi="Arial"/>
          <w:sz w:val="22"/>
          <w:szCs w:val="22"/>
          <w:color w:val="auto"/>
        </w:rPr>
      </w:pPr>
    </w:p>
    <w:p>
      <w:pPr>
        <w:ind w:right="20" w:firstLine="644"/>
        <w:spacing w:after="0" w:line="263" w:lineRule="auto"/>
        <w:tabs>
          <w:tab w:leader="none" w:pos="1359"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Successor-in-Interest</w:t>
      </w:r>
      <w:r>
        <w:rPr>
          <w:rFonts w:ascii="Arial" w:cs="Arial" w:eastAsia="Arial" w:hAnsi="Arial"/>
          <w:sz w:val="22"/>
          <w:szCs w:val="22"/>
          <w:color w:val="auto"/>
        </w:rPr>
        <w:t>” means the estate or beneficiary to whom the right to payment under the Plan shall have passed by will or the laws of descent and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580"/>
          </w:cols>
          <w:pgMar w:left="980" w:top="1428" w:right="339" w:bottom="1440" w:gutter="0" w:footer="0" w:header="0"/>
        </w:sectPr>
      </w:pPr>
    </w:p>
    <w:bookmarkStart w:id="49" w:name="page50"/>
    <w:bookmarkEnd w:id="49"/>
    <w:p>
      <w:pPr>
        <w:ind w:left="1324" w:hanging="676"/>
        <w:spacing w:after="0"/>
        <w:tabs>
          <w:tab w:leader="none" w:pos="1324"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Terminating Event</w:t>
      </w:r>
      <w:r>
        <w:rPr>
          <w:rFonts w:ascii="Arial" w:cs="Arial" w:eastAsia="Arial" w:hAnsi="Arial"/>
          <w:sz w:val="22"/>
          <w:szCs w:val="22"/>
          <w:color w:val="auto"/>
        </w:rPr>
        <w:t>” means a Change in Control.</w:t>
      </w:r>
    </w:p>
    <w:p>
      <w:pPr>
        <w:spacing w:after="0" w:line="219" w:lineRule="exact"/>
        <w:rPr>
          <w:rFonts w:ascii="Arial" w:cs="Arial" w:eastAsia="Arial" w:hAnsi="Arial"/>
          <w:sz w:val="22"/>
          <w:szCs w:val="22"/>
          <w:color w:val="auto"/>
        </w:rPr>
      </w:pPr>
    </w:p>
    <w:p>
      <w:pPr>
        <w:ind w:left="4" w:firstLine="644"/>
        <w:spacing w:after="0" w:line="263" w:lineRule="auto"/>
        <w:tabs>
          <w:tab w:leader="none" w:pos="1313"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together with such Person’s Affiliates, provided that the term “Third Party” shall not include the Company or an Affiliate of the Company.</w:t>
      </w:r>
    </w:p>
    <w:p>
      <w:pPr>
        <w:spacing w:after="0" w:line="174" w:lineRule="exact"/>
        <w:rPr>
          <w:rFonts w:ascii="Arial" w:cs="Arial" w:eastAsia="Arial" w:hAnsi="Arial"/>
          <w:sz w:val="22"/>
          <w:szCs w:val="22"/>
          <w:color w:val="auto"/>
        </w:rPr>
      </w:pPr>
    </w:p>
    <w:p>
      <w:pPr>
        <w:ind w:left="4" w:firstLine="644"/>
        <w:spacing w:after="0" w:line="263" w:lineRule="auto"/>
        <w:tabs>
          <w:tab w:leader="none" w:pos="1205"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Date</w:t>
      </w:r>
      <w:r>
        <w:rPr>
          <w:rFonts w:ascii="Arial" w:cs="Arial" w:eastAsia="Arial" w:hAnsi="Arial"/>
          <w:sz w:val="22"/>
          <w:szCs w:val="22"/>
          <w:color w:val="auto"/>
        </w:rPr>
        <w:t>” means, as applicable: (i) the date on which the restrictions imposed on a Share of Restricted Stock lapse or (ii) the date on which the Grantee vests in a Restricted Stock Unit.</w:t>
      </w:r>
    </w:p>
    <w:p>
      <w:pPr>
        <w:spacing w:after="0" w:line="174" w:lineRule="exact"/>
        <w:rPr>
          <w:rFonts w:ascii="Arial" w:cs="Arial" w:eastAsia="Arial" w:hAnsi="Arial"/>
          <w:sz w:val="22"/>
          <w:szCs w:val="22"/>
          <w:color w:val="auto"/>
        </w:rPr>
      </w:pPr>
    </w:p>
    <w:p>
      <w:pPr>
        <w:ind w:left="1324" w:hanging="676"/>
        <w:spacing w:after="0"/>
        <w:tabs>
          <w:tab w:leader="none" w:pos="1324"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1933 Act</w:t>
      </w:r>
      <w:r>
        <w:rPr>
          <w:rFonts w:ascii="Arial" w:cs="Arial" w:eastAsia="Arial" w:hAnsi="Arial"/>
          <w:sz w:val="22"/>
          <w:szCs w:val="22"/>
          <w:color w:val="auto"/>
        </w:rPr>
        <w:t>” means the Securities Act of 1933, as amended.</w:t>
      </w:r>
    </w:p>
    <w:p>
      <w:pPr>
        <w:spacing w:after="0" w:line="219" w:lineRule="exact"/>
        <w:rPr>
          <w:rFonts w:ascii="Arial" w:cs="Arial" w:eastAsia="Arial" w:hAnsi="Arial"/>
          <w:sz w:val="22"/>
          <w:szCs w:val="22"/>
          <w:color w:val="auto"/>
        </w:rPr>
      </w:pPr>
    </w:p>
    <w:p>
      <w:pPr>
        <w:ind w:left="1184" w:hanging="536"/>
        <w:spacing w:after="0"/>
        <w:tabs>
          <w:tab w:leader="none" w:pos="1184"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213" w:lineRule="exact"/>
        <w:rPr>
          <w:rFonts w:ascii="Arial" w:cs="Arial" w:eastAsia="Arial" w:hAnsi="Arial"/>
          <w:sz w:val="22"/>
          <w:szCs w:val="22"/>
          <w:color w:val="auto"/>
        </w:rPr>
      </w:pPr>
    </w:p>
    <w:p>
      <w:pPr>
        <w:ind w:left="644" w:hanging="644"/>
        <w:spacing w:after="0"/>
        <w:tabs>
          <w:tab w:leader="none" w:pos="644"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RIGHTS TO BE GRANTED</w:t>
      </w:r>
    </w:p>
    <w:p>
      <w:pPr>
        <w:spacing w:after="0" w:line="225" w:lineRule="exact"/>
        <w:rPr>
          <w:rFonts w:ascii="Arial" w:cs="Arial" w:eastAsia="Arial" w:hAnsi="Arial"/>
          <w:sz w:val="22"/>
          <w:szCs w:val="22"/>
          <w:b w:val="1"/>
          <w:bCs w:val="1"/>
          <w:color w:val="auto"/>
        </w:rPr>
      </w:pPr>
    </w:p>
    <w:p>
      <w:pPr>
        <w:ind w:left="644"/>
        <w:spacing w:after="0"/>
        <w:rPr>
          <w:rFonts w:ascii="Arial" w:cs="Arial" w:eastAsia="Arial" w:hAnsi="Arial"/>
          <w:sz w:val="22"/>
          <w:szCs w:val="22"/>
          <w:b w:val="1"/>
          <w:bCs w:val="1"/>
          <w:color w:val="auto"/>
        </w:rPr>
      </w:pPr>
      <w:r>
        <w:rPr>
          <w:rFonts w:ascii="Arial" w:cs="Arial" w:eastAsia="Arial" w:hAnsi="Arial"/>
          <w:sz w:val="22"/>
          <w:szCs w:val="22"/>
          <w:color w:val="auto"/>
        </w:rPr>
        <w:t>Rights that may be granted under the Plan are:</w:t>
      </w:r>
    </w:p>
    <w:p>
      <w:pPr>
        <w:spacing w:after="0" w:line="219" w:lineRule="exact"/>
        <w:rPr>
          <w:rFonts w:ascii="Arial" w:cs="Arial" w:eastAsia="Arial" w:hAnsi="Arial"/>
          <w:sz w:val="22"/>
          <w:szCs w:val="22"/>
          <w:b w:val="1"/>
          <w:bCs w:val="1"/>
          <w:color w:val="auto"/>
        </w:rPr>
      </w:pPr>
    </w:p>
    <w:p>
      <w:pPr>
        <w:jc w:val="both"/>
        <w:ind w:left="4" w:firstLine="644"/>
        <w:spacing w:after="0" w:line="253" w:lineRule="auto"/>
        <w:tabs>
          <w:tab w:leader="none" w:pos="1297" w:val="left"/>
        </w:tabs>
        <w:numPr>
          <w:ilvl w:val="1"/>
          <w:numId w:val="53"/>
        </w:numPr>
        <w:rPr>
          <w:rFonts w:ascii="Arial" w:cs="Arial" w:eastAsia="Arial" w:hAnsi="Arial"/>
          <w:sz w:val="22"/>
          <w:szCs w:val="22"/>
          <w:color w:val="auto"/>
        </w:rPr>
      </w:pPr>
      <w:r>
        <w:rPr>
          <w:rFonts w:ascii="Arial" w:cs="Arial" w:eastAsia="Arial" w:hAnsi="Arial"/>
          <w:sz w:val="22"/>
          <w:szCs w:val="22"/>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85" w:lineRule="exact"/>
        <w:rPr>
          <w:rFonts w:ascii="Arial" w:cs="Arial" w:eastAsia="Arial" w:hAnsi="Arial"/>
          <w:sz w:val="22"/>
          <w:szCs w:val="22"/>
          <w:color w:val="auto"/>
        </w:rPr>
      </w:pPr>
    </w:p>
    <w:p>
      <w:pPr>
        <w:jc w:val="both"/>
        <w:ind w:left="4" w:firstLine="644"/>
        <w:spacing w:after="0" w:line="250" w:lineRule="auto"/>
        <w:tabs>
          <w:tab w:leader="none" w:pos="1295" w:val="left"/>
        </w:tabs>
        <w:numPr>
          <w:ilvl w:val="1"/>
          <w:numId w:val="53"/>
        </w:numPr>
        <w:rPr>
          <w:rFonts w:ascii="Arial" w:cs="Arial" w:eastAsia="Arial" w:hAnsi="Arial"/>
          <w:sz w:val="22"/>
          <w:szCs w:val="22"/>
          <w:color w:val="auto"/>
        </w:rPr>
      </w:pPr>
      <w:r>
        <w:rPr>
          <w:rFonts w:ascii="Arial" w:cs="Arial" w:eastAsia="Arial" w:hAnsi="Arial"/>
          <w:sz w:val="22"/>
          <w:szCs w:val="22"/>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4.0 million Shares.</w:t>
      </w:r>
    </w:p>
    <w:p>
      <w:pPr>
        <w:spacing w:after="0" w:line="181" w:lineRule="exact"/>
        <w:rPr>
          <w:rFonts w:ascii="Arial" w:cs="Arial" w:eastAsia="Arial" w:hAnsi="Arial"/>
          <w:sz w:val="22"/>
          <w:szCs w:val="22"/>
          <w:color w:val="auto"/>
        </w:rPr>
      </w:pPr>
    </w:p>
    <w:p>
      <w:pPr>
        <w:ind w:left="644" w:hanging="644"/>
        <w:spacing w:after="0"/>
        <w:tabs>
          <w:tab w:leader="none" w:pos="644"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SHARES SUBJECT TO THE PLAN</w:t>
      </w:r>
    </w:p>
    <w:p>
      <w:pPr>
        <w:spacing w:after="0" w:line="225" w:lineRule="exact"/>
        <w:rPr>
          <w:rFonts w:ascii="Arial" w:cs="Arial" w:eastAsia="Arial" w:hAnsi="Arial"/>
          <w:sz w:val="22"/>
          <w:szCs w:val="22"/>
          <w:b w:val="1"/>
          <w:bCs w:val="1"/>
          <w:color w:val="auto"/>
        </w:rPr>
      </w:pPr>
    </w:p>
    <w:p>
      <w:pPr>
        <w:jc w:val="both"/>
        <w:ind w:left="4" w:firstLine="644"/>
        <w:spacing w:after="0" w:line="312" w:lineRule="auto"/>
        <w:tabs>
          <w:tab w:leader="none" w:pos="1297"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Shares Available for Grant</w:t>
      </w:r>
      <w:r>
        <w:rPr>
          <w:rFonts w:ascii="Arial" w:cs="Arial" w:eastAsia="Arial" w:hAnsi="Arial"/>
          <w:sz w:val="19"/>
          <w:szCs w:val="19"/>
          <w:color w:val="auto"/>
        </w:rPr>
        <w:t>. Subject to adjustment as provided in Paragraph 10, not more than 304 million Shares in the aggregate may be issued under the Plan pursuant to the grant of Awards. The Shares issued under the Plan may, at the Company’s option, be either Shares held in treasury or Shares originally issued for such purpose.</w:t>
      </w:r>
    </w:p>
    <w:p>
      <w:pPr>
        <w:spacing w:after="0" w:line="133" w:lineRule="exact"/>
        <w:rPr>
          <w:rFonts w:ascii="Arial" w:cs="Arial" w:eastAsia="Arial" w:hAnsi="Arial"/>
          <w:sz w:val="19"/>
          <w:szCs w:val="19"/>
          <w:color w:val="auto"/>
        </w:rPr>
      </w:pPr>
    </w:p>
    <w:p>
      <w:pPr>
        <w:jc w:val="both"/>
        <w:ind w:left="4" w:firstLine="644"/>
        <w:spacing w:after="0" w:line="253" w:lineRule="auto"/>
        <w:tabs>
          <w:tab w:leader="none" w:pos="1295"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Shares Returned to the Reserve</w:t>
      </w:r>
      <w:r>
        <w:rPr>
          <w:rFonts w:ascii="Arial" w:cs="Arial" w:eastAsia="Arial" w:hAnsi="Arial"/>
          <w:sz w:val="22"/>
          <w:szCs w:val="22"/>
          <w:color w:val="auto"/>
        </w:rPr>
        <w:t>. If Restricted Stock or Restricted Stock Units are forfeited pursuant to the terms of an Award, the Shares underlying such forfeited Award shall return to the pool of Shares available for issuance under the Plan.</w:t>
      </w:r>
    </w:p>
    <w:p>
      <w:pPr>
        <w:spacing w:after="0" w:line="185" w:lineRule="exact"/>
        <w:rPr>
          <w:rFonts w:ascii="Arial" w:cs="Arial" w:eastAsia="Arial" w:hAnsi="Arial"/>
          <w:sz w:val="22"/>
          <w:szCs w:val="22"/>
          <w:color w:val="auto"/>
        </w:rPr>
      </w:pPr>
    </w:p>
    <w:p>
      <w:pPr>
        <w:jc w:val="both"/>
        <w:ind w:left="4" w:firstLine="644"/>
        <w:spacing w:after="0" w:line="253" w:lineRule="auto"/>
        <w:tabs>
          <w:tab w:leader="none" w:pos="1297"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Share Recycling Prohibitions</w:t>
      </w:r>
      <w:r>
        <w:rPr>
          <w:rFonts w:ascii="Arial" w:cs="Arial" w:eastAsia="Arial" w:hAnsi="Arial"/>
          <w:sz w:val="22"/>
          <w:szCs w:val="22"/>
          <w:color w:val="auto"/>
        </w:rPr>
        <w:t>. If the Company withholds Shares to satisfy its tax withholding obligations, such withheld Shares shall not again become available for Awards or increase the number of Shares available for grant under Paragraph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584"/>
          </w:cols>
          <w:pgMar w:left="976" w:top="1428" w:right="339" w:bottom="1440" w:gutter="0" w:footer="0" w:header="0"/>
        </w:sectPr>
      </w:pPr>
    </w:p>
    <w:bookmarkStart w:id="50" w:name="page51"/>
    <w:bookmarkEnd w:id="50"/>
    <w:p>
      <w:pPr>
        <w:ind w:left="644" w:hanging="644"/>
        <w:spacing w:after="0"/>
        <w:tabs>
          <w:tab w:leader="none" w:pos="644"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 OF THE PLAN</w:t>
      </w:r>
    </w:p>
    <w:p>
      <w:pPr>
        <w:spacing w:after="0" w:line="225" w:lineRule="exact"/>
        <w:rPr>
          <w:rFonts w:ascii="Arial" w:cs="Arial" w:eastAsia="Arial" w:hAnsi="Arial"/>
          <w:sz w:val="22"/>
          <w:szCs w:val="22"/>
          <w:b w:val="1"/>
          <w:bCs w:val="1"/>
          <w:color w:val="auto"/>
        </w:rPr>
      </w:pPr>
    </w:p>
    <w:p>
      <w:pPr>
        <w:jc w:val="both"/>
        <w:ind w:left="4" w:firstLine="644"/>
        <w:spacing w:after="0" w:line="271" w:lineRule="auto"/>
        <w:tabs>
          <w:tab w:leader="none" w:pos="1297"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Administration</w:t>
      </w:r>
      <w:r>
        <w:rPr>
          <w:rFonts w:ascii="Arial" w:cs="Arial" w:eastAsia="Arial" w:hAnsi="Arial"/>
          <w:sz w:val="21"/>
          <w:szCs w:val="21"/>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167" w:lineRule="exact"/>
        <w:rPr>
          <w:rFonts w:ascii="Arial" w:cs="Arial" w:eastAsia="Arial" w:hAnsi="Arial"/>
          <w:sz w:val="21"/>
          <w:szCs w:val="21"/>
          <w:color w:val="auto"/>
        </w:rPr>
      </w:pPr>
    </w:p>
    <w:p>
      <w:pPr>
        <w:jc w:val="both"/>
        <w:ind w:left="4" w:firstLine="644"/>
        <w:spacing w:after="0" w:line="261" w:lineRule="auto"/>
        <w:tabs>
          <w:tab w:leader="none" w:pos="1295"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Grants</w:t>
      </w:r>
      <w:r>
        <w:rPr>
          <w:rFonts w:ascii="Arial" w:cs="Arial" w:eastAsia="Arial" w:hAnsi="Arial"/>
          <w:sz w:val="21"/>
          <w:szCs w:val="21"/>
          <w:color w:val="auto"/>
        </w:rPr>
        <w:t>. Subject to the express terms and conditions set forth in the Plan, the Committee shall have the power, from time to time, to 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The determination of the Committee in all such matters shall be conclusive.</w:t>
      </w:r>
    </w:p>
    <w:p>
      <w:pPr>
        <w:spacing w:after="0" w:line="179" w:lineRule="exact"/>
        <w:rPr>
          <w:rFonts w:ascii="Arial" w:cs="Arial" w:eastAsia="Arial" w:hAnsi="Arial"/>
          <w:sz w:val="21"/>
          <w:szCs w:val="21"/>
          <w:color w:val="auto"/>
        </w:rPr>
      </w:pPr>
    </w:p>
    <w:p>
      <w:pPr>
        <w:jc w:val="both"/>
        <w:ind w:left="4" w:firstLine="644"/>
        <w:spacing w:after="0" w:line="253" w:lineRule="auto"/>
        <w:tabs>
          <w:tab w:leader="none" w:pos="1297"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Meetings</w:t>
      </w:r>
      <w:r>
        <w:rPr>
          <w:rFonts w:ascii="Arial" w:cs="Arial" w:eastAsia="Arial" w:hAnsi="Arial"/>
          <w:sz w:val="22"/>
          <w:szCs w:val="22"/>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5" w:lineRule="exact"/>
        <w:rPr>
          <w:rFonts w:ascii="Arial" w:cs="Arial" w:eastAsia="Arial" w:hAnsi="Arial"/>
          <w:sz w:val="22"/>
          <w:szCs w:val="22"/>
          <w:color w:val="auto"/>
        </w:rPr>
      </w:pPr>
    </w:p>
    <w:p>
      <w:pPr>
        <w:jc w:val="both"/>
        <w:ind w:left="4" w:firstLine="644"/>
        <w:spacing w:after="0" w:line="247" w:lineRule="auto"/>
        <w:tabs>
          <w:tab w:leader="none" w:pos="1295"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Exculpation</w:t>
      </w:r>
      <w:r>
        <w:rPr>
          <w:rFonts w:ascii="Arial" w:cs="Arial" w:eastAsia="Arial" w:hAnsi="Arial"/>
          <w:sz w:val="22"/>
          <w:szCs w:val="22"/>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92" w:lineRule="exact"/>
        <w:rPr>
          <w:rFonts w:ascii="Arial" w:cs="Arial" w:eastAsia="Arial" w:hAnsi="Arial"/>
          <w:sz w:val="22"/>
          <w:szCs w:val="22"/>
          <w:color w:val="auto"/>
        </w:rPr>
      </w:pPr>
    </w:p>
    <w:p>
      <w:pPr>
        <w:jc w:val="both"/>
        <w:ind w:left="4" w:firstLine="644"/>
        <w:spacing w:after="0" w:line="294" w:lineRule="auto"/>
        <w:tabs>
          <w:tab w:leader="none" w:pos="1297"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49" w:lineRule="exact"/>
        <w:rPr>
          <w:rFonts w:ascii="Arial" w:cs="Arial" w:eastAsia="Arial" w:hAnsi="Arial"/>
          <w:sz w:val="19"/>
          <w:szCs w:val="19"/>
          <w:color w:val="auto"/>
        </w:rPr>
      </w:pPr>
    </w:p>
    <w:p>
      <w:pPr>
        <w:jc w:val="both"/>
        <w:ind w:left="4" w:firstLine="644"/>
        <w:spacing w:after="0" w:line="263" w:lineRule="auto"/>
        <w:tabs>
          <w:tab w:leader="none" w:pos="1840"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Delegation of Authority</w:t>
      </w:r>
      <w:r>
        <w:rPr>
          <w:rFonts w:ascii="Arial" w:cs="Arial" w:eastAsia="Arial" w:hAnsi="Arial"/>
          <w:sz w:val="21"/>
          <w:szCs w:val="21"/>
          <w:color w:val="auto"/>
        </w:rPr>
        <w:t>. The Committee may delegate its authority with respect to the grant, amendment, interpretation and administration of grants and awards of restricted stock and restricted stock units to a person, persons or committee, in its sole and absolute discretion. Actions taken by the Committee’s duly-authorized delegate shall have the same force and effect as actions taken by the Committee. Any delegation of authority pursuant to this Paragraph 5(f) shall continue in effect until the earliest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584"/>
          </w:cols>
          <w:pgMar w:left="976" w:top="1422" w:right="339" w:bottom="1440" w:gutter="0" w:footer="0" w:header="0"/>
        </w:sectPr>
      </w:pPr>
    </w:p>
    <w:bookmarkStart w:id="51" w:name="page52"/>
    <w:bookmarkEnd w:id="51"/>
    <w:p>
      <w:pPr>
        <w:ind w:left="1944" w:hanging="852"/>
        <w:spacing w:after="0" w:line="263" w:lineRule="auto"/>
        <w:tabs>
          <w:tab w:leader="none" w:pos="1944" w:val="left"/>
        </w:tabs>
        <w:numPr>
          <w:ilvl w:val="1"/>
          <w:numId w:val="55"/>
        </w:numPr>
        <w:rPr>
          <w:rFonts w:ascii="Arial" w:cs="Arial" w:eastAsia="Arial" w:hAnsi="Arial"/>
          <w:sz w:val="22"/>
          <w:szCs w:val="22"/>
          <w:color w:val="auto"/>
        </w:rPr>
      </w:pPr>
      <w:r>
        <w:rPr>
          <w:rFonts w:ascii="Arial" w:cs="Arial" w:eastAsia="Arial" w:hAnsi="Arial"/>
          <w:sz w:val="22"/>
          <w:szCs w:val="22"/>
          <w:color w:val="auto"/>
        </w:rPr>
        <w:t>such time as the Committee shall, in its sole and absolute discretion, revoke such delegation of authority;</w:t>
      </w:r>
    </w:p>
    <w:p>
      <w:pPr>
        <w:spacing w:after="0" w:line="174" w:lineRule="exact"/>
        <w:rPr>
          <w:rFonts w:ascii="Arial" w:cs="Arial" w:eastAsia="Arial" w:hAnsi="Arial"/>
          <w:sz w:val="22"/>
          <w:szCs w:val="22"/>
          <w:color w:val="auto"/>
        </w:rPr>
      </w:pPr>
    </w:p>
    <w:p>
      <w:pPr>
        <w:jc w:val="both"/>
        <w:ind w:left="1944" w:hanging="911"/>
        <w:spacing w:after="0" w:line="253" w:lineRule="auto"/>
        <w:tabs>
          <w:tab w:leader="none" w:pos="1944" w:val="left"/>
        </w:tabs>
        <w:numPr>
          <w:ilvl w:val="1"/>
          <w:numId w:val="55"/>
        </w:numPr>
        <w:rPr>
          <w:rFonts w:ascii="Arial" w:cs="Arial" w:eastAsia="Arial" w:hAnsi="Arial"/>
          <w:sz w:val="22"/>
          <w:szCs w:val="22"/>
          <w:color w:val="auto"/>
        </w:rPr>
      </w:pPr>
      <w:r>
        <w:rPr>
          <w:rFonts w:ascii="Arial" w:cs="Arial" w:eastAsia="Arial" w:hAnsi="Arial"/>
          <w:sz w:val="22"/>
          <w:szCs w:val="22"/>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85" w:lineRule="exact"/>
        <w:rPr>
          <w:rFonts w:ascii="Arial" w:cs="Arial" w:eastAsia="Arial" w:hAnsi="Arial"/>
          <w:sz w:val="22"/>
          <w:szCs w:val="22"/>
          <w:color w:val="auto"/>
        </w:rPr>
      </w:pPr>
    </w:p>
    <w:p>
      <w:pPr>
        <w:ind w:left="1944" w:hanging="971"/>
        <w:spacing w:after="0" w:line="263" w:lineRule="auto"/>
        <w:tabs>
          <w:tab w:leader="none" w:pos="1944"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delegate shall notify the Committee that he or she declines to continue to exercise such authority.</w:t>
      </w:r>
    </w:p>
    <w:p>
      <w:pPr>
        <w:spacing w:after="0" w:line="168" w:lineRule="exact"/>
        <w:rPr>
          <w:rFonts w:ascii="Arial" w:cs="Arial" w:eastAsia="Arial" w:hAnsi="Arial"/>
          <w:sz w:val="22"/>
          <w:szCs w:val="22"/>
          <w:color w:val="auto"/>
        </w:rPr>
      </w:pPr>
    </w:p>
    <w:p>
      <w:pPr>
        <w:ind w:left="644" w:hanging="644"/>
        <w:spacing w:after="0"/>
        <w:tabs>
          <w:tab w:leader="none" w:pos="644"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25" w:lineRule="exact"/>
        <w:rPr>
          <w:rFonts w:ascii="Arial" w:cs="Arial" w:eastAsia="Arial" w:hAnsi="Arial"/>
          <w:sz w:val="22"/>
          <w:szCs w:val="22"/>
          <w:b w:val="1"/>
          <w:bCs w:val="1"/>
          <w:color w:val="auto"/>
        </w:rPr>
      </w:pPr>
    </w:p>
    <w:p>
      <w:pPr>
        <w:ind w:left="644"/>
        <w:spacing w:after="0"/>
        <w:rPr>
          <w:rFonts w:ascii="Arial" w:cs="Arial" w:eastAsia="Arial" w:hAnsi="Arial"/>
          <w:sz w:val="22"/>
          <w:szCs w:val="22"/>
          <w:b w:val="1"/>
          <w:bCs w:val="1"/>
          <w:color w:val="auto"/>
        </w:rPr>
      </w:pPr>
      <w:r>
        <w:rPr>
          <w:rFonts w:ascii="Arial" w:cs="Arial" w:eastAsia="Arial" w:hAnsi="Arial"/>
          <w:sz w:val="22"/>
          <w:szCs w:val="22"/>
          <w:color w:val="auto"/>
        </w:rPr>
        <w:t>Awards may be granted only to Eligible Employees and Non-Employee Directors.</w:t>
      </w:r>
    </w:p>
    <w:p>
      <w:pPr>
        <w:spacing w:after="0" w:line="213" w:lineRule="exact"/>
        <w:rPr>
          <w:rFonts w:ascii="Arial" w:cs="Arial" w:eastAsia="Arial" w:hAnsi="Arial"/>
          <w:sz w:val="22"/>
          <w:szCs w:val="22"/>
          <w:b w:val="1"/>
          <w:bCs w:val="1"/>
          <w:color w:val="auto"/>
        </w:rPr>
      </w:pPr>
    </w:p>
    <w:p>
      <w:pPr>
        <w:ind w:left="644" w:hanging="644"/>
        <w:spacing w:after="0"/>
        <w:tabs>
          <w:tab w:leader="none" w:pos="644"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RESTRICTED STOCK AND RESTRICTED STOCK UNIT AWARDS</w:t>
      </w:r>
    </w:p>
    <w:p>
      <w:pPr>
        <w:spacing w:after="0" w:line="225" w:lineRule="exact"/>
        <w:rPr>
          <w:rFonts w:ascii="Arial" w:cs="Arial" w:eastAsia="Arial" w:hAnsi="Arial"/>
          <w:sz w:val="22"/>
          <w:szCs w:val="22"/>
          <w:b w:val="1"/>
          <w:bCs w:val="1"/>
          <w:color w:val="auto"/>
        </w:rPr>
      </w:pPr>
    </w:p>
    <w:p>
      <w:pPr>
        <w:ind w:left="644"/>
        <w:spacing w:after="0"/>
        <w:rPr>
          <w:rFonts w:ascii="Arial" w:cs="Arial" w:eastAsia="Arial" w:hAnsi="Arial"/>
          <w:sz w:val="22"/>
          <w:szCs w:val="22"/>
          <w:b w:val="1"/>
          <w:bCs w:val="1"/>
          <w:color w:val="auto"/>
        </w:rPr>
      </w:pPr>
      <w:r>
        <w:rPr>
          <w:rFonts w:ascii="Arial" w:cs="Arial" w:eastAsia="Arial" w:hAnsi="Arial"/>
          <w:sz w:val="19"/>
          <w:szCs w:val="19"/>
          <w:color w:val="auto"/>
        </w:rPr>
        <w:t>The Committee may grant Awards in accordance with the Plan, provided that the Board or the Committee may</w:t>
      </w:r>
    </w:p>
    <w:p>
      <w:pPr>
        <w:spacing w:after="0" w:line="56" w:lineRule="exact"/>
        <w:rPr>
          <w:sz w:val="20"/>
          <w:szCs w:val="20"/>
          <w:color w:val="auto"/>
        </w:rPr>
      </w:pPr>
    </w:p>
    <w:p>
      <w:pPr>
        <w:jc w:val="both"/>
        <w:ind w:left="4"/>
        <w:spacing w:after="0" w:line="244" w:lineRule="auto"/>
        <w:rPr>
          <w:sz w:val="20"/>
          <w:szCs w:val="20"/>
          <w:color w:val="auto"/>
        </w:rPr>
      </w:pPr>
      <w:r>
        <w:rPr>
          <w:rFonts w:ascii="Arial" w:cs="Arial" w:eastAsia="Arial" w:hAnsi="Arial"/>
          <w:sz w:val="22"/>
          <w:szCs w:val="22"/>
          <w:color w:val="auto"/>
        </w:rPr>
        <w:t>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9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 terms and conditions of Awards shall be set forth in writing as determined from time to time by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22"/>
          <w:szCs w:val="22"/>
          <w:color w:val="auto"/>
        </w:rPr>
        <w:t>Committee, consistent, however, with the following:</w:t>
      </w:r>
    </w:p>
    <w:p>
      <w:pPr>
        <w:spacing w:after="0" w:line="202" w:lineRule="exact"/>
        <w:rPr>
          <w:sz w:val="20"/>
          <w:szCs w:val="20"/>
          <w:color w:val="auto"/>
        </w:rPr>
      </w:pPr>
    </w:p>
    <w:p>
      <w:pPr>
        <w:ind w:left="1284" w:hanging="636"/>
        <w:spacing w:after="0"/>
        <w:tabs>
          <w:tab w:leader="none" w:pos="1284"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Time of Grant</w:t>
      </w:r>
      <w:r>
        <w:rPr>
          <w:rFonts w:ascii="Arial" w:cs="Arial" w:eastAsia="Arial" w:hAnsi="Arial"/>
          <w:sz w:val="22"/>
          <w:szCs w:val="22"/>
          <w:color w:val="auto"/>
        </w:rPr>
        <w:t>. All Awards shall be granted on or before May 19, 2026.</w:t>
      </w:r>
    </w:p>
    <w:p>
      <w:pPr>
        <w:spacing w:after="0" w:line="219" w:lineRule="exact"/>
        <w:rPr>
          <w:rFonts w:ascii="Arial" w:cs="Arial" w:eastAsia="Arial" w:hAnsi="Arial"/>
          <w:sz w:val="22"/>
          <w:szCs w:val="22"/>
          <w:color w:val="auto"/>
        </w:rPr>
      </w:pPr>
    </w:p>
    <w:p>
      <w:pPr>
        <w:ind w:left="4" w:firstLine="644"/>
        <w:spacing w:after="0" w:line="287" w:lineRule="auto"/>
        <w:tabs>
          <w:tab w:leader="none" w:pos="1295"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Terms of Awards</w:t>
      </w:r>
      <w:r>
        <w:rPr>
          <w:rFonts w:ascii="Arial" w:cs="Arial" w:eastAsia="Arial" w:hAnsi="Arial"/>
          <w:sz w:val="21"/>
          <w:szCs w:val="21"/>
          <w:color w:val="auto"/>
        </w:rPr>
        <w:t>. The provisions of Awards need not be the same with respect to each Grantee. No cash or other consideration shall be required to be paid by the Grantee in exchange for an Award.</w:t>
      </w:r>
    </w:p>
    <w:p>
      <w:pPr>
        <w:spacing w:after="0" w:line="151" w:lineRule="exact"/>
        <w:rPr>
          <w:rFonts w:ascii="Arial" w:cs="Arial" w:eastAsia="Arial" w:hAnsi="Arial"/>
          <w:sz w:val="21"/>
          <w:szCs w:val="21"/>
          <w:color w:val="auto"/>
        </w:rPr>
      </w:pPr>
    </w:p>
    <w:p>
      <w:pPr>
        <w:jc w:val="both"/>
        <w:ind w:left="4" w:firstLine="644"/>
        <w:spacing w:after="0" w:line="253" w:lineRule="auto"/>
        <w:tabs>
          <w:tab w:leader="none" w:pos="1297"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Awards and Agreements</w:t>
      </w:r>
      <w:r>
        <w:rPr>
          <w:rFonts w:ascii="Arial" w:cs="Arial" w:eastAsia="Arial" w:hAnsi="Arial"/>
          <w:sz w:val="22"/>
          <w:szCs w:val="22"/>
          <w:color w:val="auto"/>
        </w:rPr>
        <w:t>. Each Grantee shall be provided with an agreement specifying the terms of an Award. The Company shall arrange for the recording of Grantee’s ownership of the Restricted Stock on a book entry recordkeeping system maintained on behalf of the Company.</w:t>
      </w:r>
    </w:p>
    <w:p>
      <w:pPr>
        <w:spacing w:after="0" w:line="185" w:lineRule="exact"/>
        <w:rPr>
          <w:rFonts w:ascii="Arial" w:cs="Arial" w:eastAsia="Arial" w:hAnsi="Arial"/>
          <w:sz w:val="22"/>
          <w:szCs w:val="22"/>
          <w:color w:val="auto"/>
        </w:rPr>
      </w:pPr>
    </w:p>
    <w:p>
      <w:pPr>
        <w:jc w:val="both"/>
        <w:ind w:left="4" w:firstLine="644"/>
        <w:spacing w:after="0" w:line="253" w:lineRule="auto"/>
        <w:tabs>
          <w:tab w:leader="none" w:pos="1295"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185" w:lineRule="exact"/>
        <w:rPr>
          <w:rFonts w:ascii="Arial" w:cs="Arial" w:eastAsia="Arial" w:hAnsi="Arial"/>
          <w:sz w:val="22"/>
          <w:szCs w:val="22"/>
          <w:color w:val="auto"/>
        </w:rPr>
      </w:pPr>
    </w:p>
    <w:p>
      <w:pPr>
        <w:jc w:val="both"/>
        <w:ind w:left="4" w:firstLine="644"/>
        <w:spacing w:after="0" w:line="271" w:lineRule="auto"/>
        <w:tabs>
          <w:tab w:leader="none" w:pos="1297"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Vesting/Lapse of Restrictions</w:t>
      </w:r>
      <w:r>
        <w:rPr>
          <w:rFonts w:ascii="Arial" w:cs="Arial" w:eastAsia="Arial" w:hAnsi="Arial"/>
          <w:sz w:val="21"/>
          <w:szCs w:val="21"/>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584"/>
          </w:cols>
          <w:pgMar w:left="976" w:top="1428" w:right="339" w:bottom="1440" w:gutter="0" w:footer="0" w:header="0"/>
        </w:sectPr>
      </w:pPr>
    </w:p>
    <w:bookmarkStart w:id="52" w:name="page53"/>
    <w:bookmarkEnd w:id="52"/>
    <w:p>
      <w:pPr>
        <w:jc w:val="both"/>
        <w:spacing w:after="0" w:line="292" w:lineRule="auto"/>
        <w:rPr>
          <w:sz w:val="20"/>
          <w:szCs w:val="20"/>
          <w:color w:val="auto"/>
        </w:rPr>
      </w:pPr>
      <w:r>
        <w:rPr>
          <w:rFonts w:ascii="Arial" w:cs="Arial" w:eastAsia="Arial" w:hAnsi="Arial"/>
          <w:sz w:val="19"/>
          <w:szCs w:val="19"/>
          <w:color w:val="auto"/>
        </w:rPr>
        <w:t>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w:t>
      </w:r>
    </w:p>
    <w:p>
      <w:pPr>
        <w:spacing w:after="0" w:line="151" w:lineRule="exact"/>
        <w:rPr>
          <w:sz w:val="20"/>
          <w:szCs w:val="20"/>
          <w:color w:val="auto"/>
        </w:rPr>
      </w:pPr>
    </w:p>
    <w:p>
      <w:pPr>
        <w:jc w:val="both"/>
        <w:ind w:firstLine="644"/>
        <w:spacing w:after="0" w:line="247" w:lineRule="auto"/>
        <w:tabs>
          <w:tab w:leader="none" w:pos="1296"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Rights of the Grantee</w:t>
      </w:r>
      <w:r>
        <w:rPr>
          <w:rFonts w:ascii="Arial" w:cs="Arial" w:eastAsia="Arial" w:hAnsi="Arial"/>
          <w:sz w:val="22"/>
          <w:szCs w:val="22"/>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with respect to such Restricted Stock Units. With respect to Awards of Restricted Stock Units granted prior to March 1, 2015, a Grantee shall not have the right to receive dividend equivalents with respect to such Restricted Stock Units.</w:t>
      </w:r>
    </w:p>
    <w:p>
      <w:pPr>
        <w:spacing w:after="0" w:line="192" w:lineRule="exact"/>
        <w:rPr>
          <w:rFonts w:ascii="Arial" w:cs="Arial" w:eastAsia="Arial" w:hAnsi="Arial"/>
          <w:sz w:val="22"/>
          <w:szCs w:val="22"/>
          <w:color w:val="auto"/>
        </w:rPr>
      </w:pPr>
    </w:p>
    <w:p>
      <w:pPr>
        <w:jc w:val="both"/>
        <w:ind w:firstLine="644"/>
        <w:spacing w:after="0" w:line="263" w:lineRule="auto"/>
        <w:tabs>
          <w:tab w:leader="none" w:pos="1291"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With respect to Awards of Restricted Stock Units granted on and after March 1, 2015, the Committee may, in its discretion, provide for the payment of dividend equivalents with respect to Restricted Stock Units, which may be paid directly to the Grantee, accrued and paid by the Company at such time or times specified in the applicable agreement specifying the terms of an Award, or treated as reinvested in additional Restricted Stock Units, or a combination thereof, as determined by the Committee in its sole discretion.</w:t>
      </w:r>
    </w:p>
    <w:p>
      <w:pPr>
        <w:spacing w:after="0" w:line="175" w:lineRule="exact"/>
        <w:rPr>
          <w:rFonts w:ascii="Arial" w:cs="Arial" w:eastAsia="Arial" w:hAnsi="Arial"/>
          <w:sz w:val="21"/>
          <w:szCs w:val="21"/>
          <w:color w:val="auto"/>
        </w:rPr>
      </w:pPr>
    </w:p>
    <w:p>
      <w:pPr>
        <w:jc w:val="both"/>
        <w:ind w:firstLine="644"/>
        <w:spacing w:after="0" w:line="259" w:lineRule="auto"/>
        <w:tabs>
          <w:tab w:leader="none" w:pos="1291"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Termination of Grantee’s Employment</w:t>
      </w:r>
      <w:r>
        <w:rPr>
          <w:rFonts w:ascii="Arial" w:cs="Arial" w:eastAsia="Arial" w:hAnsi="Arial"/>
          <w:sz w:val="21"/>
          <w:szCs w:val="21"/>
          <w:color w:val="auto"/>
        </w:rPr>
        <w:t>. A transfer of an Eligible Employee between two employers, each of which is a Participating Company, shall not be deemed a termination of employment. A Grantee who is a Non-Employee Director shall be treated as having been terminated upon the Grantee’s termination of service as a Non-Employee Director, provided that if such a Grantee is designated as a Director Emeritus upon termination of service as a Non-Employee Director, such Non-Employee Director shall not be treated as having been terminated until the Grantee’s termination of service as a Director Emeritus. In the event that a Grantee’s employment with all Participating Companies terminates, all Restricted Shares and/or Restricted Stock Units as to which a Vesting Date has not occurred shall be forfeited by the Grantee and deemed canceled by the Company.</w:t>
      </w:r>
    </w:p>
    <w:p>
      <w:pPr>
        <w:spacing w:after="0" w:line="183" w:lineRule="exact"/>
        <w:rPr>
          <w:rFonts w:ascii="Arial" w:cs="Arial" w:eastAsia="Arial" w:hAnsi="Arial"/>
          <w:sz w:val="21"/>
          <w:szCs w:val="21"/>
          <w:color w:val="auto"/>
        </w:rPr>
      </w:pPr>
    </w:p>
    <w:p>
      <w:pPr>
        <w:jc w:val="both"/>
        <w:ind w:firstLine="644"/>
        <w:spacing w:after="0" w:line="247" w:lineRule="auto"/>
        <w:tabs>
          <w:tab w:leader="none" w:pos="1284"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Delivery of Shares</w:t>
      </w:r>
      <w:r>
        <w:rPr>
          <w:rFonts w:ascii="Arial" w:cs="Arial" w:eastAsia="Arial" w:hAnsi="Arial"/>
          <w:sz w:val="22"/>
          <w:szCs w:val="22"/>
          <w:color w:val="auto"/>
        </w:rPr>
        <w:t>. For purposes of the Plan, the Company may satisfy its obligation to deliver Shares issuable under the Plan by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580"/>
          </w:cols>
          <w:pgMar w:left="980" w:top="1428" w:right="339" w:bottom="1440" w:gutter="0" w:footer="0" w:header="0"/>
        </w:sectPr>
      </w:pPr>
    </w:p>
    <w:bookmarkStart w:id="53" w:name="page54"/>
    <w:bookmarkEnd w:id="53"/>
    <w:p>
      <w:pPr>
        <w:jc w:val="both"/>
        <w:ind w:left="4"/>
        <w:spacing w:after="0" w:line="263" w:lineRule="auto"/>
        <w:rPr>
          <w:sz w:val="20"/>
          <w:szCs w:val="20"/>
          <w:color w:val="auto"/>
        </w:rPr>
      </w:pPr>
      <w:r>
        <w:rPr>
          <w:rFonts w:ascii="Arial" w:cs="Arial" w:eastAsia="Arial" w:hAnsi="Arial"/>
          <w:sz w:val="21"/>
          <w:szCs w:val="21"/>
          <w:color w:val="auto"/>
        </w:rPr>
        <w:t>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69" w:lineRule="exact"/>
        <w:rPr>
          <w:sz w:val="20"/>
          <w:szCs w:val="20"/>
          <w:color w:val="auto"/>
        </w:rPr>
      </w:pPr>
    </w:p>
    <w:p>
      <w:pPr>
        <w:ind w:left="644" w:hanging="644"/>
        <w:spacing w:after="0"/>
        <w:tabs>
          <w:tab w:leader="none" w:pos="644"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DEFERRAL ELECTIONS</w:t>
      </w:r>
    </w:p>
    <w:p>
      <w:pPr>
        <w:spacing w:after="0" w:line="226"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pacing w:after="0" w:line="185" w:lineRule="exact"/>
        <w:rPr>
          <w:sz w:val="20"/>
          <w:szCs w:val="20"/>
          <w:color w:val="auto"/>
        </w:rPr>
      </w:pPr>
    </w:p>
    <w:p>
      <w:pPr>
        <w:ind w:left="1284" w:hanging="636"/>
        <w:spacing w:after="0"/>
        <w:tabs>
          <w:tab w:leader="none" w:pos="128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Initial Deferral Election and Regular Deferral Election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4" w:hanging="852"/>
        <w:spacing w:after="0"/>
        <w:tabs>
          <w:tab w:leader="none" w:pos="1944"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Initial Deferral Election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2584" w:hanging="640"/>
        <w:spacing w:after="0" w:line="248" w:lineRule="auto"/>
        <w:tabs>
          <w:tab w:leader="none" w:pos="2546" w:val="left"/>
        </w:tabs>
        <w:numPr>
          <w:ilvl w:val="2"/>
          <w:numId w:val="60"/>
        </w:numPr>
        <w:rPr>
          <w:rFonts w:ascii="Arial" w:cs="Arial" w:eastAsia="Arial" w:hAnsi="Arial"/>
          <w:sz w:val="22"/>
          <w:szCs w:val="22"/>
          <w:color w:val="auto"/>
        </w:rPr>
      </w:pPr>
      <w:r>
        <w:rPr>
          <w:rFonts w:ascii="Arial" w:cs="Arial" w:eastAsia="Arial" w:hAnsi="Arial"/>
          <w:sz w:val="22"/>
          <w:szCs w:val="22"/>
          <w:u w:val="single" w:color="auto"/>
          <w:color w:val="auto"/>
        </w:rPr>
        <w:t>Election</w:t>
      </w:r>
      <w:r>
        <w:rPr>
          <w:rFonts w:ascii="Arial" w:cs="Arial" w:eastAsia="Arial" w:hAnsi="Arial"/>
          <w:sz w:val="22"/>
          <w:szCs w:val="22"/>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Deferral Election to defer the receipt of such Shares on a form provided by the Committee for this purpose.</w:t>
      </w:r>
    </w:p>
    <w:p>
      <w:pPr>
        <w:spacing w:after="0" w:line="191" w:lineRule="exact"/>
        <w:rPr>
          <w:rFonts w:ascii="Arial" w:cs="Arial" w:eastAsia="Arial" w:hAnsi="Arial"/>
          <w:sz w:val="22"/>
          <w:szCs w:val="22"/>
          <w:color w:val="auto"/>
        </w:rPr>
      </w:pPr>
    </w:p>
    <w:p>
      <w:pPr>
        <w:jc w:val="both"/>
        <w:ind w:left="2584" w:hanging="640"/>
        <w:spacing w:after="0" w:line="277" w:lineRule="auto"/>
        <w:tabs>
          <w:tab w:leader="none" w:pos="2561" w:val="left"/>
        </w:tabs>
        <w:numPr>
          <w:ilvl w:val="2"/>
          <w:numId w:val="60"/>
        </w:numPr>
        <w:rPr>
          <w:rFonts w:ascii="Arial" w:cs="Arial" w:eastAsia="Arial" w:hAnsi="Arial"/>
          <w:sz w:val="19"/>
          <w:szCs w:val="19"/>
          <w:color w:val="auto"/>
        </w:rPr>
      </w:pPr>
      <w:r>
        <w:rPr>
          <w:rFonts w:ascii="Arial" w:cs="Arial" w:eastAsia="Arial" w:hAnsi="Arial"/>
          <w:sz w:val="19"/>
          <w:szCs w:val="19"/>
          <w:u w:val="single" w:color="auto"/>
          <w:color w:val="auto"/>
        </w:rPr>
        <w:t>Deadline for Initial Deferral Election</w:t>
      </w:r>
      <w:r>
        <w:rPr>
          <w:rFonts w:ascii="Arial" w:cs="Arial" w:eastAsia="Arial" w:hAnsi="Arial"/>
          <w:sz w:val="19"/>
          <w:szCs w:val="19"/>
          <w:color w:val="auto"/>
        </w:rPr>
        <w:t>. No Initial Deferral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Date of Grant and 12 or more months in advance of the applicable Vesting Date. No Initial Deferral Election to defer the receipt of Shares issuable with respect to Restricted Stock Units that are Performance-Based Compensation shall be effective unless it is filed with the Committee at least six months before the end of the Performance Period during which such Performance-Based Compensation may be earned.</w:t>
      </w:r>
    </w:p>
    <w:p>
      <w:pPr>
        <w:spacing w:after="0" w:line="171" w:lineRule="exact"/>
        <w:rPr>
          <w:rFonts w:ascii="Arial" w:cs="Arial" w:eastAsia="Arial" w:hAnsi="Arial"/>
          <w:sz w:val="19"/>
          <w:szCs w:val="19"/>
          <w:color w:val="auto"/>
        </w:rPr>
      </w:pPr>
    </w:p>
    <w:p>
      <w:pPr>
        <w:ind w:left="1944" w:hanging="911"/>
        <w:spacing w:after="0"/>
        <w:tabs>
          <w:tab w:leader="none" w:pos="1944"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Regular Deferral Election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584" w:hanging="640"/>
        <w:spacing w:after="0" w:line="287" w:lineRule="auto"/>
        <w:tabs>
          <w:tab w:leader="none" w:pos="2479" w:val="left"/>
        </w:tabs>
        <w:numPr>
          <w:ilvl w:val="2"/>
          <w:numId w:val="60"/>
        </w:numPr>
        <w:rPr>
          <w:rFonts w:ascii="Arial" w:cs="Arial" w:eastAsia="Arial" w:hAnsi="Arial"/>
          <w:sz w:val="21"/>
          <w:szCs w:val="21"/>
          <w:color w:val="auto"/>
        </w:rPr>
      </w:pPr>
      <w:r>
        <w:rPr>
          <w:rFonts w:ascii="Arial" w:cs="Arial" w:eastAsia="Arial" w:hAnsi="Arial"/>
          <w:sz w:val="21"/>
          <w:szCs w:val="21"/>
          <w:u w:val="single" w:color="auto"/>
          <w:color w:val="auto"/>
        </w:rPr>
        <w:t>Election</w:t>
      </w:r>
      <w:r>
        <w:rPr>
          <w:rFonts w:ascii="Arial" w:cs="Arial" w:eastAsia="Arial" w:hAnsi="Arial"/>
          <w:sz w:val="21"/>
          <w:szCs w:val="21"/>
          <w:color w:val="auto"/>
        </w:rPr>
        <w:t>. Each Grantee who is a Deferral Eligible Employee shall have the right to defer the receipt of some or all of the Shares issuable with respect to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584"/>
          </w:cols>
          <w:pgMar w:left="976" w:top="1428" w:right="339" w:bottom="1440" w:gutter="0" w:footer="0" w:header="0"/>
        </w:sectPr>
      </w:pPr>
    </w:p>
    <w:bookmarkStart w:id="54" w:name="page55"/>
    <w:bookmarkEnd w:id="54"/>
    <w:p>
      <w:pPr>
        <w:jc w:val="both"/>
        <w:ind w:left="2120"/>
        <w:spacing w:after="0" w:line="253" w:lineRule="auto"/>
        <w:rPr>
          <w:sz w:val="20"/>
          <w:szCs w:val="20"/>
          <w:color w:val="auto"/>
        </w:rPr>
      </w:pPr>
      <w:r>
        <w:rPr>
          <w:rFonts w:ascii="Arial" w:cs="Arial" w:eastAsia="Arial" w:hAnsi="Arial"/>
          <w:sz w:val="22"/>
          <w:szCs w:val="22"/>
          <w:color w:val="auto"/>
        </w:rPr>
        <w:t>Units as to which a Vesting Date has not yet occurred, and that are not subject to an Initial Deferral Election, by filing a Regular Deferral Election to defer the receipt of such Shares on a form provided by the Committee for this purpose.</w:t>
      </w:r>
    </w:p>
    <w:p>
      <w:pPr>
        <w:spacing w:after="0" w:line="185" w:lineRule="exact"/>
        <w:rPr>
          <w:sz w:val="20"/>
          <w:szCs w:val="20"/>
          <w:color w:val="auto"/>
        </w:rPr>
      </w:pPr>
    </w:p>
    <w:p>
      <w:pPr>
        <w:ind w:left="2120" w:hanging="640"/>
        <w:spacing w:after="0" w:line="250" w:lineRule="auto"/>
        <w:tabs>
          <w:tab w:leader="none" w:pos="2016" w:val="left"/>
        </w:tabs>
        <w:numPr>
          <w:ilvl w:val="2"/>
          <w:numId w:val="61"/>
        </w:numPr>
        <w:rPr>
          <w:rFonts w:ascii="Arial" w:cs="Arial" w:eastAsia="Arial" w:hAnsi="Arial"/>
          <w:sz w:val="22"/>
          <w:szCs w:val="22"/>
          <w:color w:val="auto"/>
        </w:rPr>
      </w:pPr>
      <w:r>
        <w:rPr>
          <w:rFonts w:ascii="Arial" w:cs="Arial" w:eastAsia="Arial" w:hAnsi="Arial"/>
          <w:sz w:val="22"/>
          <w:szCs w:val="22"/>
          <w:u w:val="single" w:color="auto"/>
          <w:color w:val="auto"/>
        </w:rPr>
        <w:t>Deadline for Regular Deferral Election</w:t>
      </w:r>
      <w:r>
        <w:rPr>
          <w:rFonts w:ascii="Arial" w:cs="Arial" w:eastAsia="Arial" w:hAnsi="Arial"/>
          <w:sz w:val="22"/>
          <w:szCs w:val="22"/>
          <w:color w:val="auto"/>
        </w:rPr>
        <w:t>. No Regular Deferral Election to defer the receipt of Shares issuable with respect to Restricted Stock Units shall be effective unless it is filed with the Committee on or before the close of business at least one year before the scheduled Vesting Date of such Restricted Stock Units.</w:t>
      </w:r>
    </w:p>
    <w:p>
      <w:pPr>
        <w:spacing w:after="0" w:line="187" w:lineRule="exact"/>
        <w:rPr>
          <w:rFonts w:ascii="Arial" w:cs="Arial" w:eastAsia="Arial" w:hAnsi="Arial"/>
          <w:sz w:val="22"/>
          <w:szCs w:val="22"/>
          <w:color w:val="auto"/>
        </w:rPr>
      </w:pPr>
    </w:p>
    <w:p>
      <w:pPr>
        <w:jc w:val="both"/>
        <w:ind w:left="-460" w:firstLine="644"/>
        <w:spacing w:after="0" w:line="253" w:lineRule="auto"/>
        <w:tabs>
          <w:tab w:leader="none" w:pos="831"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Effect of Failure of Vesting Date to Occur</w:t>
      </w:r>
      <w:r>
        <w:rPr>
          <w:rFonts w:ascii="Arial" w:cs="Arial" w:eastAsia="Arial" w:hAnsi="Arial"/>
          <w:sz w:val="22"/>
          <w:szCs w:val="22"/>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185" w:lineRule="exact"/>
        <w:rPr>
          <w:rFonts w:ascii="Arial" w:cs="Arial" w:eastAsia="Arial" w:hAnsi="Arial"/>
          <w:sz w:val="22"/>
          <w:szCs w:val="22"/>
          <w:color w:val="auto"/>
        </w:rPr>
      </w:pPr>
    </w:p>
    <w:p>
      <w:pPr>
        <w:jc w:val="both"/>
        <w:ind w:left="-460" w:firstLine="644"/>
        <w:spacing w:after="0" w:line="292" w:lineRule="auto"/>
        <w:tabs>
          <w:tab w:leader="none" w:pos="833"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Deferral Period</w:t>
      </w:r>
      <w:r>
        <w:rPr>
          <w:rFonts w:ascii="Arial" w:cs="Arial" w:eastAsia="Arial" w:hAnsi="Arial"/>
          <w:sz w:val="19"/>
          <w:szCs w:val="19"/>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The distribution date may vary with each separate Election. A Grantee may elect distribution to commence on the earlier of a date within 60 days following the Grantee’s death or the date otherwise specified pursuant to an Initial Deferral Election, a Regular Deferral Election, or a Subsequent Deferral Election.</w:t>
      </w:r>
    </w:p>
    <w:p>
      <w:pPr>
        <w:spacing w:after="0" w:line="150" w:lineRule="exact"/>
        <w:rPr>
          <w:rFonts w:ascii="Arial" w:cs="Arial" w:eastAsia="Arial" w:hAnsi="Arial"/>
          <w:sz w:val="19"/>
          <w:szCs w:val="19"/>
          <w:color w:val="auto"/>
        </w:rPr>
      </w:pPr>
    </w:p>
    <w:p>
      <w:pPr>
        <w:ind w:left="1480" w:hanging="852"/>
        <w:spacing w:after="0"/>
        <w:tabs>
          <w:tab w:leader="none" w:pos="1480"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Initial Deferral Election</w:t>
      </w:r>
      <w:r>
        <w:rPr>
          <w:rFonts w:ascii="Arial" w:cs="Arial" w:eastAsia="Arial" w:hAnsi="Arial"/>
          <w:sz w:val="22"/>
          <w:szCs w:val="22"/>
          <w:color w:val="auto"/>
        </w:rPr>
        <w:t>. Except as otherwise specifically provided by the Plan:</w:t>
      </w:r>
    </w:p>
    <w:p>
      <w:pPr>
        <w:spacing w:after="0" w:line="219" w:lineRule="exact"/>
        <w:rPr>
          <w:rFonts w:ascii="Arial" w:cs="Arial" w:eastAsia="Arial" w:hAnsi="Arial"/>
          <w:sz w:val="22"/>
          <w:szCs w:val="22"/>
          <w:color w:val="auto"/>
        </w:rPr>
      </w:pPr>
    </w:p>
    <w:p>
      <w:pPr>
        <w:ind w:left="2120" w:hanging="640"/>
        <w:spacing w:after="0" w:line="233" w:lineRule="auto"/>
        <w:tabs>
          <w:tab w:leader="none" w:pos="2006" w:val="left"/>
        </w:tabs>
        <w:numPr>
          <w:ilvl w:val="2"/>
          <w:numId w:val="62"/>
        </w:numPr>
        <w:rPr>
          <w:rFonts w:ascii="Arial" w:cs="Arial" w:eastAsia="Arial" w:hAnsi="Arial"/>
          <w:sz w:val="22"/>
          <w:szCs w:val="22"/>
          <w:color w:val="auto"/>
        </w:rPr>
      </w:pPr>
      <w:r>
        <w:rPr>
          <w:rFonts w:ascii="Arial" w:cs="Arial" w:eastAsia="Arial" w:hAnsi="Arial"/>
          <w:sz w:val="22"/>
          <w:szCs w:val="22"/>
          <w:color w:val="auto"/>
        </w:rPr>
        <w:t>With respect to Initial Deferral Elections made with respect to Restricted Stock Units subject to Awards granted before January 1, 2021, no distribution pursuant to an Initial Deferral Election may be made earlier than January 2nd of the third calendar year beginning after the Vesting Date, nor later than January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of the eleventh calendar year beginning after the Vesting Date.</w:t>
      </w:r>
    </w:p>
    <w:p>
      <w:pPr>
        <w:spacing w:after="0" w:line="203" w:lineRule="exact"/>
        <w:rPr>
          <w:rFonts w:ascii="Arial" w:cs="Arial" w:eastAsia="Arial" w:hAnsi="Arial"/>
          <w:sz w:val="22"/>
          <w:szCs w:val="22"/>
          <w:color w:val="auto"/>
        </w:rPr>
      </w:pPr>
    </w:p>
    <w:p>
      <w:pPr>
        <w:ind w:left="2120" w:hanging="640"/>
        <w:spacing w:after="0" w:line="233" w:lineRule="auto"/>
        <w:tabs>
          <w:tab w:leader="none" w:pos="1997" w:val="left"/>
        </w:tabs>
        <w:numPr>
          <w:ilvl w:val="2"/>
          <w:numId w:val="62"/>
        </w:numPr>
        <w:rPr>
          <w:rFonts w:ascii="Arial" w:cs="Arial" w:eastAsia="Arial" w:hAnsi="Arial"/>
          <w:sz w:val="22"/>
          <w:szCs w:val="22"/>
          <w:color w:val="auto"/>
        </w:rPr>
      </w:pPr>
      <w:r>
        <w:rPr>
          <w:rFonts w:ascii="Arial" w:cs="Arial" w:eastAsia="Arial" w:hAnsi="Arial"/>
          <w:sz w:val="22"/>
          <w:szCs w:val="22"/>
          <w:color w:val="auto"/>
        </w:rPr>
        <w:t>With respect to Initial Deferral Elections made with respect to Restricted Stock Units subject to Awards granted after December 31, 2020, no distribution pursuant to an Initial Deferral Election may be made earlier than January 2nd of the third calendar year beginning after the Vesting Date, nor later than January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of the eighth calendar year beginning after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120"/>
          </w:cols>
          <w:pgMar w:left="1440" w:top="1428" w:right="339" w:bottom="1440" w:gutter="0" w:footer="0" w:header="0"/>
        </w:sectPr>
      </w:pPr>
    </w:p>
    <w:bookmarkStart w:id="55" w:name="page56"/>
    <w:bookmarkEnd w:id="55"/>
    <w:p>
      <w:pPr>
        <w:ind w:left="1480" w:hanging="911"/>
        <w:spacing w:after="0"/>
        <w:tabs>
          <w:tab w:leader="none" w:pos="1480"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Regular Deferral Election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2120" w:hanging="640"/>
        <w:spacing w:after="0" w:line="284" w:lineRule="auto"/>
        <w:tabs>
          <w:tab w:leader="none" w:pos="2132" w:val="left"/>
        </w:tabs>
        <w:numPr>
          <w:ilvl w:val="2"/>
          <w:numId w:val="63"/>
        </w:numPr>
        <w:rPr>
          <w:rFonts w:ascii="Arial" w:cs="Arial" w:eastAsia="Arial" w:hAnsi="Arial"/>
          <w:sz w:val="20"/>
          <w:szCs w:val="20"/>
          <w:color w:val="auto"/>
        </w:rPr>
      </w:pPr>
      <w:r>
        <w:rPr>
          <w:rFonts w:ascii="Arial" w:cs="Arial" w:eastAsia="Arial" w:hAnsi="Arial"/>
          <w:sz w:val="20"/>
          <w:szCs w:val="20"/>
          <w:color w:val="auto"/>
        </w:rPr>
        <w:t>With respect to Regular Deferral Elections made with respect to Restricted Stock Units subject to Awards granted before January 1, 2021, no distribution pursuant to an Initial Deferral Election may be made earlier than the fifth anniversary of the Vesting Date, nor later than January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of the eleventh calendar year beginning after the Vesting Date.</w:t>
      </w:r>
    </w:p>
    <w:p>
      <w:pPr>
        <w:spacing w:after="0" w:line="71" w:lineRule="exact"/>
        <w:rPr>
          <w:rFonts w:ascii="Arial" w:cs="Arial" w:eastAsia="Arial" w:hAnsi="Arial"/>
          <w:sz w:val="20"/>
          <w:szCs w:val="20"/>
          <w:color w:val="auto"/>
        </w:rPr>
      </w:pPr>
    </w:p>
    <w:p>
      <w:pPr>
        <w:jc w:val="both"/>
        <w:ind w:left="2120" w:hanging="640"/>
        <w:spacing w:after="0" w:line="284" w:lineRule="auto"/>
        <w:tabs>
          <w:tab w:leader="none" w:pos="2124" w:val="left"/>
        </w:tabs>
        <w:numPr>
          <w:ilvl w:val="2"/>
          <w:numId w:val="63"/>
        </w:numPr>
        <w:rPr>
          <w:rFonts w:ascii="Arial" w:cs="Arial" w:eastAsia="Arial" w:hAnsi="Arial"/>
          <w:sz w:val="20"/>
          <w:szCs w:val="20"/>
          <w:color w:val="auto"/>
        </w:rPr>
      </w:pPr>
      <w:r>
        <w:rPr>
          <w:rFonts w:ascii="Arial" w:cs="Arial" w:eastAsia="Arial" w:hAnsi="Arial"/>
          <w:sz w:val="20"/>
          <w:szCs w:val="20"/>
          <w:color w:val="auto"/>
        </w:rPr>
        <w:t>With respect to Regular Deferral Elections made with respect to Restricted Stock Units subject to Awards granted after December 31, 2021, no distribution pursuant to an Initial Deferral Election may be made earlier than the fifth anniversary of the Vesting Date, nor later than January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of the eighth calendar year beginning after the Vesting Date.</w:t>
      </w:r>
    </w:p>
    <w:p>
      <w:pPr>
        <w:spacing w:after="0" w:line="71" w:lineRule="exact"/>
        <w:rPr>
          <w:rFonts w:ascii="Arial" w:cs="Arial" w:eastAsia="Arial" w:hAnsi="Arial"/>
          <w:sz w:val="20"/>
          <w:szCs w:val="20"/>
          <w:color w:val="auto"/>
        </w:rPr>
      </w:pPr>
    </w:p>
    <w:p>
      <w:pPr>
        <w:ind w:left="-460" w:firstLine="644"/>
        <w:spacing w:after="0" w:line="343" w:lineRule="auto"/>
        <w:tabs>
          <w:tab w:leader="none" w:pos="118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Additional Elections</w:t>
      </w:r>
      <w:r>
        <w:rPr>
          <w:rFonts w:ascii="Arial" w:cs="Arial" w:eastAsia="Arial" w:hAnsi="Arial"/>
          <w:sz w:val="19"/>
          <w:szCs w:val="19"/>
          <w:color w:val="auto"/>
        </w:rPr>
        <w:t>. Notwithstanding anything in this Paragraph 8(d) to the contrary, no Subsequent Deferral Election shall be effective until 12 months after the date on which such Subsequent Deferral Election is made.</w:t>
      </w:r>
    </w:p>
    <w:p>
      <w:pPr>
        <w:spacing w:after="0" w:line="104" w:lineRule="exact"/>
        <w:rPr>
          <w:rFonts w:ascii="Arial" w:cs="Arial" w:eastAsia="Arial" w:hAnsi="Arial"/>
          <w:sz w:val="19"/>
          <w:szCs w:val="19"/>
          <w:color w:val="auto"/>
        </w:rPr>
      </w:pPr>
    </w:p>
    <w:p>
      <w:pPr>
        <w:jc w:val="both"/>
        <w:ind w:left="1480" w:hanging="852"/>
        <w:spacing w:after="0" w:line="292" w:lineRule="auto"/>
        <w:tabs>
          <w:tab w:leader="none" w:pos="1480" w:val="left"/>
        </w:tabs>
        <w:numPr>
          <w:ilvl w:val="1"/>
          <w:numId w:val="64"/>
        </w:numPr>
        <w:rPr>
          <w:rFonts w:ascii="Arial" w:cs="Arial" w:eastAsia="Arial" w:hAnsi="Arial"/>
          <w:sz w:val="19"/>
          <w:szCs w:val="19"/>
          <w:color w:val="auto"/>
        </w:rPr>
      </w:pPr>
      <w:r>
        <w:rPr>
          <w:rFonts w:ascii="Arial" w:cs="Arial" w:eastAsia="Arial" w:hAnsi="Arial"/>
          <w:sz w:val="19"/>
          <w:szCs w:val="19"/>
          <w:color w:val="auto"/>
        </w:rPr>
        <w:t>Each Active Grantee, and each Grantee designated by the Committee who has served as a Non-Employee Director or Section 16 Officer at any time on or after January 1, 2019 (whether or not such individual is an Active Grantee) (A) who has previously made an Initial Deferral Election or a Regular Deferral Election to receive a distribution of part or all of his or her Account, or (B) who, pursuant to this Paragraph 8(d)(i) has made a Subsequent Deferral Election to defer the distribution date for Shares issuable with respect to Restricted Stock Units may delay the payment date for an additional period from the originally-elected distribution date, provided that—</w:t>
      </w:r>
    </w:p>
    <w:p>
      <w:pPr>
        <w:spacing w:after="0" w:line="150" w:lineRule="exact"/>
        <w:rPr>
          <w:rFonts w:ascii="Arial" w:cs="Arial" w:eastAsia="Arial" w:hAnsi="Arial"/>
          <w:sz w:val="19"/>
          <w:szCs w:val="19"/>
          <w:color w:val="auto"/>
        </w:rPr>
      </w:pPr>
    </w:p>
    <w:p>
      <w:pPr>
        <w:jc w:val="both"/>
        <w:ind w:left="2120" w:hanging="640"/>
        <w:spacing w:after="0" w:line="248" w:lineRule="auto"/>
        <w:tabs>
          <w:tab w:leader="none" w:pos="2055" w:val="left"/>
        </w:tabs>
        <w:numPr>
          <w:ilvl w:val="2"/>
          <w:numId w:val="64"/>
        </w:numPr>
        <w:rPr>
          <w:rFonts w:ascii="Arial" w:cs="Arial" w:eastAsia="Arial" w:hAnsi="Arial"/>
          <w:sz w:val="22"/>
          <w:szCs w:val="22"/>
          <w:color w:val="auto"/>
        </w:rPr>
      </w:pPr>
      <w:r>
        <w:rPr>
          <w:rFonts w:ascii="Arial" w:cs="Arial" w:eastAsia="Arial" w:hAnsi="Arial"/>
          <w:sz w:val="22"/>
          <w:szCs w:val="22"/>
          <w:color w:val="auto"/>
        </w:rPr>
        <w:t>With respect to Subsequent Deferral Elections made with respect to Restricted Stock Units subject to Awards granted before January 1, 2021, no distribution pursuant to an Initial Deferral Election may be made earlier than the fifth anniversary of the previously-elected distribution date, nor later than the tenth anniversary of the previously-elected distribution date;</w:t>
      </w:r>
    </w:p>
    <w:p>
      <w:pPr>
        <w:spacing w:after="0" w:line="191" w:lineRule="exact"/>
        <w:rPr>
          <w:rFonts w:ascii="Arial" w:cs="Arial" w:eastAsia="Arial" w:hAnsi="Arial"/>
          <w:sz w:val="22"/>
          <w:szCs w:val="22"/>
          <w:color w:val="auto"/>
        </w:rPr>
      </w:pPr>
    </w:p>
    <w:p>
      <w:pPr>
        <w:ind w:left="2120" w:hanging="640"/>
        <w:spacing w:after="0" w:line="253" w:lineRule="auto"/>
        <w:tabs>
          <w:tab w:leader="none" w:pos="2046" w:val="left"/>
        </w:tabs>
        <w:numPr>
          <w:ilvl w:val="2"/>
          <w:numId w:val="64"/>
        </w:numPr>
        <w:rPr>
          <w:rFonts w:ascii="Arial" w:cs="Arial" w:eastAsia="Arial" w:hAnsi="Arial"/>
          <w:sz w:val="22"/>
          <w:szCs w:val="22"/>
          <w:color w:val="auto"/>
        </w:rPr>
      </w:pPr>
      <w:r>
        <w:rPr>
          <w:rFonts w:ascii="Arial" w:cs="Arial" w:eastAsia="Arial" w:hAnsi="Arial"/>
          <w:sz w:val="22"/>
          <w:szCs w:val="22"/>
          <w:color w:val="auto"/>
        </w:rPr>
        <w:t>With respect to Subsequent Deferral Elections made with respect to Restricted Stock Units subject to Awards granted after December 31, 2020, no distribution pursuant to an Initial Deferral Election may be made earlier than the fifth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120"/>
          </w:cols>
          <w:pgMar w:left="1440" w:top="1428" w:right="339" w:bottom="1440" w:gutter="0" w:footer="0" w:header="0"/>
        </w:sectPr>
      </w:pPr>
    </w:p>
    <w:bookmarkStart w:id="56" w:name="page57"/>
    <w:bookmarkEnd w:id="56"/>
    <w:p>
      <w:pPr>
        <w:ind w:left="2120"/>
        <w:spacing w:after="0" w:line="263" w:lineRule="auto"/>
        <w:rPr>
          <w:sz w:val="20"/>
          <w:szCs w:val="20"/>
          <w:color w:val="auto"/>
        </w:rPr>
      </w:pPr>
      <w:r>
        <w:rPr>
          <w:rFonts w:ascii="Arial" w:cs="Arial" w:eastAsia="Arial" w:hAnsi="Arial"/>
          <w:sz w:val="22"/>
          <w:szCs w:val="22"/>
          <w:color w:val="auto"/>
        </w:rPr>
        <w:t>anniversary of the previously-elected distribution date, nor later than the seventh anniversary of the previously-elected distribution date;</w:t>
      </w:r>
    </w:p>
    <w:p>
      <w:pPr>
        <w:spacing w:after="0" w:line="175" w:lineRule="exact"/>
        <w:rPr>
          <w:sz w:val="20"/>
          <w:szCs w:val="20"/>
          <w:color w:val="auto"/>
        </w:rPr>
      </w:pPr>
    </w:p>
    <w:p>
      <w:pPr>
        <w:jc w:val="both"/>
        <w:ind w:left="1480"/>
        <w:spacing w:after="0" w:line="292" w:lineRule="auto"/>
        <w:rPr>
          <w:sz w:val="20"/>
          <w:szCs w:val="20"/>
          <w:color w:val="auto"/>
        </w:rPr>
      </w:pPr>
      <w:r>
        <w:rPr>
          <w:rFonts w:ascii="Arial" w:cs="Arial" w:eastAsia="Arial" w:hAnsi="Arial"/>
          <w:sz w:val="19"/>
          <w:szCs w:val="19"/>
          <w:color w:val="auto"/>
        </w:rPr>
        <w:t>by filing a Subsequent Deferral Election with the Committee on or before the close of business at least one year before the date on which the distribution would otherwise be made. The number of Subsequent Deferral Elections under this Paragraph 8(d)(i) shall not be limited. Notwithstanding the foregoing, except as otherwise provided by the Committee, an Active Grantee who returns to service with a Participating Company following a termination of service may not make a Subsequent Deferral Election with respect to amounts subject to an Initial Deferral Election or a Subsequent Deferral Election that was filed with the Committee before such return to service.</w:t>
      </w:r>
    </w:p>
    <w:p>
      <w:pPr>
        <w:spacing w:after="0" w:line="151" w:lineRule="exact"/>
        <w:rPr>
          <w:sz w:val="20"/>
          <w:szCs w:val="20"/>
          <w:color w:val="auto"/>
        </w:rPr>
      </w:pPr>
    </w:p>
    <w:p>
      <w:pPr>
        <w:jc w:val="both"/>
        <w:ind w:left="1480" w:hanging="911"/>
        <w:spacing w:after="0" w:line="247" w:lineRule="auto"/>
        <w:tabs>
          <w:tab w:leader="none" w:pos="1480" w:val="left"/>
        </w:tabs>
        <w:numPr>
          <w:ilvl w:val="1"/>
          <w:numId w:val="65"/>
        </w:numPr>
        <w:rPr>
          <w:rFonts w:ascii="Arial" w:cs="Arial" w:eastAsia="Arial" w:hAnsi="Arial"/>
          <w:sz w:val="22"/>
          <w:szCs w:val="22"/>
          <w:color w:val="auto"/>
        </w:rPr>
      </w:pPr>
      <w:r>
        <w:rPr>
          <w:rFonts w:ascii="Arial" w:cs="Arial" w:eastAsia="Arial" w:hAnsi="Arial"/>
          <w:sz w:val="22"/>
          <w:szCs w:val="22"/>
          <w:color w:val="auto"/>
        </w:rPr>
        <w:t>A Deceased Grantee’s Successor-in-Interest may elect to file a Subsequent Deferral Election to defer the distribution date for the Deceased Grantee’s Shares issuable with respect to Restricted Stock Units for five additional years from the date payment would otherwise be made. A Subsequent Deferral Election must be filed with the Committee at least one year before the date on which the distribution would otherwise be made, as reflected on the Deceased Grantee’s last Election.</w:t>
      </w:r>
    </w:p>
    <w:p>
      <w:pPr>
        <w:spacing w:after="0" w:line="192" w:lineRule="exact"/>
        <w:rPr>
          <w:rFonts w:ascii="Arial" w:cs="Arial" w:eastAsia="Arial" w:hAnsi="Arial"/>
          <w:sz w:val="22"/>
          <w:szCs w:val="22"/>
          <w:color w:val="auto"/>
        </w:rPr>
      </w:pPr>
    </w:p>
    <w:p>
      <w:pPr>
        <w:jc w:val="both"/>
        <w:ind w:left="1480" w:hanging="971"/>
        <w:spacing w:after="0" w:line="248" w:lineRule="auto"/>
        <w:tabs>
          <w:tab w:leader="none" w:pos="1480" w:val="left"/>
        </w:tabs>
        <w:numPr>
          <w:ilvl w:val="1"/>
          <w:numId w:val="65"/>
        </w:numPr>
        <w:rPr>
          <w:rFonts w:ascii="Arial" w:cs="Arial" w:eastAsia="Arial" w:hAnsi="Arial"/>
          <w:sz w:val="22"/>
          <w:szCs w:val="22"/>
          <w:color w:val="auto"/>
        </w:rPr>
      </w:pPr>
      <w:r>
        <w:rPr>
          <w:rFonts w:ascii="Arial" w:cs="Arial" w:eastAsia="Arial" w:hAnsi="Arial"/>
          <w:sz w:val="22"/>
          <w:szCs w:val="22"/>
          <w:color w:val="auto"/>
        </w:rPr>
        <w:t>A Retired Grantee may elect to defer the distribution date of the Retired Grantee’s Shares issuable with respect to Restricted Stock Units for five additional years from the date payment would otherwise be made. A Subsequent Deferral Election must be filed with the Committee at least one year before the date on which the distribution would otherwise be made, as reflected on the Retired Grantee’s last Election.</w:t>
      </w:r>
    </w:p>
    <w:p>
      <w:pPr>
        <w:spacing w:after="0" w:line="191" w:lineRule="exact"/>
        <w:rPr>
          <w:rFonts w:ascii="Arial" w:cs="Arial" w:eastAsia="Arial" w:hAnsi="Arial"/>
          <w:sz w:val="22"/>
          <w:szCs w:val="22"/>
          <w:color w:val="auto"/>
        </w:rPr>
      </w:pPr>
    </w:p>
    <w:p>
      <w:pPr>
        <w:ind w:left="820" w:hanging="636"/>
        <w:spacing w:after="0"/>
        <w:tabs>
          <w:tab w:leader="none" w:pos="82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Distributions of Accounts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480" w:hanging="852"/>
        <w:spacing w:after="0" w:line="343" w:lineRule="auto"/>
        <w:tabs>
          <w:tab w:leader="none" w:pos="1480"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Manner of Distribution</w:t>
      </w:r>
      <w:r>
        <w:rPr>
          <w:rFonts w:ascii="Arial" w:cs="Arial" w:eastAsia="Arial" w:hAnsi="Arial"/>
          <w:sz w:val="19"/>
          <w:szCs w:val="19"/>
          <w:color w:val="auto"/>
        </w:rPr>
        <w:t>. Amounts credited to an Account shall be distributed pursuant to an Initial Deferral Election, a Regular Deferral Election, or a Subsequent Deferral Election in either:</w:t>
      </w:r>
    </w:p>
    <w:p>
      <w:pPr>
        <w:spacing w:after="0" w:line="104" w:lineRule="exact"/>
        <w:rPr>
          <w:rFonts w:ascii="Arial" w:cs="Arial" w:eastAsia="Arial" w:hAnsi="Arial"/>
          <w:sz w:val="19"/>
          <w:szCs w:val="19"/>
          <w:color w:val="auto"/>
        </w:rPr>
      </w:pPr>
    </w:p>
    <w:p>
      <w:pPr>
        <w:ind w:left="1980" w:hanging="500"/>
        <w:spacing w:after="0"/>
        <w:tabs>
          <w:tab w:leader="none" w:pos="1980" w:val="left"/>
        </w:tabs>
        <w:numPr>
          <w:ilvl w:val="2"/>
          <w:numId w:val="66"/>
        </w:numPr>
        <w:rPr>
          <w:rFonts w:ascii="Arial" w:cs="Arial" w:eastAsia="Arial" w:hAnsi="Arial"/>
          <w:sz w:val="22"/>
          <w:szCs w:val="22"/>
          <w:color w:val="auto"/>
        </w:rPr>
      </w:pPr>
      <w:r>
        <w:rPr>
          <w:rFonts w:ascii="Arial" w:cs="Arial" w:eastAsia="Arial" w:hAnsi="Arial"/>
          <w:sz w:val="22"/>
          <w:szCs w:val="22"/>
          <w:color w:val="auto"/>
        </w:rPr>
        <w:t>A lump sum payment; or</w:t>
      </w:r>
    </w:p>
    <w:p>
      <w:pPr>
        <w:spacing w:after="0" w:line="219" w:lineRule="exact"/>
        <w:rPr>
          <w:rFonts w:ascii="Arial" w:cs="Arial" w:eastAsia="Arial" w:hAnsi="Arial"/>
          <w:sz w:val="22"/>
          <w:szCs w:val="22"/>
          <w:color w:val="auto"/>
        </w:rPr>
      </w:pPr>
    </w:p>
    <w:p>
      <w:pPr>
        <w:jc w:val="both"/>
        <w:ind w:left="2120" w:hanging="640"/>
        <w:spacing w:after="0" w:line="253" w:lineRule="auto"/>
        <w:tabs>
          <w:tab w:leader="none" w:pos="2180" w:val="left"/>
        </w:tabs>
        <w:numPr>
          <w:ilvl w:val="2"/>
          <w:numId w:val="66"/>
        </w:numPr>
        <w:rPr>
          <w:rFonts w:ascii="Arial" w:cs="Arial" w:eastAsia="Arial" w:hAnsi="Arial"/>
          <w:sz w:val="22"/>
          <w:szCs w:val="22"/>
          <w:color w:val="auto"/>
        </w:rPr>
      </w:pPr>
      <w:r>
        <w:rPr>
          <w:rFonts w:ascii="Arial" w:cs="Arial" w:eastAsia="Arial" w:hAnsi="Arial"/>
          <w:sz w:val="22"/>
          <w:szCs w:val="22"/>
          <w:color w:val="auto"/>
        </w:rPr>
        <w:t>With respect to Initial Deferral Elections, Regular Deferral Elections, and Subsequent Deferral Elections made with respect to Restricted Stock Units subject to Awards granted before January 1, 2021, substantially equal monthly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120"/>
          </w:cols>
          <w:pgMar w:left="1440" w:top="1428" w:right="339" w:bottom="1440" w:gutter="0" w:footer="0" w:header="0"/>
        </w:sectPr>
      </w:pPr>
    </w:p>
    <w:bookmarkStart w:id="57" w:name="page58"/>
    <w:bookmarkEnd w:id="57"/>
    <w:p>
      <w:pPr>
        <w:ind w:left="2120"/>
        <w:spacing w:after="0"/>
        <w:rPr>
          <w:sz w:val="20"/>
          <w:szCs w:val="20"/>
          <w:color w:val="auto"/>
        </w:rPr>
      </w:pPr>
      <w:r>
        <w:rPr>
          <w:rFonts w:ascii="Arial" w:cs="Arial" w:eastAsia="Arial" w:hAnsi="Arial"/>
          <w:sz w:val="22"/>
          <w:szCs w:val="22"/>
          <w:color w:val="auto"/>
        </w:rPr>
        <w:t>annual installments over a five- (5), ten- (10) or fifteen- (15) year period; or</w:t>
      </w:r>
    </w:p>
    <w:p>
      <w:pPr>
        <w:spacing w:after="0" w:line="220" w:lineRule="exact"/>
        <w:rPr>
          <w:sz w:val="20"/>
          <w:szCs w:val="20"/>
          <w:color w:val="auto"/>
        </w:rPr>
      </w:pPr>
    </w:p>
    <w:p>
      <w:pPr>
        <w:jc w:val="both"/>
        <w:ind w:left="2120" w:hanging="640"/>
        <w:spacing w:after="0" w:line="250" w:lineRule="auto"/>
        <w:tabs>
          <w:tab w:leader="none" w:pos="21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With respect to Initial Deferral Elections, Regular Deferral Elections, and Subsequent Deferral Elections made with respect to Restricted Stock Units subject to Awards granted after December 31, 2020, substantially equal monthly or annual installments over a five- (5) or ten- (10) year period.</w:t>
      </w:r>
    </w:p>
    <w:p>
      <w:pPr>
        <w:spacing w:after="0" w:line="188" w:lineRule="exact"/>
        <w:rPr>
          <w:sz w:val="20"/>
          <w:szCs w:val="20"/>
          <w:color w:val="auto"/>
        </w:rPr>
      </w:pPr>
    </w:p>
    <w:p>
      <w:pPr>
        <w:ind w:left="1480" w:right="20"/>
        <w:spacing w:after="0" w:line="263" w:lineRule="auto"/>
        <w:rPr>
          <w:sz w:val="20"/>
          <w:szCs w:val="20"/>
          <w:color w:val="auto"/>
        </w:rPr>
      </w:pPr>
      <w:r>
        <w:rPr>
          <w:rFonts w:ascii="Arial" w:cs="Arial" w:eastAsia="Arial" w:hAnsi="Arial"/>
          <w:sz w:val="22"/>
          <w:szCs w:val="22"/>
          <w:color w:val="auto"/>
        </w:rPr>
        <w:t>Installment distributions payable in the form of shares of Common Stock shall be rounded to the next lower whole share.</w:t>
      </w:r>
    </w:p>
    <w:p>
      <w:pPr>
        <w:spacing w:after="0" w:line="175" w:lineRule="exact"/>
        <w:rPr>
          <w:sz w:val="20"/>
          <w:szCs w:val="20"/>
          <w:color w:val="auto"/>
        </w:rPr>
      </w:pPr>
    </w:p>
    <w:p>
      <w:pPr>
        <w:jc w:val="both"/>
        <w:ind w:left="1480" w:hanging="911"/>
        <w:spacing w:after="0" w:line="292" w:lineRule="auto"/>
        <w:tabs>
          <w:tab w:leader="none" w:pos="1480"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Discretion to Provide for Distribution in Full Upon or Following a Change in Control</w:t>
      </w:r>
      <w:r>
        <w:rPr>
          <w:rFonts w:ascii="Arial" w:cs="Arial" w:eastAsia="Arial" w:hAnsi="Arial"/>
          <w:sz w:val="19"/>
          <w:szCs w:val="19"/>
          <w:color w:val="auto"/>
        </w:rPr>
        <w:t>. To the extent permitted by Section 409A, in connection with a Change in Control, and for the 12-month period following a Change in Control, the Committee may exercise its discretion to terminate the deferral provisions of the Plan and, notwithstanding any other provision of the Plan or the terms of any Initial Deferral Election, Regular Deferral Election or Subsequent Deferral Election, distribute the Account of each Grantee in full and thereby effect the revocation of any outstanding Initial Deferral Elections, Regular Deferral Election or Subsequent Deferral Elections.</w:t>
      </w:r>
    </w:p>
    <w:p>
      <w:pPr>
        <w:spacing w:after="0" w:line="150" w:lineRule="exact"/>
        <w:rPr>
          <w:rFonts w:ascii="Arial" w:cs="Arial" w:eastAsia="Arial" w:hAnsi="Arial"/>
          <w:sz w:val="19"/>
          <w:szCs w:val="19"/>
          <w:color w:val="auto"/>
        </w:rPr>
      </w:pPr>
    </w:p>
    <w:p>
      <w:pPr>
        <w:jc w:val="both"/>
        <w:ind w:left="-460" w:firstLine="644"/>
        <w:spacing w:after="0" w:line="250" w:lineRule="auto"/>
        <w:tabs>
          <w:tab w:leader="none" w:pos="836"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Hardship</w:t>
      </w:r>
      <w:r>
        <w:rPr>
          <w:rFonts w:ascii="Arial" w:cs="Arial" w:eastAsia="Arial" w:hAnsi="Arial"/>
          <w:sz w:val="22"/>
          <w:szCs w:val="22"/>
          <w:color w:val="auto"/>
        </w:rPr>
        <w:t>. Notwithstanding the terms of an Initial Deferral Election, Regular Deferral Election or Subsequent Deferral Election, if, at the Grantee’s request, the Committee determines that the Grantee has incurred a Hardship, the Committee may, in its discretion, authorize the immediate distribution of all or any portion of the Grantee’s Account.</w:t>
      </w:r>
    </w:p>
    <w:p>
      <w:pPr>
        <w:spacing w:after="0" w:line="187" w:lineRule="exact"/>
        <w:rPr>
          <w:rFonts w:ascii="Arial" w:cs="Arial" w:eastAsia="Arial" w:hAnsi="Arial"/>
          <w:sz w:val="22"/>
          <w:szCs w:val="22"/>
          <w:color w:val="auto"/>
        </w:rPr>
      </w:pPr>
    </w:p>
    <w:p>
      <w:pPr>
        <w:jc w:val="both"/>
        <w:ind w:left="-460" w:firstLine="644"/>
        <w:spacing w:after="0" w:line="253" w:lineRule="auto"/>
        <w:tabs>
          <w:tab w:leader="none" w:pos="831"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Other Acceleration Events</w:t>
      </w:r>
      <w:r>
        <w:rPr>
          <w:rFonts w:ascii="Arial" w:cs="Arial" w:eastAsia="Arial" w:hAnsi="Arial"/>
          <w:sz w:val="22"/>
          <w:szCs w:val="22"/>
          <w:color w:val="auto"/>
        </w:rPr>
        <w:t>. To the extent permitted by Section 409A, notwithstanding the terms of an Initial Deferral Election, Regular Deferral Election or Subsequent Deferral Election, distribution of all or part of a Grantee’s Account may be made:</w:t>
      </w:r>
    </w:p>
    <w:p>
      <w:pPr>
        <w:spacing w:after="0" w:line="185" w:lineRule="exact"/>
        <w:rPr>
          <w:rFonts w:ascii="Arial" w:cs="Arial" w:eastAsia="Arial" w:hAnsi="Arial"/>
          <w:sz w:val="22"/>
          <w:szCs w:val="22"/>
          <w:color w:val="auto"/>
        </w:rPr>
      </w:pPr>
    </w:p>
    <w:p>
      <w:pPr>
        <w:ind w:left="1480" w:hanging="852"/>
        <w:spacing w:after="0" w:line="343" w:lineRule="auto"/>
        <w:tabs>
          <w:tab w:leader="none" w:pos="1480" w:val="left"/>
        </w:tabs>
        <w:numPr>
          <w:ilvl w:val="1"/>
          <w:numId w:val="69"/>
        </w:numPr>
        <w:rPr>
          <w:rFonts w:ascii="Arial" w:cs="Arial" w:eastAsia="Arial" w:hAnsi="Arial"/>
          <w:sz w:val="19"/>
          <w:szCs w:val="19"/>
          <w:color w:val="auto"/>
        </w:rPr>
      </w:pPr>
      <w:r>
        <w:rPr>
          <w:rFonts w:ascii="Arial" w:cs="Arial" w:eastAsia="Arial" w:hAnsi="Arial"/>
          <w:sz w:val="19"/>
          <w:szCs w:val="19"/>
          <w:color w:val="auto"/>
        </w:rPr>
        <w:t>To fulfill a domestic relations order (as defined in section 414(p)(1)(B) of the Code) to the extent permitted by Treasury Regulations section 1.409A-3(j)(4)(ii) or any successor provision of law).</w:t>
      </w:r>
    </w:p>
    <w:p>
      <w:pPr>
        <w:spacing w:after="0" w:line="104" w:lineRule="exact"/>
        <w:rPr>
          <w:sz w:val="20"/>
          <w:szCs w:val="20"/>
          <w:color w:val="auto"/>
        </w:rPr>
      </w:pPr>
    </w:p>
    <w:p>
      <w:pPr>
        <w:ind w:left="1480" w:right="20" w:hanging="911"/>
        <w:spacing w:after="0" w:line="343" w:lineRule="auto"/>
        <w:tabs>
          <w:tab w:leader="none" w:pos="14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To the extent necessary to comply with laws relating to avoidance of conflicts of interest, as provided in Treasury Regulation section 1.409A-3(j)(4)(iii) (or any successor provision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120"/>
          </w:cols>
          <w:pgMar w:left="1440" w:top="1428" w:right="339" w:bottom="1440" w:gutter="0" w:footer="0" w:header="0"/>
        </w:sectPr>
      </w:pPr>
    </w:p>
    <w:bookmarkStart w:id="58" w:name="page59"/>
    <w:bookmarkEnd w:id="58"/>
    <w:p>
      <w:pPr>
        <w:ind w:left="1480" w:hanging="971"/>
        <w:spacing w:after="0" w:line="263" w:lineRule="auto"/>
        <w:tabs>
          <w:tab w:leader="none" w:pos="148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To pay employment taxes to the extent permitted by Treasury Regulation section 1.409A-3(j)(4)(vi) (or any successor provision of law).</w:t>
      </w:r>
    </w:p>
    <w:p>
      <w:pPr>
        <w:spacing w:after="0" w:line="174" w:lineRule="exact"/>
        <w:rPr>
          <w:rFonts w:ascii="Arial" w:cs="Arial" w:eastAsia="Arial" w:hAnsi="Arial"/>
          <w:sz w:val="22"/>
          <w:szCs w:val="22"/>
          <w:color w:val="auto"/>
        </w:rPr>
      </w:pPr>
    </w:p>
    <w:p>
      <w:pPr>
        <w:jc w:val="both"/>
        <w:ind w:left="1480" w:hanging="960"/>
        <w:spacing w:after="0" w:line="253" w:lineRule="auto"/>
        <w:tabs>
          <w:tab w:leader="none" w:pos="1480" w:val="left"/>
        </w:tabs>
        <w:numPr>
          <w:ilvl w:val="1"/>
          <w:numId w:val="71"/>
        </w:numPr>
        <w:rPr>
          <w:rFonts w:ascii="Arial" w:cs="Arial" w:eastAsia="Arial" w:hAnsi="Arial"/>
          <w:sz w:val="22"/>
          <w:szCs w:val="22"/>
          <w:color w:val="auto"/>
        </w:rPr>
      </w:pPr>
      <w:r>
        <w:rPr>
          <w:rFonts w:ascii="Arial" w:cs="Arial" w:eastAsia="Arial" w:hAnsi="Arial"/>
          <w:sz w:val="22"/>
          <w:szCs w:val="22"/>
          <w:color w:val="auto"/>
        </w:rPr>
        <w:t>In connection with the recognition of income as the result of a failure to comply with Section 409A, to the extent permitted by Treasury Regulation section 1.409A-3(j)(4)(vii) (or any successor provision of law).</w:t>
      </w:r>
    </w:p>
    <w:p>
      <w:pPr>
        <w:spacing w:after="0" w:line="185" w:lineRule="exact"/>
        <w:rPr>
          <w:rFonts w:ascii="Arial" w:cs="Arial" w:eastAsia="Arial" w:hAnsi="Arial"/>
          <w:sz w:val="22"/>
          <w:szCs w:val="22"/>
          <w:color w:val="auto"/>
        </w:rPr>
      </w:pPr>
    </w:p>
    <w:p>
      <w:pPr>
        <w:ind w:left="1480" w:hanging="899"/>
        <w:spacing w:after="0" w:line="263" w:lineRule="auto"/>
        <w:tabs>
          <w:tab w:leader="none" w:pos="148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To pay state, local or foreign taxes to the extent permitted by Treasury Regulation section 1.409A-3(j)(4)(xi) (or any successor provision of law).</w:t>
      </w:r>
    </w:p>
    <w:p>
      <w:pPr>
        <w:spacing w:after="0" w:line="174" w:lineRule="exact"/>
        <w:rPr>
          <w:rFonts w:ascii="Arial" w:cs="Arial" w:eastAsia="Arial" w:hAnsi="Arial"/>
          <w:sz w:val="22"/>
          <w:szCs w:val="22"/>
          <w:color w:val="auto"/>
        </w:rPr>
      </w:pPr>
    </w:p>
    <w:p>
      <w:pPr>
        <w:jc w:val="both"/>
        <w:ind w:left="1480" w:hanging="960"/>
        <w:spacing w:after="0" w:line="250" w:lineRule="auto"/>
        <w:tabs>
          <w:tab w:leader="none" w:pos="1480" w:val="left"/>
        </w:tabs>
        <w:numPr>
          <w:ilvl w:val="1"/>
          <w:numId w:val="71"/>
        </w:numPr>
        <w:rPr>
          <w:rFonts w:ascii="Arial" w:cs="Arial" w:eastAsia="Arial" w:hAnsi="Arial"/>
          <w:sz w:val="22"/>
          <w:szCs w:val="22"/>
          <w:color w:val="auto"/>
        </w:rPr>
      </w:pPr>
      <w:r>
        <w:rPr>
          <w:rFonts w:ascii="Arial" w:cs="Arial" w:eastAsia="Arial" w:hAnsi="Arial"/>
          <w:sz w:val="22"/>
          <w:szCs w:val="22"/>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187" w:lineRule="exact"/>
        <w:rPr>
          <w:rFonts w:ascii="Arial" w:cs="Arial" w:eastAsia="Arial" w:hAnsi="Arial"/>
          <w:sz w:val="22"/>
          <w:szCs w:val="22"/>
          <w:color w:val="auto"/>
        </w:rPr>
      </w:pPr>
    </w:p>
    <w:p>
      <w:pPr>
        <w:ind w:left="1480" w:hanging="1019"/>
        <w:spacing w:after="0" w:line="343" w:lineRule="auto"/>
        <w:tabs>
          <w:tab w:leader="none" w:pos="1480" w:val="left"/>
        </w:tabs>
        <w:numPr>
          <w:ilvl w:val="1"/>
          <w:numId w:val="71"/>
        </w:numPr>
        <w:rPr>
          <w:rFonts w:ascii="Arial" w:cs="Arial" w:eastAsia="Arial" w:hAnsi="Arial"/>
          <w:sz w:val="19"/>
          <w:szCs w:val="19"/>
          <w:color w:val="auto"/>
        </w:rPr>
      </w:pPr>
      <w:r>
        <w:rPr>
          <w:rFonts w:ascii="Arial" w:cs="Arial" w:eastAsia="Arial" w:hAnsi="Arial"/>
          <w:sz w:val="19"/>
          <w:szCs w:val="19"/>
          <w:color w:val="auto"/>
        </w:rPr>
        <w:t>In connection with a bona fide dispute as to a Grantee’s right to payment, to the extent permitted by Treasury Regulation section 1.409A-3(j)(4)(xiv) (or any successor provision of law).</w:t>
      </w:r>
    </w:p>
    <w:p>
      <w:pPr>
        <w:spacing w:after="0" w:line="104" w:lineRule="exact"/>
        <w:rPr>
          <w:rFonts w:ascii="Arial" w:cs="Arial" w:eastAsia="Arial" w:hAnsi="Arial"/>
          <w:sz w:val="19"/>
          <w:szCs w:val="19"/>
          <w:color w:val="auto"/>
        </w:rPr>
      </w:pPr>
    </w:p>
    <w:p>
      <w:pPr>
        <w:jc w:val="both"/>
        <w:ind w:left="-460" w:firstLine="644"/>
        <w:spacing w:after="0" w:line="292" w:lineRule="auto"/>
        <w:tabs>
          <w:tab w:leader="none" w:pos="831"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Book Accounts</w:t>
      </w:r>
      <w:r>
        <w:rPr>
          <w:rFonts w:ascii="Arial" w:cs="Arial" w:eastAsia="Arial" w:hAnsi="Arial"/>
          <w:sz w:val="19"/>
          <w:szCs w:val="19"/>
          <w:color w:val="auto"/>
        </w:rPr>
        <w:t>. An Account shall be established for each Grantee who makes an Election. Deferred Stock Units shall be credited to the Account as of the date an Election becomes effective. Each Deferred Stock Unit will represent a hypothetical share of Common Stock credited to the Account in lieu of delivery of the Shares to which the Election applies. To the extent an Account is deemed invested in an Other Investment Fund, the Committee shall credit income, gains, and losses on the same basis as if the Account were directly invested in such Other Investment Fund. To the extent an Account is deemed invested in the Income Fund, the Committee shall credit earnings with respect to such Account at the Applicable Interest Rate, as further provided in Paragraph 8(k).</w:t>
      </w:r>
    </w:p>
    <w:p>
      <w:pPr>
        <w:spacing w:after="0" w:line="150" w:lineRule="exact"/>
        <w:rPr>
          <w:rFonts w:ascii="Arial" w:cs="Arial" w:eastAsia="Arial" w:hAnsi="Arial"/>
          <w:sz w:val="19"/>
          <w:szCs w:val="19"/>
          <w:color w:val="auto"/>
        </w:rPr>
      </w:pPr>
    </w:p>
    <w:p>
      <w:pPr>
        <w:ind w:left="-460" w:firstLine="644"/>
        <w:spacing w:after="0" w:line="343" w:lineRule="auto"/>
        <w:tabs>
          <w:tab w:leader="none" w:pos="824"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Plan-to-Plan Transfers</w:t>
      </w:r>
      <w:r>
        <w:rPr>
          <w:rFonts w:ascii="Arial" w:cs="Arial" w:eastAsia="Arial" w:hAnsi="Arial"/>
          <w:sz w:val="19"/>
          <w:szCs w:val="19"/>
          <w:color w:val="auto"/>
        </w:rPr>
        <w:t>. The Committee may delegate its authority to arrange for plan-to-plan transfers as described in this Paragraph 8(i) to an officer of the Company or committee of two or more officers of the Company.</w:t>
      </w:r>
    </w:p>
    <w:p>
      <w:pPr>
        <w:spacing w:after="0" w:line="104" w:lineRule="exact"/>
        <w:rPr>
          <w:rFonts w:ascii="Arial" w:cs="Arial" w:eastAsia="Arial" w:hAnsi="Arial"/>
          <w:sz w:val="19"/>
          <w:szCs w:val="19"/>
          <w:color w:val="auto"/>
        </w:rPr>
      </w:pPr>
    </w:p>
    <w:p>
      <w:pPr>
        <w:jc w:val="both"/>
        <w:ind w:left="1480" w:hanging="852"/>
        <w:spacing w:after="0" w:line="247" w:lineRule="auto"/>
        <w:tabs>
          <w:tab w:leader="none" w:pos="14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 Committee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120"/>
          </w:cols>
          <w:pgMar w:left="1440" w:top="1428" w:right="339" w:bottom="1440" w:gutter="0" w:footer="0" w:header="0"/>
        </w:sectPr>
      </w:pPr>
    </w:p>
    <w:bookmarkStart w:id="59" w:name="page60"/>
    <w:bookmarkEnd w:id="59"/>
    <w:p>
      <w:pPr>
        <w:ind w:left="1480"/>
        <w:spacing w:after="0" w:line="263" w:lineRule="auto"/>
        <w:rPr>
          <w:sz w:val="20"/>
          <w:szCs w:val="20"/>
          <w:color w:val="auto"/>
        </w:rPr>
      </w:pPr>
      <w:r>
        <w:rPr>
          <w:rFonts w:ascii="Arial" w:cs="Arial" w:eastAsia="Arial" w:hAnsi="Arial"/>
          <w:sz w:val="22"/>
          <w:szCs w:val="22"/>
          <w:color w:val="auto"/>
        </w:rPr>
        <w:t>completion of such transfer, with respect to the benefit transferred, the Grantee shall have no further right to payment under this Plan.</w:t>
      </w:r>
    </w:p>
    <w:p>
      <w:pPr>
        <w:spacing w:after="0" w:line="175" w:lineRule="exact"/>
        <w:rPr>
          <w:sz w:val="20"/>
          <w:szCs w:val="20"/>
          <w:color w:val="auto"/>
        </w:rPr>
      </w:pPr>
    </w:p>
    <w:p>
      <w:pPr>
        <w:jc w:val="both"/>
        <w:ind w:left="1480" w:hanging="911"/>
        <w:spacing w:after="0" w:line="290" w:lineRule="auto"/>
        <w:tabs>
          <w:tab w:leader="none" w:pos="1480"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Committee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Committee shall establish an Account for such Grantee, and the Account shall be subject to the rules of this Plan, as in effect from time to time.</w:t>
      </w:r>
    </w:p>
    <w:p>
      <w:pPr>
        <w:spacing w:after="0" w:line="155" w:lineRule="exact"/>
        <w:rPr>
          <w:rFonts w:ascii="Arial" w:cs="Arial" w:eastAsia="Arial" w:hAnsi="Arial"/>
          <w:sz w:val="19"/>
          <w:szCs w:val="19"/>
          <w:color w:val="auto"/>
        </w:rPr>
      </w:pPr>
    </w:p>
    <w:p>
      <w:pPr>
        <w:ind w:left="820" w:hanging="636"/>
        <w:spacing w:after="0"/>
        <w:tabs>
          <w:tab w:leader="none" w:pos="82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Crediting of Income, Gains, and Losses on Accounts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480" w:hanging="852"/>
        <w:spacing w:after="0" w:line="253" w:lineRule="auto"/>
        <w:tabs>
          <w:tab w:leader="none" w:pos="1480"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as otherwise provided in this Paragraph 8(j) or Paragraph 8(k), the value of a Grantee’s Account as of any date shall be determined as if it were invested in the Company Stock Fund.</w:t>
      </w:r>
    </w:p>
    <w:p>
      <w:pPr>
        <w:spacing w:after="0" w:line="185" w:lineRule="exact"/>
        <w:rPr>
          <w:sz w:val="20"/>
          <w:szCs w:val="20"/>
          <w:color w:val="auto"/>
        </w:rPr>
      </w:pPr>
    </w:p>
    <w:p>
      <w:pPr>
        <w:ind w:left="1480" w:hanging="911"/>
        <w:spacing w:after="0"/>
        <w:tabs>
          <w:tab w:leader="none" w:pos="148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Credits to Other Investment Funds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120" w:hanging="640"/>
        <w:spacing w:after="0" w:line="297" w:lineRule="auto"/>
        <w:tabs>
          <w:tab w:leader="none" w:pos="2001"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Post-Termination Elections</w:t>
      </w:r>
      <w:r>
        <w:rPr>
          <w:rFonts w:ascii="Arial" w:cs="Arial" w:eastAsia="Arial" w:hAnsi="Arial"/>
          <w:sz w:val="19"/>
          <w:szCs w:val="19"/>
          <w:color w:val="auto"/>
        </w:rPr>
        <w:t>. To the extent credited to the Income Fund, the Accounts of Non-Employee Directors and Section 16 Officers whose Subsequent Deferral Elections are made after their termination of service shall be credited to an Other Investment Fund. The Committee may designate the specific Other Investment Fund or Funds to which the Account of any individual who has terminated service to the Company shall be invested.</w:t>
      </w:r>
    </w:p>
    <w:p>
      <w:pPr>
        <w:spacing w:after="0" w:line="146" w:lineRule="exact"/>
        <w:rPr>
          <w:rFonts w:ascii="Arial" w:cs="Arial" w:eastAsia="Arial" w:hAnsi="Arial"/>
          <w:sz w:val="19"/>
          <w:szCs w:val="19"/>
          <w:color w:val="auto"/>
        </w:rPr>
      </w:pPr>
    </w:p>
    <w:p>
      <w:pPr>
        <w:ind w:left="1980" w:hanging="500"/>
        <w:spacing w:after="0"/>
        <w:tabs>
          <w:tab w:leader="none" w:pos="1980"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High Balance Participants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480" w:firstLine="648"/>
        <w:spacing w:after="0" w:line="302" w:lineRule="auto"/>
        <w:tabs>
          <w:tab w:leader="none" w:pos="2713" w:val="left"/>
        </w:tabs>
        <w:numPr>
          <w:ilvl w:val="2"/>
          <w:numId w:val="75"/>
        </w:numPr>
        <w:rPr>
          <w:rFonts w:ascii="Arial" w:cs="Arial" w:eastAsia="Arial" w:hAnsi="Arial"/>
          <w:sz w:val="19"/>
          <w:szCs w:val="19"/>
          <w:color w:val="auto"/>
        </w:rPr>
      </w:pPr>
      <w:r>
        <w:rPr>
          <w:rFonts w:ascii="Arial" w:cs="Arial" w:eastAsia="Arial" w:hAnsi="Arial"/>
          <w:sz w:val="19"/>
          <w:szCs w:val="19"/>
          <w:color w:val="auto"/>
        </w:rPr>
        <w:t xml:space="preserve">If the Income Fund of a Grantee other than a Non-Employee Director or Covered Grantee exceeds the Income Fund Limit as of the last day of a Plan Year, the excess of (x) the amount credited to the Grantee’s Income Fund </w:t>
      </w:r>
      <w:r>
        <w:rPr>
          <w:rFonts w:ascii="Arial" w:cs="Arial" w:eastAsia="Arial" w:hAnsi="Arial"/>
          <w:sz w:val="19"/>
          <w:szCs w:val="19"/>
          <w:i w:val="1"/>
          <w:iCs w:val="1"/>
          <w:color w:val="auto"/>
        </w:rPr>
        <w:t>over</w:t>
      </w:r>
      <w:r>
        <w:rPr>
          <w:rFonts w:ascii="Arial" w:cs="Arial" w:eastAsia="Arial" w:hAnsi="Arial"/>
          <w:sz w:val="19"/>
          <w:szCs w:val="19"/>
          <w:color w:val="auto"/>
        </w:rPr>
        <w:t xml:space="preserve"> (y) the Income Fund Limit shall be deemed transferred to an Other Investment Fund as of such last day of such Plan Year.</w:t>
      </w:r>
    </w:p>
    <w:p>
      <w:pPr>
        <w:spacing w:after="0" w:line="142" w:lineRule="exact"/>
        <w:rPr>
          <w:rFonts w:ascii="Arial" w:cs="Arial" w:eastAsia="Arial" w:hAnsi="Arial"/>
          <w:sz w:val="19"/>
          <w:szCs w:val="19"/>
          <w:color w:val="auto"/>
        </w:rPr>
      </w:pPr>
    </w:p>
    <w:p>
      <w:pPr>
        <w:ind w:left="1480" w:firstLine="648"/>
        <w:spacing w:after="0" w:line="343" w:lineRule="auto"/>
        <w:tabs>
          <w:tab w:leader="none" w:pos="2609" w:val="left"/>
        </w:tabs>
        <w:numPr>
          <w:ilvl w:val="2"/>
          <w:numId w:val="75"/>
        </w:numPr>
        <w:rPr>
          <w:rFonts w:ascii="Arial" w:cs="Arial" w:eastAsia="Arial" w:hAnsi="Arial"/>
          <w:sz w:val="19"/>
          <w:szCs w:val="19"/>
          <w:color w:val="auto"/>
        </w:rPr>
      </w:pPr>
      <w:r>
        <w:rPr>
          <w:rFonts w:ascii="Arial" w:cs="Arial" w:eastAsia="Arial" w:hAnsi="Arial"/>
          <w:sz w:val="19"/>
          <w:szCs w:val="19"/>
          <w:color w:val="auto"/>
        </w:rPr>
        <w:t>If a Non-Employee Director’s Income Fund exceeds the Income Fund Limit as of July 31, 2020, the amount credited to the Non-Employee Director’s Income Fund shall be transferred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120"/>
          </w:cols>
          <w:pgMar w:left="1440" w:top="1428" w:right="339" w:bottom="1440" w:gutter="0" w:footer="0" w:header="0"/>
        </w:sectPr>
      </w:pPr>
    </w:p>
    <w:bookmarkStart w:id="60" w:name="page61"/>
    <w:bookmarkEnd w:id="60"/>
    <w:p>
      <w:pPr>
        <w:jc w:val="both"/>
        <w:ind w:left="1480"/>
        <w:spacing w:after="0" w:line="292" w:lineRule="auto"/>
        <w:rPr>
          <w:sz w:val="20"/>
          <w:szCs w:val="20"/>
          <w:color w:val="auto"/>
        </w:rPr>
      </w:pPr>
      <w:r>
        <w:rPr>
          <w:rFonts w:ascii="Arial" w:cs="Arial" w:eastAsia="Arial" w:hAnsi="Arial"/>
          <w:sz w:val="19"/>
          <w:szCs w:val="19"/>
          <w:color w:val="auto"/>
        </w:rPr>
        <w:t>an Other Investment Fund as of August 1, 2020, and all amounts credited to the Non-Employee Director’s Account on and after August 1, 2020 shall be deemed invested in an Other Investment Fund. The amount credited to the Income Fund with respect to an individual who becomes a Non-Employee Director after August 1, 2020 shall be transferred to an Other Investment Fund as of the first day of the month next following the date such individual becomes a Non-Employee Director, and all amounts credited to the Non-Employee Director’s Account on and after such date shall be deemed invested in an Other Investment Fund.</w:t>
      </w:r>
    </w:p>
    <w:p>
      <w:pPr>
        <w:spacing w:after="0" w:line="151" w:lineRule="exact"/>
        <w:rPr>
          <w:sz w:val="20"/>
          <w:szCs w:val="20"/>
          <w:color w:val="auto"/>
        </w:rPr>
      </w:pPr>
    </w:p>
    <w:p>
      <w:pPr>
        <w:jc w:val="both"/>
        <w:ind w:left="1480" w:firstLine="648"/>
        <w:spacing w:after="0" w:line="259" w:lineRule="auto"/>
        <w:tabs>
          <w:tab w:leader="none" w:pos="2659" w:val="left"/>
        </w:tabs>
        <w:numPr>
          <w:ilvl w:val="2"/>
          <w:numId w:val="76"/>
        </w:numPr>
        <w:rPr>
          <w:rFonts w:ascii="Arial" w:cs="Arial" w:eastAsia="Arial" w:hAnsi="Arial"/>
          <w:sz w:val="21"/>
          <w:szCs w:val="21"/>
          <w:color w:val="auto"/>
        </w:rPr>
      </w:pPr>
      <w:r>
        <w:rPr>
          <w:rFonts w:ascii="Arial" w:cs="Arial" w:eastAsia="Arial" w:hAnsi="Arial"/>
          <w:sz w:val="21"/>
          <w:szCs w:val="21"/>
          <w:color w:val="auto"/>
        </w:rPr>
        <w:t>If a Covered Grantee’s Income Fund exceeds the Income Fund Limit as of February 28, 2021, the amount credited to the Covered Grantee’s Income Fund shall be transferred to an Other Investment Fund as of March 1, 2021, and all amounts credited to the Covered Grantee’s Account on and after March 1, 2021 shall be deemed invested in an Other Investment Fund. The amount credited to the Income Fund with respect to an individual who becomes a Covered Grantee after March 1, 2021 shall be transferred to an Other Investment Fund as of the first day of the month next following the date such individual becomes a Covered Grantee, and all amounts credited to the Covered Grantee’s Account on and after such date shall be deemed invested in an Other Investment Fund.</w:t>
      </w:r>
    </w:p>
    <w:p>
      <w:pPr>
        <w:spacing w:after="0" w:line="179" w:lineRule="exact"/>
        <w:rPr>
          <w:rFonts w:ascii="Arial" w:cs="Arial" w:eastAsia="Arial" w:hAnsi="Arial"/>
          <w:sz w:val="21"/>
          <w:szCs w:val="21"/>
          <w:color w:val="auto"/>
        </w:rPr>
      </w:pPr>
    </w:p>
    <w:p>
      <w:pPr>
        <w:ind w:left="2120" w:hanging="640"/>
        <w:spacing w:after="0" w:line="259" w:lineRule="auto"/>
        <w:tabs>
          <w:tab w:leader="none" w:pos="1989"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Section 16 Officers</w:t>
      </w:r>
      <w:r>
        <w:rPr>
          <w:rFonts w:ascii="Arial" w:cs="Arial" w:eastAsia="Arial" w:hAnsi="Arial"/>
          <w:sz w:val="21"/>
          <w:szCs w:val="21"/>
          <w:color w:val="auto"/>
        </w:rPr>
        <w:t>. Pursuant to rules established by the Committee or its delegate, a Section 16 Officer may elect to (x) transfer amounts credited to their Accounts that were previously subject to a Diversification Election and that are deemed to be invested in the Income Fund to an Other Investment Fund, or (y) transfer amounts credited to their Accounts that were previously subject to a Diversification Election and that are deemed to be invested in an Other Investment Fund to the Income Fund to the extent that immediately after such transfer, the amount credited to such Section 16 Officer’s Income Fund does not exceed the Income Fund Limit.</w:t>
      </w:r>
    </w:p>
    <w:p>
      <w:pPr>
        <w:spacing w:after="0" w:line="183" w:lineRule="exact"/>
        <w:rPr>
          <w:rFonts w:ascii="Arial" w:cs="Arial" w:eastAsia="Arial" w:hAnsi="Arial"/>
          <w:sz w:val="21"/>
          <w:szCs w:val="21"/>
          <w:color w:val="auto"/>
        </w:rPr>
      </w:pPr>
    </w:p>
    <w:p>
      <w:pPr>
        <w:ind w:left="2120" w:hanging="640"/>
        <w:spacing w:after="0" w:line="253" w:lineRule="auto"/>
        <w:tabs>
          <w:tab w:leader="none" w:pos="2001"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Subsequent Deferral Elections</w:t>
      </w:r>
      <w:r>
        <w:rPr>
          <w:rFonts w:ascii="Arial" w:cs="Arial" w:eastAsia="Arial" w:hAnsi="Arial"/>
          <w:sz w:val="22"/>
          <w:szCs w:val="22"/>
          <w:color w:val="auto"/>
        </w:rPr>
        <w:t>. Amounts subject to a Subsequent Deferral Election that takes effect while a Grantee’s Income Fund exceeds the Income Fund Limit shall be deemed invested in an Other Investment Fund.</w:t>
      </w:r>
    </w:p>
    <w:p>
      <w:pPr>
        <w:spacing w:after="0" w:line="185" w:lineRule="exact"/>
        <w:rPr>
          <w:rFonts w:ascii="Arial" w:cs="Arial" w:eastAsia="Arial" w:hAnsi="Arial"/>
          <w:sz w:val="22"/>
          <w:szCs w:val="22"/>
          <w:color w:val="auto"/>
        </w:rPr>
      </w:pPr>
    </w:p>
    <w:p>
      <w:pPr>
        <w:ind w:left="1480" w:hanging="971"/>
        <w:spacing w:after="0" w:line="263" w:lineRule="auto"/>
        <w:tabs>
          <w:tab w:leader="none" w:pos="148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Protocol for Deemed Transfers between Income Fund and an Other Investment Fund</w:t>
      </w:r>
      <w:r>
        <w:rPr>
          <w:rFonts w:ascii="Arial" w:cs="Arial" w:eastAsia="Arial" w:hAnsi="Arial"/>
          <w:sz w:val="22"/>
          <w:szCs w:val="22"/>
          <w:color w:val="auto"/>
        </w:rPr>
        <w:t>. As provided in Article 8, the timing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120"/>
          </w:cols>
          <w:pgMar w:left="1440" w:top="1428" w:right="339" w:bottom="1440" w:gutter="0" w:footer="0" w:header="0"/>
        </w:sectPr>
      </w:pPr>
    </w:p>
    <w:bookmarkStart w:id="61" w:name="page62"/>
    <w:bookmarkEnd w:id="61"/>
    <w:p>
      <w:pPr>
        <w:jc w:val="both"/>
        <w:ind w:left="1480"/>
        <w:spacing w:after="0" w:line="284" w:lineRule="auto"/>
        <w:rPr>
          <w:sz w:val="20"/>
          <w:szCs w:val="20"/>
          <w:color w:val="auto"/>
        </w:rPr>
      </w:pPr>
      <w:r>
        <w:rPr>
          <w:rFonts w:ascii="Arial" w:cs="Arial" w:eastAsia="Arial" w:hAnsi="Arial"/>
          <w:sz w:val="19"/>
          <w:szCs w:val="19"/>
          <w:color w:val="auto"/>
        </w:rPr>
        <w:t>distributions of amounts credited to a Grantee’s Account is established pursuant to Initial Deferral Elections, Regular Deferral Elections, and Subsequent Deferral Elections, and a Grantee may elect various distribution dates for amounts subject to Initial Deferral Elections, Regular Deferral Elections, and Subsequent Deferral Elections. Amounts deemed transferred from the Income Fund to Other Investment Funds as a result of the application of the Income Fund Limit or pursuant to elective transfers described in Paragraph 8(j)(ii)(C), and amounts deemed transferred from an Other Investment Fund to the Income Fund pursuant to elective transfers described in Paragraph 8(j)(ii)</w:t>
      </w:r>
    </w:p>
    <w:p>
      <w:pPr>
        <w:spacing w:after="0" w:line="4" w:lineRule="exact"/>
        <w:rPr>
          <w:sz w:val="20"/>
          <w:szCs w:val="20"/>
          <w:color w:val="auto"/>
        </w:rPr>
      </w:pPr>
    </w:p>
    <w:p>
      <w:pPr>
        <w:jc w:val="both"/>
        <w:ind w:left="1480"/>
        <w:spacing w:after="0" w:line="244" w:lineRule="auto"/>
        <w:tabs>
          <w:tab w:leader="none" w:pos="1883" w:val="left"/>
        </w:tabs>
        <w:numPr>
          <w:ilvl w:val="2"/>
          <w:numId w:val="79"/>
        </w:numPr>
        <w:rPr>
          <w:rFonts w:ascii="Arial" w:cs="Arial" w:eastAsia="Arial" w:hAnsi="Arial"/>
          <w:sz w:val="22"/>
          <w:szCs w:val="22"/>
          <w:color w:val="auto"/>
        </w:rPr>
      </w:pPr>
      <w:r>
        <w:rPr>
          <w:rFonts w:ascii="Arial" w:cs="Arial" w:eastAsia="Arial" w:hAnsi="Arial"/>
          <w:sz w:val="22"/>
          <w:szCs w:val="22"/>
          <w:color w:val="auto"/>
        </w:rPr>
        <w:t>shall be sourced and allocated on a uniform and consistent basis as determined by the Committee,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w:t>
      </w:r>
    </w:p>
    <w:p>
      <w:pPr>
        <w:spacing w:after="0" w:line="194" w:lineRule="exact"/>
        <w:rPr>
          <w:rFonts w:ascii="Arial" w:cs="Arial" w:eastAsia="Arial" w:hAnsi="Arial"/>
          <w:sz w:val="22"/>
          <w:szCs w:val="22"/>
          <w:color w:val="auto"/>
        </w:rPr>
      </w:pPr>
    </w:p>
    <w:p>
      <w:pPr>
        <w:jc w:val="both"/>
        <w:ind w:left="-460" w:firstLine="644"/>
        <w:spacing w:after="0" w:line="253" w:lineRule="auto"/>
        <w:tabs>
          <w:tab w:leader="none" w:pos="125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Diversification Elections</w:t>
      </w:r>
      <w:r>
        <w:rPr>
          <w:rFonts w:ascii="Arial" w:cs="Arial" w:eastAsia="Arial" w:hAnsi="Arial"/>
          <w:sz w:val="22"/>
          <w:szCs w:val="22"/>
          <w:color w:val="auto"/>
        </w:rPr>
        <w:t>. This Paragraph 8(k) shall not apply to (x) elective transfers described in Paragraph 8(j)(ii)(C) of amounts that were previously subject to a Diversification Election or (y) effective July 31, 2020 the Account of any Non-Employee Director.</w:t>
      </w:r>
    </w:p>
    <w:p>
      <w:pPr>
        <w:spacing w:after="0" w:line="185" w:lineRule="exact"/>
        <w:rPr>
          <w:rFonts w:ascii="Arial" w:cs="Arial" w:eastAsia="Arial" w:hAnsi="Arial"/>
          <w:sz w:val="22"/>
          <w:szCs w:val="22"/>
          <w:color w:val="auto"/>
        </w:rPr>
      </w:pPr>
    </w:p>
    <w:p>
      <w:pPr>
        <w:jc w:val="both"/>
        <w:ind w:left="1480" w:hanging="852"/>
        <w:spacing w:after="0" w:line="250" w:lineRule="auto"/>
        <w:tabs>
          <w:tab w:leader="none" w:pos="1480"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as otherwise provided in Paragraph 8(k)(ii) and Paragraph 8(k)(v), the opportunity to make a Diversification Election shall be available at any time that a Registration Statement filed under the 1933 Act (a “Registration Statement”) is effective with respect to the Plan.</w:t>
      </w:r>
    </w:p>
    <w:p>
      <w:pPr>
        <w:spacing w:after="0" w:line="187" w:lineRule="exact"/>
        <w:rPr>
          <w:rFonts w:ascii="Arial" w:cs="Arial" w:eastAsia="Arial" w:hAnsi="Arial"/>
          <w:sz w:val="22"/>
          <w:szCs w:val="22"/>
          <w:color w:val="auto"/>
        </w:rPr>
      </w:pPr>
    </w:p>
    <w:p>
      <w:pPr>
        <w:jc w:val="both"/>
        <w:ind w:left="1480" w:hanging="911"/>
        <w:spacing w:after="0" w:line="263" w:lineRule="auto"/>
        <w:tabs>
          <w:tab w:leader="none" w:pos="1480"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Committee Approval of Diversification Elections</w:t>
      </w:r>
      <w:r>
        <w:rPr>
          <w:rFonts w:ascii="Arial" w:cs="Arial" w:eastAsia="Arial" w:hAnsi="Arial"/>
          <w:sz w:val="21"/>
          <w:szCs w:val="21"/>
          <w:color w:val="auto"/>
        </w:rPr>
        <w:t>. The opportunity to make a Diversification Election on and after October 22, 2020 and the extent to which a Diversification Election applies to Deferred Stock Units credited to the Company Stock Fund may be approved or rejected by the Committee or its delegate in its sole discretion. A Diversification Election shall only be effective if (and to the extent) approved by the Committee or its delegate.</w:t>
      </w:r>
    </w:p>
    <w:p>
      <w:pPr>
        <w:spacing w:after="0" w:line="175" w:lineRule="exact"/>
        <w:rPr>
          <w:rFonts w:ascii="Arial" w:cs="Arial" w:eastAsia="Arial" w:hAnsi="Arial"/>
          <w:sz w:val="21"/>
          <w:szCs w:val="21"/>
          <w:color w:val="auto"/>
        </w:rPr>
      </w:pPr>
    </w:p>
    <w:p>
      <w:pPr>
        <w:jc w:val="both"/>
        <w:ind w:left="1480" w:hanging="971"/>
        <w:spacing w:after="0" w:line="247" w:lineRule="auto"/>
        <w:tabs>
          <w:tab w:leader="none" w:pos="1480"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Time and Manner of Making Diversification Elections</w:t>
      </w:r>
      <w:r>
        <w:rPr>
          <w:rFonts w:ascii="Arial" w:cs="Arial" w:eastAsia="Arial" w:hAnsi="Arial"/>
          <w:sz w:val="22"/>
          <w:szCs w:val="22"/>
          <w:color w:val="auto"/>
        </w:rPr>
        <w:t>. Each Grantee and, in the case of a Deceased Grantee, the Successor-in-Interest, may make a Diversification Election to convert Deferred Stock Units attributable to such Award credited to the Company Stock Fund to the Income Fund. Except as otherwise provided in Paragraph 8(j)(ii), no deemed transfers shall be permitted from the Income Fund to the Company Stock Fund. Diversification Elections under this Paragraph 8(k)(iii) shall be prospectively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120"/>
          </w:cols>
          <w:pgMar w:left="1440" w:top="1428" w:right="339" w:bottom="1440" w:gutter="0" w:footer="0" w:header="0"/>
        </w:sectPr>
      </w:pPr>
    </w:p>
    <w:bookmarkStart w:id="62" w:name="page63"/>
    <w:bookmarkEnd w:id="62"/>
    <w:p>
      <w:pPr>
        <w:jc w:val="both"/>
        <w:ind w:left="1480"/>
        <w:spacing w:after="0" w:line="294" w:lineRule="auto"/>
        <w:rPr>
          <w:sz w:val="20"/>
          <w:szCs w:val="20"/>
          <w:color w:val="auto"/>
        </w:rPr>
      </w:pPr>
      <w:r>
        <w:rPr>
          <w:rFonts w:ascii="Arial" w:cs="Arial" w:eastAsia="Arial" w:hAnsi="Arial"/>
          <w:sz w:val="19"/>
          <w:szCs w:val="19"/>
          <w:color w:val="auto"/>
        </w:rPr>
        <w:t>effective on the later of: (A) the date designated by the Grantee on a Diversification Election filed with and approved by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149" w:lineRule="exact"/>
        <w:rPr>
          <w:sz w:val="20"/>
          <w:szCs w:val="20"/>
          <w:color w:val="auto"/>
        </w:rPr>
      </w:pPr>
    </w:p>
    <w:p>
      <w:pPr>
        <w:jc w:val="both"/>
        <w:ind w:left="1480" w:hanging="960"/>
        <w:spacing w:after="0" w:line="290" w:lineRule="auto"/>
        <w:tabs>
          <w:tab w:leader="none" w:pos="1480"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Interfund Transfers and Timing of Credits</w:t>
      </w:r>
      <w:r>
        <w:rPr>
          <w:rFonts w:ascii="Arial" w:cs="Arial" w:eastAsia="Arial" w:hAnsi="Arial"/>
          <w:sz w:val="19"/>
          <w:szCs w:val="19"/>
          <w:color w:val="auto"/>
        </w:rPr>
        <w:t>. Account balances subject to a Diversification Election under this Paragraph 8(k) shall be deemed transferred from the Company Stock Fund to the Income Fund or Other Investment Fund, as applicable, immediately following the effective date of such Diversification Election. The value of amounts deemed invested in the Income Fund or Other Investment Fund immediately following the effective date of a Diversification Election shall be based on hypothetical sales of Common Stock underlying the liquidated Deferred Stock Units (and, if applicable, hypothetical purchases of shares of Other Investment Funds) at Fair Market Value as of the effective date of a Diversification Election.</w:t>
      </w:r>
    </w:p>
    <w:p>
      <w:pPr>
        <w:spacing w:after="0" w:line="155" w:lineRule="exact"/>
        <w:rPr>
          <w:rFonts w:ascii="Arial" w:cs="Arial" w:eastAsia="Arial" w:hAnsi="Arial"/>
          <w:sz w:val="19"/>
          <w:szCs w:val="19"/>
          <w:color w:val="auto"/>
        </w:rPr>
      </w:pPr>
    </w:p>
    <w:p>
      <w:pPr>
        <w:jc w:val="both"/>
        <w:ind w:left="1480" w:hanging="899"/>
        <w:spacing w:after="0" w:line="292" w:lineRule="auto"/>
        <w:tabs>
          <w:tab w:leader="none" w:pos="1480"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Diversification Limit</w:t>
      </w:r>
      <w:r>
        <w:rPr>
          <w:rFonts w:ascii="Arial" w:cs="Arial" w:eastAsia="Arial" w:hAnsi="Arial"/>
          <w:sz w:val="19"/>
          <w:szCs w:val="19"/>
          <w:color w:val="auto"/>
        </w:rPr>
        <w:t>. No Diversification Election during a calendar year by an Eligible Employee shall be effective after October 22, 2020 if the sum of (x) the value of the Eligible Employee’s Account in the 2005 Deferred Compensation Plan, plus (y) the value of the Eligible Employee’s Account in the 2002 Deferred Compensation Plan, plus (z) the value of the Eligible Employee’s Account in this Plan to the extent such Account is credited to the “Income Fund,” exceeds the “Contribution Limit” (as defined in the 2005 Deferred Compensation Plan) with respect to such calendar year, determined as of September 30th immediately preceding such calendar year.</w:t>
      </w:r>
    </w:p>
    <w:p>
      <w:pPr>
        <w:spacing w:after="0" w:line="150" w:lineRule="exact"/>
        <w:rPr>
          <w:rFonts w:ascii="Arial" w:cs="Arial" w:eastAsia="Arial" w:hAnsi="Arial"/>
          <w:sz w:val="19"/>
          <w:szCs w:val="19"/>
          <w:color w:val="auto"/>
        </w:rPr>
      </w:pPr>
    </w:p>
    <w:p>
      <w:pPr>
        <w:jc w:val="both"/>
        <w:ind w:left="-460" w:firstLine="644"/>
        <w:spacing w:after="0" w:line="292" w:lineRule="auto"/>
        <w:tabs>
          <w:tab w:leader="none" w:pos="1134"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Grantees’ Status as General Creditors</w:t>
      </w:r>
      <w:r>
        <w:rPr>
          <w:rFonts w:ascii="Arial" w:cs="Arial" w:eastAsia="Arial" w:hAnsi="Arial"/>
          <w:sz w:val="19"/>
          <w:szCs w:val="19"/>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120"/>
          </w:cols>
          <w:pgMar w:left="1440" w:top="1428" w:right="339" w:bottom="1440" w:gutter="0" w:footer="0" w:header="0"/>
        </w:sectPr>
      </w:pPr>
    </w:p>
    <w:bookmarkStart w:id="63" w:name="page64"/>
    <w:bookmarkEnd w:id="63"/>
    <w:p>
      <w:pPr>
        <w:jc w:val="both"/>
        <w:ind w:left="4" w:firstLine="644"/>
        <w:spacing w:after="0" w:line="302" w:lineRule="auto"/>
        <w:tabs>
          <w:tab w:leader="none" w:pos="1288"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Non-Assignability, Etc</w:t>
      </w:r>
      <w:r>
        <w:rPr>
          <w:rFonts w:ascii="Arial" w:cs="Arial" w:eastAsia="Arial" w:hAnsi="Arial"/>
          <w:sz w:val="19"/>
          <w:szCs w:val="19"/>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42" w:lineRule="exact"/>
        <w:rPr>
          <w:rFonts w:ascii="Arial" w:cs="Arial" w:eastAsia="Arial" w:hAnsi="Arial"/>
          <w:sz w:val="19"/>
          <w:szCs w:val="19"/>
          <w:color w:val="auto"/>
        </w:rPr>
      </w:pPr>
    </w:p>
    <w:p>
      <w:pPr>
        <w:jc w:val="both"/>
        <w:ind w:left="4" w:firstLine="644"/>
        <w:spacing w:after="0" w:line="246" w:lineRule="auto"/>
        <w:tabs>
          <w:tab w:leader="none" w:pos="1295"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Required Suspension of Payment of Benefits</w:t>
      </w:r>
      <w:r>
        <w:rPr>
          <w:rFonts w:ascii="Arial" w:cs="Arial" w:eastAsia="Arial" w:hAnsi="Arial"/>
          <w:sz w:val="22"/>
          <w:szCs w:val="22"/>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190" w:lineRule="exact"/>
        <w:rPr>
          <w:rFonts w:ascii="Arial" w:cs="Arial" w:eastAsia="Arial" w:hAnsi="Arial"/>
          <w:sz w:val="22"/>
          <w:szCs w:val="22"/>
          <w:color w:val="auto"/>
        </w:rPr>
      </w:pPr>
    </w:p>
    <w:p>
      <w:pPr>
        <w:ind w:left="644" w:hanging="644"/>
        <w:spacing w:after="0"/>
        <w:tabs>
          <w:tab w:leader="none" w:pos="644"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LAWS; TAXES</w:t>
      </w:r>
    </w:p>
    <w:p>
      <w:pPr>
        <w:spacing w:after="0" w:line="225" w:lineRule="exact"/>
        <w:rPr>
          <w:rFonts w:ascii="Arial" w:cs="Arial" w:eastAsia="Arial" w:hAnsi="Arial"/>
          <w:sz w:val="22"/>
          <w:szCs w:val="22"/>
          <w:b w:val="1"/>
          <w:bCs w:val="1"/>
          <w:color w:val="auto"/>
        </w:rPr>
      </w:pPr>
    </w:p>
    <w:p>
      <w:pPr>
        <w:jc w:val="both"/>
        <w:ind w:left="4" w:firstLine="644"/>
        <w:spacing w:after="0" w:line="261" w:lineRule="auto"/>
        <w:tabs>
          <w:tab w:leader="none" w:pos="1297" w:val="left"/>
        </w:tabs>
        <w:numPr>
          <w:ilvl w:val="1"/>
          <w:numId w:val="84"/>
        </w:numPr>
        <w:rPr>
          <w:rFonts w:ascii="Arial" w:cs="Arial" w:eastAsia="Arial" w:hAnsi="Arial"/>
          <w:sz w:val="21"/>
          <w:szCs w:val="21"/>
          <w:color w:val="auto"/>
        </w:rPr>
      </w:pPr>
      <w:r>
        <w:rPr>
          <w:rFonts w:ascii="Arial" w:cs="Arial" w:eastAsia="Arial" w:hAnsi="Arial"/>
          <w:sz w:val="21"/>
          <w:szCs w:val="21"/>
          <w:u w:val="single" w:color="auto"/>
          <w:color w:val="auto"/>
        </w:rPr>
        <w:t>Securities Laws</w:t>
      </w:r>
      <w:r>
        <w:rPr>
          <w:rFonts w:ascii="Arial" w:cs="Arial" w:eastAsia="Arial" w:hAnsi="Arial"/>
          <w:sz w:val="21"/>
          <w:szCs w:val="21"/>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79" w:lineRule="exact"/>
        <w:rPr>
          <w:rFonts w:ascii="Arial" w:cs="Arial" w:eastAsia="Arial" w:hAnsi="Arial"/>
          <w:sz w:val="21"/>
          <w:szCs w:val="21"/>
          <w:color w:val="auto"/>
        </w:rPr>
      </w:pPr>
    </w:p>
    <w:p>
      <w:pPr>
        <w:jc w:val="both"/>
        <w:ind w:left="4" w:firstLine="644"/>
        <w:spacing w:after="0" w:line="248" w:lineRule="auto"/>
        <w:tabs>
          <w:tab w:leader="none" w:pos="1295"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191" w:lineRule="exact"/>
        <w:rPr>
          <w:rFonts w:ascii="Arial" w:cs="Arial" w:eastAsia="Arial" w:hAnsi="Arial"/>
          <w:sz w:val="22"/>
          <w:szCs w:val="22"/>
          <w:color w:val="auto"/>
        </w:rPr>
      </w:pPr>
    </w:p>
    <w:p>
      <w:pPr>
        <w:ind w:left="1284" w:hanging="636"/>
        <w:spacing w:after="0"/>
        <w:tabs>
          <w:tab w:leader="none" w:pos="1284"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Payment of Tax Liabilities; Election to Withhold Shares or Pay Cash to Satisfy Tax Liability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944" w:hanging="852"/>
        <w:spacing w:after="0" w:line="297" w:lineRule="auto"/>
        <w:tabs>
          <w:tab w:leader="none" w:pos="1944" w:val="left"/>
        </w:tabs>
        <w:numPr>
          <w:ilvl w:val="2"/>
          <w:numId w:val="84"/>
        </w:numPr>
        <w:rPr>
          <w:rFonts w:ascii="Arial" w:cs="Arial" w:eastAsia="Arial" w:hAnsi="Arial"/>
          <w:sz w:val="19"/>
          <w:szCs w:val="19"/>
          <w:color w:val="auto"/>
        </w:rPr>
      </w:pPr>
      <w:r>
        <w:rPr>
          <w:rFonts w:ascii="Arial" w:cs="Arial" w:eastAsia="Arial" w:hAnsi="Arial"/>
          <w:sz w:val="19"/>
          <w:szCs w:val="19"/>
          <w:color w:val="auto"/>
        </w:rPr>
        <w:t>In connection with the grant of any Award, the occurrence of a Vesting Date under any Award or the distribution of a Grantee’s Account, or 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 Company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584"/>
          </w:cols>
          <w:pgMar w:left="976" w:top="1428" w:right="339" w:bottom="1440" w:gutter="0" w:footer="0" w:header="0"/>
        </w:sectPr>
      </w:pPr>
    </w:p>
    <w:bookmarkStart w:id="64" w:name="page65"/>
    <w:bookmarkEnd w:id="64"/>
    <w:p>
      <w:pPr>
        <w:jc w:val="both"/>
        <w:ind w:left="1480"/>
        <w:spacing w:after="0" w:line="263" w:lineRule="auto"/>
        <w:rPr>
          <w:sz w:val="20"/>
          <w:szCs w:val="20"/>
          <w:color w:val="auto"/>
        </w:rPr>
      </w:pPr>
      <w:r>
        <w:rPr>
          <w:rFonts w:ascii="Arial" w:cs="Arial" w:eastAsia="Arial" w:hAnsi="Arial"/>
          <w:sz w:val="21"/>
          <w:szCs w:val="21"/>
          <w:color w:val="auto"/>
        </w:rPr>
        <w:t>the right to (A) require the Grantee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75" w:lineRule="exact"/>
        <w:rPr>
          <w:sz w:val="20"/>
          <w:szCs w:val="20"/>
          <w:color w:val="auto"/>
        </w:rPr>
      </w:pPr>
    </w:p>
    <w:p>
      <w:pPr>
        <w:jc w:val="both"/>
        <w:ind w:left="1480" w:hanging="911"/>
        <w:spacing w:after="0" w:line="289" w:lineRule="auto"/>
        <w:tabs>
          <w:tab w:leader="none" w:pos="14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Except as otherwise provided in this Paragraph 9(c)(ii), any tax withholding obligations incurred in connection with the grant of any Award, the occurrence of a Vesting Date under any Award under the Plan that is not subject to an Initial Deferral Election, Regular Deferral Election or Subsequent Deferral Election, or the distribution of the portion of a Grantee’s Account that is credited to the Company Stock Fund,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more of the following:</w:t>
      </w:r>
    </w:p>
    <w:p>
      <w:pPr>
        <w:spacing w:after="0" w:line="156" w:lineRule="exact"/>
        <w:rPr>
          <w:rFonts w:ascii="Arial" w:cs="Arial" w:eastAsia="Arial" w:hAnsi="Arial"/>
          <w:sz w:val="19"/>
          <w:szCs w:val="19"/>
          <w:color w:val="auto"/>
        </w:rPr>
      </w:pPr>
    </w:p>
    <w:p>
      <w:pPr>
        <w:ind w:left="2120" w:hanging="640"/>
        <w:spacing w:after="0" w:line="247" w:lineRule="auto"/>
        <w:tabs>
          <w:tab w:leader="none" w:pos="2029" w:val="left"/>
        </w:tabs>
        <w:numPr>
          <w:ilvl w:val="1"/>
          <w:numId w:val="85"/>
        </w:numPr>
        <w:rPr>
          <w:rFonts w:ascii="Arial" w:cs="Arial" w:eastAsia="Arial" w:hAnsi="Arial"/>
          <w:sz w:val="22"/>
          <w:szCs w:val="22"/>
          <w:color w:val="auto"/>
        </w:rPr>
      </w:pPr>
      <w:r>
        <w:rPr>
          <w:rFonts w:ascii="Arial" w:cs="Arial" w:eastAsia="Arial" w:hAnsi="Arial"/>
          <w:sz w:val="22"/>
          <w:szCs w:val="22"/>
          <w:color w:val="auto"/>
        </w:rPr>
        <w:t>To the extent permitted by applicable law,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w:t>
      </w:r>
    </w:p>
    <w:p>
      <w:pPr>
        <w:spacing w:after="0" w:line="192" w:lineRule="exact"/>
        <w:rPr>
          <w:rFonts w:ascii="Arial" w:cs="Arial" w:eastAsia="Arial" w:hAnsi="Arial"/>
          <w:sz w:val="22"/>
          <w:szCs w:val="22"/>
          <w:color w:val="auto"/>
        </w:rPr>
      </w:pPr>
    </w:p>
    <w:p>
      <w:pPr>
        <w:jc w:val="both"/>
        <w:ind w:left="2120" w:hanging="640"/>
        <w:spacing w:after="0" w:line="290" w:lineRule="auto"/>
        <w:tabs>
          <w:tab w:leader="none" w:pos="2049" w:val="left"/>
        </w:tabs>
        <w:numPr>
          <w:ilvl w:val="1"/>
          <w:numId w:val="85"/>
        </w:numPr>
        <w:rPr>
          <w:rFonts w:ascii="Arial" w:cs="Arial" w:eastAsia="Arial" w:hAnsi="Arial"/>
          <w:sz w:val="19"/>
          <w:szCs w:val="19"/>
          <w:color w:val="auto"/>
        </w:rPr>
      </w:pPr>
      <w:r>
        <w:rPr>
          <w:rFonts w:ascii="Arial" w:cs="Arial" w:eastAsia="Arial" w:hAnsi="Arial"/>
          <w:sz w:val="19"/>
          <w:szCs w:val="19"/>
          <w:color w:val="auto"/>
        </w:rPr>
        <w:t>With respect to tax liabilities arising on or after January 1, 2017, to have Shares otherwise deliverable to the Grantee after the application of the other provisions of this Paragraph 9(c) (ii) redeemed by the Company for the Fair Market Value of such Shares on the vesting date or other time of delivery of Shares, and have the cash proceeds of such redemption remitted by the Company to the Grantee to facilitate one or more estimated tax payments to the Internal Revenue Service or other taxing authority for the taxable year in which such vesting occurs, provided that the Grantee certifies in writing to the Company at the time of such election that the Grantee owns Other Available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120"/>
          </w:cols>
          <w:pgMar w:left="1440" w:top="1428" w:right="339" w:bottom="1440" w:gutter="0" w:footer="0" w:header="0"/>
        </w:sectPr>
      </w:pPr>
    </w:p>
    <w:bookmarkStart w:id="65" w:name="page66"/>
    <w:bookmarkEnd w:id="65"/>
    <w:p>
      <w:pPr>
        <w:ind w:left="2120"/>
        <w:spacing w:after="0" w:line="263" w:lineRule="auto"/>
        <w:rPr>
          <w:sz w:val="20"/>
          <w:szCs w:val="20"/>
          <w:color w:val="auto"/>
        </w:rPr>
      </w:pPr>
      <w:r>
        <w:rPr>
          <w:rFonts w:ascii="Arial" w:cs="Arial" w:eastAsia="Arial" w:hAnsi="Arial"/>
          <w:sz w:val="22"/>
          <w:szCs w:val="22"/>
          <w:color w:val="auto"/>
        </w:rPr>
        <w:t>having a Fair Market Value that is at least equal to the Fair Market Value of such Shares to be redeemed by the Company; and</w:t>
      </w:r>
    </w:p>
    <w:p>
      <w:pPr>
        <w:spacing w:after="0" w:line="175" w:lineRule="exact"/>
        <w:rPr>
          <w:sz w:val="20"/>
          <w:szCs w:val="20"/>
          <w:color w:val="auto"/>
        </w:rPr>
      </w:pPr>
    </w:p>
    <w:p>
      <w:pPr>
        <w:ind w:left="2120" w:hanging="640"/>
        <w:spacing w:after="0" w:line="263" w:lineRule="auto"/>
        <w:tabs>
          <w:tab w:leader="none" w:pos="1993"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pay to the Company in cash all or a portion of the taxes to be withheld in connection with such grant, Vesting Date or Account distribution.</w:t>
      </w:r>
    </w:p>
    <w:p>
      <w:pPr>
        <w:spacing w:after="0" w:line="175" w:lineRule="exact"/>
        <w:rPr>
          <w:sz w:val="20"/>
          <w:szCs w:val="20"/>
          <w:color w:val="auto"/>
        </w:rPr>
      </w:pPr>
    </w:p>
    <w:p>
      <w:pPr>
        <w:jc w:val="both"/>
        <w:ind w:left="1480"/>
        <w:spacing w:after="0" w:line="288" w:lineRule="auto"/>
        <w:rPr>
          <w:sz w:val="20"/>
          <w:szCs w:val="20"/>
          <w:color w:val="auto"/>
        </w:rPr>
      </w:pPr>
      <w:r>
        <w:rPr>
          <w:rFonts w:ascii="Arial" w:cs="Arial" w:eastAsia="Arial" w:hAnsi="Arial"/>
          <w:sz w:val="19"/>
          <w:szCs w:val="19"/>
          <w:color w:val="auto"/>
        </w:rPr>
        <w:t>In all cases, the Shares so withheld or redeemed by the Company, as applicable, shall have a Fair Market Value that does not exceed the amount of taxes to be withheld or remitted via estimated tax payments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or redeemed, as applicable, pursuant to this Paragraph 9(c)(ii) shall not be available for subsequent grants under the Plan. The Committee may add such other requirements and limitations regarding elections pursuant to this Paragraph 9(c)(ii) as it deems appropriate.</w:t>
      </w:r>
    </w:p>
    <w:p>
      <w:pPr>
        <w:spacing w:after="0" w:line="159" w:lineRule="exact"/>
        <w:rPr>
          <w:sz w:val="20"/>
          <w:szCs w:val="20"/>
          <w:color w:val="auto"/>
        </w:rPr>
      </w:pPr>
    </w:p>
    <w:p>
      <w:pPr>
        <w:jc w:val="both"/>
        <w:ind w:left="1480" w:hanging="971"/>
        <w:spacing w:after="0" w:line="286" w:lineRule="auto"/>
        <w:tabs>
          <w:tab w:leader="none" w:pos="14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If part of a Grantee’s Award is subject to an Initial Deferral Election or a Regular Deferral Election, or, under the terms of an Award, a Grantee’s rights with respect to Restricted Stock Units become free of a substantial risk of forfeiture as the result of the satisfaction of a performance or service condition, or the Grantee’s satisfaction of the age and service conditions for retirement eligibility, and, as a result thereof, employment tax liabilities arise, then, except to the extent the Grantee affirmatively elects otherwise as part of the Initial Deferral Election or Regular Deferral Election, the Grantee shall be required to remit to the Company an amount sufficient to satisfy any federal, state and/or local withholding tax requirements. As part of the Grantee’s Initial Deferral Election or Regular Deferral Election, the Grantee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120"/>
          </w:cols>
          <w:pgMar w:left="1440" w:top="1428" w:right="339" w:bottom="1440" w:gutter="0" w:footer="0" w:header="0"/>
        </w:sectPr>
      </w:pPr>
    </w:p>
    <w:bookmarkStart w:id="66" w:name="page67"/>
    <w:bookmarkEnd w:id="66"/>
    <w:p>
      <w:pPr>
        <w:jc w:val="both"/>
        <w:ind w:left="1944"/>
        <w:spacing w:after="0" w:line="297" w:lineRule="auto"/>
        <w:rPr>
          <w:sz w:val="20"/>
          <w:szCs w:val="20"/>
          <w:color w:val="auto"/>
        </w:rPr>
      </w:pPr>
      <w:r>
        <w:rPr>
          <w:rFonts w:ascii="Arial" w:cs="Arial" w:eastAsia="Arial" w:hAnsi="Arial"/>
          <w:sz w:val="19"/>
          <w:szCs w:val="19"/>
          <w:color w:val="auto"/>
        </w:rPr>
        <w:t>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141" w:lineRule="exact"/>
        <w:rPr>
          <w:sz w:val="20"/>
          <w:szCs w:val="20"/>
          <w:color w:val="auto"/>
        </w:rPr>
      </w:pPr>
    </w:p>
    <w:p>
      <w:pPr>
        <w:ind w:left="644" w:hanging="644"/>
        <w:spacing w:after="0"/>
        <w:tabs>
          <w:tab w:leader="none" w:pos="644"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CHANGES IN CAPITALIZATION</w:t>
      </w:r>
    </w:p>
    <w:p>
      <w:pPr>
        <w:spacing w:after="0" w:line="226"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21"/>
          <w:szCs w:val="21"/>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73" w:lineRule="exact"/>
        <w:rPr>
          <w:sz w:val="20"/>
          <w:szCs w:val="20"/>
          <w:color w:val="auto"/>
        </w:rPr>
      </w:pPr>
    </w:p>
    <w:p>
      <w:pPr>
        <w:ind w:left="644" w:hanging="644"/>
        <w:spacing w:after="0"/>
        <w:tabs>
          <w:tab w:leader="none" w:pos="644"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TERMINATING EVENTS</w:t>
      </w:r>
    </w:p>
    <w:p>
      <w:pPr>
        <w:spacing w:after="0" w:line="225" w:lineRule="exact"/>
        <w:rPr>
          <w:rFonts w:ascii="Arial" w:cs="Arial" w:eastAsia="Arial" w:hAnsi="Arial"/>
          <w:sz w:val="22"/>
          <w:szCs w:val="22"/>
          <w:b w:val="1"/>
          <w:bCs w:val="1"/>
          <w:color w:val="auto"/>
        </w:rPr>
      </w:pPr>
    </w:p>
    <w:p>
      <w:pPr>
        <w:jc w:val="both"/>
        <w:ind w:left="4" w:firstLine="644"/>
        <w:spacing w:after="0" w:line="288" w:lineRule="auto"/>
        <w:tabs>
          <w:tab w:leader="none" w:pos="1617"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Committee shall give Grantees at least thirty (30) days’ notice (or, if not practicable, such shorter notice as may be reasonably practicable) prior to the anticipated date of the consummation of a Terminating Event. Except as otherwise provided in Paragraph 11(b),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59" w:lineRule="exact"/>
        <w:rPr>
          <w:rFonts w:ascii="Arial" w:cs="Arial" w:eastAsia="Arial" w:hAnsi="Arial"/>
          <w:sz w:val="19"/>
          <w:szCs w:val="19"/>
          <w:color w:val="auto"/>
        </w:rPr>
      </w:pPr>
    </w:p>
    <w:p>
      <w:pPr>
        <w:jc w:val="both"/>
        <w:ind w:left="4" w:firstLine="644"/>
        <w:spacing w:after="0" w:line="248" w:lineRule="auto"/>
        <w:tabs>
          <w:tab w:leader="none" w:pos="1609" w:val="left"/>
        </w:tabs>
        <w:numPr>
          <w:ilvl w:val="1"/>
          <w:numId w:val="89"/>
        </w:numPr>
        <w:rPr>
          <w:rFonts w:ascii="Arial" w:cs="Arial" w:eastAsia="Arial" w:hAnsi="Arial"/>
          <w:sz w:val="22"/>
          <w:szCs w:val="22"/>
          <w:color w:val="auto"/>
        </w:rPr>
      </w:pPr>
      <w:r>
        <w:rPr>
          <w:rFonts w:ascii="Arial" w:cs="Arial" w:eastAsia="Arial" w:hAnsi="Arial"/>
          <w:sz w:val="22"/>
          <w:szCs w:val="22"/>
          <w:color w:val="auto"/>
        </w:rPr>
        <w:t>No amounts subject to an Award under the Plan that constitute “deferred compensation” (as defined in Section 409A) shall be subject to distribution before the scheduled vesting date for such distribution in connection with a Change in Control unless such Change in Control constitutes a change in the ownership or effective control of the Company, or in the ownership of a substantial portion of the Company’s assets (in either case, as defined in Section 409A of the Code), except to the extent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584"/>
          </w:cols>
          <w:pgMar w:left="976" w:top="1428" w:right="339" w:bottom="1440" w:gutter="0" w:footer="0" w:header="0"/>
        </w:sectPr>
      </w:pPr>
    </w:p>
    <w:bookmarkStart w:id="67" w:name="page68"/>
    <w:bookmarkEnd w:id="67"/>
    <w:p>
      <w:pPr>
        <w:ind w:left="4"/>
        <w:spacing w:after="0"/>
        <w:rPr>
          <w:sz w:val="20"/>
          <w:szCs w:val="20"/>
          <w:color w:val="auto"/>
        </w:rPr>
      </w:pPr>
      <w:r>
        <w:rPr>
          <w:rFonts w:ascii="Arial" w:cs="Arial" w:eastAsia="Arial" w:hAnsi="Arial"/>
          <w:sz w:val="22"/>
          <w:szCs w:val="22"/>
          <w:color w:val="auto"/>
        </w:rPr>
        <w:t>earlier distribution would not result in any obligation to pay interest or additional tax under Section 409A.</w:t>
      </w:r>
    </w:p>
    <w:p>
      <w:pPr>
        <w:spacing w:after="0" w:line="214" w:lineRule="exact"/>
        <w:rPr>
          <w:sz w:val="20"/>
          <w:szCs w:val="20"/>
          <w:color w:val="auto"/>
        </w:rPr>
      </w:pPr>
    </w:p>
    <w:p>
      <w:pPr>
        <w:ind w:left="644" w:hanging="644"/>
        <w:spacing w:after="0"/>
        <w:tabs>
          <w:tab w:leader="none" w:pos="644"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CLAIMS PROCEDURE</w:t>
      </w:r>
    </w:p>
    <w:p>
      <w:pPr>
        <w:spacing w:after="0" w:line="226" w:lineRule="exact"/>
        <w:rPr>
          <w:sz w:val="20"/>
          <w:szCs w:val="20"/>
          <w:color w:val="auto"/>
        </w:rPr>
      </w:pPr>
    </w:p>
    <w:p>
      <w:pPr>
        <w:jc w:val="both"/>
        <w:ind w:left="4" w:firstLine="648"/>
        <w:spacing w:after="0" w:line="312" w:lineRule="auto"/>
        <w:rPr>
          <w:sz w:val="20"/>
          <w:szCs w:val="20"/>
          <w:color w:val="auto"/>
        </w:rPr>
      </w:pPr>
      <w:r>
        <w:rPr>
          <w:rFonts w:ascii="Arial" w:cs="Arial" w:eastAsia="Arial" w:hAnsi="Arial"/>
          <w:sz w:val="19"/>
          <w:szCs w:val="19"/>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33" w:lineRule="exact"/>
        <w:rPr>
          <w:sz w:val="20"/>
          <w:szCs w:val="20"/>
          <w:color w:val="auto"/>
        </w:rPr>
      </w:pPr>
    </w:p>
    <w:p>
      <w:pPr>
        <w:ind w:left="644"/>
        <w:spacing w:after="0"/>
        <w:rPr>
          <w:sz w:val="20"/>
          <w:szCs w:val="20"/>
          <w:color w:val="auto"/>
        </w:rPr>
      </w:pPr>
      <w:r>
        <w:rPr>
          <w:rFonts w:ascii="Arial" w:cs="Arial" w:eastAsia="Arial" w:hAnsi="Arial"/>
          <w:sz w:val="21"/>
          <w:szCs w:val="21"/>
          <w:color w:val="auto"/>
        </w:rPr>
        <w:t>An Applicant may file a claim for benefits with the Committee on a form supplied by the Committee. If the</w:t>
      </w:r>
    </w:p>
    <w:p>
      <w:pPr>
        <w:spacing w:after="0" w:line="33" w:lineRule="exact"/>
        <w:rPr>
          <w:sz w:val="20"/>
          <w:szCs w:val="20"/>
          <w:color w:val="auto"/>
        </w:rPr>
      </w:pPr>
    </w:p>
    <w:p>
      <w:pPr>
        <w:ind w:left="4"/>
        <w:spacing w:after="0"/>
        <w:rPr>
          <w:sz w:val="20"/>
          <w:szCs w:val="20"/>
          <w:color w:val="auto"/>
        </w:rPr>
      </w:pPr>
      <w:r>
        <w:rPr>
          <w:rFonts w:ascii="Arial" w:cs="Arial" w:eastAsia="Arial" w:hAnsi="Arial"/>
          <w:sz w:val="19"/>
          <w:szCs w:val="19"/>
          <w:color w:val="auto"/>
        </w:rPr>
        <w:t>Committee wholly or partially denies a claim, the Committee shall provide the Applicant with a written notice stating:</w:t>
      </w:r>
    </w:p>
    <w:p>
      <w:pPr>
        <w:spacing w:after="0" w:line="236" w:lineRule="exact"/>
        <w:rPr>
          <w:sz w:val="20"/>
          <w:szCs w:val="20"/>
          <w:color w:val="auto"/>
        </w:rPr>
      </w:pPr>
    </w:p>
    <w:p>
      <w:pPr>
        <w:ind w:left="1284" w:hanging="636"/>
        <w:spacing w:after="0"/>
        <w:tabs>
          <w:tab w:leader="none" w:pos="1284"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specific reason or reasons for the denial;</w:t>
      </w:r>
    </w:p>
    <w:p>
      <w:pPr>
        <w:spacing w:after="0" w:line="219" w:lineRule="exact"/>
        <w:rPr>
          <w:rFonts w:ascii="Arial" w:cs="Arial" w:eastAsia="Arial" w:hAnsi="Arial"/>
          <w:sz w:val="22"/>
          <w:szCs w:val="22"/>
          <w:color w:val="auto"/>
        </w:rPr>
      </w:pPr>
    </w:p>
    <w:p>
      <w:pPr>
        <w:ind w:left="1284" w:hanging="636"/>
        <w:spacing w:after="0"/>
        <w:tabs>
          <w:tab w:leader="none" w:pos="1284" w:val="left"/>
        </w:tabs>
        <w:numPr>
          <w:ilvl w:val="0"/>
          <w:numId w:val="91"/>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19" w:lineRule="exact"/>
        <w:rPr>
          <w:rFonts w:ascii="Arial" w:cs="Arial" w:eastAsia="Arial" w:hAnsi="Arial"/>
          <w:sz w:val="22"/>
          <w:szCs w:val="22"/>
          <w:color w:val="auto"/>
        </w:rPr>
      </w:pPr>
    </w:p>
    <w:p>
      <w:pPr>
        <w:ind w:left="4" w:right="20" w:firstLine="644"/>
        <w:spacing w:after="0" w:line="263" w:lineRule="auto"/>
        <w:tabs>
          <w:tab w:leader="none" w:pos="1297" w:val="left"/>
        </w:tabs>
        <w:numPr>
          <w:ilvl w:val="0"/>
          <w:numId w:val="91"/>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Applicant to perfect the claim and an explanation of why such material or information is necessary; and</w:t>
      </w:r>
    </w:p>
    <w:p>
      <w:pPr>
        <w:spacing w:after="0" w:line="174" w:lineRule="exact"/>
        <w:rPr>
          <w:rFonts w:ascii="Arial" w:cs="Arial" w:eastAsia="Arial" w:hAnsi="Arial"/>
          <w:sz w:val="22"/>
          <w:szCs w:val="22"/>
          <w:color w:val="auto"/>
        </w:rPr>
      </w:pPr>
    </w:p>
    <w:p>
      <w:pPr>
        <w:ind w:left="1284" w:hanging="636"/>
        <w:spacing w:after="0"/>
        <w:tabs>
          <w:tab w:leader="none" w:pos="1284" w:val="left"/>
        </w:tabs>
        <w:numPr>
          <w:ilvl w:val="0"/>
          <w:numId w:val="91"/>
        </w:numPr>
        <w:rPr>
          <w:rFonts w:ascii="Arial" w:cs="Arial" w:eastAsia="Arial" w:hAnsi="Arial"/>
          <w:sz w:val="22"/>
          <w:szCs w:val="22"/>
          <w:color w:val="auto"/>
        </w:rPr>
      </w:pPr>
      <w:r>
        <w:rPr>
          <w:rFonts w:ascii="Arial" w:cs="Arial" w:eastAsia="Arial" w:hAnsi="Arial"/>
          <w:sz w:val="22"/>
          <w:szCs w:val="22"/>
          <w:color w:val="auto"/>
        </w:rPr>
        <w:t>Appropriate information as to the steps to be taken in order to submit a claim for review.</w:t>
      </w:r>
    </w:p>
    <w:p>
      <w:pPr>
        <w:spacing w:after="0" w:line="220" w:lineRule="exact"/>
        <w:rPr>
          <w:sz w:val="20"/>
          <w:szCs w:val="20"/>
          <w:color w:val="auto"/>
        </w:rPr>
      </w:pPr>
    </w:p>
    <w:p>
      <w:pPr>
        <w:jc w:val="both"/>
        <w:ind w:left="4" w:firstLine="648"/>
        <w:spacing w:after="0" w:line="271" w:lineRule="auto"/>
        <w:rPr>
          <w:sz w:val="20"/>
          <w:szCs w:val="20"/>
          <w:color w:val="auto"/>
        </w:rPr>
      </w:pPr>
      <w:r>
        <w:rPr>
          <w:rFonts w:ascii="Arial" w:cs="Arial" w:eastAsia="Arial" w:hAnsi="Arial"/>
          <w:sz w:val="21"/>
          <w:szCs w:val="21"/>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67" w:lineRule="exact"/>
        <w:rPr>
          <w:sz w:val="20"/>
          <w:szCs w:val="20"/>
          <w:color w:val="auto"/>
        </w:rPr>
      </w:pPr>
    </w:p>
    <w:p>
      <w:pPr>
        <w:jc w:val="both"/>
        <w:ind w:left="4" w:firstLine="648"/>
        <w:spacing w:after="0" w:line="292" w:lineRule="auto"/>
        <w:rPr>
          <w:sz w:val="20"/>
          <w:szCs w:val="20"/>
          <w:color w:val="auto"/>
        </w:rPr>
      </w:pPr>
      <w:r>
        <w:rPr>
          <w:rFonts w:ascii="Arial" w:cs="Arial" w:eastAsia="Arial" w:hAnsi="Arial"/>
          <w:sz w:val="19"/>
          <w:szCs w:val="19"/>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51"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It is intended that the claims procedures of this Plan be administered in accordance with the claims procedure regulations of the Department of Labor set forth in 29 CFR § 2560.503-1.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584"/>
          </w:cols>
          <w:pgMar w:left="976" w:top="1428" w:right="339" w:bottom="1440" w:gutter="0" w:footer="0" w:header="0"/>
        </w:sectPr>
      </w:pPr>
    </w:p>
    <w:bookmarkStart w:id="68" w:name="page69"/>
    <w:bookmarkEnd w:id="68"/>
    <w:p>
      <w:pPr>
        <w:spacing w:after="0" w:line="200" w:lineRule="exact"/>
        <w:rPr>
          <w:sz w:val="20"/>
          <w:szCs w:val="20"/>
          <w:color w:val="auto"/>
        </w:rPr>
      </w:pPr>
    </w:p>
    <w:p>
      <w:pPr>
        <w:spacing w:after="0" w:line="247" w:lineRule="exact"/>
        <w:rPr>
          <w:sz w:val="20"/>
          <w:szCs w:val="20"/>
          <w:color w:val="auto"/>
        </w:rPr>
      </w:pPr>
    </w:p>
    <w:p>
      <w:pPr>
        <w:ind w:left="644"/>
        <w:spacing w:after="0"/>
        <w:rPr>
          <w:sz w:val="20"/>
          <w:szCs w:val="20"/>
          <w:color w:val="auto"/>
        </w:rPr>
      </w:pPr>
      <w:r>
        <w:rPr>
          <w:rFonts w:ascii="Arial" w:cs="Arial" w:eastAsia="Arial" w:hAnsi="Arial"/>
          <w:sz w:val="22"/>
          <w:szCs w:val="22"/>
          <w:color w:val="auto"/>
        </w:rPr>
        <w:t>Claims for benefits under the Plan must be filed with the Committee at the following address: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Comcast Corporation</w:t>
      </w:r>
    </w:p>
    <w:p>
      <w:pPr>
        <w:ind w:left="4"/>
        <w:spacing w:after="0" w:line="207" w:lineRule="auto"/>
        <w:rPr>
          <w:sz w:val="20"/>
          <w:szCs w:val="20"/>
          <w:color w:val="auto"/>
        </w:rPr>
      </w:pPr>
      <w:r>
        <w:rPr>
          <w:rFonts w:ascii="Arial" w:cs="Arial" w:eastAsia="Arial" w:hAnsi="Arial"/>
          <w:sz w:val="22"/>
          <w:szCs w:val="22"/>
          <w:color w:val="auto"/>
        </w:rPr>
        <w:t>One Comcast Center, 52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Floor</w:t>
      </w:r>
    </w:p>
    <w:p>
      <w:pPr>
        <w:ind w:left="4"/>
        <w:spacing w:after="0"/>
        <w:rPr>
          <w:sz w:val="20"/>
          <w:szCs w:val="20"/>
          <w:color w:val="auto"/>
        </w:rPr>
      </w:pPr>
      <w:r>
        <w:rPr>
          <w:rFonts w:ascii="Arial" w:cs="Arial" w:eastAsia="Arial" w:hAnsi="Arial"/>
          <w:sz w:val="22"/>
          <w:szCs w:val="22"/>
          <w:color w:val="auto"/>
        </w:rPr>
        <w:t>1701 John F. Kennedy Boulevard</w:t>
      </w:r>
    </w:p>
    <w:p>
      <w:pPr>
        <w:spacing w:after="0" w:line="3" w:lineRule="exact"/>
        <w:rPr>
          <w:sz w:val="20"/>
          <w:szCs w:val="20"/>
          <w:color w:val="auto"/>
        </w:rPr>
      </w:pPr>
    </w:p>
    <w:p>
      <w:pPr>
        <w:ind w:left="4"/>
        <w:spacing w:after="0"/>
        <w:rPr>
          <w:sz w:val="20"/>
          <w:szCs w:val="20"/>
          <w:color w:val="auto"/>
        </w:rPr>
      </w:pPr>
      <w:r>
        <w:rPr>
          <w:rFonts w:ascii="Arial" w:cs="Arial" w:eastAsia="Arial" w:hAnsi="Arial"/>
          <w:sz w:val="22"/>
          <w:szCs w:val="22"/>
          <w:color w:val="auto"/>
        </w:rPr>
        <w:t>Philadelphia, PA 19103-2838</w:t>
      </w:r>
    </w:p>
    <w:p>
      <w:pPr>
        <w:spacing w:after="0" w:line="4" w:lineRule="exact"/>
        <w:rPr>
          <w:sz w:val="20"/>
          <w:szCs w:val="20"/>
          <w:color w:val="auto"/>
        </w:rPr>
      </w:pPr>
    </w:p>
    <w:p>
      <w:pPr>
        <w:ind w:left="4"/>
        <w:spacing w:after="0"/>
        <w:rPr>
          <w:sz w:val="20"/>
          <w:szCs w:val="20"/>
          <w:color w:val="auto"/>
        </w:rPr>
      </w:pPr>
      <w:r>
        <w:rPr>
          <w:rFonts w:ascii="Arial" w:cs="Arial" w:eastAsia="Arial" w:hAnsi="Arial"/>
          <w:sz w:val="22"/>
          <w:szCs w:val="22"/>
          <w:color w:val="auto"/>
        </w:rPr>
        <w:t>Attention: General Counsel</w:t>
      </w:r>
    </w:p>
    <w:p>
      <w:pPr>
        <w:spacing w:after="0" w:line="196" w:lineRule="exact"/>
        <w:rPr>
          <w:sz w:val="20"/>
          <w:szCs w:val="20"/>
          <w:color w:val="auto"/>
        </w:rPr>
      </w:pPr>
    </w:p>
    <w:p>
      <w:pPr>
        <w:ind w:left="644" w:hanging="644"/>
        <w:spacing w:after="0"/>
        <w:tabs>
          <w:tab w:leader="none" w:pos="644"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REPAYMENT</w:t>
      </w:r>
    </w:p>
    <w:p>
      <w:pPr>
        <w:spacing w:after="0" w:line="226"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9"/>
          <w:szCs w:val="19"/>
          <w:color w:val="auto"/>
        </w:rPr>
        <w:t>If it is determined by the Board that gross negligence, intentional misconduct or fraud by a Section 16 Officer or a former Section 16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 Officer or former Section 16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w:t>
      </w:r>
    </w:p>
    <w:p>
      <w:pPr>
        <w:spacing w:after="0" w:line="2" w:lineRule="exact"/>
        <w:rPr>
          <w:sz w:val="20"/>
          <w:szCs w:val="20"/>
          <w:color w:val="auto"/>
        </w:rPr>
      </w:pPr>
    </w:p>
    <w:p>
      <w:pPr>
        <w:jc w:val="both"/>
        <w:ind w:left="4" w:hanging="4"/>
        <w:spacing w:after="0" w:line="259" w:lineRule="auto"/>
        <w:tabs>
          <w:tab w:leader="none" w:pos="332" w:val="left"/>
        </w:tabs>
        <w:numPr>
          <w:ilvl w:val="0"/>
          <w:numId w:val="93"/>
        </w:numPr>
        <w:rPr>
          <w:rFonts w:ascii="Arial" w:cs="Arial" w:eastAsia="Arial" w:hAnsi="Arial"/>
          <w:sz w:val="21"/>
          <w:szCs w:val="21"/>
          <w:color w:val="auto"/>
        </w:rPr>
      </w:pPr>
      <w:r>
        <w:rPr>
          <w:rFonts w:ascii="Arial" w:cs="Arial" w:eastAsia="Arial" w:hAnsi="Arial"/>
          <w:sz w:val="21"/>
          <w:szCs w:val="21"/>
          <w:color w:val="auto"/>
        </w:rPr>
        <w:t>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76" w:lineRule="exact"/>
        <w:rPr>
          <w:sz w:val="20"/>
          <w:szCs w:val="20"/>
          <w:color w:val="auto"/>
        </w:rPr>
      </w:pPr>
    </w:p>
    <w:p>
      <w:pPr>
        <w:ind w:left="644" w:hanging="644"/>
        <w:spacing w:after="0"/>
        <w:tabs>
          <w:tab w:leader="none" w:pos="644"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p>
    <w:p>
      <w:pPr>
        <w:spacing w:after="0" w:line="226"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22"/>
          <w:szCs w:val="22"/>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79" w:lineRule="exact"/>
        <w:rPr>
          <w:sz w:val="20"/>
          <w:szCs w:val="20"/>
          <w:color w:val="auto"/>
        </w:rPr>
      </w:pPr>
    </w:p>
    <w:p>
      <w:pPr>
        <w:ind w:left="644" w:hanging="644"/>
        <w:spacing w:after="0"/>
        <w:tabs>
          <w:tab w:leader="none" w:pos="644"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226"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22"/>
          <w:szCs w:val="22"/>
          <w:color w:val="auto"/>
        </w:rPr>
        <w:t>The Committee shall have the power to interpret the Plan’s provisions, prescribe, amend and rescind rules and regulations for the Plan, and make all other determinations necessary or advisable for the administration of the Plan. All determinations by the Committee shall be final, conclusive and binding on all Persons, including Grantees and their beneficiaries.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584"/>
          </w:cols>
          <w:pgMar w:left="976" w:top="1440" w:right="339" w:bottom="1440" w:gutter="0" w:footer="0" w:header="0"/>
        </w:sectPr>
      </w:pPr>
    </w:p>
    <w:bookmarkStart w:id="69" w:name="page70"/>
    <w:bookmarkEnd w:id="69"/>
    <w:p>
      <w:pPr>
        <w:ind w:left="544" w:hanging="544"/>
        <w:spacing w:after="0"/>
        <w:tabs>
          <w:tab w:leader="none" w:pos="544"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TERM OF PLAN</w:t>
      </w:r>
    </w:p>
    <w:p>
      <w:pPr>
        <w:spacing w:after="0" w:line="22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 Plan shall expire on May 19, 2026, unless sooner terminated by the Board.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4" w:hanging="484"/>
        <w:spacing w:after="0"/>
        <w:tabs>
          <w:tab w:leader="none" w:pos="484"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226" w:lineRule="exact"/>
        <w:rPr>
          <w:sz w:val="20"/>
          <w:szCs w:val="20"/>
          <w:color w:val="auto"/>
        </w:rPr>
      </w:pPr>
    </w:p>
    <w:p>
      <w:pPr>
        <w:ind w:left="4" w:firstLine="648"/>
        <w:spacing w:after="0" w:line="263" w:lineRule="auto"/>
        <w:rPr>
          <w:sz w:val="20"/>
          <w:szCs w:val="20"/>
          <w:color w:val="auto"/>
        </w:rPr>
      </w:pPr>
      <w:r>
        <w:rPr>
          <w:rFonts w:ascii="Arial" w:cs="Arial" w:eastAsia="Arial" w:hAnsi="Arial"/>
          <w:sz w:val="22"/>
          <w:szCs w:val="22"/>
          <w:color w:val="auto"/>
        </w:rPr>
        <w:t>The Plan and all determinations made and actions taken pursuant to the Plan shall be governed in accordance with Pennsylvania law.</w:t>
      </w:r>
    </w:p>
    <w:p>
      <w:pPr>
        <w:spacing w:after="0" w:line="17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Executed on the 1st day of March, 2021.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6"/>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884"/>
        <w:spacing w:after="0"/>
        <w:rPr>
          <w:sz w:val="20"/>
          <w:szCs w:val="20"/>
          <w:color w:val="auto"/>
        </w:rPr>
      </w:pPr>
      <w:r>
        <w:rPr>
          <w:rFonts w:ascii="Arial" w:cs="Arial" w:eastAsia="Arial" w:hAnsi="Arial"/>
          <w:sz w:val="22"/>
          <w:szCs w:val="22"/>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2719070</wp:posOffset>
            </wp:positionH>
            <wp:positionV relativeFrom="paragraph">
              <wp:posOffset>-17780</wp:posOffset>
            </wp:positionV>
            <wp:extent cx="14325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32560" cy="8255"/>
                    </a:xfrm>
                    <a:prstGeom prst="rect">
                      <a:avLst/>
                    </a:prstGeom>
                    <a:noFill/>
                  </pic:spPr>
                </pic:pic>
              </a:graphicData>
            </a:graphic>
          </wp:anchor>
        </w:drawing>
      </w:r>
    </w:p>
    <w:p>
      <w:pPr>
        <w:spacing w:after="0" w:line="1" w:lineRule="exact"/>
        <w:rPr>
          <w:sz w:val="20"/>
          <w:szCs w:val="20"/>
          <w:color w:val="auto"/>
        </w:rPr>
      </w:pPr>
    </w:p>
    <w:p>
      <w:pPr>
        <w:ind w:left="4284"/>
        <w:spacing w:after="0"/>
        <w:rPr>
          <w:sz w:val="20"/>
          <w:szCs w:val="20"/>
          <w:color w:val="auto"/>
        </w:rPr>
      </w:pPr>
      <w:r>
        <w:rPr>
          <w:rFonts w:ascii="Arial" w:cs="Arial" w:eastAsia="Arial" w:hAnsi="Arial"/>
          <w:sz w:val="22"/>
          <w:szCs w:val="22"/>
          <w:color w:val="auto"/>
        </w:rPr>
        <w:t>Thomas J. Reid</w:t>
      </w:r>
    </w:p>
    <w:p>
      <w:pPr>
        <w:spacing w:after="0" w:line="4" w:lineRule="exact"/>
        <w:rPr>
          <w:sz w:val="20"/>
          <w:szCs w:val="20"/>
          <w:color w:val="auto"/>
        </w:rPr>
      </w:pPr>
    </w:p>
    <w:p>
      <w:pPr>
        <w:ind w:left="4284"/>
        <w:spacing w:after="0"/>
        <w:rPr>
          <w:sz w:val="20"/>
          <w:szCs w:val="20"/>
          <w:color w:val="auto"/>
        </w:rPr>
      </w:pPr>
      <w:r>
        <w:rPr>
          <w:rFonts w:ascii="Arial" w:cs="Arial" w:eastAsia="Arial" w:hAnsi="Arial"/>
          <w:sz w:val="22"/>
          <w:szCs w:val="22"/>
          <w:color w:val="auto"/>
        </w:rPr>
        <w:t>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584"/>
          </w:cols>
          <w:pgMar w:left="976" w:top="1422" w:right="339" w:bottom="1440" w:gutter="0" w:footer="0" w:header="0"/>
        </w:sectPr>
      </w:pPr>
    </w:p>
    <w:bookmarkStart w:id="70" w:name="page71"/>
    <w:bookmarkEnd w:id="70"/>
    <w:p>
      <w:pPr>
        <w:ind w:left="10120"/>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2002 DEFERRED COMPENSATION PLAN</w:t>
      </w:r>
    </w:p>
    <w:p>
      <w:pPr>
        <w:spacing w:after="0" w:line="196" w:lineRule="exact"/>
        <w:rPr>
          <w:sz w:val="20"/>
          <w:szCs w:val="20"/>
          <w:color w:val="auto"/>
        </w:rPr>
      </w:pPr>
    </w:p>
    <w:p>
      <w:pPr>
        <w:ind w:left="1620" w:right="3820" w:firstLine="2197"/>
        <w:spacing w:after="0" w:line="451" w:lineRule="auto"/>
        <w:rPr>
          <w:sz w:val="20"/>
          <w:szCs w:val="20"/>
          <w:color w:val="auto"/>
        </w:rPr>
      </w:pPr>
      <w:r>
        <w:rPr>
          <w:rFonts w:ascii="Arial" w:cs="Arial" w:eastAsia="Arial" w:hAnsi="Arial"/>
          <w:sz w:val="22"/>
          <w:szCs w:val="22"/>
          <w:b w:val="1"/>
          <w:bCs w:val="1"/>
          <w:color w:val="auto"/>
        </w:rPr>
        <w:t xml:space="preserve">ARTICLE 1 – COVERAGE OF PLAN </w:t>
      </w:r>
      <w:r>
        <w:rPr>
          <w:rFonts w:ascii="Arial" w:cs="Arial" w:eastAsia="Arial" w:hAnsi="Arial"/>
          <w:sz w:val="22"/>
          <w:szCs w:val="22"/>
          <w:color w:val="auto"/>
        </w:rPr>
        <w:t xml:space="preserve">1.1. </w:t>
      </w:r>
      <w:r>
        <w:rPr>
          <w:rFonts w:ascii="Arial" w:cs="Arial" w:eastAsia="Arial" w:hAnsi="Arial"/>
          <w:sz w:val="22"/>
          <w:szCs w:val="22"/>
          <w:u w:val="single" w:color="auto"/>
          <w:color w:val="auto"/>
        </w:rPr>
        <w:t>Background, Continuation and Freeze of Plan</w:t>
      </w:r>
      <w:r>
        <w:rPr>
          <w:rFonts w:ascii="Arial" w:cs="Arial" w:eastAsia="Arial" w:hAnsi="Arial"/>
          <w:sz w:val="22"/>
          <w:szCs w:val="22"/>
          <w:color w:val="auto"/>
        </w:rPr>
        <w:t>.</w:t>
      </w:r>
    </w:p>
    <w:p>
      <w:pPr>
        <w:jc w:val="both"/>
        <w:ind w:firstLine="1952"/>
        <w:spacing w:after="0" w:line="248" w:lineRule="auto"/>
        <w:tabs>
          <w:tab w:leader="none" w:pos="2658" w:val="left"/>
        </w:tabs>
        <w:numPr>
          <w:ilvl w:val="0"/>
          <w:numId w:val="98"/>
        </w:numPr>
        <w:rPr>
          <w:rFonts w:ascii="Arial" w:cs="Arial" w:eastAsia="Arial" w:hAnsi="Arial"/>
          <w:sz w:val="22"/>
          <w:szCs w:val="22"/>
          <w:color w:val="auto"/>
        </w:rPr>
      </w:pPr>
      <w:r>
        <w:rPr>
          <w:rFonts w:ascii="Arial" w:cs="Arial" w:eastAsia="Arial" w:hAnsi="Arial"/>
          <w:sz w:val="22"/>
          <w:szCs w:val="22"/>
          <w:color w:val="auto"/>
        </w:rPr>
        <w:t>Comcast Corporation, a Pennsylvania corporation, hereby amends and restates the Comcast Corporation 2002 Deferred Compensation Plan (the “Plan”), effective March 1, 2021. The Plan was initially adopted effective February 12, 1974 and was amended and restated from time to time thereafter. The amendments to the Plan made pursuant to this amendment and restatement of the Plan are not intended to result in a material modification of the Plan within the meaning of Treasury Regulation §1.409A-6(a)(4).</w:t>
      </w:r>
    </w:p>
    <w:p>
      <w:pPr>
        <w:spacing w:after="0" w:line="191" w:lineRule="exact"/>
        <w:rPr>
          <w:rFonts w:ascii="Arial" w:cs="Arial" w:eastAsia="Arial" w:hAnsi="Arial"/>
          <w:sz w:val="22"/>
          <w:szCs w:val="22"/>
          <w:color w:val="auto"/>
        </w:rPr>
      </w:pPr>
    </w:p>
    <w:p>
      <w:pPr>
        <w:jc w:val="both"/>
        <w:ind w:firstLine="1952"/>
        <w:spacing w:after="0" w:line="247" w:lineRule="auto"/>
        <w:tabs>
          <w:tab w:leader="none" w:pos="2452" w:val="left"/>
        </w:tabs>
        <w:numPr>
          <w:ilvl w:val="0"/>
          <w:numId w:val="98"/>
        </w:numPr>
        <w:rPr>
          <w:rFonts w:ascii="Arial" w:cs="Arial" w:eastAsia="Arial" w:hAnsi="Arial"/>
          <w:sz w:val="22"/>
          <w:szCs w:val="22"/>
          <w:color w:val="auto"/>
        </w:rPr>
      </w:pPr>
      <w:r>
        <w:rPr>
          <w:rFonts w:ascii="Arial" w:cs="Arial" w:eastAsia="Arial" w:hAnsi="Arial"/>
          <w:sz w:val="22"/>
          <w:szCs w:val="22"/>
          <w:color w:val="auto"/>
        </w:rPr>
        <w:t>In order to preserve the favorable tax treatment available to deferrals that were made under the Plan before January 1, 2005 in light of the American Jobs Creation Act of 2004 and the regulations issued by the Department of the Treasury thereunder (the “</w:t>
      </w:r>
      <w:r>
        <w:rPr>
          <w:rFonts w:ascii="Arial" w:cs="Arial" w:eastAsia="Arial" w:hAnsi="Arial"/>
          <w:sz w:val="22"/>
          <w:szCs w:val="22"/>
          <w:u w:val="single" w:color="auto"/>
          <w:color w:val="auto"/>
        </w:rPr>
        <w:t>AJCA</w:t>
      </w:r>
      <w:r>
        <w:rPr>
          <w:rFonts w:ascii="Arial" w:cs="Arial" w:eastAsia="Arial" w:hAnsi="Arial"/>
          <w:sz w:val="22"/>
          <w:szCs w:val="22"/>
          <w:color w:val="auto"/>
        </w:rPr>
        <w:t xml:space="preserve">”), no Compensation may be deferred under the Plan pursuant to an Initial Election after December 31, 2004, other than amounts that (i) were subject to an Initial Election before January 1, 2005, (ii) would, but for such Initial Election, have been paid in 2005 and (iii) are treated as earned and vested as of December 31, 2004 under </w:t>
      </w:r>
      <w:r>
        <w:rPr>
          <w:rFonts w:ascii="Arial" w:cs="Arial" w:eastAsia="Arial" w:hAnsi="Arial"/>
          <w:sz w:val="22"/>
          <w:szCs w:val="22"/>
          <w:i w:val="1"/>
          <w:iCs w:val="1"/>
          <w:color w:val="auto"/>
        </w:rPr>
        <w:t>IRS Notice</w:t>
      </w:r>
      <w:r>
        <w:rPr>
          <w:rFonts w:ascii="Arial" w:cs="Arial" w:eastAsia="Arial" w:hAnsi="Arial"/>
          <w:sz w:val="22"/>
          <w:szCs w:val="22"/>
          <w:color w:val="auto"/>
        </w:rPr>
        <w:t xml:space="preserve"> </w:t>
      </w:r>
      <w:r>
        <w:rPr>
          <w:rFonts w:ascii="Arial" w:cs="Arial" w:eastAsia="Arial" w:hAnsi="Arial"/>
          <w:sz w:val="22"/>
          <w:szCs w:val="22"/>
          <w:i w:val="1"/>
          <w:iCs w:val="1"/>
          <w:color w:val="auto"/>
        </w:rPr>
        <w:t>2005-1</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952"/>
        <w:spacing w:after="0" w:line="285" w:lineRule="auto"/>
        <w:tabs>
          <w:tab w:leader="none" w:pos="2487"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Company has maintained the Comcast Corporation Supplemental Retirement-Investment Plan (the “Supplemental RIP”), a non-qualified deferred compensation plan pursuant to which eligible employees have been credited with certain account balances that are credited with earnings at the same rate as the earnings rate for active participants in the Plan. Credits to the Supplemental RIP are frozen. Distributions of participants’ account balances credited under the Supplemental RIP are distributable as soon as administratively practicable following a participant’s termination of employment. Effective as of December 5, 2006, the Supplemental RIP was merged with and into the Plan and the separate existence of the Supplemental RIP ceased, and all undistributed participants’ accounts that had previously been administered pursuant to the Supplemental RIP (hereinafter referred to as “Supplemental RIP Legacy Accounts”) are held under the Plan. Supplemental RIP Legacy Accounts shall be subject only to the provisions of this Section 1.1(c) and the other provisions of this Article 1, Section 2.29, Section 4.4, Section 5.2, Section 5.3, Section 5.4, Article 6, Section 7.2, Article 9, Article 10, Article 11, Article 12 and such portions of Article 2 of the Plan as shall be integral to the interpretation and operation of the Plan provisions listed above. An individual whose Supplemental RIP Legacy Account is held under the Plan as a result of the merger of the Supplemental RIP with and into the Plan shall be a participant in the Plan only for purposes of the Supplemental RIP Legacy Account, unless such individual is otherwise eligible to participate in the Plan and an Account under the Plan has been established for such individual’s benefit. Except for earnings credits, no amounts shall be credited to Supplemental RIP Legacy Accounts administered under the Plan. Except for earnings credited to Supplemental RIP Legacy Accounts after 2004, Supplemental RIP Legacy Accounts consist solely of deferred compensation credits that were earned and vested before January 1, 2005. Accordingly,</w:t>
      </w:r>
    </w:p>
    <w:p>
      <w:pPr>
        <w:sectPr>
          <w:pgSz w:w="11900" w:h="16838" w:orient="portrait"/>
          <w:cols w:equalWidth="0" w:num="1">
            <w:col w:w="11240"/>
          </w:cols>
          <w:pgMar w:left="320" w:top="126" w:right="339" w:bottom="1440" w:gutter="0" w:footer="0" w:header="0"/>
        </w:sectPr>
      </w:pPr>
    </w:p>
    <w:bookmarkStart w:id="71" w:name="page72"/>
    <w:bookmarkEnd w:id="71"/>
    <w:p>
      <w:pPr>
        <w:spacing w:after="0"/>
        <w:rPr>
          <w:sz w:val="20"/>
          <w:szCs w:val="20"/>
          <w:color w:val="auto"/>
        </w:rPr>
      </w:pPr>
      <w:r>
        <w:rPr>
          <w:rFonts w:ascii="Arial" w:cs="Arial" w:eastAsia="Arial" w:hAnsi="Arial"/>
          <w:sz w:val="19"/>
          <w:szCs w:val="19"/>
          <w:color w:val="auto"/>
        </w:rPr>
        <w:t>Supplemental RIP Legacy Accounts are intended to be treated as grandfathered benefits that are not subject to the AJCA.</w:t>
      </w:r>
    </w:p>
    <w:p>
      <w:pPr>
        <w:spacing w:after="0" w:line="254" w:lineRule="exact"/>
        <w:rPr>
          <w:sz w:val="20"/>
          <w:szCs w:val="20"/>
          <w:color w:val="auto"/>
        </w:rPr>
      </w:pPr>
    </w:p>
    <w:p>
      <w:pPr>
        <w:jc w:val="both"/>
        <w:ind w:firstLine="1952"/>
        <w:spacing w:after="0" w:line="285" w:lineRule="auto"/>
        <w:tabs>
          <w:tab w:leader="none" w:pos="2415"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The Company’s controlled subsidiary, E! Entertainment Television, Inc., (“E!”) has maintained the E! Entertainment Television, Inc. 2002 Deferred Compensation Plan (the “E! Plan”), a non-qualified deferred compensation plan pursuant to which eligible employees have been credited with certain account balances that are credited with earnings at the same rate as the earnings rate for active participants in the Plan. Under the E! Plan, to the extent participants’ account balances are treated as earned and vested as of December 31, 2004 under </w:t>
      </w:r>
      <w:r>
        <w:rPr>
          <w:rFonts w:ascii="Arial" w:cs="Arial" w:eastAsia="Arial" w:hAnsi="Arial"/>
          <w:sz w:val="19"/>
          <w:szCs w:val="19"/>
          <w:i w:val="1"/>
          <w:iCs w:val="1"/>
          <w:color w:val="auto"/>
        </w:rPr>
        <w:t>IRS Notice 2005-1</w:t>
      </w:r>
      <w:r>
        <w:rPr>
          <w:rFonts w:ascii="Arial" w:cs="Arial" w:eastAsia="Arial" w:hAnsi="Arial"/>
          <w:sz w:val="19"/>
          <w:szCs w:val="19"/>
          <w:color w:val="auto"/>
        </w:rPr>
        <w:t xml:space="preserve"> (the “E! Grandfathered Accounts”), the rules of the E! Plan, as amended and restated, effective May 26, 2004 apply. Effective as of January 1, 2008, that portion of the E! Plan that includes the E! Grandfathered Accounts (the “E! Grandfathered Plan”) was merged with and into the Plan and the separate existence of the E! Grandfathered Plan ceased, and all E! Grandfathered Accounts that had previously been administered pursuant to the E! Grandfathered Plan are held under the Plan. E! Grandfathered Accounts continue to be subject to the rules of the E! Grandfathered Plan (to the limited extent such rules may be inconsistent with the rules of the Plan) and the merger of the E! Grandfathered Plan with and into the Plan is not intended, in form or operation, to constitute a “material modification” of E! Grandfathered Account, nor to provide any additional benefit, right or feature with respect to E! Grandfathered Accounts. An individual whose E! Grandfathered Account is held under the Plan as a result of the merger of the E! Grandfathered Plan with and into the Plan shall be a participant in the Plan only for purposes of the E! Grandfathered Account. Except for earnings credits, no amounts shall be credited to E! Grandfathered Accounts administered under the Plan. Except for earnings credited with respect to E! Grandfathered Accounts after 2004, E! Grandfathered Accounts consist solely of deferred compensation credits that were earned and vested before January 1, 2005. Accordingly, E! Grandfathered Accounts are intended to be treated as grandfathered benefits that are not subject to the AJCA.</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2480" w:hanging="528"/>
        <w:spacing w:after="0"/>
        <w:tabs>
          <w:tab w:leader="none" w:pos="24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Amounts earned and vested prior to January 1, 2005 are and will remain subject to the terms and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conditions of the Plan.</w:t>
      </w:r>
    </w:p>
    <w:p>
      <w:pPr>
        <w:spacing w:after="0" w:line="202"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Plan Unfunded and Limited to Outside Directors and Select Group of Management or Highly Compensated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Employees</w:t>
      </w:r>
      <w:r>
        <w:rPr>
          <w:rFonts w:ascii="Arial" w:cs="Arial" w:eastAsia="Arial" w:hAnsi="Arial"/>
          <w:sz w:val="19"/>
          <w:szCs w:val="19"/>
          <w:color w:val="auto"/>
        </w:rPr>
        <w:t>.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14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References to Written Forms, Elections and Notices</w:t>
      </w:r>
      <w:r>
        <w:rPr>
          <w:rFonts w:ascii="Arial" w:cs="Arial" w:eastAsia="Arial" w:hAnsi="Arial"/>
          <w:sz w:val="22"/>
          <w:szCs w:val="22"/>
          <w:color w:val="auto"/>
        </w:rPr>
        <w:t>. Any action under the Plan that requires a written form, election, notice or other action shall be treated as completed if taken via electronic or other means, to the extent authorized by the Administrator.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 DEFINITIONS</w:t>
      </w:r>
    </w:p>
    <w:p>
      <w:pPr>
        <w:spacing w:after="0" w:line="22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2.1. “</w:t>
      </w:r>
      <w:r>
        <w:rPr>
          <w:rFonts w:ascii="Arial" w:cs="Arial" w:eastAsia="Arial" w:hAnsi="Arial"/>
          <w:sz w:val="22"/>
          <w:szCs w:val="22"/>
          <w:u w:val="single" w:color="auto"/>
          <w:color w:val="auto"/>
        </w:rPr>
        <w:t>Account</w:t>
      </w:r>
      <w:r>
        <w:rPr>
          <w:rFonts w:ascii="Arial" w:cs="Arial" w:eastAsia="Arial" w:hAnsi="Arial"/>
          <w:sz w:val="22"/>
          <w:szCs w:val="22"/>
          <w:color w:val="auto"/>
        </w:rPr>
        <w:t>” means the bookkeeping accounts established pursuant to Section 5.1 and maintained by the Administrator in the names of the respective Participants,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72" w:name="page73"/>
    <w:bookmarkEnd w:id="72"/>
    <w:p>
      <w:pPr>
        <w:spacing w:after="0" w:line="263" w:lineRule="auto"/>
        <w:rPr>
          <w:sz w:val="20"/>
          <w:szCs w:val="20"/>
          <w:color w:val="auto"/>
        </w:rPr>
      </w:pPr>
      <w:r>
        <w:rPr>
          <w:rFonts w:ascii="Arial" w:cs="Arial" w:eastAsia="Arial" w:hAnsi="Arial"/>
          <w:sz w:val="22"/>
          <w:szCs w:val="22"/>
          <w:color w:val="auto"/>
        </w:rPr>
        <w:t>which all amounts deferred and earnings allocated under the Plan shall be credited, and from which all amounts distributed pursuant to the Plan shall be debited.</w:t>
      </w:r>
    </w:p>
    <w:p>
      <w:pPr>
        <w:spacing w:after="0" w:line="17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Active Participant</w:t>
      </w:r>
      <w:r>
        <w:rPr>
          <w:rFonts w:ascii="Arial" w:cs="Arial" w:eastAsia="Arial" w:hAnsi="Arial"/>
          <w:sz w:val="19"/>
          <w:szCs w:val="19"/>
          <w:color w:val="auto"/>
        </w:rPr>
        <w:t>” means:</w:t>
      </w:r>
    </w:p>
    <w:p>
      <w:pPr>
        <w:spacing w:after="0" w:line="220" w:lineRule="exact"/>
        <w:rPr>
          <w:sz w:val="20"/>
          <w:szCs w:val="20"/>
          <w:color w:val="auto"/>
        </w:rPr>
      </w:pPr>
    </w:p>
    <w:p>
      <w:pPr>
        <w:ind w:left="2400" w:hanging="448"/>
        <w:spacing w:after="0"/>
        <w:tabs>
          <w:tab w:leader="none" w:pos="24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Each Participant who is in active service as an Outside Director; and</w:t>
      </w:r>
    </w:p>
    <w:p>
      <w:pPr>
        <w:spacing w:after="0" w:line="219" w:lineRule="exact"/>
        <w:rPr>
          <w:rFonts w:ascii="Arial" w:cs="Arial" w:eastAsia="Arial" w:hAnsi="Arial"/>
          <w:sz w:val="22"/>
          <w:szCs w:val="22"/>
          <w:color w:val="auto"/>
        </w:rPr>
      </w:pPr>
    </w:p>
    <w:p>
      <w:pPr>
        <w:ind w:left="1300" w:right="440" w:firstLine="652"/>
        <w:spacing w:after="0" w:line="448" w:lineRule="auto"/>
        <w:tabs>
          <w:tab w:leader="none" w:pos="241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Each Participant who is actively employed by a Participating Company as an Eligible Employee. 2.3. “</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Committee.</w:t>
      </w:r>
    </w:p>
    <w:p>
      <w:pPr>
        <w:spacing w:after="0" w:line="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2.4. “</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2.5. “</w:t>
      </w:r>
      <w:r>
        <w:rPr>
          <w:rFonts w:ascii="Arial" w:cs="Arial" w:eastAsia="Arial" w:hAnsi="Arial"/>
          <w:sz w:val="22"/>
          <w:szCs w:val="22"/>
          <w:u w:val="single" w:color="auto"/>
          <w:color w:val="auto"/>
        </w:rPr>
        <w:t>Annual Rate of Pay</w:t>
      </w:r>
      <w:r>
        <w:rPr>
          <w:rFonts w:ascii="Arial" w:cs="Arial" w:eastAsia="Arial" w:hAnsi="Arial"/>
          <w:sz w:val="22"/>
          <w:szCs w:val="22"/>
          <w:color w:val="auto"/>
        </w:rPr>
        <w:t>” means, as of any date, an employee’s annualized base pay rate. An employee’s Annual Rate of Pay shall not include sales commissions or other similar payments or awards.</w:t>
      </w:r>
    </w:p>
    <w:p>
      <w:pPr>
        <w:spacing w:after="0" w:line="17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Applicable Interest Rate</w:t>
      </w:r>
      <w:r>
        <w:rPr>
          <w:rFonts w:ascii="Arial" w:cs="Arial" w:eastAsia="Arial" w:hAnsi="Arial"/>
          <w:sz w:val="19"/>
          <w:szCs w:val="19"/>
          <w:color w:val="auto"/>
        </w:rPr>
        <w:t>” means:</w:t>
      </w:r>
    </w:p>
    <w:p>
      <w:pPr>
        <w:spacing w:after="0" w:line="220" w:lineRule="exact"/>
        <w:rPr>
          <w:sz w:val="20"/>
          <w:szCs w:val="20"/>
          <w:color w:val="auto"/>
        </w:rPr>
      </w:pPr>
    </w:p>
    <w:p>
      <w:pPr>
        <w:ind w:left="2400" w:hanging="448"/>
        <w:spacing w:after="0"/>
        <w:tabs>
          <w:tab w:leader="none" w:pos="24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Except as otherwise provided in Sections 2.6(b) or (c), the Applicable Interest Rate means:</w:t>
      </w:r>
    </w:p>
    <w:p>
      <w:pPr>
        <w:spacing w:after="0" w:line="219" w:lineRule="exact"/>
        <w:rPr>
          <w:rFonts w:ascii="Arial" w:cs="Arial" w:eastAsia="Arial" w:hAnsi="Arial"/>
          <w:sz w:val="22"/>
          <w:szCs w:val="22"/>
          <w:color w:val="auto"/>
        </w:rPr>
      </w:pPr>
    </w:p>
    <w:p>
      <w:pPr>
        <w:jc w:val="both"/>
        <w:ind w:firstLine="2600"/>
        <w:spacing w:after="0" w:line="253" w:lineRule="auto"/>
        <w:tabs>
          <w:tab w:leader="none" w:pos="3111" w:val="left"/>
        </w:tabs>
        <w:numPr>
          <w:ilvl w:val="1"/>
          <w:numId w:val="101"/>
        </w:numPr>
        <w:rPr>
          <w:rFonts w:ascii="Arial" w:cs="Arial" w:eastAsia="Arial" w:hAnsi="Arial"/>
          <w:sz w:val="22"/>
          <w:szCs w:val="22"/>
          <w:color w:val="auto"/>
        </w:rPr>
      </w:pPr>
      <w:r>
        <w:rPr>
          <w:rFonts w:ascii="Arial" w:cs="Arial" w:eastAsia="Arial" w:hAnsi="Arial"/>
          <w:sz w:val="22"/>
          <w:szCs w:val="22"/>
          <w:color w:val="auto"/>
        </w:rPr>
        <w:t>with respect to amounts subject to a Subsequent Election filed before January 1, 2021, the interest rate that, when compounded daily pursuant to rules established by the Administrator from time to time, is mathematically equivalent to 12% per annum, compounded annually; and</w:t>
      </w:r>
    </w:p>
    <w:p>
      <w:pPr>
        <w:spacing w:after="0" w:line="185" w:lineRule="exact"/>
        <w:rPr>
          <w:rFonts w:ascii="Arial" w:cs="Arial" w:eastAsia="Arial" w:hAnsi="Arial"/>
          <w:sz w:val="22"/>
          <w:szCs w:val="22"/>
          <w:color w:val="auto"/>
        </w:rPr>
      </w:pPr>
    </w:p>
    <w:p>
      <w:pPr>
        <w:jc w:val="both"/>
        <w:ind w:firstLine="2600"/>
        <w:spacing w:after="0" w:line="253" w:lineRule="auto"/>
        <w:tabs>
          <w:tab w:leader="none" w:pos="312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with respect to amounts subject to a Subsequent Election filed after December 31, 2020, the interest rate that, when compounded daily pursuant to rules established by the Administrator from time to time, is mathematically equivalent to 9% per annum, compounded annually.</w:t>
      </w:r>
    </w:p>
    <w:p>
      <w:pPr>
        <w:spacing w:after="0" w:line="185" w:lineRule="exact"/>
        <w:rPr>
          <w:rFonts w:ascii="Arial" w:cs="Arial" w:eastAsia="Arial" w:hAnsi="Arial"/>
          <w:sz w:val="22"/>
          <w:szCs w:val="22"/>
          <w:color w:val="auto"/>
        </w:rPr>
      </w:pPr>
    </w:p>
    <w:p>
      <w:pPr>
        <w:jc w:val="both"/>
        <w:ind w:firstLine="1952"/>
        <w:spacing w:after="0" w:line="247" w:lineRule="auto"/>
        <w:tabs>
          <w:tab w:leader="none" w:pos="2466"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Termination or Transition of Service</w:t>
      </w:r>
      <w:r>
        <w:rPr>
          <w:rFonts w:ascii="Arial" w:cs="Arial" w:eastAsia="Arial" w:hAnsi="Arial"/>
          <w:sz w:val="22"/>
          <w:szCs w:val="22"/>
          <w:color w:val="auto"/>
        </w:rPr>
        <w:t>. Effective for the period beginning as soon as administratively practicable following (i) a significant reduction in a Participant’s compensation and services to the Company, as determined by the Administrator in its sole discretion, and (ii) a Participant’s employment termination date, in each case, to the date the Participant’s Account is distributed in full, the Administrator, in its sole discretion, may designate the term “Applicable Interest Rate” for such Participant’s Account to mean the lesser of (x) the rate in effect under Section 2.6(a) or (y) the Prime Rate plus one percent.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73" w:name="page74"/>
    <w:bookmarkEnd w:id="73"/>
    <w:p>
      <w:pPr>
        <w:jc w:val="both"/>
        <w:spacing w:after="0" w:line="248" w:lineRule="auto"/>
        <w:rPr>
          <w:sz w:val="20"/>
          <w:szCs w:val="20"/>
          <w:color w:val="auto"/>
        </w:rPr>
      </w:pPr>
      <w:r>
        <w:rPr>
          <w:rFonts w:ascii="Arial" w:cs="Arial" w:eastAsia="Arial" w:hAnsi="Arial"/>
          <w:sz w:val="22"/>
          <w:szCs w:val="22"/>
          <w:color w:val="auto"/>
        </w:rPr>
        <w:t>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employment termination date. Notwithstanding the foregoing, the Administrator may delegate its authority to determine the Applicable Interest Rate under this Section 2.6(b) to an officer of the Company or committee of two or more officers of the Company.</w:t>
      </w:r>
    </w:p>
    <w:p>
      <w:pPr>
        <w:spacing w:after="0" w:line="192" w:lineRule="exact"/>
        <w:rPr>
          <w:sz w:val="20"/>
          <w:szCs w:val="20"/>
          <w:color w:val="auto"/>
        </w:rPr>
      </w:pPr>
    </w:p>
    <w:p>
      <w:pPr>
        <w:jc w:val="both"/>
        <w:ind w:firstLine="1952"/>
        <w:spacing w:after="0" w:line="248" w:lineRule="auto"/>
        <w:tabs>
          <w:tab w:leader="none" w:pos="245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Except to the extent otherwise required by Section 10.2, the Applicable Interest Rate for Severance Pay deferred pursuant to Article 3 shall be determined by the Administrator, in its sole discretion, provided that the Applicable Interest Rate shall not be less than the lower of the Prime Rate or LIBOR, nor more than the rate specified in Section 2.6(a). Notwithstanding the foregoing, the Administrator may delegate its authority to determine the Applicable Interest Rate under this Section 2.6(c) to an officer of the Company.</w:t>
      </w:r>
    </w:p>
    <w:p>
      <w:pPr>
        <w:spacing w:after="0" w:line="19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2.7. “</w:t>
      </w:r>
      <w:r>
        <w:rPr>
          <w:rFonts w:ascii="Arial" w:cs="Arial" w:eastAsia="Arial" w:hAnsi="Arial"/>
          <w:sz w:val="21"/>
          <w:szCs w:val="21"/>
          <w:u w:val="single" w:color="auto"/>
          <w:color w:val="auto"/>
        </w:rPr>
        <w:t>Beneficiary</w:t>
      </w:r>
      <w:r>
        <w:rPr>
          <w:rFonts w:ascii="Arial" w:cs="Arial" w:eastAsia="Arial" w:hAnsi="Arial"/>
          <w:sz w:val="21"/>
          <w:szCs w:val="21"/>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8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22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CCCHI</w:t>
      </w:r>
      <w:r>
        <w:rPr>
          <w:rFonts w:ascii="Arial" w:cs="Arial" w:eastAsia="Arial" w:hAnsi="Arial"/>
          <w:sz w:val="19"/>
          <w:szCs w:val="19"/>
          <w:color w:val="auto"/>
        </w:rPr>
        <w:t>” means Comcast Cable Communications Holdings, Inc., formerly known as AT&amp;T Broadband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Corp.</w:t>
      </w:r>
    </w:p>
    <w:p>
      <w:pPr>
        <w:spacing w:after="0" w:line="20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2.10. “</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9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Compensation Committee of the Board of Directors of the Company.</w:t>
      </w:r>
    </w:p>
    <w:p>
      <w:pPr>
        <w:spacing w:after="0" w:line="220"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Company</w:t>
      </w:r>
      <w:r>
        <w:rPr>
          <w:rFonts w:ascii="Arial" w:cs="Arial" w:eastAsia="Arial" w:hAnsi="Arial"/>
          <w:sz w:val="22"/>
          <w:szCs w:val="22"/>
          <w:color w:val="auto"/>
        </w:rPr>
        <w:t>” means Comcast Corporation, a Pennsylvania corporation, including any successor thereto by merger, consolidation, acquisition of all or substantially all the assets thereof,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74" w:name="page75"/>
    <w:bookmarkEnd w:id="74"/>
    <w:p>
      <w:pPr>
        <w:jc w:val="both"/>
        <w:ind w:firstLine="1296"/>
        <w:spacing w:after="0" w:line="287" w:lineRule="auto"/>
        <w:rPr>
          <w:sz w:val="20"/>
          <w:szCs w:val="20"/>
          <w:color w:val="auto"/>
        </w:rPr>
      </w:pPr>
      <w:r>
        <w:rPr>
          <w:rFonts w:ascii="Arial" w:cs="Arial" w:eastAsia="Arial" w:hAnsi="Arial"/>
          <w:sz w:val="19"/>
          <w:szCs w:val="19"/>
          <w:color w:val="auto"/>
        </w:rPr>
        <w:t>2.14. “</w:t>
      </w:r>
      <w:r>
        <w:rPr>
          <w:rFonts w:ascii="Arial" w:cs="Arial" w:eastAsia="Arial" w:hAnsi="Arial"/>
          <w:sz w:val="19"/>
          <w:szCs w:val="19"/>
          <w:u w:val="single" w:color="auto"/>
          <w:color w:val="auto"/>
        </w:rPr>
        <w:t>Company Stock</w:t>
      </w:r>
      <w:r>
        <w:rPr>
          <w:rFonts w:ascii="Arial" w:cs="Arial" w:eastAsia="Arial" w:hAnsi="Arial"/>
          <w:sz w:val="19"/>
          <w:szCs w:val="19"/>
          <w:color w:val="auto"/>
        </w:rPr>
        <w:t>” means with respect to amounts credited to the Company Stock Fund pursuant to (i) deferral elections by Outside Directors made pursuant to Section 3.1(a), or (ii) deemed transfers pursuant to Article 5, Comcast Corporation Class A Common Stock, par value $0.01, and such other securities issued by the Company as may be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The number of hypothetical shares of Company Stock credited to a Participant’s Account shall be rounded down to the next lower share, and the value of fractional shares that otherwise have been credited to the Company Stock Fund shall be credited to the Income Fund. Any reference to the term “Company Stock” in the Plan shall be a reference to the appropriate number and class of shares of stock as adjusted pursuant to this Section 2.14. The Committee’s adjustment shall be effective and binding for all purposes of the Plan.</w:t>
      </w:r>
    </w:p>
    <w:p>
      <w:pPr>
        <w:spacing w:after="0" w:line="15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2.15. “</w:t>
      </w:r>
      <w:r>
        <w:rPr>
          <w:rFonts w:ascii="Arial" w:cs="Arial" w:eastAsia="Arial" w:hAnsi="Arial"/>
          <w:sz w:val="19"/>
          <w:szCs w:val="19"/>
          <w:u w:val="single" w:color="auto"/>
          <w:color w:val="auto"/>
        </w:rPr>
        <w:t>Company Stock Fund</w:t>
      </w:r>
      <w:r>
        <w:rPr>
          <w:rFonts w:ascii="Arial" w:cs="Arial" w:eastAsia="Arial" w:hAnsi="Arial"/>
          <w:sz w:val="19"/>
          <w:szCs w:val="19"/>
          <w:color w:val="auto"/>
        </w:rPr>
        <w:t xml:space="preserve">” means a hypothetical investment fund pursuant to which income, gains and losses are credited to a Participant’s Account as if the Account, to the extent deemed invested in the Company Stock Fund, were invested in hypothetical shares of Company Stock, and, except as otherwise provided in Section 2.14 with respect to fractional shares, all dividends and other distributions paid with respect to Company Stock shall be credited to an Other Investment Fund as a hypothetical purchase on the applicable dividend or distribution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with respect to Company Stock credited to the Accounts of Outside Directors, dividends and other distributions shall be credited to the Company Stock Fund as a hypothetical purchase at Fair Market Value on the applicable dividend or distribution payment date and (b) with respect to Company Stock credited to the Accounts of Covered Participants, dividends and other distributions paid after February 28, 2021 shall be credited to one or more Other Investment Funds as a hypothetical purchase on the applicable dividend or distribution payment date. Except to the extent provided by Section 5.2(b)(i)(C) with respect to Section 16 Officers or by the Administrator with respect to Participants who are not Section 16 Officers, amounts credited to the Company Stock Fund may not thereafter be transferred to the Income Fund or another Other Investment Fund.</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Compensation</w:t>
      </w:r>
      <w:r>
        <w:rPr>
          <w:rFonts w:ascii="Arial" w:cs="Arial" w:eastAsia="Arial" w:hAnsi="Arial"/>
          <w:sz w:val="19"/>
          <w:szCs w:val="19"/>
          <w:color w:val="auto"/>
        </w:rPr>
        <w:t>” means:</w:t>
      </w:r>
    </w:p>
    <w:p>
      <w:pPr>
        <w:spacing w:after="0" w:line="220" w:lineRule="exact"/>
        <w:rPr>
          <w:sz w:val="20"/>
          <w:szCs w:val="20"/>
          <w:color w:val="auto"/>
        </w:rPr>
      </w:pPr>
    </w:p>
    <w:p>
      <w:pPr>
        <w:jc w:val="both"/>
        <w:ind w:firstLine="1952"/>
        <w:spacing w:after="0" w:line="253" w:lineRule="auto"/>
        <w:tabs>
          <w:tab w:leader="none" w:pos="248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the case of an Outside Director, the total remuneration payable in cash or payable in Company Stock (as elected by the Outside Director pursuant to the Comcast Corporation 2003 Director Compensation Plan) for services as a member of the Board and as a member of any Committee of the Board; and</w:t>
      </w:r>
    </w:p>
    <w:p>
      <w:pPr>
        <w:spacing w:after="0" w:line="185" w:lineRule="exact"/>
        <w:rPr>
          <w:rFonts w:ascii="Arial" w:cs="Arial" w:eastAsia="Arial" w:hAnsi="Arial"/>
          <w:sz w:val="22"/>
          <w:szCs w:val="22"/>
          <w:color w:val="auto"/>
        </w:rPr>
      </w:pPr>
    </w:p>
    <w:p>
      <w:pPr>
        <w:ind w:firstLine="1952"/>
        <w:spacing w:after="0" w:line="263" w:lineRule="auto"/>
        <w:tabs>
          <w:tab w:leader="none" w:pos="263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the case of an Eligible Employee, the total cash remuneration for services payable by a Participating Company, excluding sales commissions or other similar payments or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75" w:name="page76"/>
    <w:bookmarkEnd w:id="75"/>
    <w:p>
      <w:pPr>
        <w:jc w:val="both"/>
        <w:ind w:firstLine="1296"/>
        <w:spacing w:after="0" w:line="312" w:lineRule="auto"/>
        <w:rPr>
          <w:sz w:val="20"/>
          <w:szCs w:val="20"/>
          <w:color w:val="auto"/>
        </w:rPr>
      </w:pPr>
      <w:r>
        <w:rPr>
          <w:rFonts w:ascii="Arial" w:cs="Arial" w:eastAsia="Arial" w:hAnsi="Arial"/>
          <w:sz w:val="19"/>
          <w:szCs w:val="19"/>
          <w:color w:val="auto"/>
        </w:rPr>
        <w:t>2.17. “</w:t>
      </w:r>
      <w:r>
        <w:rPr>
          <w:rFonts w:ascii="Arial" w:cs="Arial" w:eastAsia="Arial" w:hAnsi="Arial"/>
          <w:sz w:val="19"/>
          <w:szCs w:val="19"/>
          <w:u w:val="single" w:color="auto"/>
          <w:color w:val="auto"/>
        </w:rPr>
        <w:t>Covered Participant</w:t>
      </w:r>
      <w:r>
        <w:rPr>
          <w:rFonts w:ascii="Arial" w:cs="Arial" w:eastAsia="Arial" w:hAnsi="Arial"/>
          <w:sz w:val="19"/>
          <w:szCs w:val="19"/>
          <w:color w:val="auto"/>
        </w:rPr>
        <w:t>” means, as of any relevant date of determination, (i) any Section 16 Officer for whom disclosure was required pursuant to Item 402 of SEC Regulation S-K in the Company’s most recent filing with the SEC under the Securities Exchange Act of 1934, as amended, and (ii) any individual, as determined by the Committee in its discretion.</w:t>
      </w:r>
    </w:p>
    <w:p>
      <w:pPr>
        <w:spacing w:after="0" w:line="133"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2.18. “</w:t>
      </w:r>
      <w:r>
        <w:rPr>
          <w:rFonts w:ascii="Arial" w:cs="Arial" w:eastAsia="Arial" w:hAnsi="Arial"/>
          <w:sz w:val="19"/>
          <w:szCs w:val="19"/>
          <w:u w:val="single" w:color="auto"/>
          <w:color w:val="auto"/>
        </w:rPr>
        <w:t>Death Tax Clearance Date</w:t>
      </w:r>
      <w:r>
        <w:rPr>
          <w:rFonts w:ascii="Arial" w:cs="Arial" w:eastAsia="Arial" w:hAnsi="Arial"/>
          <w:sz w:val="19"/>
          <w:szCs w:val="19"/>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4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2.19. “</w:t>
      </w:r>
      <w:r>
        <w:rPr>
          <w:rFonts w:ascii="Arial" w:cs="Arial" w:eastAsia="Arial" w:hAnsi="Arial"/>
          <w:sz w:val="22"/>
          <w:szCs w:val="22"/>
          <w:u w:val="single" w:color="auto"/>
          <w:color w:val="auto"/>
        </w:rPr>
        <w:t>Death Taxes</w:t>
      </w:r>
      <w:r>
        <w:rPr>
          <w:rFonts w:ascii="Arial" w:cs="Arial" w:eastAsia="Arial" w:hAnsi="Arial"/>
          <w:sz w:val="22"/>
          <w:szCs w:val="22"/>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2.20. “</w:t>
      </w:r>
      <w:r>
        <w:rPr>
          <w:rFonts w:ascii="Arial" w:cs="Arial" w:eastAsia="Arial" w:hAnsi="Arial"/>
          <w:sz w:val="22"/>
          <w:szCs w:val="22"/>
          <w:u w:val="single" w:color="auto"/>
          <w:color w:val="auto"/>
        </w:rPr>
        <w:t>Deceased Participant</w:t>
      </w:r>
      <w:r>
        <w:rPr>
          <w:rFonts w:ascii="Arial" w:cs="Arial" w:eastAsia="Arial" w:hAnsi="Arial"/>
          <w:sz w:val="22"/>
          <w:szCs w:val="22"/>
          <w:color w:val="auto"/>
        </w:rPr>
        <w:t>” means a Participant whose employment, or, in the case of a Participant who was an Outside Director, a Participant whose service as an Outside Director, is terminated by death.</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Disabled Participant</w:t>
      </w:r>
      <w:r>
        <w:rPr>
          <w:rFonts w:ascii="Arial" w:cs="Arial" w:eastAsia="Arial" w:hAnsi="Arial"/>
          <w:sz w:val="19"/>
          <w:szCs w:val="19"/>
          <w:color w:val="auto"/>
        </w:rPr>
        <w:t>” means:</w:t>
      </w:r>
    </w:p>
    <w:p>
      <w:pPr>
        <w:spacing w:after="0" w:line="220" w:lineRule="exact"/>
        <w:rPr>
          <w:sz w:val="20"/>
          <w:szCs w:val="20"/>
          <w:color w:val="auto"/>
        </w:rPr>
      </w:pPr>
    </w:p>
    <w:p>
      <w:pPr>
        <w:ind w:firstLine="1952"/>
        <w:spacing w:after="0" w:line="263" w:lineRule="auto"/>
        <w:tabs>
          <w:tab w:leader="none" w:pos="2539"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 Participant whose employment or, in the case of a Participant who is an Outside Director, a Participant whose service as an Outside Director, is terminated by reason of disability;</w:t>
      </w:r>
    </w:p>
    <w:p>
      <w:pPr>
        <w:spacing w:after="0" w:line="174" w:lineRule="exact"/>
        <w:rPr>
          <w:rFonts w:ascii="Arial" w:cs="Arial" w:eastAsia="Arial" w:hAnsi="Arial"/>
          <w:sz w:val="22"/>
          <w:szCs w:val="22"/>
          <w:color w:val="auto"/>
        </w:rPr>
      </w:pPr>
    </w:p>
    <w:p>
      <w:pPr>
        <w:ind w:left="2480" w:hanging="528"/>
        <w:spacing w:after="0"/>
        <w:tabs>
          <w:tab w:leader="none" w:pos="24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duly-appointed legal guardian of an individual described in Section 2.21(a) acting on behalf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individual.</w:t>
      </w:r>
    </w:p>
    <w:p>
      <w:pPr>
        <w:spacing w:after="0" w:line="20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w:t>
      </w:r>
    </w:p>
    <w:p>
      <w:pPr>
        <w:spacing w:after="0" w:line="220" w:lineRule="exact"/>
        <w:rPr>
          <w:sz w:val="20"/>
          <w:szCs w:val="20"/>
          <w:color w:val="auto"/>
        </w:rPr>
      </w:pPr>
    </w:p>
    <w:p>
      <w:pPr>
        <w:ind w:left="2420" w:hanging="468"/>
        <w:spacing w:after="0"/>
        <w:tabs>
          <w:tab w:leader="none" w:pos="242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Each employee of a Participating Company who, as of December 31, 1989, was eligible to participate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 the Prior Plan.</w:t>
      </w:r>
    </w:p>
    <w:p>
      <w:pPr>
        <w:spacing w:after="0" w:line="202" w:lineRule="exact"/>
        <w:rPr>
          <w:sz w:val="20"/>
          <w:szCs w:val="20"/>
          <w:color w:val="auto"/>
        </w:rPr>
      </w:pPr>
    </w:p>
    <w:p>
      <w:pPr>
        <w:jc w:val="both"/>
        <w:ind w:firstLine="1952"/>
        <w:spacing w:after="0" w:line="312" w:lineRule="auto"/>
        <w:tabs>
          <w:tab w:leader="none" w:pos="244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Each employee of a Participating Company who was, at any time before January 1, 1995, eligible to participate in the Prior Plan and whose Annual Rate of Pay is $90,000 or more as of both (i) the date on which an Initial Election is filed with the Administrator and (ii) the first day of each calendar year beginning after December 31, 1994.</w:t>
      </w:r>
    </w:p>
    <w:p>
      <w:pPr>
        <w:spacing w:after="0" w:line="133" w:lineRule="exact"/>
        <w:rPr>
          <w:rFonts w:ascii="Arial" w:cs="Arial" w:eastAsia="Arial" w:hAnsi="Arial"/>
          <w:sz w:val="19"/>
          <w:szCs w:val="19"/>
          <w:color w:val="auto"/>
        </w:rPr>
      </w:pPr>
    </w:p>
    <w:p>
      <w:pPr>
        <w:jc w:val="both"/>
        <w:ind w:firstLine="1952"/>
        <w:spacing w:after="0" w:line="312" w:lineRule="auto"/>
        <w:tabs>
          <w:tab w:leader="none" w:pos="2407" w:val="left"/>
        </w:tabs>
        <w:numPr>
          <w:ilvl w:val="0"/>
          <w:numId w:val="106"/>
        </w:numPr>
        <w:rPr>
          <w:rFonts w:ascii="Arial" w:cs="Arial" w:eastAsia="Arial" w:hAnsi="Arial"/>
          <w:sz w:val="19"/>
          <w:szCs w:val="19"/>
          <w:color w:val="auto"/>
        </w:rPr>
      </w:pPr>
      <w:r>
        <w:rPr>
          <w:rFonts w:ascii="Arial" w:cs="Arial" w:eastAsia="Arial" w:hAnsi="Arial"/>
          <w:sz w:val="19"/>
          <w:szCs w:val="19"/>
          <w:color w:val="auto"/>
        </w:rPr>
        <w:t>Each individual who was an employee of an entity that was a Participating Company in the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76" w:name="page77"/>
    <w:bookmarkEnd w:id="76"/>
    <w:p>
      <w:pPr>
        <w:ind w:left="2420" w:hanging="468"/>
        <w:spacing w:after="0"/>
        <w:tabs>
          <w:tab w:leader="none" w:pos="242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Each employee of a Participating Company whose Annual Rate of Pay is $200,000 or more as of both</w:t>
      </w:r>
    </w:p>
    <w:p>
      <w:pPr>
        <w:spacing w:after="0" w:line="55" w:lineRule="exact"/>
        <w:rPr>
          <w:rFonts w:ascii="Arial" w:cs="Arial" w:eastAsia="Arial" w:hAnsi="Arial"/>
          <w:sz w:val="19"/>
          <w:szCs w:val="19"/>
          <w:color w:val="auto"/>
        </w:rPr>
      </w:pPr>
    </w:p>
    <w:p>
      <w:pPr>
        <w:ind w:firstLine="8"/>
        <w:spacing w:after="0" w:line="246" w:lineRule="auto"/>
        <w:tabs>
          <w:tab w:leader="none" w:pos="27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date on which an Initial Election is filed with the Administrator and (ii) the first day of the calendar year in which such Initial Election is filed.</w:t>
      </w:r>
    </w:p>
    <w:p>
      <w:pPr>
        <w:spacing w:after="0" w:line="192" w:lineRule="exact"/>
        <w:rPr>
          <w:rFonts w:ascii="Arial" w:cs="Arial" w:eastAsia="Arial" w:hAnsi="Arial"/>
          <w:sz w:val="22"/>
          <w:szCs w:val="22"/>
          <w:color w:val="auto"/>
        </w:rPr>
      </w:pPr>
    </w:p>
    <w:p>
      <w:pPr>
        <w:ind w:left="2400" w:hanging="448"/>
        <w:spacing w:after="0"/>
        <w:tabs>
          <w:tab w:leader="none" w:pos="240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Each New Key Employee.</w:t>
      </w:r>
    </w:p>
    <w:p>
      <w:pPr>
        <w:spacing w:after="0" w:line="219" w:lineRule="exact"/>
        <w:rPr>
          <w:rFonts w:ascii="Arial" w:cs="Arial" w:eastAsia="Arial" w:hAnsi="Arial"/>
          <w:sz w:val="22"/>
          <w:szCs w:val="22"/>
          <w:color w:val="auto"/>
        </w:rPr>
      </w:pPr>
    </w:p>
    <w:p>
      <w:pPr>
        <w:jc w:val="both"/>
        <w:ind w:firstLine="1952"/>
        <w:spacing w:after="0" w:line="248" w:lineRule="auto"/>
        <w:tabs>
          <w:tab w:leader="none" w:pos="2512" w:val="left"/>
        </w:tabs>
        <w:numPr>
          <w:ilvl w:val="1"/>
          <w:numId w:val="108"/>
        </w:numPr>
        <w:rPr>
          <w:rFonts w:ascii="Arial" w:cs="Arial" w:eastAsia="Arial" w:hAnsi="Arial"/>
          <w:sz w:val="22"/>
          <w:szCs w:val="22"/>
          <w:color w:val="auto"/>
        </w:rPr>
      </w:pPr>
      <w:r>
        <w:rPr>
          <w:rFonts w:ascii="Arial" w:cs="Arial" w:eastAsia="Arial" w:hAnsi="Arial"/>
          <w:sz w:val="22"/>
          <w:szCs w:val="22"/>
          <w:color w:val="auto"/>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91" w:lineRule="exact"/>
        <w:rPr>
          <w:rFonts w:ascii="Arial" w:cs="Arial" w:eastAsia="Arial" w:hAnsi="Arial"/>
          <w:sz w:val="22"/>
          <w:szCs w:val="22"/>
          <w:color w:val="auto"/>
        </w:rPr>
      </w:pPr>
    </w:p>
    <w:p>
      <w:pPr>
        <w:ind w:firstLine="1952"/>
        <w:spacing w:after="0" w:line="263" w:lineRule="auto"/>
        <w:tabs>
          <w:tab w:leader="none" w:pos="2595" w:val="left"/>
        </w:tabs>
        <w:numPr>
          <w:ilvl w:val="1"/>
          <w:numId w:val="108"/>
        </w:numPr>
        <w:rPr>
          <w:rFonts w:ascii="Arial" w:cs="Arial" w:eastAsia="Arial" w:hAnsi="Arial"/>
          <w:sz w:val="22"/>
          <w:szCs w:val="22"/>
          <w:color w:val="auto"/>
        </w:rPr>
      </w:pPr>
      <w:r>
        <w:rPr>
          <w:rFonts w:ascii="Arial" w:cs="Arial" w:eastAsia="Arial" w:hAnsi="Arial"/>
          <w:sz w:val="22"/>
          <w:szCs w:val="22"/>
          <w:color w:val="auto"/>
        </w:rPr>
        <w:t>Each other employee of a Participating Company who is designated by the Committee, in its discretion, as an Eligible Employee.</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53" w:lineRule="auto"/>
        <w:tabs>
          <w:tab w:leader="none" w:pos="247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If shares of any Other Investment Fund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85" w:lineRule="exact"/>
        <w:rPr>
          <w:rFonts w:ascii="Arial" w:cs="Arial" w:eastAsia="Arial" w:hAnsi="Arial"/>
          <w:sz w:val="22"/>
          <w:szCs w:val="22"/>
          <w:color w:val="auto"/>
        </w:rPr>
      </w:pPr>
    </w:p>
    <w:p>
      <w:pPr>
        <w:jc w:val="both"/>
        <w:ind w:firstLine="1952"/>
        <w:spacing w:after="0" w:line="271" w:lineRule="auto"/>
        <w:tabs>
          <w:tab w:leader="none" w:pos="2542" w:val="left"/>
        </w:tabs>
        <w:numPr>
          <w:ilvl w:val="0"/>
          <w:numId w:val="109"/>
        </w:numPr>
        <w:rPr>
          <w:rFonts w:ascii="Arial" w:cs="Arial" w:eastAsia="Arial" w:hAnsi="Arial"/>
          <w:sz w:val="21"/>
          <w:szCs w:val="21"/>
          <w:color w:val="auto"/>
        </w:rPr>
      </w:pPr>
      <w:r>
        <w:rPr>
          <w:rFonts w:ascii="Arial" w:cs="Arial" w:eastAsia="Arial" w:hAnsi="Arial"/>
          <w:sz w:val="21"/>
          <w:szCs w:val="21"/>
          <w:color w:val="auto"/>
        </w:rPr>
        <w:t>If shares of any Other Investment Fund are not so listed, but trades of shares are reported on a quotation system, Fair Market Value shall be determined based on the last quoted sale price of a share on the quotation system on the date of determination, or if such date is not a trading day, the next trading date.</w:t>
      </w:r>
    </w:p>
    <w:p>
      <w:pPr>
        <w:spacing w:after="0" w:line="167" w:lineRule="exact"/>
        <w:rPr>
          <w:rFonts w:ascii="Arial" w:cs="Arial" w:eastAsia="Arial" w:hAnsi="Arial"/>
          <w:sz w:val="21"/>
          <w:szCs w:val="21"/>
          <w:color w:val="auto"/>
        </w:rPr>
      </w:pPr>
    </w:p>
    <w:p>
      <w:pPr>
        <w:ind w:firstLine="1952"/>
        <w:spacing w:after="0" w:line="263" w:lineRule="auto"/>
        <w:tabs>
          <w:tab w:leader="none" w:pos="2422"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If shares of any Other Investment Fund are not so listed nor trades of shares so reported, Fair Market Value shall be determined by the Committee in good faith.</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2.24. “</w:t>
      </w:r>
      <w:r>
        <w:rPr>
          <w:rFonts w:ascii="Arial" w:cs="Arial" w:eastAsia="Arial" w:hAnsi="Arial"/>
          <w:sz w:val="22"/>
          <w:szCs w:val="22"/>
          <w:u w:val="single" w:color="auto"/>
          <w:color w:val="auto"/>
        </w:rPr>
        <w:t>Former Eligible Employee</w:t>
      </w:r>
      <w:r>
        <w:rPr>
          <w:rFonts w:ascii="Arial" w:cs="Arial" w:eastAsia="Arial" w:hAnsi="Arial"/>
          <w:sz w:val="22"/>
          <w:szCs w:val="22"/>
          <w:color w:val="auto"/>
        </w:rPr>
        <w:t>” means an employee of a Participating Company who, as of any relevant date, does not satisfy the requirements of an “Eligible Employee” but who previously met such requirements under the Plan or the Prior Plan.</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2.25. “</w:t>
      </w:r>
      <w:r>
        <w:rPr>
          <w:rFonts w:ascii="Arial" w:cs="Arial" w:eastAsia="Arial" w:hAnsi="Arial"/>
          <w:sz w:val="22"/>
          <w:szCs w:val="22"/>
          <w:u w:val="single" w:color="auto"/>
          <w:color w:val="auto"/>
        </w:rPr>
        <w:t>Grandfathered Participant</w:t>
      </w:r>
      <w:r>
        <w:rPr>
          <w:rFonts w:ascii="Arial" w:cs="Arial" w:eastAsia="Arial" w:hAnsi="Arial"/>
          <w:sz w:val="22"/>
          <w:szCs w:val="22"/>
          <w:color w:val="auto"/>
        </w:rPr>
        <w: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8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2.26. “</w:t>
      </w:r>
      <w:r>
        <w:rPr>
          <w:rFonts w:ascii="Arial" w:cs="Arial" w:eastAsia="Arial" w:hAnsi="Arial"/>
          <w:sz w:val="22"/>
          <w:szCs w:val="22"/>
          <w:u w:val="single" w:color="auto"/>
          <w:color w:val="auto"/>
        </w:rPr>
        <w:t>Hardship</w:t>
      </w:r>
      <w:r>
        <w:rPr>
          <w:rFonts w:ascii="Arial" w:cs="Arial" w:eastAsia="Arial" w:hAnsi="Arial"/>
          <w:sz w:val="22"/>
          <w:szCs w:val="22"/>
          <w:color w:val="auto"/>
        </w:rPr>
        <w:t>” 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77" w:name="page78"/>
    <w:bookmarkEnd w:id="77"/>
    <w:p>
      <w:pPr>
        <w:jc w:val="both"/>
        <w:spacing w:after="0" w:line="286" w:lineRule="auto"/>
        <w:rPr>
          <w:sz w:val="20"/>
          <w:szCs w:val="20"/>
          <w:color w:val="auto"/>
        </w:rPr>
      </w:pPr>
      <w:r>
        <w:rPr>
          <w:rFonts w:ascii="Arial" w:cs="Arial" w:eastAsia="Arial" w:hAnsi="Arial"/>
          <w:sz w:val="19"/>
          <w:szCs w:val="19"/>
          <w:color w:val="auto"/>
        </w:rPr>
        <w:t xml:space="preserve">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 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 irrevocable trust or under a </w:t>
      </w:r>
      <w:r>
        <w:rPr>
          <w:rFonts w:ascii="Arial" w:cs="Arial" w:eastAsia="Arial" w:hAnsi="Arial"/>
          <w:sz w:val="19"/>
          <w:szCs w:val="19"/>
          <w:i w:val="1"/>
          <w:iCs w:val="1"/>
          <w:color w:val="auto"/>
        </w:rPr>
        <w:t>Uniform Gifts to Minors Act</w:t>
      </w:r>
      <w:r>
        <w:rPr>
          <w:rFonts w:ascii="Arial" w:cs="Arial" w:eastAsia="Arial" w:hAnsi="Arial"/>
          <w:sz w:val="19"/>
          <w:szCs w:val="19"/>
          <w:color w:val="auto"/>
        </w:rPr>
        <w:t xml:space="preserve"> custodianship or </w:t>
      </w:r>
      <w:r>
        <w:rPr>
          <w:rFonts w:ascii="Arial" w:cs="Arial" w:eastAsia="Arial" w:hAnsi="Arial"/>
          <w:sz w:val="19"/>
          <w:szCs w:val="19"/>
          <w:i w:val="1"/>
          <w:iCs w:val="1"/>
          <w:color w:val="auto"/>
        </w:rPr>
        <w:t>Uniform Transfers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to Minors Act </w:t>
      </w:r>
      <w:r>
        <w:rPr>
          <w:rFonts w:ascii="Arial" w:cs="Arial" w:eastAsia="Arial" w:hAnsi="Arial"/>
          <w:sz w:val="19"/>
          <w:szCs w:val="19"/>
          <w:color w:val="auto"/>
        </w:rPr>
        <w:t>custodianship shall not be treated as a resource of the Participant. The Board shall determine whether the</w:t>
      </w:r>
      <w:r>
        <w:rPr>
          <w:rFonts w:ascii="Arial" w:cs="Arial" w:eastAsia="Arial" w:hAnsi="Arial"/>
          <w:sz w:val="19"/>
          <w:szCs w:val="19"/>
          <w:i w:val="1"/>
          <w:iCs w:val="1"/>
          <w:color w:val="auto"/>
        </w:rPr>
        <w:t xml:space="preserve"> </w:t>
      </w:r>
      <w:r>
        <w:rPr>
          <w:rFonts w:ascii="Arial" w:cs="Arial" w:eastAsia="Arial" w:hAnsi="Arial"/>
          <w:sz w:val="19"/>
          <w:szCs w:val="19"/>
          <w:color w:val="auto"/>
        </w:rPr>
        <w:t>circumstances of the Participant constitute an 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High Balance Participant</w:t>
      </w:r>
      <w:r>
        <w:rPr>
          <w:rFonts w:ascii="Arial" w:cs="Arial" w:eastAsia="Arial" w:hAnsi="Arial"/>
          <w:sz w:val="19"/>
          <w:szCs w:val="19"/>
          <w:color w:val="auto"/>
        </w:rPr>
        <w:t>” means:</w:t>
      </w:r>
    </w:p>
    <w:p>
      <w:pPr>
        <w:spacing w:after="0" w:line="220" w:lineRule="exact"/>
        <w:rPr>
          <w:sz w:val="20"/>
          <w:szCs w:val="20"/>
          <w:color w:val="auto"/>
        </w:rPr>
      </w:pPr>
    </w:p>
    <w:p>
      <w:pPr>
        <w:ind w:firstLine="1952"/>
        <w:spacing w:after="0" w:line="263" w:lineRule="auto"/>
        <w:tabs>
          <w:tab w:leader="none" w:pos="241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 Participant the value of whose Account that is deemed invested in the Income Fund is greater than or equal to the Income Fund Limit, as determined by the Administrator;</w:t>
      </w:r>
    </w:p>
    <w:p>
      <w:pPr>
        <w:spacing w:after="0" w:line="174" w:lineRule="exact"/>
        <w:rPr>
          <w:rFonts w:ascii="Arial" w:cs="Arial" w:eastAsia="Arial" w:hAnsi="Arial"/>
          <w:sz w:val="22"/>
          <w:szCs w:val="22"/>
          <w:color w:val="auto"/>
        </w:rPr>
      </w:pPr>
    </w:p>
    <w:p>
      <w:pPr>
        <w:ind w:left="2580" w:hanging="628"/>
        <w:spacing w:after="0"/>
        <w:tabs>
          <w:tab w:leader="none" w:pos="25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Effective February 28, 2021, a Participant who is, as of any relevant date of determination, an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Outside Director.</w:t>
      </w:r>
    </w:p>
    <w:p>
      <w:pPr>
        <w:spacing w:after="0" w:line="201" w:lineRule="exact"/>
        <w:rPr>
          <w:rFonts w:ascii="Arial" w:cs="Arial" w:eastAsia="Arial" w:hAnsi="Arial"/>
          <w:sz w:val="19"/>
          <w:szCs w:val="19"/>
          <w:color w:val="auto"/>
        </w:rPr>
      </w:pPr>
    </w:p>
    <w:p>
      <w:pPr>
        <w:ind w:left="2420" w:hanging="468"/>
        <w:spacing w:after="0"/>
        <w:tabs>
          <w:tab w:leader="none" w:pos="242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Effective February 28, 2021, a Participant who is, as of any relevant date of determination, a Covered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Participant.</w:t>
      </w:r>
    </w:p>
    <w:p>
      <w:pPr>
        <w:spacing w:after="0" w:line="20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2.28. “</w:t>
      </w:r>
      <w:r>
        <w:rPr>
          <w:rFonts w:ascii="Arial" w:cs="Arial" w:eastAsia="Arial" w:hAnsi="Arial"/>
          <w:sz w:val="22"/>
          <w:szCs w:val="22"/>
          <w:u w:val="single" w:color="auto"/>
          <w:color w:val="auto"/>
        </w:rPr>
        <w:t>Inactive Participant</w:t>
      </w:r>
      <w:r>
        <w:rPr>
          <w:rFonts w:ascii="Arial" w:cs="Arial" w:eastAsia="Arial" w:hAnsi="Arial"/>
          <w:sz w:val="22"/>
          <w:szCs w:val="22"/>
          <w:color w:val="auto"/>
        </w:rPr>
        <w:t>” means each Participant (other than a Retired Participant, Deceased Participant or Disabled Participant) who is not in active service as an Outside Director and is not actively employed by a Participating Company.</w:t>
      </w:r>
    </w:p>
    <w:p>
      <w:pPr>
        <w:spacing w:after="0" w:line="18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2.29. “</w:t>
      </w:r>
      <w:r>
        <w:rPr>
          <w:rFonts w:ascii="Arial" w:cs="Arial" w:eastAsia="Arial" w:hAnsi="Arial"/>
          <w:sz w:val="22"/>
          <w:szCs w:val="22"/>
          <w:u w:val="single" w:color="auto"/>
          <w:color w:val="auto"/>
        </w:rPr>
        <w:t>Income Fund</w:t>
      </w:r>
      <w:r>
        <w:rPr>
          <w:rFonts w:ascii="Arial" w:cs="Arial" w:eastAsia="Arial" w:hAnsi="Arial"/>
          <w:sz w:val="22"/>
          <w:szCs w:val="22"/>
          <w:color w:val="auto"/>
        </w:rPr>
        <w:t>” means a hypothetical investment fund pursuant to which income, gains and losses are credited to a Participant’s Account as if the Account, to the extent deemed invested in the Income Fund, were credited with interest at the Applicable Interest Rate. For purposes of this Section 2.29, the Income Fund shall include amounts credited to (a) the Income Fund under the Comcast Corporation 2002 Restricted Stock Plan and (b) Supplemental Retirement-Investment Plan Accounts under Section 4.4.</w:t>
      </w:r>
    </w:p>
    <w:p>
      <w:pPr>
        <w:spacing w:after="0" w:line="19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2.30.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Income Fund Limit</w:t>
      </w:r>
      <w:r>
        <w:rPr>
          <w:rFonts w:ascii="Arial" w:cs="Arial" w:eastAsia="Arial" w:hAnsi="Arial"/>
          <w:sz w:val="19"/>
          <w:szCs w:val="19"/>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78" w:name="page79"/>
    <w:bookmarkEnd w:id="78"/>
    <w:p>
      <w:pPr>
        <w:jc w:val="both"/>
        <w:ind w:firstLine="1952"/>
        <w:spacing w:after="0" w:line="248" w:lineRule="auto"/>
        <w:tabs>
          <w:tab w:leader="none" w:pos="246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With respect to Participants other than Participants described in Section 2.30(b) or Section 2.30(c), $100 million, provided that if the amount credited to a Participant’s Income Fund is greater than $100 million as of December 31, 2019, the Income Fund Limit applicable to such Participant for any applicable Plan Year shall be equal to the amount credited to a Participant’s Income Fund as of the December 31 immediately preceding such applicable Plan Year until such balance is equal to or less than $100 million.</w:t>
      </w:r>
    </w:p>
    <w:p>
      <w:pPr>
        <w:spacing w:after="0" w:line="191" w:lineRule="exact"/>
        <w:rPr>
          <w:rFonts w:ascii="Arial" w:cs="Arial" w:eastAsia="Arial" w:hAnsi="Arial"/>
          <w:sz w:val="22"/>
          <w:szCs w:val="22"/>
          <w:color w:val="auto"/>
        </w:rPr>
      </w:pPr>
    </w:p>
    <w:p>
      <w:pPr>
        <w:ind w:left="2580" w:hanging="628"/>
        <w:spacing w:after="0"/>
        <w:tabs>
          <w:tab w:leader="none" w:pos="258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Effective as of July 31, 2020, with respect to Participants who are Outside Directors, $0 (zero</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dollars).</w:t>
      </w:r>
    </w:p>
    <w:p>
      <w:pPr>
        <w:spacing w:after="0" w:line="201" w:lineRule="exact"/>
        <w:rPr>
          <w:rFonts w:ascii="Arial" w:cs="Arial" w:eastAsia="Arial" w:hAnsi="Arial"/>
          <w:sz w:val="21"/>
          <w:szCs w:val="21"/>
          <w:color w:val="auto"/>
        </w:rPr>
      </w:pPr>
    </w:p>
    <w:p>
      <w:pPr>
        <w:ind w:left="2500" w:hanging="548"/>
        <w:spacing w:after="0"/>
        <w:tabs>
          <w:tab w:leader="none" w:pos="25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Effective as of February 28, 2021, with respect to Participants who are Covered Participants as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date, $0 (zero dollars).</w:t>
      </w:r>
    </w:p>
    <w:p>
      <w:pPr>
        <w:spacing w:after="0" w:line="201" w:lineRule="exact"/>
        <w:rPr>
          <w:rFonts w:ascii="Arial" w:cs="Arial" w:eastAsia="Arial" w:hAnsi="Arial"/>
          <w:sz w:val="19"/>
          <w:szCs w:val="19"/>
          <w:color w:val="auto"/>
        </w:rPr>
      </w:pPr>
    </w:p>
    <w:p>
      <w:pPr>
        <w:ind w:firstLine="1952"/>
        <w:spacing w:after="0" w:line="263" w:lineRule="auto"/>
        <w:tabs>
          <w:tab w:leader="none" w:pos="2489"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Effective as of the last day of the month following the date a Participant first becomes an Outside Director or a Covered Participant, $0 (zero dollars).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Administrator may waive or modify downward the Income Fund Limit applicable to one or more High Balance Participants in its discretion. For purposes of this Section 2.37, the Income Fund shall include amounts credited to the Income Fund under the Comcast Corporation 2005 Deferred Compensation Plan and the Restricted Stock Plan.</w:t>
      </w:r>
    </w:p>
    <w:p>
      <w:pPr>
        <w:spacing w:after="0" w:line="167"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Initial Election</w:t>
      </w:r>
      <w:r>
        <w:rPr>
          <w:rFonts w:ascii="Arial" w:cs="Arial" w:eastAsia="Arial" w:hAnsi="Arial"/>
          <w:sz w:val="21"/>
          <w:szCs w:val="21"/>
          <w:color w:val="auto"/>
        </w:rPr>
        <w:t>” means a written election on a form provided by the Administrator, filed with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Administrator in accordance with Article 3, pursuant to which an Outside Director or an Eligible Employee may:</w:t>
      </w:r>
    </w:p>
    <w:p>
      <w:pPr>
        <w:spacing w:after="0" w:line="202" w:lineRule="exact"/>
        <w:rPr>
          <w:sz w:val="20"/>
          <w:szCs w:val="20"/>
          <w:color w:val="auto"/>
        </w:rPr>
      </w:pPr>
    </w:p>
    <w:p>
      <w:pPr>
        <w:jc w:val="both"/>
        <w:ind w:firstLine="1952"/>
        <w:spacing w:after="0" w:line="253" w:lineRule="auto"/>
        <w:tabs>
          <w:tab w:leader="none" w:pos="245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Elect to defer all or any portion of the Compensation payable for the performance of services as an Outside Director or as an Eligible Employee (including Severance Pay, to the extent permitted with respect to an Eligible Employee pursuant to Section 3.2) following the time that such election is filed; and</w:t>
      </w:r>
    </w:p>
    <w:p>
      <w:pPr>
        <w:spacing w:after="0" w:line="185" w:lineRule="exact"/>
        <w:rPr>
          <w:rFonts w:ascii="Arial" w:cs="Arial" w:eastAsia="Arial" w:hAnsi="Arial"/>
          <w:sz w:val="22"/>
          <w:szCs w:val="22"/>
          <w:color w:val="auto"/>
        </w:rPr>
      </w:pPr>
    </w:p>
    <w:p>
      <w:pPr>
        <w:ind w:left="2440" w:hanging="488"/>
        <w:spacing w:after="0"/>
        <w:tabs>
          <w:tab w:leader="none" w:pos="244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Designate the time of payment of the amount of deferred Compensation to which the Initial Election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relates.</w:t>
      </w:r>
    </w:p>
    <w:p>
      <w:pPr>
        <w:spacing w:after="0" w:line="202"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2.32. “</w:t>
      </w:r>
      <w:r>
        <w:rPr>
          <w:rFonts w:ascii="Arial" w:cs="Arial" w:eastAsia="Arial" w:hAnsi="Arial"/>
          <w:sz w:val="22"/>
          <w:szCs w:val="22"/>
          <w:u w:val="single" w:color="auto"/>
          <w:color w:val="auto"/>
        </w:rPr>
        <w:t>Insider</w:t>
      </w:r>
      <w:r>
        <w:rPr>
          <w:rFonts w:ascii="Arial" w:cs="Arial" w:eastAsia="Arial" w:hAnsi="Arial"/>
          <w:sz w:val="22"/>
          <w:szCs w:val="22"/>
          <w:color w:val="auto"/>
        </w:rPr>
        <w:t>” means an Eligible Employee or Outside Director who is subject to the short-swing profit recapture rules of section 16(b) of the Securities Exchange Act of 1934, as amended.</w:t>
      </w:r>
    </w:p>
    <w:p>
      <w:pPr>
        <w:spacing w:after="0" w:line="17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2.33. “</w:t>
      </w:r>
      <w:r>
        <w:rPr>
          <w:rFonts w:ascii="Arial" w:cs="Arial" w:eastAsia="Arial" w:hAnsi="Arial"/>
          <w:sz w:val="22"/>
          <w:szCs w:val="22"/>
          <w:u w:val="single" w:color="auto"/>
          <w:color w:val="auto"/>
        </w:rPr>
        <w:t>LIBOR</w:t>
      </w:r>
      <w:r>
        <w:rPr>
          <w:rFonts w:ascii="Arial" w:cs="Arial" w:eastAsia="Arial" w:hAnsi="Arial"/>
          <w:sz w:val="22"/>
          <w:szCs w:val="22"/>
          <w:color w:val="auto"/>
        </w:rPr>
        <w:t xml:space="preserve">” means, for any calendar year, the interest rate that, when compounded daily pursuant to rules established by the Administrator from time to time, is mathematically equivalent to the annual London Inter Bank Offered Rate (compounded annually), as published in the Eastern Edition of </w:t>
      </w:r>
      <w:r>
        <w:rPr>
          <w:rFonts w:ascii="Arial" w:cs="Arial" w:eastAsia="Arial" w:hAnsi="Arial"/>
          <w:sz w:val="22"/>
          <w:szCs w:val="22"/>
          <w:u w:val="single" w:color="auto"/>
          <w:color w:val="auto"/>
        </w:rPr>
        <w:t>The Wall Street Journal</w:t>
      </w:r>
      <w:r>
        <w:rPr>
          <w:rFonts w:ascii="Arial" w:cs="Arial" w:eastAsia="Arial" w:hAnsi="Arial"/>
          <w:sz w:val="22"/>
          <w:szCs w:val="22"/>
          <w:color w:val="auto"/>
        </w:rPr>
        <w:t>, on the last business day preceding the first day of such calendar year, and as adjusted as of the last business day preceding the first day of each calendar year beginning thereafter.</w:t>
      </w:r>
    </w:p>
    <w:p>
      <w:pPr>
        <w:spacing w:after="0" w:line="19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New Key Employee</w:t>
      </w:r>
      <w:r>
        <w:rPr>
          <w:rFonts w:ascii="Arial" w:cs="Arial" w:eastAsia="Arial" w:hAnsi="Arial"/>
          <w:sz w:val="19"/>
          <w:szCs w:val="19"/>
          <w:color w:val="auto"/>
        </w:rPr>
        <w:t>” means each employee of a Participating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79" w:name="page80"/>
    <w:bookmarkEnd w:id="79"/>
    <w:p>
      <w:pPr>
        <w:ind w:firstLine="1952"/>
        <w:spacing w:after="0" w:line="263" w:lineRule="auto"/>
        <w:tabs>
          <w:tab w:leader="none" w:pos="2402" w:val="left"/>
        </w:tabs>
        <w:numPr>
          <w:ilvl w:val="0"/>
          <w:numId w:val="113"/>
        </w:numPr>
        <w:rPr>
          <w:rFonts w:ascii="Arial" w:cs="Arial" w:eastAsia="Arial" w:hAnsi="Arial"/>
          <w:sz w:val="22"/>
          <w:szCs w:val="22"/>
          <w:color w:val="auto"/>
        </w:rPr>
      </w:pPr>
      <w:r>
        <w:rPr>
          <w:rFonts w:ascii="Arial" w:cs="Arial" w:eastAsia="Arial" w:hAnsi="Arial"/>
          <w:sz w:val="22"/>
          <w:szCs w:val="22"/>
          <w:color w:val="auto"/>
        </w:rPr>
        <w:t>who becomes an employee of a Participating Company and has an Annual Rate of Pay of $200,000 or more as of his employment commencement date, or</w:t>
      </w:r>
    </w:p>
    <w:p>
      <w:pPr>
        <w:spacing w:after="0" w:line="174" w:lineRule="exact"/>
        <w:rPr>
          <w:rFonts w:ascii="Arial" w:cs="Arial" w:eastAsia="Arial" w:hAnsi="Arial"/>
          <w:sz w:val="22"/>
          <w:szCs w:val="22"/>
          <w:color w:val="auto"/>
        </w:rPr>
      </w:pPr>
    </w:p>
    <w:p>
      <w:pPr>
        <w:ind w:firstLine="1952"/>
        <w:spacing w:after="0" w:line="263" w:lineRule="auto"/>
        <w:tabs>
          <w:tab w:leader="none" w:pos="2582" w:val="left"/>
        </w:tabs>
        <w:numPr>
          <w:ilvl w:val="0"/>
          <w:numId w:val="113"/>
        </w:numPr>
        <w:rPr>
          <w:rFonts w:ascii="Arial" w:cs="Arial" w:eastAsia="Arial" w:hAnsi="Arial"/>
          <w:sz w:val="22"/>
          <w:szCs w:val="22"/>
          <w:color w:val="auto"/>
        </w:rPr>
      </w:pPr>
      <w:r>
        <w:rPr>
          <w:rFonts w:ascii="Arial" w:cs="Arial" w:eastAsia="Arial" w:hAnsi="Arial"/>
          <w:sz w:val="22"/>
          <w:szCs w:val="22"/>
          <w:color w:val="auto"/>
        </w:rPr>
        <w:t>who has an Annual Rate of Pay that is increased to $200,000 or more and who, immediately preceding such increase, was not an Eligible Employee.</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Normal Retirement</w:t>
      </w:r>
      <w:r>
        <w:rPr>
          <w:rFonts w:ascii="Arial" w:cs="Arial" w:eastAsia="Arial" w:hAnsi="Arial"/>
          <w:sz w:val="19"/>
          <w:szCs w:val="19"/>
          <w:color w:val="auto"/>
        </w:rPr>
        <w:t>” means:</w:t>
      </w:r>
    </w:p>
    <w:p>
      <w:pPr>
        <w:spacing w:after="0" w:line="220" w:lineRule="exact"/>
        <w:rPr>
          <w:sz w:val="20"/>
          <w:szCs w:val="20"/>
          <w:color w:val="auto"/>
        </w:rPr>
      </w:pPr>
    </w:p>
    <w:p>
      <w:pPr>
        <w:jc w:val="both"/>
        <w:ind w:firstLine="1952"/>
        <w:spacing w:after="0" w:line="253" w:lineRule="auto"/>
        <w:tabs>
          <w:tab w:leader="none" w:pos="259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85" w:lineRule="exact"/>
        <w:rPr>
          <w:rFonts w:ascii="Arial" w:cs="Arial" w:eastAsia="Arial" w:hAnsi="Arial"/>
          <w:sz w:val="22"/>
          <w:szCs w:val="22"/>
          <w:color w:val="auto"/>
        </w:rPr>
      </w:pPr>
    </w:p>
    <w:p>
      <w:pPr>
        <w:ind w:firstLine="1952"/>
        <w:spacing w:after="0" w:line="263" w:lineRule="auto"/>
        <w:tabs>
          <w:tab w:leader="none" w:pos="248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For a Participant who is an Outside Director immediately preceding his termination of service, his normal retirement from the Board.</w:t>
      </w:r>
    </w:p>
    <w:p>
      <w:pPr>
        <w:spacing w:after="0" w:line="17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2.36. “</w:t>
      </w:r>
      <w:r>
        <w:rPr>
          <w:rFonts w:ascii="Arial" w:cs="Arial" w:eastAsia="Arial" w:hAnsi="Arial"/>
          <w:sz w:val="22"/>
          <w:szCs w:val="22"/>
          <w:u w:val="single" w:color="auto"/>
          <w:color w:val="auto"/>
        </w:rPr>
        <w:t>Other Investment Fund</w:t>
      </w:r>
      <w:r>
        <w:rPr>
          <w:rFonts w:ascii="Arial" w:cs="Arial" w:eastAsia="Arial" w:hAnsi="Arial"/>
          <w:sz w:val="22"/>
          <w:szCs w:val="22"/>
          <w:color w:val="auto"/>
        </w:rPr>
        <w:t>” means the Company Stock Fund and such other hypothetical investment funds designated by the Administrator, pursuant to which income, gains, and losses are credited to a Participant’s Account as if the Account, to the extent deemed invested in such Other Investment Fund, were credited with income, gains, and losses as if actually invested in such Other Investment Fund. Unless otherwise specified by the Administrator, the Participant shall designate the Other Investment Funds in which the Participant’s Account shall be invested in accordance with rules established by the Administrator.</w:t>
      </w:r>
    </w:p>
    <w:p>
      <w:pPr>
        <w:spacing w:after="0" w:line="19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Outside Director</w:t>
      </w:r>
      <w:r>
        <w:rPr>
          <w:rFonts w:ascii="Arial" w:cs="Arial" w:eastAsia="Arial" w:hAnsi="Arial"/>
          <w:sz w:val="19"/>
          <w:szCs w:val="19"/>
          <w:color w:val="auto"/>
        </w:rPr>
        <w:t>” means a member of the Board, who is not an employee of a Participating Company.</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2.38. “</w:t>
      </w:r>
      <w:r>
        <w:rPr>
          <w:rFonts w:ascii="Arial" w:cs="Arial" w:eastAsia="Arial" w:hAnsi="Arial"/>
          <w:sz w:val="22"/>
          <w:szCs w:val="22"/>
          <w:u w:val="single" w:color="auto"/>
          <w:color w:val="auto"/>
        </w:rPr>
        <w:t>Participant</w:t>
      </w:r>
      <w:r>
        <w:rPr>
          <w:rFonts w:ascii="Arial" w:cs="Arial" w:eastAsia="Arial" w:hAnsi="Arial"/>
          <w:sz w:val="22"/>
          <w:szCs w:val="22"/>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Participating Company</w:t>
      </w:r>
      <w:r>
        <w:rPr>
          <w:rFonts w:ascii="Arial" w:cs="Arial" w:eastAsia="Arial" w:hAnsi="Arial"/>
          <w:sz w:val="19"/>
          <w:szCs w:val="19"/>
          <w:color w:val="auto"/>
        </w:rPr>
        <w:t>” means:</w:t>
      </w:r>
    </w:p>
    <w:p>
      <w:pPr>
        <w:spacing w:after="0" w:line="220" w:lineRule="exact"/>
        <w:rPr>
          <w:sz w:val="20"/>
          <w:szCs w:val="20"/>
          <w:color w:val="auto"/>
        </w:rPr>
      </w:pPr>
    </w:p>
    <w:p>
      <w:pPr>
        <w:ind w:left="2400" w:hanging="448"/>
        <w:spacing w:after="0"/>
        <w:tabs>
          <w:tab w:leader="none" w:pos="24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Company;</w:t>
      </w:r>
    </w:p>
    <w:p>
      <w:pPr>
        <w:spacing w:after="0" w:line="219" w:lineRule="exact"/>
        <w:rPr>
          <w:rFonts w:ascii="Arial" w:cs="Arial" w:eastAsia="Arial" w:hAnsi="Arial"/>
          <w:sz w:val="22"/>
          <w:szCs w:val="22"/>
          <w:color w:val="auto"/>
        </w:rPr>
      </w:pPr>
    </w:p>
    <w:p>
      <w:pPr>
        <w:ind w:left="2420" w:hanging="468"/>
        <w:spacing w:after="0"/>
        <w:tabs>
          <w:tab w:leader="none" w:pos="242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Comcast Cable Communications, LLC, and its subsidiaries;</w:t>
      </w:r>
    </w:p>
    <w:p>
      <w:pPr>
        <w:spacing w:after="0" w:line="219" w:lineRule="exact"/>
        <w:rPr>
          <w:rFonts w:ascii="Arial" w:cs="Arial" w:eastAsia="Arial" w:hAnsi="Arial"/>
          <w:sz w:val="22"/>
          <w:szCs w:val="22"/>
          <w:color w:val="auto"/>
        </w:rPr>
      </w:pPr>
    </w:p>
    <w:p>
      <w:pPr>
        <w:ind w:left="2400" w:hanging="448"/>
        <w:spacing w:after="0"/>
        <w:tabs>
          <w:tab w:leader="none" w:pos="24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Comcast International Holdings, Inc.;</w:t>
      </w:r>
    </w:p>
    <w:p>
      <w:pPr>
        <w:spacing w:after="0" w:line="219" w:lineRule="exact"/>
        <w:rPr>
          <w:rFonts w:ascii="Arial" w:cs="Arial" w:eastAsia="Arial" w:hAnsi="Arial"/>
          <w:sz w:val="22"/>
          <w:szCs w:val="22"/>
          <w:color w:val="auto"/>
        </w:rPr>
      </w:pPr>
    </w:p>
    <w:p>
      <w:pPr>
        <w:ind w:left="2420" w:hanging="468"/>
        <w:spacing w:after="0"/>
        <w:tabs>
          <w:tab w:leader="none" w:pos="242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Comcast Online Communications, Inc.;</w:t>
      </w:r>
    </w:p>
    <w:p>
      <w:pPr>
        <w:spacing w:after="0" w:line="219" w:lineRule="exact"/>
        <w:rPr>
          <w:rFonts w:ascii="Arial" w:cs="Arial" w:eastAsia="Arial" w:hAnsi="Arial"/>
          <w:sz w:val="22"/>
          <w:szCs w:val="22"/>
          <w:color w:val="auto"/>
        </w:rPr>
      </w:pPr>
    </w:p>
    <w:p>
      <w:pPr>
        <w:ind w:left="2400" w:hanging="448"/>
        <w:spacing w:after="0"/>
        <w:tabs>
          <w:tab w:leader="none" w:pos="24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Comcast Business Communications, Inc.;</w:t>
      </w:r>
    </w:p>
    <w:p>
      <w:pPr>
        <w:spacing w:after="0" w:line="219" w:lineRule="exact"/>
        <w:rPr>
          <w:rFonts w:ascii="Arial" w:cs="Arial" w:eastAsia="Arial" w:hAnsi="Arial"/>
          <w:sz w:val="22"/>
          <w:szCs w:val="22"/>
          <w:color w:val="auto"/>
        </w:rPr>
      </w:pPr>
    </w:p>
    <w:p>
      <w:pPr>
        <w:ind w:left="2380" w:hanging="428"/>
        <w:spacing w:after="0"/>
        <w:tabs>
          <w:tab w:leader="none" w:pos="23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CCCHI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80" w:name="page81"/>
    <w:bookmarkEnd w:id="80"/>
    <w:p>
      <w:pPr>
        <w:jc w:val="both"/>
        <w:ind w:firstLine="1952"/>
        <w:spacing w:after="0" w:line="253" w:lineRule="auto"/>
        <w:tabs>
          <w:tab w:leader="none" w:pos="253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Comcast Shared Services Corporation (“CSSC”), to the extent individual employees of CSSC or groups of CSSC employees, categorized by their secondment, are designated as eligible to participate by the Committee or its delegate; and</w:t>
      </w:r>
    </w:p>
    <w:p>
      <w:pPr>
        <w:spacing w:after="0" w:line="185" w:lineRule="exact"/>
        <w:rPr>
          <w:rFonts w:ascii="Arial" w:cs="Arial" w:eastAsia="Arial" w:hAnsi="Arial"/>
          <w:sz w:val="22"/>
          <w:szCs w:val="22"/>
          <w:color w:val="auto"/>
        </w:rPr>
      </w:pPr>
    </w:p>
    <w:p>
      <w:pPr>
        <w:ind w:left="2480" w:hanging="528"/>
        <w:spacing w:after="0"/>
        <w:tabs>
          <w:tab w:leader="none" w:pos="248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Any other entities that are subsidiaries of the Company as designated by the Committee in its sole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discretion.</w:t>
      </w:r>
    </w:p>
    <w:p>
      <w:pPr>
        <w:spacing w:after="0" w:line="20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2.40.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corporation, a partnership, an association, a trust or any other entity or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organization.</w:t>
      </w:r>
    </w:p>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2.41. “</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2002 Deferred Compensation Plan, as set forth herein, and as amended from time to time.</w:t>
      </w:r>
    </w:p>
    <w:p>
      <w:pPr>
        <w:spacing w:after="0" w:line="175"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2.42. “</w:t>
      </w:r>
      <w:r>
        <w:rPr>
          <w:rFonts w:ascii="Arial" w:cs="Arial" w:eastAsia="Arial" w:hAnsi="Arial"/>
          <w:sz w:val="19"/>
          <w:szCs w:val="19"/>
          <w:u w:val="single" w:color="auto"/>
          <w:color w:val="auto"/>
        </w:rPr>
        <w:t>Prime Rate</w:t>
      </w:r>
      <w:r>
        <w:rPr>
          <w:rFonts w:ascii="Arial" w:cs="Arial" w:eastAsia="Arial" w:hAnsi="Arial"/>
          <w:sz w:val="19"/>
          <w:szCs w:val="19"/>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xml:space="preserve"> on the last business day preceding the first day of such calendar year, and as adjusted as of the last business day preceding the first day of each calendar year beginning thereafter.</w:t>
      </w:r>
    </w:p>
    <w:p>
      <w:pPr>
        <w:spacing w:after="0" w:line="142"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2.43. “</w:t>
      </w:r>
      <w:r>
        <w:rPr>
          <w:rFonts w:ascii="Arial" w:cs="Arial" w:eastAsia="Arial" w:hAnsi="Arial"/>
          <w:sz w:val="19"/>
          <w:szCs w:val="19"/>
          <w:u w:val="single" w:color="auto"/>
          <w:color w:val="auto"/>
        </w:rPr>
        <w:t>Prior Plan</w:t>
      </w:r>
      <w:r>
        <w:rPr>
          <w:rFonts w:ascii="Arial" w:cs="Arial" w:eastAsia="Arial" w:hAnsi="Arial"/>
          <w:sz w:val="19"/>
          <w:szCs w:val="19"/>
          <w:color w:val="auto"/>
        </w:rPr>
        <w:t>” means the Comcast Corporation 1996 Deferred Compensation Plan, as in effect immediately preceding the amendment, restatement and renaming of the Plan as the Comcast Corporation 2002 Deferred Compensation Plan.</w:t>
      </w:r>
    </w:p>
    <w:p>
      <w:pPr>
        <w:spacing w:after="0" w:line="10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Retired Participant</w:t>
      </w:r>
      <w:r>
        <w:rPr>
          <w:rFonts w:ascii="Arial" w:cs="Arial" w:eastAsia="Arial" w:hAnsi="Arial"/>
          <w:sz w:val="19"/>
          <w:szCs w:val="19"/>
          <w:color w:val="auto"/>
        </w:rPr>
        <w:t>” means a Participant who has terminated service pursuant to a Normal Retirement.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2.45. “</w:t>
      </w:r>
      <w:r>
        <w:rPr>
          <w:rFonts w:ascii="Arial" w:cs="Arial" w:eastAsia="Arial" w:hAnsi="Arial"/>
          <w:sz w:val="22"/>
          <w:szCs w:val="22"/>
          <w:u w:val="single" w:color="auto"/>
          <w:color w:val="auto"/>
        </w:rPr>
        <w:t>Severance Pay</w:t>
      </w:r>
      <w:r>
        <w:rPr>
          <w:rFonts w:ascii="Arial" w:cs="Arial" w:eastAsia="Arial" w:hAnsi="Arial"/>
          <w:sz w:val="22"/>
          <w:szCs w:val="22"/>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2.46. “</w:t>
      </w:r>
      <w:r>
        <w:rPr>
          <w:rFonts w:ascii="Arial" w:cs="Arial" w:eastAsia="Arial" w:hAnsi="Arial"/>
          <w:sz w:val="22"/>
          <w:szCs w:val="22"/>
          <w:u w:val="single" w:color="auto"/>
          <w:color w:val="auto"/>
        </w:rPr>
        <w:t>Subsequent Election</w:t>
      </w:r>
      <w:r>
        <w:rPr>
          <w:rFonts w:ascii="Arial" w:cs="Arial" w:eastAsia="Arial" w:hAnsi="Arial"/>
          <w:sz w:val="22"/>
          <w:szCs w:val="22"/>
          <w:color w:val="auto"/>
        </w:rPr>
        <w:t>” means a written election on a form provided by the Administrator, filed with the Administrator in accordance with Article 3, pursuant to which a Participant or Beneficiary may elect to defer (or, in limited cases, accelerate) the time of payment or to change the manner of payment of amounts previously deferred in accordance with the terms of a previously made Initial Election or Subsequent Election.</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2.47. “</w:t>
      </w:r>
      <w:r>
        <w:rPr>
          <w:rFonts w:ascii="Arial" w:cs="Arial" w:eastAsia="Arial" w:hAnsi="Arial"/>
          <w:sz w:val="22"/>
          <w:szCs w:val="22"/>
          <w:u w:val="single" w:color="auto"/>
          <w:color w:val="auto"/>
        </w:rPr>
        <w:t>Surviving Spouse</w:t>
      </w:r>
      <w:r>
        <w:rPr>
          <w:rFonts w:ascii="Arial" w:cs="Arial" w:eastAsia="Arial" w:hAnsi="Arial"/>
          <w:sz w:val="22"/>
          <w:szCs w:val="22"/>
          <w:color w:val="auto"/>
        </w:rPr>
        <w:t>” means the widow or widower, as the case may be, of a Deceased Participant or a Deceased Beneficiary (as applicable).</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2.48.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Terminating Event</w:t>
      </w:r>
      <w:r>
        <w:rPr>
          <w:rFonts w:ascii="Arial" w:cs="Arial" w:eastAsia="Arial" w:hAnsi="Arial"/>
          <w:sz w:val="19"/>
          <w:szCs w:val="19"/>
          <w:color w:val="auto"/>
        </w:rPr>
        <w:t>” means either of the following events:</w:t>
      </w:r>
    </w:p>
    <w:p>
      <w:pPr>
        <w:spacing w:after="0" w:line="220" w:lineRule="exact"/>
        <w:rPr>
          <w:sz w:val="20"/>
          <w:szCs w:val="20"/>
          <w:color w:val="auto"/>
        </w:rPr>
      </w:pPr>
    </w:p>
    <w:p>
      <w:pPr>
        <w:ind w:left="2400" w:hanging="448"/>
        <w:spacing w:after="0"/>
        <w:tabs>
          <w:tab w:leader="none" w:pos="24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liquidation of the Company; or</w:t>
      </w:r>
    </w:p>
    <w:p>
      <w:pPr>
        <w:spacing w:after="0" w:line="219" w:lineRule="exact"/>
        <w:rPr>
          <w:rFonts w:ascii="Arial" w:cs="Arial" w:eastAsia="Arial" w:hAnsi="Arial"/>
          <w:sz w:val="22"/>
          <w:szCs w:val="22"/>
          <w:color w:val="auto"/>
        </w:rPr>
      </w:pPr>
    </w:p>
    <w:p>
      <w:pPr>
        <w:ind w:left="2420" w:hanging="468"/>
        <w:spacing w:after="0"/>
        <w:tabs>
          <w:tab w:leader="none" w:pos="24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81" w:name="page82"/>
    <w:bookmarkEnd w:id="81"/>
    <w:p>
      <w:pPr>
        <w:ind w:firstLine="1296"/>
        <w:spacing w:after="0" w:line="263" w:lineRule="auto"/>
        <w:rPr>
          <w:sz w:val="20"/>
          <w:szCs w:val="20"/>
          <w:color w:val="auto"/>
        </w:rPr>
      </w:pPr>
      <w:r>
        <w:rPr>
          <w:rFonts w:ascii="Arial" w:cs="Arial" w:eastAsia="Arial" w:hAnsi="Arial"/>
          <w:sz w:val="22"/>
          <w:szCs w:val="22"/>
          <w:color w:val="auto"/>
        </w:rPr>
        <w:t>2.49. “</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together with such Person’s Affiliates, provided that the term “Third Party” shall not include the Company or an Affiliate of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 INITIAL AND SUBSEQUENT ELECTIONS</w:t>
      </w:r>
    </w:p>
    <w:p>
      <w:pPr>
        <w:spacing w:after="0" w:line="22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Elections</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86" w:lineRule="auto"/>
        <w:tabs>
          <w:tab w:leader="none" w:pos="2413"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Initial Elections</w:t>
      </w:r>
      <w:r>
        <w:rPr>
          <w:rFonts w:ascii="Arial" w:cs="Arial" w:eastAsia="Arial" w:hAnsi="Arial"/>
          <w:sz w:val="19"/>
          <w:szCs w:val="19"/>
          <w:color w:val="auto"/>
        </w:rPr>
        <w:t>. Each Outside Director and Eligible Employee shall have the right to defer all or any portion of the Compensation (including bonuses, if any, and, in the case of Outside Directors, including any portion of an Outside Director’s Compensation payable in the form of Company Stock) that he would otherwise be entitled to receive in a calendar year by filing an Initial Election at the time and in the manner described in this Article 3; provided that Severance Pay shall be included as “Compensation” for purposes of this Section 3.1 only to the extent permitted, and subject to such rules regarding the length of any initial deferral period and subsequent deferral period, if any, established by the Administrator in its sole discretion.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1952"/>
        <w:spacing w:after="0" w:line="250" w:lineRule="auto"/>
        <w:tabs>
          <w:tab w:leader="none" w:pos="2506"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Subsequent Elections</w:t>
      </w:r>
      <w:r>
        <w:rPr>
          <w:rFonts w:ascii="Arial" w:cs="Arial" w:eastAsia="Arial" w:hAnsi="Arial"/>
          <w:sz w:val="22"/>
          <w:szCs w:val="22"/>
          <w:color w:val="auto"/>
        </w:rPr>
        <w:t>. Each Participant or Beneficiary shall have the right to elect to defer (or, in limited cases, accelerate)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8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Filing of Initial Election: General</w:t>
      </w:r>
      <w:r>
        <w:rPr>
          <w:rFonts w:ascii="Arial" w:cs="Arial" w:eastAsia="Arial" w:hAnsi="Arial"/>
          <w:sz w:val="22"/>
          <w:szCs w:val="22"/>
          <w:color w:val="auto"/>
        </w:rPr>
        <w:t>. An Initial Election shall be made on the form provided by the Administrator for this purpose. Except as provided in Section 3.3, no such Initial Election shall be effective unless it is filed with the Administrator on or before December 31 of the calendar year preceding the calendar year to which the Initial Election applies; provided that an Initial Election with respect to Severance Pay shall not be effective unless it is filed within 30 days following the date of written notification to an Eligible Employee from the Administrator or its duly authorized delegate of such Eligible Employee’s eligibility to defer Severance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82" w:name="page83"/>
    <w:bookmarkEnd w:id="82"/>
    <w:p>
      <w:pPr>
        <w:ind w:left="1300"/>
        <w:spacing w:after="0"/>
        <w:tabs>
          <w:tab w:leader="none" w:pos="18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Filing of Initial Election by New Key Employees and New Outside Directors</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46" w:lineRule="auto"/>
        <w:tabs>
          <w:tab w:leader="none" w:pos="2427"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New Key Employees</w:t>
      </w:r>
      <w:r>
        <w:rPr>
          <w:rFonts w:ascii="Arial" w:cs="Arial" w:eastAsia="Arial" w:hAnsi="Arial"/>
          <w:sz w:val="22"/>
          <w:szCs w:val="22"/>
          <w:color w:val="auto"/>
        </w:rPr>
        <w:t>. Notwithstanding Section 3.1 and Section 3.2, a New Key Employee may elect to defer all or any portion of his Compensation that he would otherwise be entitled to receive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60 days of such New Key Employee’s date of hire or within 60 days of the date such New Key Employee first becomes eligible to participate in the Plan. Any Initial Election by such New Key Employee for succeeding calendar years shall be made in accordance with Section 3.1 and Section 3.2.</w:t>
      </w:r>
    </w:p>
    <w:p>
      <w:pPr>
        <w:spacing w:after="0" w:line="196" w:lineRule="exact"/>
        <w:rPr>
          <w:rFonts w:ascii="Arial" w:cs="Arial" w:eastAsia="Arial" w:hAnsi="Arial"/>
          <w:sz w:val="22"/>
          <w:szCs w:val="22"/>
          <w:color w:val="auto"/>
        </w:rPr>
      </w:pPr>
    </w:p>
    <w:p>
      <w:pPr>
        <w:jc w:val="both"/>
        <w:ind w:firstLine="1952"/>
        <w:spacing w:after="0" w:line="292" w:lineRule="auto"/>
        <w:tabs>
          <w:tab w:leader="none" w:pos="2439"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New Outside Directors</w:t>
      </w:r>
      <w:r>
        <w:rPr>
          <w:rFonts w:ascii="Arial" w:cs="Arial" w:eastAsia="Arial" w:hAnsi="Arial"/>
          <w:sz w:val="19"/>
          <w:szCs w:val="19"/>
          <w:color w:val="auto"/>
        </w:rPr>
        <w:t>. Notwithstanding Section 3.1 and Section 3.2, an Outside Director may elect to defer all or any portion of his Compensation that he would otherwise be entitled to receive in the calendar year in which an Outside Director’s election as a member of the Board becomes effective (provided that such Outside Director is not a member of the Board immediately preceding such effective date), beginning with Compensation payable following the filing of an Initial Election with the Administrator and before the close of such calendar year by making and filing the Initial Election with the Administrator within 60 days of the effective date of such Outside Director’s election. Any Initial Election by such Outside Director for succeeding calendar years shall be made in accordance with Section 3.1 and Section 3.2</w:t>
      </w:r>
    </w:p>
    <w:p>
      <w:pPr>
        <w:spacing w:after="0" w:line="15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Calendar Years to which Initial Election May Apply</w:t>
      </w:r>
      <w:r>
        <w:rPr>
          <w:rFonts w:ascii="Arial" w:cs="Arial" w:eastAsia="Arial" w:hAnsi="Arial"/>
          <w:sz w:val="22"/>
          <w:szCs w:val="22"/>
          <w:color w:val="auto"/>
        </w:rPr>
        <w:t>.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192" w:lineRule="exact"/>
        <w:rPr>
          <w:sz w:val="20"/>
          <w:szCs w:val="20"/>
          <w:color w:val="auto"/>
        </w:rPr>
      </w:pPr>
    </w:p>
    <w:p>
      <w:pPr>
        <w:jc w:val="both"/>
        <w:ind w:firstLine="1952"/>
        <w:spacing w:after="0" w:line="260" w:lineRule="auto"/>
        <w:tabs>
          <w:tab w:leader="none" w:pos="2737"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Initial Election of Distribution Date</w:t>
      </w:r>
      <w:r>
        <w:rPr>
          <w:rFonts w:ascii="Arial" w:cs="Arial" w:eastAsia="Arial" w:hAnsi="Arial"/>
          <w:sz w:val="21"/>
          <w:szCs w:val="21"/>
          <w:color w:val="auto"/>
        </w:rPr>
        <w:t>. Each Outside Director or Eligible Employee shall, contemporaneously with an Initial Election, also elect the time of payment of the amount of the deferred Compensation to which such Initial Election relates; provided, however, that, subject to acceleration pursuant to Section 3.5(e) or (f), Section 3.7, Section 7.1, 7.2, or Article 8, no distribution may commence earlier than January 2nd of the second calendar year beginning after the date the Initial Election is filed with the Administrator, nor later than January 2nd of the eleventh calendar year beginning after the date the Initial Election is filed with the Administrator. Further, each Outside Director or Eligible Employee may select with each Initial Election the manner of distribution in accordance with Article 4.</w:t>
      </w:r>
    </w:p>
    <w:p>
      <w:pPr>
        <w:spacing w:after="0" w:line="18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Subsequent Elections</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53" w:lineRule="auto"/>
        <w:tabs>
          <w:tab w:leader="none" w:pos="2467"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Active Participants</w:t>
      </w:r>
      <w:r>
        <w:rPr>
          <w:rFonts w:ascii="Arial" w:cs="Arial" w:eastAsia="Arial" w:hAnsi="Arial"/>
          <w:sz w:val="22"/>
          <w:szCs w:val="22"/>
          <w:color w:val="auto"/>
        </w:rPr>
        <w:t>. Each Active Participant, who has made an Initial Election, or who has made a Subsequent Election, may elect to change the manner of distribution or defer the time of payment of any part or all of such Participant’s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83" w:name="page84"/>
    <w:bookmarkEnd w:id="83"/>
    <w:p>
      <w:pPr>
        <w:ind w:firstLine="2600"/>
        <w:spacing w:after="0" w:line="263" w:lineRule="auto"/>
        <w:tabs>
          <w:tab w:leader="none" w:pos="3019" w:val="left"/>
        </w:tabs>
        <w:numPr>
          <w:ilvl w:val="1"/>
          <w:numId w:val="122"/>
        </w:numPr>
        <w:rPr>
          <w:rFonts w:ascii="Arial" w:cs="Arial" w:eastAsia="Arial" w:hAnsi="Arial"/>
          <w:sz w:val="22"/>
          <w:szCs w:val="22"/>
          <w:color w:val="auto"/>
        </w:rPr>
      </w:pPr>
      <w:r>
        <w:rPr>
          <w:rFonts w:ascii="Arial" w:cs="Arial" w:eastAsia="Arial" w:hAnsi="Arial"/>
          <w:sz w:val="22"/>
          <w:szCs w:val="22"/>
          <w:color w:val="auto"/>
        </w:rPr>
        <w:t>With respect to Subsequent Elections filed on or before December 31, 2020, for a minimum of two (2) and a maximum of ten (10) additional years from the previously-elected payment date;</w:t>
      </w:r>
    </w:p>
    <w:p>
      <w:pPr>
        <w:spacing w:after="0" w:line="174" w:lineRule="exact"/>
        <w:rPr>
          <w:rFonts w:ascii="Arial" w:cs="Arial" w:eastAsia="Arial" w:hAnsi="Arial"/>
          <w:sz w:val="22"/>
          <w:szCs w:val="22"/>
          <w:color w:val="auto"/>
        </w:rPr>
      </w:pPr>
    </w:p>
    <w:p>
      <w:pPr>
        <w:ind w:left="3140" w:hanging="540"/>
        <w:spacing w:after="0"/>
        <w:tabs>
          <w:tab w:leader="none" w:pos="314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for a minimum of two</w:t>
      </w:r>
    </w:p>
    <w:p>
      <w:pPr>
        <w:spacing w:after="0" w:line="55" w:lineRule="exact"/>
        <w:rPr>
          <w:rFonts w:ascii="Arial" w:cs="Arial" w:eastAsia="Arial" w:hAnsi="Arial"/>
          <w:sz w:val="19"/>
          <w:szCs w:val="19"/>
          <w:color w:val="auto"/>
        </w:rPr>
      </w:pPr>
    </w:p>
    <w:p>
      <w:pPr>
        <w:ind w:left="320" w:hanging="312"/>
        <w:spacing w:after="0"/>
        <w:tabs>
          <w:tab w:leader="none" w:pos="32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and a maximum of seven (7) additional years from the previously-elected payment date;</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3.5(a) shall not be limited.</w:t>
      </w:r>
    </w:p>
    <w:p>
      <w:pPr>
        <w:spacing w:after="0" w:line="185" w:lineRule="exact"/>
        <w:rPr>
          <w:sz w:val="20"/>
          <w:szCs w:val="20"/>
          <w:color w:val="auto"/>
        </w:rPr>
      </w:pPr>
    </w:p>
    <w:p>
      <w:pPr>
        <w:jc w:val="both"/>
        <w:ind w:firstLine="1952"/>
        <w:spacing w:after="0" w:line="253" w:lineRule="auto"/>
        <w:tabs>
          <w:tab w:leader="none" w:pos="2533" w:val="left"/>
        </w:tabs>
        <w:numPr>
          <w:ilvl w:val="1"/>
          <w:numId w:val="124"/>
        </w:numPr>
        <w:rPr>
          <w:rFonts w:ascii="Arial" w:cs="Arial" w:eastAsia="Arial" w:hAnsi="Arial"/>
          <w:sz w:val="22"/>
          <w:szCs w:val="22"/>
          <w:color w:val="auto"/>
        </w:rPr>
      </w:pPr>
      <w:r>
        <w:rPr>
          <w:rFonts w:ascii="Arial" w:cs="Arial" w:eastAsia="Arial" w:hAnsi="Arial"/>
          <w:sz w:val="22"/>
          <w:szCs w:val="22"/>
          <w:u w:val="single" w:color="auto"/>
          <w:color w:val="auto"/>
        </w:rPr>
        <w:t>Inactive Participants</w:t>
      </w:r>
      <w:r>
        <w:rPr>
          <w:rFonts w:ascii="Arial" w:cs="Arial" w:eastAsia="Arial" w:hAnsi="Arial"/>
          <w:sz w:val="22"/>
          <w:szCs w:val="22"/>
          <w:color w:val="auto"/>
        </w:rPr>
        <w:t>. The Committee may, in its sole and absolute discretion, permit an Inactive Participant to make a Subsequent Election to change the manner of distribution, or defer the time of payment of any part or all of such Inactive Participant’s Account—</w:t>
      </w:r>
    </w:p>
    <w:p>
      <w:pPr>
        <w:spacing w:after="0" w:line="185" w:lineRule="exact"/>
        <w:rPr>
          <w:rFonts w:ascii="Arial" w:cs="Arial" w:eastAsia="Arial" w:hAnsi="Arial"/>
          <w:sz w:val="22"/>
          <w:szCs w:val="22"/>
          <w:color w:val="auto"/>
        </w:rPr>
      </w:pPr>
    </w:p>
    <w:p>
      <w:pPr>
        <w:ind w:firstLine="2600"/>
        <w:spacing w:after="0" w:line="263" w:lineRule="auto"/>
        <w:tabs>
          <w:tab w:leader="none" w:pos="3019" w:val="left"/>
        </w:tabs>
        <w:numPr>
          <w:ilvl w:val="2"/>
          <w:numId w:val="124"/>
        </w:numPr>
        <w:rPr>
          <w:rFonts w:ascii="Arial" w:cs="Arial" w:eastAsia="Arial" w:hAnsi="Arial"/>
          <w:sz w:val="22"/>
          <w:szCs w:val="22"/>
          <w:color w:val="auto"/>
        </w:rPr>
      </w:pPr>
      <w:r>
        <w:rPr>
          <w:rFonts w:ascii="Arial" w:cs="Arial" w:eastAsia="Arial" w:hAnsi="Arial"/>
          <w:sz w:val="22"/>
          <w:szCs w:val="22"/>
          <w:color w:val="auto"/>
        </w:rPr>
        <w:t>With respect to Subsequent Elections filed on or before December 31, 2020, for a minimum of two (2) and a maximum of ten (10) additional years from the previously-elected payment date;</w:t>
      </w:r>
    </w:p>
    <w:p>
      <w:pPr>
        <w:spacing w:after="0" w:line="174" w:lineRule="exact"/>
        <w:rPr>
          <w:rFonts w:ascii="Arial" w:cs="Arial" w:eastAsia="Arial" w:hAnsi="Arial"/>
          <w:sz w:val="22"/>
          <w:szCs w:val="22"/>
          <w:color w:val="auto"/>
        </w:rPr>
      </w:pPr>
    </w:p>
    <w:p>
      <w:pPr>
        <w:ind w:left="3140" w:hanging="540"/>
        <w:spacing w:after="0"/>
        <w:tabs>
          <w:tab w:leader="none" w:pos="3140" w:val="left"/>
        </w:tabs>
        <w:numPr>
          <w:ilvl w:val="2"/>
          <w:numId w:val="124"/>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for a minimum of two</w:t>
      </w:r>
    </w:p>
    <w:p>
      <w:pPr>
        <w:spacing w:after="0" w:line="55" w:lineRule="exact"/>
        <w:rPr>
          <w:rFonts w:ascii="Arial" w:cs="Arial" w:eastAsia="Arial" w:hAnsi="Arial"/>
          <w:sz w:val="19"/>
          <w:szCs w:val="19"/>
          <w:color w:val="auto"/>
        </w:rPr>
      </w:pPr>
    </w:p>
    <w:p>
      <w:pPr>
        <w:ind w:left="320" w:hanging="312"/>
        <w:spacing w:after="0"/>
        <w:tabs>
          <w:tab w:leader="none" w:pos="3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and a maximum of seven (7) additional years from the previously-elected payment date;</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3.5(b) shall be determined by the Committee in its sole and absolute discretion.</w:t>
      </w:r>
    </w:p>
    <w:p>
      <w:pPr>
        <w:spacing w:after="0" w:line="188" w:lineRule="exact"/>
        <w:rPr>
          <w:sz w:val="20"/>
          <w:szCs w:val="20"/>
          <w:color w:val="auto"/>
        </w:rPr>
      </w:pPr>
    </w:p>
    <w:p>
      <w:pPr>
        <w:ind w:left="2400" w:hanging="448"/>
        <w:spacing w:after="0"/>
        <w:tabs>
          <w:tab w:leader="none" w:pos="240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Surviving Spouses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2600"/>
        <w:spacing w:after="0" w:line="263" w:lineRule="auto"/>
        <w:tabs>
          <w:tab w:leader="none" w:pos="3066" w:val="left"/>
        </w:tabs>
        <w:numPr>
          <w:ilvl w:val="1"/>
          <w:numId w:val="126"/>
        </w:numPr>
        <w:rPr>
          <w:rFonts w:ascii="Arial" w:cs="Arial" w:eastAsia="Arial" w:hAnsi="Arial"/>
          <w:sz w:val="21"/>
          <w:szCs w:val="21"/>
          <w:color w:val="auto"/>
        </w:rPr>
      </w:pPr>
      <w:r>
        <w:rPr>
          <w:rFonts w:ascii="Arial" w:cs="Arial" w:eastAsia="Arial" w:hAnsi="Arial"/>
          <w:sz w:val="21"/>
          <w:szCs w:val="21"/>
          <w:u w:val="single" w:color="auto"/>
          <w:color w:val="auto"/>
        </w:rPr>
        <w:t>General Rule</w:t>
      </w:r>
      <w:r>
        <w:rPr>
          <w:rFonts w:ascii="Arial" w:cs="Arial" w:eastAsia="Arial" w:hAnsi="Arial"/>
          <w:sz w:val="21"/>
          <w:szCs w:val="21"/>
          <w:color w:val="auto"/>
        </w:rPr>
        <w:t>. A Surviving Spouse who is a Deceased Participant’s Beneficiary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manner of distribution or the change in the time of payment, which--</w:t>
      </w:r>
    </w:p>
    <w:p>
      <w:pPr>
        <w:spacing w:after="0" w:line="175" w:lineRule="exact"/>
        <w:rPr>
          <w:rFonts w:ascii="Arial" w:cs="Arial" w:eastAsia="Arial" w:hAnsi="Arial"/>
          <w:sz w:val="21"/>
          <w:szCs w:val="21"/>
          <w:color w:val="auto"/>
        </w:rPr>
      </w:pPr>
    </w:p>
    <w:p>
      <w:pPr>
        <w:ind w:left="4480" w:hanging="584"/>
        <w:spacing w:after="0"/>
        <w:tabs>
          <w:tab w:leader="none" w:pos="4480" w:val="left"/>
        </w:tabs>
        <w:numPr>
          <w:ilvl w:val="2"/>
          <w:numId w:val="126"/>
        </w:numPr>
        <w:rPr>
          <w:rFonts w:ascii="Arial" w:cs="Arial" w:eastAsia="Arial" w:hAnsi="Arial"/>
          <w:sz w:val="19"/>
          <w:szCs w:val="19"/>
          <w:color w:val="auto"/>
        </w:rPr>
      </w:pPr>
      <w:r>
        <w:rPr>
          <w:rFonts w:ascii="Arial" w:cs="Arial" w:eastAsia="Arial" w:hAnsi="Arial"/>
          <w:sz w:val="19"/>
          <w:szCs w:val="19"/>
          <w:color w:val="auto"/>
        </w:rPr>
        <w:t>With respect to Subsequent Elections filed on or before December 31, 2020,</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shall be for a minimum of two (2) and a maximum of ten (10) additional years from the previously-elected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84" w:name="page85"/>
    <w:bookmarkEnd w:id="84"/>
    <w:p>
      <w:pPr>
        <w:ind w:left="4440" w:hanging="544"/>
        <w:spacing w:after="0"/>
        <w:tabs>
          <w:tab w:leader="none" w:pos="444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shall be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 a minimum of two (2) and a maximum of seven (7) additional years from the previously-elected payment date; or</w:t>
      </w:r>
    </w:p>
    <w:p>
      <w:pPr>
        <w:spacing w:after="0" w:line="201" w:lineRule="exact"/>
        <w:rPr>
          <w:rFonts w:ascii="Arial" w:cs="Arial" w:eastAsia="Arial" w:hAnsi="Arial"/>
          <w:sz w:val="19"/>
          <w:szCs w:val="19"/>
          <w:color w:val="auto"/>
        </w:rPr>
      </w:pPr>
    </w:p>
    <w:p>
      <w:pPr>
        <w:ind w:left="4460" w:hanging="564"/>
        <w:spacing w:after="0"/>
        <w:tabs>
          <w:tab w:leader="none" w:pos="446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With respect to Subsequent Elections filed on or before December 31, 2020,</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Surviving Spouse may elect to defer payment until such Surviving Spouse’s death.</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Surviving Spouse may make a total of two (2) Subsequent Elections under this Section 3.5(c)(i), with respect to all or any part of the Deceased Participant’s Account. Subsequent Elections pursuant to this Section 3.5(c)(i) may specify different changes with respect to different parts of the Deceased Participant’s Account.</w:t>
      </w:r>
    </w:p>
    <w:p>
      <w:pPr>
        <w:spacing w:after="0" w:line="185" w:lineRule="exact"/>
        <w:rPr>
          <w:sz w:val="20"/>
          <w:szCs w:val="20"/>
          <w:color w:val="auto"/>
        </w:rPr>
      </w:pPr>
    </w:p>
    <w:p>
      <w:pPr>
        <w:jc w:val="both"/>
        <w:ind w:firstLine="2600"/>
        <w:spacing w:after="0" w:line="294" w:lineRule="auto"/>
        <w:tabs>
          <w:tab w:leader="none" w:pos="3099"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Exception</w:t>
      </w:r>
      <w:r>
        <w:rPr>
          <w:rFonts w:ascii="Arial" w:cs="Arial" w:eastAsia="Arial" w:hAnsi="Arial"/>
          <w:sz w:val="19"/>
          <w:szCs w:val="19"/>
          <w:color w:val="auto"/>
        </w:rPr>
        <w:t>. Notwithstanding the above Section 3.5(c)(i), a Subsequent Election may be made by a Surviving Spouse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manner of distribution or the change in the time of payment, which—</w:t>
      </w:r>
    </w:p>
    <w:p>
      <w:pPr>
        <w:spacing w:after="0" w:line="149" w:lineRule="exact"/>
        <w:rPr>
          <w:rFonts w:ascii="Arial" w:cs="Arial" w:eastAsia="Arial" w:hAnsi="Arial"/>
          <w:sz w:val="19"/>
          <w:szCs w:val="19"/>
          <w:color w:val="auto"/>
        </w:rPr>
      </w:pPr>
    </w:p>
    <w:p>
      <w:pPr>
        <w:ind w:left="4480" w:hanging="584"/>
        <w:spacing w:after="0"/>
        <w:tabs>
          <w:tab w:leader="none" w:pos="448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With respect to Subsequent Elections filed on or before December 31, 2020,</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shall be for a minimum of two (2) and a maximum of ten (10) additional years from the previously-elected payment date;</w:t>
      </w:r>
    </w:p>
    <w:p>
      <w:pPr>
        <w:spacing w:after="0" w:line="213" w:lineRule="exact"/>
        <w:rPr>
          <w:rFonts w:ascii="Arial" w:cs="Arial" w:eastAsia="Arial" w:hAnsi="Arial"/>
          <w:sz w:val="19"/>
          <w:szCs w:val="19"/>
          <w:color w:val="auto"/>
        </w:rPr>
      </w:pPr>
    </w:p>
    <w:p>
      <w:pPr>
        <w:ind w:left="4440" w:hanging="544"/>
        <w:spacing w:after="0"/>
        <w:tabs>
          <w:tab w:leader="none" w:pos="444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shall be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 a minimum of two (2) and a maximum of seven (7) additional years from the previously-elected payment date; or</w:t>
      </w:r>
    </w:p>
    <w:p>
      <w:pPr>
        <w:spacing w:after="0" w:line="201" w:lineRule="exact"/>
        <w:rPr>
          <w:rFonts w:ascii="Arial" w:cs="Arial" w:eastAsia="Arial" w:hAnsi="Arial"/>
          <w:sz w:val="19"/>
          <w:szCs w:val="19"/>
          <w:color w:val="auto"/>
        </w:rPr>
      </w:pPr>
    </w:p>
    <w:p>
      <w:pPr>
        <w:ind w:left="4460" w:hanging="564"/>
        <w:spacing w:after="0"/>
        <w:tabs>
          <w:tab w:leader="none" w:pos="446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With respect to Subsequent Elections filed on or before December 31, 2020,</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Surviving Spouse may elect to defer payment until such Surviving Spouse’s death.</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 Surviving Spouse may only make one (1) Subsequent Election under this Section 3.5(c)(ii) with respect to all or any part of the Deceased Participant’s Account. Such Surviving Spouse may, however, make one additional Subsequent Election under Section 3.5(c)(i) in accordance with the terms of Section 3.5(c)(i). The one (1) Subsequent Election permitted under this Section 3.5(c)(ii) may specify different changes for different parts of the Deceased Participant’s Account.</w:t>
      </w:r>
    </w:p>
    <w:p>
      <w:pPr>
        <w:spacing w:after="0" w:line="142" w:lineRule="exact"/>
        <w:rPr>
          <w:sz w:val="20"/>
          <w:szCs w:val="20"/>
          <w:color w:val="auto"/>
        </w:rPr>
      </w:pPr>
    </w:p>
    <w:p>
      <w:pPr>
        <w:ind w:left="2420" w:hanging="468"/>
        <w:spacing w:after="0"/>
        <w:tabs>
          <w:tab w:leader="none" w:pos="242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Beneficiary of a Deceased Participant Other Than a Surviving Spouse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2600"/>
        <w:spacing w:after="0" w:line="253" w:lineRule="auto"/>
        <w:tabs>
          <w:tab w:leader="none" w:pos="3066"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A Beneficiary of a Deceased Participant (other than a Surviving Spouse) may elect to change the manner of distribution, or defer the time of payment, of any part or all of such Deceased Participant’s Account the payment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85" w:name="page86"/>
    <w:bookmarkEnd w:id="85"/>
    <w:p>
      <w:pPr>
        <w:jc w:val="both"/>
        <w:spacing w:after="0" w:line="261" w:lineRule="auto"/>
        <w:rPr>
          <w:sz w:val="20"/>
          <w:szCs w:val="20"/>
          <w:color w:val="auto"/>
        </w:rPr>
      </w:pPr>
      <w:r>
        <w:rPr>
          <w:rFonts w:ascii="Arial" w:cs="Arial" w:eastAsia="Arial" w:hAnsi="Arial"/>
          <w:sz w:val="21"/>
          <w:szCs w:val="21"/>
          <w:color w:val="auto"/>
        </w:rPr>
        <w:t>would be made neither within six (6) months after, nor within the calendar year of, the date of such election.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3.5(d)(i), with respect to all or any part of the Deceased Participant’s Account. Subsequent Elections pursuant to this Section 3.5(d)(i) may specify different changes for different parts of the Deceased Participant’s Account.</w:t>
      </w:r>
    </w:p>
    <w:p>
      <w:pPr>
        <w:spacing w:after="0" w:line="179" w:lineRule="exact"/>
        <w:rPr>
          <w:sz w:val="20"/>
          <w:szCs w:val="20"/>
          <w:color w:val="auto"/>
        </w:rPr>
      </w:pPr>
    </w:p>
    <w:p>
      <w:pPr>
        <w:jc w:val="both"/>
        <w:ind w:firstLine="2600"/>
        <w:spacing w:after="0" w:line="261" w:lineRule="auto"/>
        <w:tabs>
          <w:tab w:leader="none" w:pos="3099"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Exception</w:t>
      </w:r>
      <w:r>
        <w:rPr>
          <w:rFonts w:ascii="Arial" w:cs="Arial" w:eastAsia="Arial" w:hAnsi="Arial"/>
          <w:sz w:val="21"/>
          <w:szCs w:val="21"/>
          <w:color w:val="auto"/>
        </w:rPr>
        <w:t>. Notwithstanding the above Section 3.5(d)(i), a 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manner of distribution or the change in the time of payment, which—</w:t>
      </w:r>
    </w:p>
    <w:p>
      <w:pPr>
        <w:spacing w:after="0" w:line="179" w:lineRule="exact"/>
        <w:rPr>
          <w:rFonts w:ascii="Arial" w:cs="Arial" w:eastAsia="Arial" w:hAnsi="Arial"/>
          <w:sz w:val="21"/>
          <w:szCs w:val="21"/>
          <w:color w:val="auto"/>
        </w:rPr>
      </w:pPr>
    </w:p>
    <w:p>
      <w:pPr>
        <w:ind w:left="4480" w:hanging="584"/>
        <w:spacing w:after="0"/>
        <w:tabs>
          <w:tab w:leader="none" w:pos="448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With respect to Subsequent Elections filed on or before December 31, 2020,</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 a minimum of two (2) and a maximum of ten (10) additional years from the previously-elected payment date;</w:t>
      </w:r>
    </w:p>
    <w:p>
      <w:pPr>
        <w:spacing w:after="0" w:line="201" w:lineRule="exact"/>
        <w:rPr>
          <w:rFonts w:ascii="Arial" w:cs="Arial" w:eastAsia="Arial" w:hAnsi="Arial"/>
          <w:sz w:val="19"/>
          <w:szCs w:val="19"/>
          <w:color w:val="auto"/>
        </w:rPr>
      </w:pPr>
    </w:p>
    <w:p>
      <w:pPr>
        <w:ind w:left="4520" w:hanging="624"/>
        <w:spacing w:after="0"/>
        <w:tabs>
          <w:tab w:leader="none" w:pos="452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for a</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minimum of two (2) and a maximum of seven (7) additional years from the previously-elected payment date;</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Beneficiary may make one (1) Subsequent Election under this Section 3.5(d)(ii) with respect to all or any part of the Deceased Participant’s Account. Subsequent Elections pursuant to this Section 3.5(d)(ii) may specify different changes for different parts of the Deceased Participant’s Account.</w:t>
      </w:r>
    </w:p>
    <w:p>
      <w:pPr>
        <w:spacing w:after="0" w:line="185" w:lineRule="exact"/>
        <w:rPr>
          <w:sz w:val="20"/>
          <w:szCs w:val="20"/>
          <w:color w:val="auto"/>
        </w:rPr>
      </w:pPr>
    </w:p>
    <w:p>
      <w:pPr>
        <w:jc w:val="both"/>
        <w:ind w:firstLine="1952"/>
        <w:spacing w:after="0" w:line="250" w:lineRule="auto"/>
        <w:tabs>
          <w:tab w:leader="none" w:pos="2467"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Other Deferral and Acceleration by a Beneficiary</w:t>
      </w:r>
      <w:r>
        <w:rPr>
          <w:rFonts w:ascii="Arial" w:cs="Arial" w:eastAsia="Arial" w:hAnsi="Arial"/>
          <w:sz w:val="22"/>
          <w:szCs w:val="22"/>
          <w:color w:val="auto"/>
        </w:rPr>
        <w:t>. Any Beneficiary (other than a Surviving Spouse who has made a Subsequent Election under Section 3.5(c) or a Beneficiary who has made a Subsequent Election under Section 3.5(d)) may elect to change the manner of distribution from the manner of distribution in which payment of a Deceased Participant’s Account would otherwise be made, and</w:t>
      </w:r>
    </w:p>
    <w:p>
      <w:pPr>
        <w:spacing w:after="0" w:line="187" w:lineRule="exact"/>
        <w:rPr>
          <w:rFonts w:ascii="Arial" w:cs="Arial" w:eastAsia="Arial" w:hAnsi="Arial"/>
          <w:sz w:val="22"/>
          <w:szCs w:val="22"/>
          <w:color w:val="auto"/>
        </w:rPr>
      </w:pPr>
    </w:p>
    <w:p>
      <w:pPr>
        <w:jc w:val="both"/>
        <w:ind w:firstLine="2600"/>
        <w:spacing w:after="0" w:line="248" w:lineRule="auto"/>
        <w:tabs>
          <w:tab w:leader="none" w:pos="3017" w:val="left"/>
        </w:tabs>
        <w:numPr>
          <w:ilvl w:val="1"/>
          <w:numId w:val="131"/>
        </w:numPr>
        <w:rPr>
          <w:rFonts w:ascii="Arial" w:cs="Arial" w:eastAsia="Arial" w:hAnsi="Arial"/>
          <w:sz w:val="22"/>
          <w:szCs w:val="22"/>
          <w:color w:val="auto"/>
        </w:rPr>
      </w:pPr>
      <w:r>
        <w:rPr>
          <w:rFonts w:ascii="Arial" w:cs="Arial" w:eastAsia="Arial" w:hAnsi="Arial"/>
          <w:sz w:val="22"/>
          <w:szCs w:val="22"/>
          <w:color w:val="auto"/>
        </w:rPr>
        <w:t>Defer the time of payment of any part or all of the Deceased Participant’s Account or deceased Beneficiary’s Account for one additional year from the date a payment would otherwise be made or begin (provided that if a Subsequent Election is made pursuant to this Section 3.5(e)(i), the Deceased Participant’s Account or deceased Beneficiary’s Account shall be in all events distributed in full on or before the fifth anniversary of the Deceased Participant’s or a deceased Beneficiary’s death); or</w:t>
      </w:r>
    </w:p>
    <w:p>
      <w:pPr>
        <w:spacing w:after="0" w:line="191" w:lineRule="exact"/>
        <w:rPr>
          <w:rFonts w:ascii="Arial" w:cs="Arial" w:eastAsia="Arial" w:hAnsi="Arial"/>
          <w:sz w:val="22"/>
          <w:szCs w:val="22"/>
          <w:color w:val="auto"/>
        </w:rPr>
      </w:pPr>
    </w:p>
    <w:p>
      <w:pPr>
        <w:ind w:firstLine="2600"/>
        <w:spacing w:after="0" w:line="263" w:lineRule="auto"/>
        <w:tabs>
          <w:tab w:leader="none" w:pos="3060" w:val="left"/>
        </w:tabs>
        <w:numPr>
          <w:ilvl w:val="1"/>
          <w:numId w:val="131"/>
        </w:numPr>
        <w:rPr>
          <w:rFonts w:ascii="Arial" w:cs="Arial" w:eastAsia="Arial" w:hAnsi="Arial"/>
          <w:sz w:val="22"/>
          <w:szCs w:val="22"/>
          <w:color w:val="auto"/>
        </w:rPr>
      </w:pPr>
      <w:r>
        <w:rPr>
          <w:rFonts w:ascii="Arial" w:cs="Arial" w:eastAsia="Arial" w:hAnsi="Arial"/>
          <w:sz w:val="22"/>
          <w:szCs w:val="22"/>
          <w:color w:val="auto"/>
        </w:rPr>
        <w:t>Accelerate the time of payment of a Deceased Participant’s Account or deceased Beneficiary’s Account from the date or dates that payment would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86" w:name="page87"/>
    <w:bookmarkEnd w:id="86"/>
    <w:p>
      <w:pPr>
        <w:jc w:val="both"/>
        <w:spacing w:after="0" w:line="302" w:lineRule="auto"/>
        <w:rPr>
          <w:sz w:val="20"/>
          <w:szCs w:val="20"/>
          <w:color w:val="auto"/>
        </w:rPr>
      </w:pPr>
      <w:r>
        <w:rPr>
          <w:rFonts w:ascii="Arial" w:cs="Arial" w:eastAsia="Arial" w:hAnsi="Arial"/>
          <w:sz w:val="19"/>
          <w:szCs w:val="19"/>
          <w:color w:val="auto"/>
        </w:rPr>
        <w:t>be made or begin to the date that is the later of (A) six (6) months after the date of the Deceased Participant’s or deceased Beneficiary’s death and (B) January 2nd of the calendar year beginning after the Deceased Participant’s or deceased Beneficiary’s death, provided that if a Subsequent Election is made pursuant to this Section 3.5(e)(ii), the Deceased Participant’s Account or deceased Beneficiary’s Account shall be distributed in full on such accelerated payment date.</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Subsequent Election pursuant to this Section 3.5(e) must be filed with the Administrator within one hundred and twenty (120) days following the Deceased Participant’s or deceased Beneficiary’s death. One and only one Subsequent Election shall be permitted pursuant to this Section 3.5(e) with respect to a Deceased Participant’s Account or deceased Beneficiary’s Account, although if such Subsequent Election is filed pursuant to Section 3.5(e)(i), it may specify different changes for different parts of the Account.</w:t>
      </w:r>
    </w:p>
    <w:p>
      <w:pPr>
        <w:spacing w:after="0" w:line="192" w:lineRule="exact"/>
        <w:rPr>
          <w:sz w:val="20"/>
          <w:szCs w:val="20"/>
          <w:color w:val="auto"/>
        </w:rPr>
      </w:pPr>
    </w:p>
    <w:p>
      <w:pPr>
        <w:jc w:val="both"/>
        <w:ind w:firstLine="1952"/>
        <w:spacing w:after="0" w:line="288" w:lineRule="auto"/>
        <w:tabs>
          <w:tab w:leader="none" w:pos="2497"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Disabled Participant</w:t>
      </w:r>
      <w:r>
        <w:rPr>
          <w:rFonts w:ascii="Arial" w:cs="Arial" w:eastAsia="Arial" w:hAnsi="Arial"/>
          <w:sz w:val="19"/>
          <w:szCs w:val="19"/>
          <w:color w:val="auto"/>
        </w:rPr>
        <w:t>. A Disabled Participant (who has not been permitted to make a Subsequent Election under Section 3.5(h)) may elect to change the form of distribution from the form of distribution that the payment of the Disabled Participant’s Account would otherwise be made and may elect to accelerate the time of payment of the Disabled Participant’s Account from the date payment would otherwise be made to January 2nd of the calendar year beginning after the Participant became disabled. A Subsequent Election pursuant to this Section 3.5(f)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59" w:lineRule="exact"/>
        <w:rPr>
          <w:rFonts w:ascii="Arial" w:cs="Arial" w:eastAsia="Arial" w:hAnsi="Arial"/>
          <w:sz w:val="19"/>
          <w:szCs w:val="19"/>
          <w:color w:val="auto"/>
        </w:rPr>
      </w:pPr>
    </w:p>
    <w:p>
      <w:pPr>
        <w:jc w:val="both"/>
        <w:ind w:firstLine="1952"/>
        <w:spacing w:after="0" w:line="258" w:lineRule="auto"/>
        <w:tabs>
          <w:tab w:leader="none" w:pos="2412"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Retired Participant</w:t>
      </w:r>
      <w:r>
        <w:rPr>
          <w:rFonts w:ascii="Arial" w:cs="Arial" w:eastAsia="Arial" w:hAnsi="Arial"/>
          <w:sz w:val="21"/>
          <w:szCs w:val="21"/>
          <w:color w:val="auto"/>
        </w:rPr>
        <w:t>. A Retired Participant (who has not been permitted to make a Subsequent Election under Section 3.5(h)) may elect to change the form of distribution from the form of distribution that payment of the Retired Participant’s Account would otherwise be made and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or a calendar year, (ii) the 60th day following the Participant’s Normal Retirement after May 1 and before November 2 of a calendar year or (iii) the December 31 following the Participant’s Normal Retirement after November 1 of a calendar year.</w:t>
      </w:r>
    </w:p>
    <w:p>
      <w:pPr>
        <w:spacing w:after="0" w:line="185" w:lineRule="exact"/>
        <w:rPr>
          <w:rFonts w:ascii="Arial" w:cs="Arial" w:eastAsia="Arial" w:hAnsi="Arial"/>
          <w:sz w:val="21"/>
          <w:szCs w:val="21"/>
          <w:color w:val="auto"/>
        </w:rPr>
      </w:pPr>
    </w:p>
    <w:p>
      <w:pPr>
        <w:jc w:val="both"/>
        <w:ind w:firstLine="1952"/>
        <w:spacing w:after="0" w:line="253" w:lineRule="auto"/>
        <w:tabs>
          <w:tab w:leader="none" w:pos="2628"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Retired Participants and Disabled Participants</w:t>
      </w:r>
      <w:r>
        <w:rPr>
          <w:rFonts w:ascii="Arial" w:cs="Arial" w:eastAsia="Arial" w:hAnsi="Arial"/>
          <w:sz w:val="22"/>
          <w:szCs w:val="22"/>
          <w:color w:val="auto"/>
        </w:rPr>
        <w:t>. The Committee may, in its sole and absolute discretion, permit a Retired Participant or a Disabled Participant to make a Subsequent Election to change the form of distribution that the payment of the Retired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87" w:name="page88"/>
    <w:bookmarkEnd w:id="87"/>
    <w:p>
      <w:pPr>
        <w:spacing w:after="0" w:line="263" w:lineRule="auto"/>
        <w:rPr>
          <w:sz w:val="20"/>
          <w:szCs w:val="20"/>
          <w:color w:val="auto"/>
        </w:rPr>
      </w:pPr>
      <w:r>
        <w:rPr>
          <w:rFonts w:ascii="Arial" w:cs="Arial" w:eastAsia="Arial" w:hAnsi="Arial"/>
          <w:sz w:val="22"/>
          <w:szCs w:val="22"/>
          <w:color w:val="auto"/>
        </w:rPr>
        <w:t>Participant’s account would otherwise be made or to defer the time of payment of any part or all of such Retired or Disabled Participant’s Account—</w:t>
      </w:r>
    </w:p>
    <w:p>
      <w:pPr>
        <w:spacing w:after="0" w:line="175" w:lineRule="exact"/>
        <w:rPr>
          <w:sz w:val="20"/>
          <w:szCs w:val="20"/>
          <w:color w:val="auto"/>
        </w:rPr>
      </w:pPr>
    </w:p>
    <w:p>
      <w:pPr>
        <w:ind w:firstLine="2600"/>
        <w:spacing w:after="0" w:line="263" w:lineRule="auto"/>
        <w:tabs>
          <w:tab w:leader="none" w:pos="3019" w:val="left"/>
        </w:tabs>
        <w:numPr>
          <w:ilvl w:val="1"/>
          <w:numId w:val="133"/>
        </w:numPr>
        <w:rPr>
          <w:rFonts w:ascii="Arial" w:cs="Arial" w:eastAsia="Arial" w:hAnsi="Arial"/>
          <w:sz w:val="22"/>
          <w:szCs w:val="22"/>
          <w:color w:val="auto"/>
        </w:rPr>
      </w:pPr>
      <w:r>
        <w:rPr>
          <w:rFonts w:ascii="Arial" w:cs="Arial" w:eastAsia="Arial" w:hAnsi="Arial"/>
          <w:sz w:val="22"/>
          <w:szCs w:val="22"/>
          <w:color w:val="auto"/>
        </w:rPr>
        <w:t>With respect to Subsequent Elections filed on or before December 31, 2020, for a minimum of two (2) and a maximum of ten (10) additional years from the previously-elected payment date;</w:t>
      </w:r>
    </w:p>
    <w:p>
      <w:pPr>
        <w:spacing w:after="0" w:line="174" w:lineRule="exact"/>
        <w:rPr>
          <w:rFonts w:ascii="Arial" w:cs="Arial" w:eastAsia="Arial" w:hAnsi="Arial"/>
          <w:sz w:val="22"/>
          <w:szCs w:val="22"/>
          <w:color w:val="auto"/>
        </w:rPr>
      </w:pPr>
    </w:p>
    <w:p>
      <w:pPr>
        <w:ind w:left="3140" w:hanging="540"/>
        <w:spacing w:after="0"/>
        <w:tabs>
          <w:tab w:leader="none" w:pos="314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for a minimum of two</w:t>
      </w:r>
    </w:p>
    <w:p>
      <w:pPr>
        <w:spacing w:after="0" w:line="55" w:lineRule="exact"/>
        <w:rPr>
          <w:rFonts w:ascii="Arial" w:cs="Arial" w:eastAsia="Arial" w:hAnsi="Arial"/>
          <w:sz w:val="19"/>
          <w:szCs w:val="19"/>
          <w:color w:val="auto"/>
        </w:rPr>
      </w:pPr>
    </w:p>
    <w:p>
      <w:pPr>
        <w:ind w:left="320" w:hanging="312"/>
        <w:spacing w:after="0"/>
        <w:tabs>
          <w:tab w:leader="none" w:pos="32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and a maximum of seven (7) additional years from the previously-elected payment date;</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3.5(h) shall be determined by the Committee in its sole and absolute discretion.</w:t>
      </w:r>
    </w:p>
    <w:p>
      <w:pPr>
        <w:spacing w:after="0" w:line="188" w:lineRule="exact"/>
        <w:rPr>
          <w:sz w:val="20"/>
          <w:szCs w:val="20"/>
          <w:color w:val="auto"/>
        </w:rPr>
      </w:pPr>
    </w:p>
    <w:p>
      <w:pPr>
        <w:jc w:val="both"/>
        <w:ind w:firstLine="1952"/>
        <w:spacing w:after="0" w:line="250" w:lineRule="auto"/>
        <w:tabs>
          <w:tab w:leader="none" w:pos="2512"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Most Recently Filed Initial Election or Subsequent Election Controlling</w:t>
      </w:r>
      <w:r>
        <w:rPr>
          <w:rFonts w:ascii="Arial" w:cs="Arial" w:eastAsia="Arial" w:hAnsi="Arial"/>
          <w:sz w:val="22"/>
          <w:szCs w:val="22"/>
          <w:color w:val="auto"/>
        </w:rPr>
        <w:t>. Subject to acceleration pursuant to Section 3.5(e) or 3.5(f), Section 3.7 or Section 7.1,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8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Distribution in Full Upon Terminating Event</w:t>
      </w:r>
      <w:r>
        <w:rPr>
          <w:rFonts w:ascii="Arial" w:cs="Arial" w:eastAsia="Arial" w:hAnsi="Arial"/>
          <w:sz w:val="22"/>
          <w:szCs w:val="22"/>
          <w:color w:val="auto"/>
        </w:rPr>
        <w: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Initial Election or Subsequent Election, upon the consummation of a Terminating Event, the Account balance of each Participant shall be distributed in full and any outstanding Initial Elections or Subsequent Elections shall be revoked.</w:t>
      </w:r>
    </w:p>
    <w:p>
      <w:pPr>
        <w:spacing w:after="0" w:line="193"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u w:val="single" w:color="auto"/>
          <w:color w:val="auto"/>
        </w:rPr>
        <w:t>Withholding and Payment of Death Taxes</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48" w:lineRule="auto"/>
        <w:tabs>
          <w:tab w:leader="none" w:pos="249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3.7(b) to the Decedent’s Account unless the Decedent affirmatively has elected, in writing, filed with the Administrator, to waive the application of Section 3.7(b).</w:t>
      </w:r>
    </w:p>
    <w:p>
      <w:pPr>
        <w:spacing w:after="0" w:line="191" w:lineRule="exact"/>
        <w:rPr>
          <w:rFonts w:ascii="Arial" w:cs="Arial" w:eastAsia="Arial" w:hAnsi="Arial"/>
          <w:sz w:val="22"/>
          <w:szCs w:val="22"/>
          <w:color w:val="auto"/>
        </w:rPr>
      </w:pPr>
    </w:p>
    <w:p>
      <w:pPr>
        <w:ind w:left="2560" w:hanging="608"/>
        <w:spacing w:after="0"/>
        <w:tabs>
          <w:tab w:leader="none" w:pos="256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Unless the Decedent affirmatively has elected, pursuant to Section 3.7(a), that the terms of this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3.7(b) not apply:</w:t>
      </w:r>
    </w:p>
    <w:p>
      <w:pPr>
        <w:spacing w:after="0" w:line="201" w:lineRule="exact"/>
        <w:rPr>
          <w:rFonts w:ascii="Arial" w:cs="Arial" w:eastAsia="Arial" w:hAnsi="Arial"/>
          <w:sz w:val="19"/>
          <w:szCs w:val="19"/>
          <w:color w:val="auto"/>
        </w:rPr>
      </w:pPr>
    </w:p>
    <w:p>
      <w:pPr>
        <w:jc w:val="both"/>
        <w:ind w:firstLine="2600"/>
        <w:spacing w:after="0" w:line="253" w:lineRule="auto"/>
        <w:tabs>
          <w:tab w:leader="none" w:pos="3032" w:val="left"/>
        </w:tabs>
        <w:numPr>
          <w:ilvl w:val="1"/>
          <w:numId w:val="136"/>
        </w:numPr>
        <w:rPr>
          <w:rFonts w:ascii="Arial" w:cs="Arial" w:eastAsia="Arial" w:hAnsi="Arial"/>
          <w:sz w:val="22"/>
          <w:szCs w:val="22"/>
          <w:color w:val="auto"/>
        </w:rPr>
      </w:pPr>
      <w:r>
        <w:rPr>
          <w:rFonts w:ascii="Arial" w:cs="Arial" w:eastAsia="Arial" w:hAnsi="Arial"/>
          <w:sz w:val="22"/>
          <w:szCs w:val="22"/>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88" w:name="page89"/>
    <w:bookmarkEnd w:id="88"/>
    <w:p>
      <w:pPr>
        <w:ind w:firstLine="2600"/>
        <w:spacing w:after="0" w:line="287" w:lineRule="auto"/>
        <w:tabs>
          <w:tab w:leader="none" w:pos="3095"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Administrator shall defer payment of the Decedent’s Account until the later of the Death Tax Clearance Date and the payment date designated in the Decedent’s Initial Election or Subsequent Election;</w:t>
      </w:r>
    </w:p>
    <w:p>
      <w:pPr>
        <w:spacing w:after="0" w:line="151" w:lineRule="exact"/>
        <w:rPr>
          <w:rFonts w:ascii="Arial" w:cs="Arial" w:eastAsia="Arial" w:hAnsi="Arial"/>
          <w:sz w:val="21"/>
          <w:szCs w:val="21"/>
          <w:color w:val="auto"/>
        </w:rPr>
      </w:pPr>
    </w:p>
    <w:p>
      <w:pPr>
        <w:jc w:val="both"/>
        <w:ind w:firstLine="2600"/>
        <w:spacing w:after="0" w:line="297" w:lineRule="auto"/>
        <w:tabs>
          <w:tab w:leader="none" w:pos="316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46" w:lineRule="exact"/>
        <w:rPr>
          <w:rFonts w:ascii="Arial" w:cs="Arial" w:eastAsia="Arial" w:hAnsi="Arial"/>
          <w:sz w:val="19"/>
          <w:szCs w:val="19"/>
          <w:color w:val="auto"/>
        </w:rPr>
      </w:pPr>
    </w:p>
    <w:p>
      <w:pPr>
        <w:jc w:val="both"/>
        <w:ind w:firstLine="2600"/>
        <w:spacing w:after="0" w:line="292" w:lineRule="auto"/>
        <w:tabs>
          <w:tab w:leader="none" w:pos="3139"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50" w:lineRule="exact"/>
        <w:rPr>
          <w:rFonts w:ascii="Arial" w:cs="Arial" w:eastAsia="Arial" w:hAnsi="Arial"/>
          <w:sz w:val="19"/>
          <w:szCs w:val="19"/>
          <w:color w:val="auto"/>
        </w:rPr>
      </w:pPr>
    </w:p>
    <w:p>
      <w:pPr>
        <w:jc w:val="both"/>
        <w:ind w:firstLine="2600"/>
        <w:spacing w:after="0" w:line="253" w:lineRule="auto"/>
        <w:tabs>
          <w:tab w:leader="none" w:pos="3091"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85" w:lineRule="exact"/>
        <w:rPr>
          <w:rFonts w:ascii="Arial" w:cs="Arial" w:eastAsia="Arial" w:hAnsi="Arial"/>
          <w:sz w:val="22"/>
          <w:szCs w:val="22"/>
          <w:color w:val="auto"/>
        </w:rPr>
      </w:pPr>
    </w:p>
    <w:p>
      <w:pPr>
        <w:jc w:val="both"/>
        <w:ind w:firstLine="2600"/>
        <w:spacing w:after="0" w:line="253" w:lineRule="auto"/>
        <w:tabs>
          <w:tab w:leader="none" w:pos="320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79" w:lineRule="exact"/>
        <w:rPr>
          <w:sz w:val="20"/>
          <w:szCs w:val="20"/>
          <w:color w:val="auto"/>
        </w:rPr>
      </w:pPr>
    </w:p>
    <w:p>
      <w:pPr>
        <w:ind w:left="1300" w:right="3480" w:firstLine="2182"/>
        <w:spacing w:after="0" w:line="451" w:lineRule="auto"/>
        <w:rPr>
          <w:sz w:val="20"/>
          <w:szCs w:val="20"/>
          <w:color w:val="auto"/>
        </w:rPr>
      </w:pPr>
      <w:r>
        <w:rPr>
          <w:rFonts w:ascii="Arial" w:cs="Arial" w:eastAsia="Arial" w:hAnsi="Arial"/>
          <w:sz w:val="22"/>
          <w:szCs w:val="22"/>
          <w:b w:val="1"/>
          <w:bCs w:val="1"/>
          <w:color w:val="auto"/>
        </w:rPr>
        <w:t xml:space="preserve">ARTICLE 4– MANNER OF DISTRIBUTION </w:t>
      </w:r>
      <w:r>
        <w:rPr>
          <w:rFonts w:ascii="Arial" w:cs="Arial" w:eastAsia="Arial" w:hAnsi="Arial"/>
          <w:sz w:val="22"/>
          <w:szCs w:val="22"/>
          <w:color w:val="auto"/>
        </w:rPr>
        <w:t xml:space="preserve">4.1. </w:t>
      </w:r>
      <w:r>
        <w:rPr>
          <w:rFonts w:ascii="Arial" w:cs="Arial" w:eastAsia="Arial" w:hAnsi="Arial"/>
          <w:sz w:val="22"/>
          <w:szCs w:val="22"/>
          <w:u w:val="single" w:color="auto"/>
          <w:color w:val="auto"/>
        </w:rPr>
        <w:t>Manner of Distribution</w:t>
      </w:r>
      <w:r>
        <w:rPr>
          <w:rFonts w:ascii="Arial" w:cs="Arial" w:eastAsia="Arial" w:hAnsi="Arial"/>
          <w:sz w:val="22"/>
          <w:szCs w:val="22"/>
          <w:color w:val="auto"/>
        </w:rPr>
        <w:t>.</w:t>
      </w:r>
    </w:p>
    <w:p>
      <w:pPr>
        <w:ind w:left="2400" w:hanging="448"/>
        <w:spacing w:after="0"/>
        <w:tabs>
          <w:tab w:leader="none" w:pos="24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Amounts credited to an Account shall be distributed:</w:t>
      </w:r>
    </w:p>
    <w:p>
      <w:pPr>
        <w:spacing w:after="0" w:line="219" w:lineRule="exact"/>
        <w:rPr>
          <w:rFonts w:ascii="Arial" w:cs="Arial" w:eastAsia="Arial" w:hAnsi="Arial"/>
          <w:sz w:val="22"/>
          <w:szCs w:val="22"/>
          <w:color w:val="auto"/>
        </w:rPr>
      </w:pPr>
    </w:p>
    <w:p>
      <w:pPr>
        <w:jc w:val="both"/>
        <w:ind w:firstLine="2600"/>
        <w:spacing w:after="0" w:line="271" w:lineRule="auto"/>
        <w:tabs>
          <w:tab w:leader="none" w:pos="3014" w:val="left"/>
        </w:tabs>
        <w:numPr>
          <w:ilvl w:val="1"/>
          <w:numId w:val="138"/>
        </w:numPr>
        <w:rPr>
          <w:rFonts w:ascii="Arial" w:cs="Arial" w:eastAsia="Arial" w:hAnsi="Arial"/>
          <w:sz w:val="21"/>
          <w:szCs w:val="21"/>
          <w:color w:val="auto"/>
        </w:rPr>
      </w:pPr>
      <w:r>
        <w:rPr>
          <w:rFonts w:ascii="Arial" w:cs="Arial" w:eastAsia="Arial" w:hAnsi="Arial"/>
          <w:sz w:val="21"/>
          <w:szCs w:val="21"/>
          <w:color w:val="auto"/>
        </w:rPr>
        <w:t>With respect to Initial Elections or Subsequent Elections filed on or before December 31, 2020 in either (i) a lump sum payment or (ii) substantially equal annual installments over a five (5), ten (10) or fifteen (15) year period or (iii) substantially equal monthly installments over a period not exceeding fifteen (15) years.</w:t>
      </w:r>
    </w:p>
    <w:p>
      <w:pPr>
        <w:spacing w:after="0" w:line="167" w:lineRule="exact"/>
        <w:rPr>
          <w:rFonts w:ascii="Arial" w:cs="Arial" w:eastAsia="Arial" w:hAnsi="Arial"/>
          <w:sz w:val="21"/>
          <w:szCs w:val="21"/>
          <w:color w:val="auto"/>
        </w:rPr>
      </w:pPr>
    </w:p>
    <w:p>
      <w:pPr>
        <w:ind w:firstLine="2600"/>
        <w:spacing w:after="0" w:line="263" w:lineRule="auto"/>
        <w:tabs>
          <w:tab w:leader="none" w:pos="3099" w:val="left"/>
        </w:tabs>
        <w:numPr>
          <w:ilvl w:val="1"/>
          <w:numId w:val="138"/>
        </w:numPr>
        <w:rPr>
          <w:rFonts w:ascii="Arial" w:cs="Arial" w:eastAsia="Arial" w:hAnsi="Arial"/>
          <w:sz w:val="22"/>
          <w:szCs w:val="22"/>
          <w:color w:val="auto"/>
        </w:rPr>
      </w:pPr>
      <w:r>
        <w:rPr>
          <w:rFonts w:ascii="Arial" w:cs="Arial" w:eastAsia="Arial" w:hAnsi="Arial"/>
          <w:sz w:val="22"/>
          <w:szCs w:val="22"/>
          <w:color w:val="auto"/>
        </w:rPr>
        <w:t>With respect to Subsequent Elections filed after December 31, 2020, in either (i) a lump sum payment or (ii) substantially equal annual installments over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five- (5) or ten- (10) year period or (iii) substantially equal monthly installments over a period not exceeding ten (10) years.</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Installment distributions payable in the form of shares of Company Stock shall be rounded to the nearest whole share.</w:t>
      </w:r>
    </w:p>
    <w:p>
      <w:pPr>
        <w:spacing w:after="0" w:line="231" w:lineRule="exact"/>
        <w:rPr>
          <w:sz w:val="20"/>
          <w:szCs w:val="20"/>
          <w:color w:val="auto"/>
        </w:rPr>
      </w:pPr>
    </w:p>
    <w:p>
      <w:pPr>
        <w:ind w:left="2440" w:hanging="488"/>
        <w:spacing w:after="0"/>
        <w:tabs>
          <w:tab w:leader="none" w:pos="244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Notwithstanding any Initial Election or Subsequent Election or any other provision of the Plan to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contrary:</w:t>
      </w:r>
    </w:p>
    <w:p>
      <w:pPr>
        <w:spacing w:after="0" w:line="202" w:lineRule="exact"/>
        <w:rPr>
          <w:sz w:val="20"/>
          <w:szCs w:val="20"/>
          <w:color w:val="auto"/>
        </w:rPr>
      </w:pPr>
    </w:p>
    <w:p>
      <w:pPr>
        <w:jc w:val="both"/>
        <w:ind w:firstLine="2600"/>
        <w:spacing w:after="0" w:line="253" w:lineRule="auto"/>
        <w:tabs>
          <w:tab w:leader="none" w:pos="3063" w:val="left"/>
        </w:tabs>
        <w:numPr>
          <w:ilvl w:val="1"/>
          <w:numId w:val="140"/>
        </w:numPr>
        <w:rPr>
          <w:rFonts w:ascii="Arial" w:cs="Arial" w:eastAsia="Arial" w:hAnsi="Arial"/>
          <w:sz w:val="22"/>
          <w:szCs w:val="22"/>
          <w:color w:val="auto"/>
        </w:rPr>
      </w:pPr>
      <w:r>
        <w:rPr>
          <w:rFonts w:ascii="Arial" w:cs="Arial" w:eastAsia="Arial" w:hAnsi="Arial"/>
          <w:sz w:val="22"/>
          <w:szCs w:val="22"/>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85" w:lineRule="exact"/>
        <w:rPr>
          <w:rFonts w:ascii="Arial" w:cs="Arial" w:eastAsia="Arial" w:hAnsi="Arial"/>
          <w:sz w:val="22"/>
          <w:szCs w:val="22"/>
          <w:color w:val="auto"/>
        </w:rPr>
      </w:pPr>
    </w:p>
    <w:p>
      <w:pPr>
        <w:jc w:val="both"/>
        <w:ind w:firstLine="2600"/>
        <w:spacing w:after="0" w:line="288" w:lineRule="auto"/>
        <w:tabs>
          <w:tab w:leader="none" w:pos="3094" w:val="left"/>
        </w:tabs>
        <w:numPr>
          <w:ilvl w:val="1"/>
          <w:numId w:val="140"/>
        </w:numPr>
        <w:rPr>
          <w:rFonts w:ascii="Arial" w:cs="Arial" w:eastAsia="Arial" w:hAnsi="Arial"/>
          <w:sz w:val="19"/>
          <w:szCs w:val="19"/>
          <w:color w:val="auto"/>
        </w:rPr>
      </w:pPr>
      <w:r>
        <w:rPr>
          <w:rFonts w:ascii="Arial" w:cs="Arial" w:eastAsia="Arial" w:hAnsi="Arial"/>
          <w:sz w:val="19"/>
          <w:szCs w:val="19"/>
          <w:color w:val="auto"/>
        </w:rPr>
        <w:t>following a Participant’s termination of employment for any reason, if the amount credited to the Participant’s Account has a value of $25,000 or less, the Administrator may, in its sole discretion, direct that such amount be distributed to the Participant (or Beneficiary, as applicable) in one lump sum payment; provided, however, that this Section 4.1(b)</w:t>
      </w:r>
    </w:p>
    <w:p>
      <w:pPr>
        <w:ind w:firstLine="8"/>
        <w:spacing w:after="0" w:line="246" w:lineRule="auto"/>
        <w:tabs>
          <w:tab w:leader="none" w:pos="33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shall not apply to any amount credited to a Participant’s Account until the expiration of the deferral period applicable under any Initial Election or Subsequent Election in effect as of April 29, 2002.</w:t>
      </w:r>
    </w:p>
    <w:p>
      <w:pPr>
        <w:spacing w:after="0" w:line="192"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Determination of Account Balances for Purposes of Distribution</w:t>
      </w:r>
      <w:r>
        <w:rPr>
          <w:rFonts w:ascii="Arial" w:cs="Arial" w:eastAsia="Arial" w:hAnsi="Arial"/>
          <w:sz w:val="21"/>
          <w:szCs w:val="21"/>
          <w:color w:val="auto"/>
        </w:rPr>
        <w:t>.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175"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Plan-to-Plan Transfers</w:t>
      </w:r>
      <w:r>
        <w:rPr>
          <w:rFonts w:ascii="Arial" w:cs="Arial" w:eastAsia="Arial" w:hAnsi="Arial"/>
          <w:sz w:val="19"/>
          <w:szCs w:val="19"/>
          <w:color w:val="auto"/>
        </w:rPr>
        <w:t>. The Administrator may delegate its authority to arrange for plan-to-plan transfers as described in this Section 4.3 to an officer of the Company or committee of two or more officers of the Company.</w:t>
      </w:r>
    </w:p>
    <w:p>
      <w:pPr>
        <w:spacing w:after="0" w:line="104" w:lineRule="exact"/>
        <w:rPr>
          <w:sz w:val="20"/>
          <w:szCs w:val="20"/>
          <w:color w:val="auto"/>
        </w:rPr>
      </w:pPr>
    </w:p>
    <w:p>
      <w:pPr>
        <w:jc w:val="both"/>
        <w:ind w:firstLine="1952"/>
        <w:spacing w:after="0" w:line="247" w:lineRule="auto"/>
        <w:tabs>
          <w:tab w:leader="none" w:pos="2567"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92" w:lineRule="exact"/>
        <w:rPr>
          <w:rFonts w:ascii="Arial" w:cs="Arial" w:eastAsia="Arial" w:hAnsi="Arial"/>
          <w:sz w:val="22"/>
          <w:szCs w:val="22"/>
          <w:color w:val="auto"/>
        </w:rPr>
      </w:pPr>
    </w:p>
    <w:p>
      <w:pPr>
        <w:jc w:val="both"/>
        <w:ind w:right="20" w:firstLine="1952"/>
        <w:spacing w:after="0" w:line="312" w:lineRule="auto"/>
        <w:tabs>
          <w:tab w:leader="none" w:pos="242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Pursuant to Q-A 19(c) of </w:t>
      </w:r>
      <w:r>
        <w:rPr>
          <w:rFonts w:ascii="Arial" w:cs="Arial" w:eastAsia="Arial" w:hAnsi="Arial"/>
          <w:sz w:val="19"/>
          <w:szCs w:val="19"/>
          <w:i w:val="1"/>
          <w:iCs w:val="1"/>
          <w:color w:val="auto"/>
        </w:rPr>
        <w:t>IRS Notice 2005-1</w:t>
      </w:r>
      <w:r>
        <w:rPr>
          <w:rFonts w:ascii="Arial" w:cs="Arial" w:eastAsia="Arial" w:hAnsi="Arial"/>
          <w:sz w:val="19"/>
          <w:szCs w:val="19"/>
          <w:color w:val="auto"/>
        </w:rPr>
        <w:t>, to the extent provided by the Committee or its delegate, on or before December 31, 2005, a Participant may, with respect to all or any portion of his or her Account, make new payment elections as to the form and timing of payment of such amounts as may be permitted under the Comcast Corporation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90" w:name="page91"/>
    <w:bookmarkEnd w:id="90"/>
    <w:p>
      <w:pPr>
        <w:jc w:val="both"/>
        <w:spacing w:after="0" w:line="253" w:lineRule="auto"/>
        <w:rPr>
          <w:sz w:val="20"/>
          <w:szCs w:val="20"/>
          <w:color w:val="auto"/>
        </w:rPr>
      </w:pPr>
      <w:r>
        <w:rPr>
          <w:rFonts w:ascii="Arial" w:cs="Arial" w:eastAsia="Arial" w:hAnsi="Arial"/>
          <w:sz w:val="22"/>
          <w:szCs w:val="22"/>
          <w:color w:val="auto"/>
        </w:rPr>
        <w:t>2005 Deferred Compensation Plan, provided that following the completion of such new payment election, such amounts shall not be treated as grandfathered benefits under this Plan, but instead shall be treated as non-grandfathered benefits, subject to the rules of the Comcast Corporation 2005 Deferred Compensation Plan.</w:t>
      </w:r>
    </w:p>
    <w:p>
      <w:pPr>
        <w:spacing w:after="0" w:line="18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Supplemental RIP Legacy Accounts</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53" w:lineRule="auto"/>
        <w:tabs>
          <w:tab w:leader="none" w:pos="2413"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Earnings Adjustment</w:t>
      </w:r>
      <w:r>
        <w:rPr>
          <w:rFonts w:ascii="Arial" w:cs="Arial" w:eastAsia="Arial" w:hAnsi="Arial"/>
          <w:sz w:val="22"/>
          <w:szCs w:val="22"/>
          <w:color w:val="auto"/>
        </w:rPr>
        <w:t>. Except as otherwise provided in Section 5.2, as of the last day of each calendar year, each Supplemental RIP Legacy Account shall be adjusted as if such Account were invested at the rate of 12% per annum, compounded annually.</w:t>
      </w:r>
    </w:p>
    <w:p>
      <w:pPr>
        <w:spacing w:after="0" w:line="185" w:lineRule="exact"/>
        <w:rPr>
          <w:rFonts w:ascii="Arial" w:cs="Arial" w:eastAsia="Arial" w:hAnsi="Arial"/>
          <w:sz w:val="22"/>
          <w:szCs w:val="22"/>
          <w:color w:val="auto"/>
        </w:rPr>
      </w:pPr>
    </w:p>
    <w:p>
      <w:pPr>
        <w:jc w:val="both"/>
        <w:ind w:firstLine="1952"/>
        <w:spacing w:after="0" w:line="262" w:lineRule="auto"/>
        <w:tabs>
          <w:tab w:leader="none" w:pos="2533"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Distribution</w:t>
      </w:r>
      <w:r>
        <w:rPr>
          <w:rFonts w:ascii="Arial" w:cs="Arial" w:eastAsia="Arial" w:hAnsi="Arial"/>
          <w:sz w:val="20"/>
          <w:szCs w:val="20"/>
          <w:color w:val="auto"/>
        </w:rPr>
        <w:t>. A Participant with respect to whom a Supplemental RIP Legacy Account has been established under the Plan and whose employment terminates for any reason shall receive distribution of the Participant’s entire Supplemental RIP Legacy Account in one lump sum as soon after such termination of employment as is administratively feasible. The amount distributed shall be the balance of the Participant’s Supplemental RIP Legacy Account as of the preceding December 31</w:t>
      </w:r>
      <w:r>
        <w:rPr>
          <w:rFonts w:ascii="Arial" w:cs="Arial" w:eastAsia="Arial" w:hAnsi="Arial"/>
          <w:sz w:val="26"/>
          <w:szCs w:val="26"/>
          <w:color w:val="auto"/>
          <w:vertAlign w:val="superscript"/>
        </w:rPr>
        <w:t>st</w:t>
      </w:r>
      <w:r>
        <w:rPr>
          <w:rFonts w:ascii="Arial" w:cs="Arial" w:eastAsia="Arial" w:hAnsi="Arial"/>
          <w:sz w:val="20"/>
          <w:szCs w:val="20"/>
          <w:color w:val="auto"/>
        </w:rPr>
        <w:t>, increased by one percent for each completed month in the year of distribution preceding the date on which distribution is made, reduced by any applicable payroll taxes or required tax withholding.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 BOOK ACCOUNTS</w:t>
      </w:r>
    </w:p>
    <w:p>
      <w:pPr>
        <w:spacing w:after="0" w:line="22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Deferred Compensation Account</w:t>
      </w:r>
      <w:r>
        <w:rPr>
          <w:rFonts w:ascii="Arial" w:cs="Arial" w:eastAsia="Arial" w:hAnsi="Arial"/>
          <w:sz w:val="22"/>
          <w:szCs w:val="22"/>
          <w:color w:val="auto"/>
        </w:rPr>
        <w: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18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Crediting of Income, Gains, and Losses on Accounts</w:t>
      </w:r>
      <w:r>
        <w:rPr>
          <w:rFonts w:ascii="Arial" w:cs="Arial" w:eastAsia="Arial" w:hAnsi="Arial"/>
          <w:sz w:val="19"/>
          <w:szCs w:val="19"/>
          <w:color w:val="auto"/>
        </w:rPr>
        <w:t>.</w:t>
      </w:r>
    </w:p>
    <w:p>
      <w:pPr>
        <w:spacing w:after="0" w:line="220" w:lineRule="exact"/>
        <w:rPr>
          <w:sz w:val="20"/>
          <w:szCs w:val="20"/>
          <w:color w:val="auto"/>
        </w:rPr>
      </w:pPr>
    </w:p>
    <w:p>
      <w:pPr>
        <w:ind w:left="2400" w:hanging="448"/>
        <w:spacing w:after="0"/>
        <w:tabs>
          <w:tab w:leader="none" w:pos="2400"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for amounts credited to the Accounts of Participants who are:</w:t>
      </w:r>
    </w:p>
    <w:p>
      <w:pPr>
        <w:spacing w:after="0" w:line="219" w:lineRule="exact"/>
        <w:rPr>
          <w:rFonts w:ascii="Arial" w:cs="Arial" w:eastAsia="Arial" w:hAnsi="Arial"/>
          <w:sz w:val="22"/>
          <w:szCs w:val="22"/>
          <w:color w:val="auto"/>
        </w:rPr>
      </w:pPr>
    </w:p>
    <w:p>
      <w:pPr>
        <w:ind w:left="3060" w:hanging="460"/>
        <w:spacing w:after="0"/>
        <w:tabs>
          <w:tab w:leader="none" w:pos="306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Outside Directors who have elected to defer the receipt of Compensation payable in the form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 Company Stock;</w:t>
      </w:r>
    </w:p>
    <w:p>
      <w:pPr>
        <w:spacing w:after="0" w:line="202" w:lineRule="exact"/>
        <w:rPr>
          <w:sz w:val="20"/>
          <w:szCs w:val="20"/>
          <w:color w:val="auto"/>
        </w:rPr>
      </w:pPr>
    </w:p>
    <w:p>
      <w:pPr>
        <w:ind w:left="3100" w:hanging="500"/>
        <w:spacing w:after="0"/>
        <w:tabs>
          <w:tab w:leader="none" w:pos="31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Outside Directors whose Account has been credited to an Other Investment Fund pursuant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5.2(b)(1)(B)(3);</w:t>
      </w:r>
    </w:p>
    <w:p>
      <w:pPr>
        <w:spacing w:after="0" w:line="202" w:lineRule="exact"/>
        <w:rPr>
          <w:sz w:val="20"/>
          <w:szCs w:val="20"/>
          <w:color w:val="auto"/>
        </w:rPr>
      </w:pPr>
    </w:p>
    <w:p>
      <w:pPr>
        <w:ind w:left="3140" w:hanging="540"/>
        <w:spacing w:after="0"/>
        <w:tabs>
          <w:tab w:leader="none" w:pos="314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Covered Participants whose Account has been credited to an Other Investment Fund pursuant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to Section 5.2(b)(1)(B)(4);</w:t>
      </w:r>
    </w:p>
    <w:p>
      <w:pPr>
        <w:spacing w:after="0" w:line="202" w:lineRule="exact"/>
        <w:rPr>
          <w:sz w:val="20"/>
          <w:szCs w:val="20"/>
          <w:color w:val="auto"/>
        </w:rPr>
      </w:pPr>
    </w:p>
    <w:p>
      <w:pPr>
        <w:ind w:left="3120" w:hanging="520"/>
        <w:spacing w:after="0"/>
        <w:tabs>
          <w:tab w:leader="none" w:pos="31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Participants subject to the Income Fund Limit; and</w:t>
      </w:r>
    </w:p>
    <w:p>
      <w:pPr>
        <w:spacing w:after="0" w:line="219" w:lineRule="exact"/>
        <w:rPr>
          <w:rFonts w:ascii="Arial" w:cs="Arial" w:eastAsia="Arial" w:hAnsi="Arial"/>
          <w:sz w:val="22"/>
          <w:szCs w:val="22"/>
          <w:color w:val="auto"/>
        </w:rPr>
      </w:pPr>
    </w:p>
    <w:p>
      <w:pPr>
        <w:jc w:val="both"/>
        <w:ind w:firstLine="2600"/>
        <w:spacing w:after="0" w:line="253" w:lineRule="auto"/>
        <w:tabs>
          <w:tab w:leader="none" w:pos="313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Section 16 Officers who, pursuant to rules established by the Administrator or its delegate, have elected to transfer amounts credited to their Accounts that are deemed to be invested in the Income Fund to an Other Investment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91" w:name="page92"/>
    <w:bookmarkEnd w:id="91"/>
    <w:p>
      <w:pPr>
        <w:spacing w:after="0" w:line="263" w:lineRule="auto"/>
        <w:rPr>
          <w:sz w:val="20"/>
          <w:szCs w:val="20"/>
          <w:color w:val="auto"/>
        </w:rPr>
      </w:pPr>
      <w:r>
        <w:rPr>
          <w:rFonts w:ascii="Arial" w:cs="Arial" w:eastAsia="Arial" w:hAnsi="Arial"/>
          <w:sz w:val="22"/>
          <w:szCs w:val="22"/>
          <w:color w:val="auto"/>
        </w:rPr>
        <w:t>all amounts credited to Participants’ Accounts shall be credited with income, gains and losses as if they were invested in the Income Fund.</w:t>
      </w:r>
    </w:p>
    <w:p>
      <w:pPr>
        <w:spacing w:after="0" w:line="175" w:lineRule="exact"/>
        <w:rPr>
          <w:sz w:val="20"/>
          <w:szCs w:val="20"/>
          <w:color w:val="auto"/>
        </w:rPr>
      </w:pPr>
    </w:p>
    <w:p>
      <w:pPr>
        <w:ind w:left="2420" w:hanging="468"/>
        <w:spacing w:after="0"/>
        <w:tabs>
          <w:tab w:leader="none" w:pos="242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Crediting of Income, Gains, and Losses on Accounts Subject to Investment Restrictions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3020" w:hanging="420"/>
        <w:spacing w:after="0"/>
        <w:tabs>
          <w:tab w:leader="none" w:pos="3020" w:val="left"/>
        </w:tabs>
        <w:numPr>
          <w:ilvl w:val="1"/>
          <w:numId w:val="148"/>
        </w:numPr>
        <w:rPr>
          <w:rFonts w:ascii="Arial" w:cs="Arial" w:eastAsia="Arial" w:hAnsi="Arial"/>
          <w:sz w:val="22"/>
          <w:szCs w:val="22"/>
          <w:color w:val="auto"/>
        </w:rPr>
      </w:pPr>
      <w:r>
        <w:rPr>
          <w:rFonts w:ascii="Arial" w:cs="Arial" w:eastAsia="Arial" w:hAnsi="Arial"/>
          <w:sz w:val="22"/>
          <w:szCs w:val="22"/>
          <w:u w:val="single" w:color="auto"/>
          <w:color w:val="auto"/>
        </w:rPr>
        <w:t>Credits to Other Investment Funds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3896"/>
        <w:spacing w:after="0" w:line="253" w:lineRule="auto"/>
        <w:tabs>
          <w:tab w:leader="none" w:pos="4404" w:val="left"/>
        </w:tabs>
        <w:numPr>
          <w:ilvl w:val="2"/>
          <w:numId w:val="148"/>
        </w:numPr>
        <w:rPr>
          <w:rFonts w:ascii="Arial" w:cs="Arial" w:eastAsia="Arial" w:hAnsi="Arial"/>
          <w:sz w:val="22"/>
          <w:szCs w:val="22"/>
          <w:color w:val="auto"/>
        </w:rPr>
      </w:pPr>
      <w:r>
        <w:rPr>
          <w:rFonts w:ascii="Arial" w:cs="Arial" w:eastAsia="Arial" w:hAnsi="Arial"/>
          <w:sz w:val="22"/>
          <w:szCs w:val="22"/>
          <w:u w:val="single" w:color="auto"/>
          <w:color w:val="auto"/>
        </w:rPr>
        <w:t>Post-Termination Elections</w:t>
      </w:r>
      <w:r>
        <w:rPr>
          <w:rFonts w:ascii="Arial" w:cs="Arial" w:eastAsia="Arial" w:hAnsi="Arial"/>
          <w:sz w:val="22"/>
          <w:szCs w:val="22"/>
          <w:color w:val="auto"/>
        </w:rPr>
        <w:t>. The Accounts of Outside Directors and Section 16 Officers whose Subsequent Elections are made after their termination of service in accordance with Section 3.5(a) shall be credited to an Other Investment Fund.</w:t>
      </w:r>
    </w:p>
    <w:p>
      <w:pPr>
        <w:spacing w:after="0" w:line="185" w:lineRule="exact"/>
        <w:rPr>
          <w:rFonts w:ascii="Arial" w:cs="Arial" w:eastAsia="Arial" w:hAnsi="Arial"/>
          <w:sz w:val="22"/>
          <w:szCs w:val="22"/>
          <w:color w:val="auto"/>
        </w:rPr>
      </w:pPr>
    </w:p>
    <w:p>
      <w:pPr>
        <w:ind w:left="4400" w:hanging="504"/>
        <w:spacing w:after="0"/>
        <w:tabs>
          <w:tab w:leader="none" w:pos="4400" w:val="left"/>
        </w:tabs>
        <w:numPr>
          <w:ilvl w:val="2"/>
          <w:numId w:val="148"/>
        </w:numPr>
        <w:rPr>
          <w:rFonts w:ascii="Arial" w:cs="Arial" w:eastAsia="Arial" w:hAnsi="Arial"/>
          <w:sz w:val="22"/>
          <w:szCs w:val="22"/>
          <w:color w:val="auto"/>
        </w:rPr>
      </w:pPr>
      <w:r>
        <w:rPr>
          <w:rFonts w:ascii="Arial" w:cs="Arial" w:eastAsia="Arial" w:hAnsi="Arial"/>
          <w:sz w:val="22"/>
          <w:szCs w:val="22"/>
          <w:u w:val="single" w:color="auto"/>
          <w:color w:val="auto"/>
        </w:rPr>
        <w:t>Participants Whose Income Fund Exceeds the Income Fund Limit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4544"/>
        <w:spacing w:after="0" w:line="253" w:lineRule="auto"/>
        <w:tabs>
          <w:tab w:leader="none" w:pos="5098" w:val="left"/>
        </w:tabs>
        <w:numPr>
          <w:ilvl w:val="3"/>
          <w:numId w:val="148"/>
        </w:numPr>
        <w:rPr>
          <w:rFonts w:ascii="Arial" w:cs="Arial" w:eastAsia="Arial" w:hAnsi="Arial"/>
          <w:sz w:val="22"/>
          <w:szCs w:val="22"/>
          <w:color w:val="auto"/>
        </w:rPr>
      </w:pPr>
      <w:r>
        <w:rPr>
          <w:rFonts w:ascii="Arial" w:cs="Arial" w:eastAsia="Arial" w:hAnsi="Arial"/>
          <w:sz w:val="22"/>
          <w:szCs w:val="22"/>
          <w:u w:val="single" w:color="auto"/>
          <w:color w:val="auto"/>
        </w:rPr>
        <w:t>Subsequent Election</w:t>
      </w:r>
      <w:r>
        <w:rPr>
          <w:rFonts w:ascii="Arial" w:cs="Arial" w:eastAsia="Arial" w:hAnsi="Arial"/>
          <w:sz w:val="22"/>
          <w:szCs w:val="22"/>
          <w:color w:val="auto"/>
        </w:rPr>
        <w:t>. Amounts subject to a Subsequent Election that takes effect when the amount credited to the Income Fund with respect to a Participant exceeds $100 million shall be deemed invested in an Other Investment Fund.</w:t>
      </w:r>
    </w:p>
    <w:p>
      <w:pPr>
        <w:spacing w:after="0" w:line="185" w:lineRule="exact"/>
        <w:rPr>
          <w:rFonts w:ascii="Arial" w:cs="Arial" w:eastAsia="Arial" w:hAnsi="Arial"/>
          <w:sz w:val="22"/>
          <w:szCs w:val="22"/>
          <w:color w:val="auto"/>
        </w:rPr>
      </w:pPr>
    </w:p>
    <w:p>
      <w:pPr>
        <w:jc w:val="both"/>
        <w:ind w:firstLine="4544"/>
        <w:spacing w:after="0" w:line="247" w:lineRule="auto"/>
        <w:tabs>
          <w:tab w:leader="none" w:pos="5139" w:val="left"/>
        </w:tabs>
        <w:numPr>
          <w:ilvl w:val="3"/>
          <w:numId w:val="148"/>
        </w:numPr>
        <w:rPr>
          <w:rFonts w:ascii="Arial" w:cs="Arial" w:eastAsia="Arial" w:hAnsi="Arial"/>
          <w:sz w:val="22"/>
          <w:szCs w:val="22"/>
          <w:color w:val="auto"/>
        </w:rPr>
      </w:pPr>
      <w:r>
        <w:rPr>
          <w:rFonts w:ascii="Arial" w:cs="Arial" w:eastAsia="Arial" w:hAnsi="Arial"/>
          <w:sz w:val="22"/>
          <w:szCs w:val="22"/>
          <w:u w:val="single" w:color="auto"/>
          <w:color w:val="auto"/>
        </w:rPr>
        <w:t>Year-End Adjustments</w:t>
      </w:r>
      <w:r>
        <w:rPr>
          <w:rFonts w:ascii="Arial" w:cs="Arial" w:eastAsia="Arial" w:hAnsi="Arial"/>
          <w:sz w:val="22"/>
          <w:szCs w:val="22"/>
          <w:color w:val="auto"/>
        </w:rPr>
        <w:t>. Except with respect to Participants who are subject to Section 5.2(b)(i)(B)(3) or Section 5.2(b)(i)(B)(4), if the amount credited to the Income Fund with respect to a Participant exceeds $100 million as of the last day of a Plan Year, the lesser of (x) the amount credited to the Income Fund with respect to such Participant for such Plan Year or (y) the excess of (I) the amount credited to the Income Fund with respect to such Participant as of the last day of such Plan Year over (II) $100 million shall be transferred to an Other Investment Fund as of such last day.</w:t>
      </w:r>
    </w:p>
    <w:p>
      <w:pPr>
        <w:spacing w:after="0" w:line="192" w:lineRule="exact"/>
        <w:rPr>
          <w:rFonts w:ascii="Arial" w:cs="Arial" w:eastAsia="Arial" w:hAnsi="Arial"/>
          <w:sz w:val="22"/>
          <w:szCs w:val="22"/>
          <w:color w:val="auto"/>
        </w:rPr>
      </w:pPr>
    </w:p>
    <w:p>
      <w:pPr>
        <w:jc w:val="both"/>
        <w:ind w:firstLine="4544"/>
        <w:spacing w:after="0" w:line="287" w:lineRule="auto"/>
        <w:tabs>
          <w:tab w:leader="none" w:pos="5085" w:val="left"/>
        </w:tabs>
        <w:numPr>
          <w:ilvl w:val="3"/>
          <w:numId w:val="148"/>
        </w:numPr>
        <w:rPr>
          <w:rFonts w:ascii="Arial" w:cs="Arial" w:eastAsia="Arial" w:hAnsi="Arial"/>
          <w:sz w:val="19"/>
          <w:szCs w:val="19"/>
          <w:color w:val="auto"/>
        </w:rPr>
      </w:pPr>
      <w:r>
        <w:rPr>
          <w:rFonts w:ascii="Arial" w:cs="Arial" w:eastAsia="Arial" w:hAnsi="Arial"/>
          <w:sz w:val="19"/>
          <w:szCs w:val="19"/>
          <w:u w:val="single" w:color="auto"/>
          <w:color w:val="auto"/>
        </w:rPr>
        <w:t>Outside Directors</w:t>
      </w:r>
      <w:r>
        <w:rPr>
          <w:rFonts w:ascii="Arial" w:cs="Arial" w:eastAsia="Arial" w:hAnsi="Arial"/>
          <w:sz w:val="19"/>
          <w:szCs w:val="19"/>
          <w:color w:val="auto"/>
        </w:rPr>
        <w:t>. If an Outside Director’s Income Fund exceeds the Income Fund Limit as of February 28, 2021 and such Outside Director has consented to waive his or her rights with respect to (i) the Applicable Interest Rate applicable to such Outside Director’s Account for purposes of any current or future Initial Elections and Subsequent Elections while such individual is an Outside Director and (ii) the application of Section 10.2 to such Outside Director’s Account, the amount credited to the Outside Director’s Income Fund shall be transferred to an Other Investment Fund as of March 1, 2021, and all amounts credited to the Outside Director’s Account on and after March 1, 2021 shall be deemed invested in an Other Investment Fund. The amount credited to the Income Fund with respect to an individual who has an Account under the Plan and who becomes an Outside Director after March 1, 2021 shall be transferred to an Other Investment Fund as of the first day of the month next following the date such individual becomes an Outside Director, and all amounts credited to the Outside Director’s Account on and after such date shall be deemed invested in an Other Investment Fund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Outside Director has consented to waive his or her rights with respect to the Applicable Interest Rate applicable to such Outside Director’s Account for purposes of any current or future Initial Elections and Subsequent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92" w:name="page93"/>
    <w:bookmarkEnd w:id="92"/>
    <w:p>
      <w:pPr>
        <w:spacing w:after="0" w:line="263" w:lineRule="auto"/>
        <w:rPr>
          <w:sz w:val="20"/>
          <w:szCs w:val="20"/>
          <w:color w:val="auto"/>
        </w:rPr>
      </w:pPr>
      <w:r>
        <w:rPr>
          <w:rFonts w:ascii="Arial" w:cs="Arial" w:eastAsia="Arial" w:hAnsi="Arial"/>
          <w:sz w:val="22"/>
          <w:szCs w:val="22"/>
          <w:color w:val="auto"/>
        </w:rPr>
        <w:t>Elections while such individual is an Outside Director and (ii) the application of Section 10.2 to such Outside Director’s Account).</w:t>
      </w:r>
    </w:p>
    <w:p>
      <w:pPr>
        <w:spacing w:after="0" w:line="175" w:lineRule="exact"/>
        <w:rPr>
          <w:sz w:val="20"/>
          <w:szCs w:val="20"/>
          <w:color w:val="auto"/>
        </w:rPr>
      </w:pPr>
    </w:p>
    <w:p>
      <w:pPr>
        <w:jc w:val="both"/>
        <w:ind w:firstLine="4544"/>
        <w:spacing w:after="0" w:line="257" w:lineRule="auto"/>
        <w:tabs>
          <w:tab w:leader="none" w:pos="5058" w:val="left"/>
        </w:tabs>
        <w:numPr>
          <w:ilvl w:val="2"/>
          <w:numId w:val="149"/>
        </w:numPr>
        <w:rPr>
          <w:rFonts w:ascii="Arial" w:cs="Arial" w:eastAsia="Arial" w:hAnsi="Arial"/>
          <w:sz w:val="21"/>
          <w:szCs w:val="21"/>
          <w:color w:val="auto"/>
        </w:rPr>
      </w:pPr>
      <w:r>
        <w:rPr>
          <w:rFonts w:ascii="Arial" w:cs="Arial" w:eastAsia="Arial" w:hAnsi="Arial"/>
          <w:sz w:val="21"/>
          <w:szCs w:val="21"/>
          <w:u w:val="single" w:color="auto"/>
          <w:color w:val="auto"/>
        </w:rPr>
        <w:t>Covered Participants</w:t>
      </w:r>
      <w:r>
        <w:rPr>
          <w:rFonts w:ascii="Arial" w:cs="Arial" w:eastAsia="Arial" w:hAnsi="Arial"/>
          <w:sz w:val="21"/>
          <w:szCs w:val="21"/>
          <w:color w:val="auto"/>
        </w:rPr>
        <w:t>. If a Covered Participant’s Income Fund exceeds the Income Fund Limit as of February 28, 2021 and such Covered Participant has consented to waive his or her rights with respect to (i) the Applicable Interest Rate applicable to such Covered Participant’s Account for purposes of any current or future Initial Elections and Subsequent Elections while such individual is a Covered Participant and (ii) the application of Section 10.2 to such Covered Participant’s Account, the amount credited to the Covered Participant’s Income Fund shall be transferred to an Other Investment Fund as of March 1, 2021, and all amounts credited to the Covered Participant’s Account on and after March 1, 2021 shall be deemed invested in an Other Investment Fund. The amount credited to the Income Fund with respect to an individual who has an Account under the Plan and who becomes Covered Participant after February 28, 2021 shall be transferred to an Other Investment Fund as of the first day of the month next following the date such individual becomes a Covered Participant, and all amounts credited to the Covered Participant’s Account on and after such date shall be deemed invested in an Other Investment Fund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Covered Participant has consented to waive his or her rights with respect to the Applicable Interest Rate applicable to such Covered Participant’s Account for purposes of any current or future Initial Elections and Subsequent Elections while such individual is a Covered Participant and (ii) the application of Section 10.2 to such Covered Participant’s Account).</w:t>
      </w:r>
    </w:p>
    <w:p>
      <w:pPr>
        <w:spacing w:after="0" w:line="186" w:lineRule="exact"/>
        <w:rPr>
          <w:rFonts w:ascii="Arial" w:cs="Arial" w:eastAsia="Arial" w:hAnsi="Arial"/>
          <w:sz w:val="21"/>
          <w:szCs w:val="21"/>
          <w:color w:val="auto"/>
        </w:rPr>
      </w:pPr>
    </w:p>
    <w:p>
      <w:pPr>
        <w:jc w:val="both"/>
        <w:ind w:firstLine="3896"/>
        <w:spacing w:after="0" w:line="263" w:lineRule="auto"/>
        <w:tabs>
          <w:tab w:leader="none" w:pos="4446" w:val="left"/>
        </w:tabs>
        <w:numPr>
          <w:ilvl w:val="1"/>
          <w:numId w:val="150"/>
        </w:numPr>
        <w:rPr>
          <w:rFonts w:ascii="Arial" w:cs="Arial" w:eastAsia="Arial" w:hAnsi="Arial"/>
          <w:sz w:val="21"/>
          <w:szCs w:val="21"/>
          <w:color w:val="auto"/>
        </w:rPr>
      </w:pPr>
      <w:r>
        <w:rPr>
          <w:rFonts w:ascii="Arial" w:cs="Arial" w:eastAsia="Arial" w:hAnsi="Arial"/>
          <w:sz w:val="21"/>
          <w:szCs w:val="21"/>
          <w:u w:val="single" w:color="auto"/>
          <w:color w:val="auto"/>
        </w:rPr>
        <w:t>Section 16 Officers</w:t>
      </w:r>
      <w:r>
        <w:rPr>
          <w:rFonts w:ascii="Arial" w:cs="Arial" w:eastAsia="Arial" w:hAnsi="Arial"/>
          <w:sz w:val="21"/>
          <w:szCs w:val="21"/>
          <w:color w:val="auto"/>
        </w:rPr>
        <w:t>. Pursuant to rules established by the Administrator or its delegate, a Section 16 Officer may elect to (x) transfer amounts credited to their Account that are deemed to be invested in the Income Fund to an Other Investment Fund, or (y) transfer amounts credited to their Account that are deemed to be invested in an Other Investment Fund to the Income Fund to the extent that immediately after such transfer, the amount credited to such Section 16 Officer’s Income Fund does not exceed the Income Fund Limit.</w:t>
      </w:r>
    </w:p>
    <w:p>
      <w:pPr>
        <w:spacing w:after="0" w:line="175" w:lineRule="exact"/>
        <w:rPr>
          <w:rFonts w:ascii="Arial" w:cs="Arial" w:eastAsia="Arial" w:hAnsi="Arial"/>
          <w:sz w:val="21"/>
          <w:szCs w:val="21"/>
          <w:color w:val="auto"/>
        </w:rPr>
      </w:pPr>
    </w:p>
    <w:p>
      <w:pPr>
        <w:jc w:val="both"/>
        <w:ind w:firstLine="2600"/>
        <w:spacing w:after="0" w:line="258" w:lineRule="auto"/>
        <w:tabs>
          <w:tab w:leader="none" w:pos="3180"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Protocol for Deemed Transfers between Income Fund and an Other Investment Fund</w:t>
      </w:r>
      <w:r>
        <w:rPr>
          <w:rFonts w:ascii="Arial" w:cs="Arial" w:eastAsia="Arial" w:hAnsi="Arial"/>
          <w:sz w:val="21"/>
          <w:szCs w:val="21"/>
          <w:color w:val="auto"/>
        </w:rPr>
        <w:t>. As provided in Article III, the timing of distributions of amounts credited to a Participant’s Account is established pursuant to Initial Elections and Subsequent Elections, and a Participant may elect various distribution dates for amounts subject to Initial Elections and Subsequent Elections. Amounts deemed transferred from the Income Fund to Other Investment Funds as a result of the application of the Income Fund Limit or pursuant to elective transfers described in Section 5.2(b)(i)(C), and amounts deemed transferred from an Other Investment Fund to the Income Fund pursuant to elective transfers described in Section 5.2(b)(i)(C) shall be sourced and allocated on a uniform and consistent basis as determined by the Administrator,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93" w:name="page94"/>
    <w:bookmarkEnd w:id="93"/>
    <w:p>
      <w:pPr>
        <w:jc w:val="both"/>
        <w:ind w:firstLine="1952"/>
        <w:spacing w:after="0" w:line="246" w:lineRule="auto"/>
        <w:tabs>
          <w:tab w:leader="none" w:pos="2467"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Stock Fund Credits</w:t>
      </w:r>
      <w:r>
        <w:rPr>
          <w:rFonts w:ascii="Arial" w:cs="Arial" w:eastAsia="Arial" w:hAnsi="Arial"/>
          <w:sz w:val="22"/>
          <w:szCs w:val="22"/>
          <w:color w:val="auto"/>
        </w:rPr>
        <w:t>. Amounts credited to the Accounts of Outside Directors, Covered Participants, and High Balance Participants in the form of Company Stock shall be credited with income, gains, and losses as if they were invested in the Company Stock Fund. Except as otherwise provided with respect to Section 16 Officers pursuant to Section 5.2(b) (i)(C) or by the Administrator with respect to Participants who are not Section 16 Officers, no portion of such Participant’s Account may be deemed transferred from the Company Stock Fund to the Income Fund or to an Other Investment Fund. Amounts credited in the form of Company Stock at the time of distribution to the Accounts of (i) Outside Directors and (ii) Participants under circumstances described in Section 5.2(a)(v) shall be distributed in the form of Company Stock, rounded to the nearest lower whole share.</w:t>
      </w:r>
    </w:p>
    <w:p>
      <w:pPr>
        <w:spacing w:after="0" w:line="193" w:lineRule="exact"/>
        <w:rPr>
          <w:rFonts w:ascii="Arial" w:cs="Arial" w:eastAsia="Arial" w:hAnsi="Arial"/>
          <w:sz w:val="22"/>
          <w:szCs w:val="22"/>
          <w:color w:val="auto"/>
        </w:rPr>
      </w:pPr>
    </w:p>
    <w:p>
      <w:pPr>
        <w:jc w:val="both"/>
        <w:ind w:firstLine="1952"/>
        <w:spacing w:after="0" w:line="258" w:lineRule="auto"/>
        <w:tabs>
          <w:tab w:leader="none" w:pos="2425"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Timing of Credits</w:t>
      </w:r>
      <w:r>
        <w:rPr>
          <w:rFonts w:ascii="Arial" w:cs="Arial" w:eastAsia="Arial" w:hAnsi="Arial"/>
          <w:sz w:val="21"/>
          <w:szCs w:val="21"/>
          <w:color w:val="auto"/>
        </w:rPr>
        <w:t>. Except as otherwise provided in this Section 5.2,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(5)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an Other Investment Fund shall be based on hypothetical purchases and sales of such Other Investment Fund at Fair Market Value as of the effective date of the applicable investment election.</w:t>
      </w:r>
    </w:p>
    <w:p>
      <w:pPr>
        <w:spacing w:after="0" w:line="182" w:lineRule="exact"/>
        <w:rPr>
          <w:sz w:val="20"/>
          <w:szCs w:val="20"/>
          <w:color w:val="auto"/>
        </w:rPr>
      </w:pPr>
    </w:p>
    <w:p>
      <w:pPr>
        <w:jc w:val="both"/>
        <w:ind w:right="20" w:firstLine="1296"/>
        <w:spacing w:after="0" w:line="343"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Status of Deferred Amounts</w:t>
      </w:r>
      <w:r>
        <w:rPr>
          <w:rFonts w:ascii="Arial" w:cs="Arial" w:eastAsia="Arial" w:hAnsi="Arial"/>
          <w:sz w:val="19"/>
          <w:szCs w:val="19"/>
          <w:color w:val="auto"/>
        </w:rPr>
        <w:t>. Regardless of whether or not the Company is a Participant’s employer, all Compensation deferred under this Plan shall continue for all purposes to be a part of the general funds of the Company.</w:t>
      </w:r>
    </w:p>
    <w:p>
      <w:pPr>
        <w:spacing w:after="0" w:line="10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Participants’ Status as General Creditors</w:t>
      </w:r>
      <w:r>
        <w:rPr>
          <w:rFonts w:ascii="Arial" w:cs="Arial" w:eastAsia="Arial" w:hAnsi="Arial"/>
          <w:sz w:val="22"/>
          <w:szCs w:val="22"/>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 NO ALIENATION OF BENEFITS; PAYEE DESIGNATION</w:t>
      </w:r>
    </w:p>
    <w:p>
      <w:pPr>
        <w:spacing w:after="0" w:line="226"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94" w:name="page95"/>
    <w:bookmarkEnd w:id="94"/>
    <w:p>
      <w:pPr>
        <w:jc w:val="both"/>
        <w:spacing w:after="0" w:line="292" w:lineRule="auto"/>
        <w:rPr>
          <w:sz w:val="20"/>
          <w:szCs w:val="20"/>
          <w:color w:val="auto"/>
        </w:rPr>
      </w:pPr>
      <w:r>
        <w:rPr>
          <w:rFonts w:ascii="Arial" w:cs="Arial" w:eastAsia="Arial" w:hAnsi="Arial"/>
          <w:sz w:val="19"/>
          <w:szCs w:val="19"/>
          <w:color w:val="auto"/>
        </w:rPr>
        <w:t>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 DEATH OF PARTICIPANT</w:t>
      </w:r>
    </w:p>
    <w:p>
      <w:pPr>
        <w:spacing w:after="0" w:line="22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Death of Participant</w:t>
      </w:r>
      <w:r>
        <w:rPr>
          <w:rFonts w:ascii="Arial" w:cs="Arial" w:eastAsia="Arial" w:hAnsi="Arial"/>
          <w:sz w:val="22"/>
          <w:szCs w:val="22"/>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or change the manner of payment pursuant to Section 3.5.</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Designation of Beneficiaries</w:t>
      </w:r>
      <w:r>
        <w:rPr>
          <w:rFonts w:ascii="Arial" w:cs="Arial" w:eastAsia="Arial" w:hAnsi="Arial"/>
          <w:sz w:val="21"/>
          <w:szCs w:val="21"/>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 HARDSHIP DISTRIBUTIONS</w:t>
      </w:r>
    </w:p>
    <w:p>
      <w:pPr>
        <w:spacing w:after="0" w:line="22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 INTERPRETATION</w:t>
      </w:r>
    </w:p>
    <w:p>
      <w:pPr>
        <w:spacing w:after="0" w:line="22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Authority of Committee</w:t>
      </w:r>
      <w:r>
        <w:rPr>
          <w:rFonts w:ascii="Arial" w:cs="Arial" w:eastAsia="Arial" w:hAnsi="Arial"/>
          <w:sz w:val="22"/>
          <w:szCs w:val="22"/>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95" w:name="page96"/>
    <w:bookmarkEnd w:id="95"/>
    <w:p>
      <w:pPr>
        <w:jc w:val="both"/>
        <w:ind w:firstLine="1296"/>
        <w:spacing w:after="0" w:line="312"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Claims Procedure</w:t>
      </w:r>
      <w:r>
        <w:rPr>
          <w:rFonts w:ascii="Arial" w:cs="Arial" w:eastAsia="Arial" w:hAnsi="Arial"/>
          <w:sz w:val="19"/>
          <w:szCs w:val="19"/>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An Applicant may file a claim for benefits with the Administrator on a form supplied by the Administrator. If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Administrator wholly or partially denies a claim, the Administrator shall provide the Applicant with a written notice stating:</w:t>
      </w:r>
    </w:p>
    <w:p>
      <w:pPr>
        <w:spacing w:after="0" w:line="213" w:lineRule="exact"/>
        <w:rPr>
          <w:sz w:val="20"/>
          <w:szCs w:val="20"/>
          <w:color w:val="auto"/>
        </w:rPr>
      </w:pPr>
    </w:p>
    <w:p>
      <w:pPr>
        <w:ind w:left="2400" w:hanging="448"/>
        <w:spacing w:after="0"/>
        <w:tabs>
          <w:tab w:leader="none" w:pos="24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specific reason or reasons for the denial;</w:t>
      </w:r>
    </w:p>
    <w:p>
      <w:pPr>
        <w:spacing w:after="0" w:line="219" w:lineRule="exact"/>
        <w:rPr>
          <w:rFonts w:ascii="Arial" w:cs="Arial" w:eastAsia="Arial" w:hAnsi="Arial"/>
          <w:sz w:val="22"/>
          <w:szCs w:val="22"/>
          <w:color w:val="auto"/>
        </w:rPr>
      </w:pPr>
    </w:p>
    <w:p>
      <w:pPr>
        <w:ind w:left="2420" w:hanging="468"/>
        <w:spacing w:after="0"/>
        <w:tabs>
          <w:tab w:leader="none" w:pos="242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19" w:lineRule="exact"/>
        <w:rPr>
          <w:rFonts w:ascii="Arial" w:cs="Arial" w:eastAsia="Arial" w:hAnsi="Arial"/>
          <w:sz w:val="22"/>
          <w:szCs w:val="22"/>
          <w:color w:val="auto"/>
        </w:rPr>
      </w:pPr>
    </w:p>
    <w:p>
      <w:pPr>
        <w:ind w:right="20" w:firstLine="1952"/>
        <w:spacing w:after="0" w:line="263" w:lineRule="auto"/>
        <w:tabs>
          <w:tab w:leader="none" w:pos="249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Applicant to perfect the claim and an explanation of why such material or information is necessary; and</w:t>
      </w:r>
    </w:p>
    <w:p>
      <w:pPr>
        <w:spacing w:after="0" w:line="174" w:lineRule="exact"/>
        <w:rPr>
          <w:rFonts w:ascii="Arial" w:cs="Arial" w:eastAsia="Arial" w:hAnsi="Arial"/>
          <w:sz w:val="22"/>
          <w:szCs w:val="22"/>
          <w:color w:val="auto"/>
        </w:rPr>
      </w:pPr>
    </w:p>
    <w:p>
      <w:pPr>
        <w:ind w:left="2400" w:hanging="448"/>
        <w:spacing w:after="0"/>
        <w:tabs>
          <w:tab w:leader="none" w:pos="24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Appropriate information as to the steps to be taken in order to submit a claim for review.</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8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8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It is intended that the claims procedures of this Plan be administered in accordance with the claims procedure regulations of the Department of Labor set forth in 29 CFR § 2560.503-1.</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Claims for benefits under the Plan must be filed with the Administrator at the following address: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Comcast Corporation</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Comcast Center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1701 John F. Kennedy Boulevard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96" w:name="page97"/>
    <w:bookmarkEnd w:id="96"/>
    <w:p>
      <w:pPr>
        <w:ind w:left="1300"/>
        <w:spacing w:after="0"/>
        <w:rPr>
          <w:sz w:val="20"/>
          <w:szCs w:val="20"/>
          <w:color w:val="auto"/>
        </w:rPr>
      </w:pPr>
      <w:r>
        <w:rPr>
          <w:rFonts w:ascii="Arial" w:cs="Arial" w:eastAsia="Arial" w:hAnsi="Arial"/>
          <w:sz w:val="22"/>
          <w:szCs w:val="22"/>
          <w:color w:val="auto"/>
        </w:rPr>
        <w:t>Philadelphia, PA 19103</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 AMENDMENT OR TERMINATION</w:t>
      </w:r>
    </w:p>
    <w:p>
      <w:pPr>
        <w:spacing w:after="0" w:line="22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Amendment or Termination</w:t>
      </w:r>
      <w:r>
        <w:rPr>
          <w:rFonts w:ascii="Arial" w:cs="Arial" w:eastAsia="Arial" w:hAnsi="Arial"/>
          <w:sz w:val="22"/>
          <w:szCs w:val="22"/>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8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Amendment of Rate of Credited Earnings</w:t>
      </w:r>
      <w:r>
        <w:rPr>
          <w:rFonts w:ascii="Arial" w:cs="Arial" w:eastAsia="Arial" w:hAnsi="Arial"/>
          <w:sz w:val="19"/>
          <w:szCs w:val="19"/>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 WITHHOLDING OF TAXES</w:t>
      </w:r>
    </w:p>
    <w:p>
      <w:pPr>
        <w:spacing w:after="0" w:line="22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 MISCELLANEOUS PROVISIONS</w:t>
      </w:r>
    </w:p>
    <w:p>
      <w:pPr>
        <w:spacing w:after="0" w:line="22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Nothing contained herein shall be construed as conferring upon any Participant the right to remain in service as an Outside Director or in the employment of a Participating Company as an executive or in any other capacity.</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Expenses of Plan</w:t>
      </w:r>
      <w:r>
        <w:rPr>
          <w:rFonts w:ascii="Arial" w:cs="Arial" w:eastAsia="Arial" w:hAnsi="Arial"/>
          <w:sz w:val="19"/>
          <w:szCs w:val="19"/>
          <w:color w:val="auto"/>
        </w:rPr>
        <w:t>. All expenses of the Plan shall be paid by the Participating Companies.</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Gender and Number</w:t>
      </w:r>
      <w:r>
        <w:rPr>
          <w:rFonts w:ascii="Arial" w:cs="Arial" w:eastAsia="Arial" w:hAnsi="Arial"/>
          <w:sz w:val="22"/>
          <w:szCs w:val="22"/>
          <w:color w:val="auto"/>
        </w:rPr>
        <w:t>. Whenever any words are used herein in any specific gender, they shall be construed as though they were also used in any other applicable gender.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97" w:name="page98"/>
    <w:bookmarkEnd w:id="97"/>
    <w:p>
      <w:pPr>
        <w:spacing w:after="0"/>
        <w:rPr>
          <w:sz w:val="20"/>
          <w:szCs w:val="20"/>
          <w:color w:val="auto"/>
        </w:rPr>
      </w:pPr>
      <w:r>
        <w:rPr>
          <w:rFonts w:ascii="Arial" w:cs="Arial" w:eastAsia="Arial" w:hAnsi="Arial"/>
          <w:sz w:val="19"/>
          <w:szCs w:val="19"/>
          <w:color w:val="auto"/>
        </w:rPr>
        <w:t xml:space="preserve">The singular form, whenever used herein, shall mean or include the plural form, and </w:t>
      </w:r>
      <w:r>
        <w:rPr>
          <w:rFonts w:ascii="Arial" w:cs="Arial" w:eastAsia="Arial" w:hAnsi="Arial"/>
          <w:sz w:val="19"/>
          <w:szCs w:val="19"/>
          <w:i w:val="1"/>
          <w:iCs w:val="1"/>
          <w:color w:val="auto"/>
        </w:rPr>
        <w:t>vice versa</w:t>
      </w:r>
      <w:r>
        <w:rPr>
          <w:rFonts w:ascii="Arial" w:cs="Arial" w:eastAsia="Arial" w:hAnsi="Arial"/>
          <w:sz w:val="19"/>
          <w:szCs w:val="19"/>
          <w:color w:val="auto"/>
        </w:rPr>
        <w:t>, as the context may require.</w:t>
      </w:r>
    </w:p>
    <w:p>
      <w:pPr>
        <w:spacing w:after="0" w:line="254"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 xml:space="preserve">12.4. </w:t>
      </w:r>
      <w:r>
        <w:rPr>
          <w:rFonts w:ascii="Arial" w:cs="Arial" w:eastAsia="Arial" w:hAnsi="Arial"/>
          <w:sz w:val="19"/>
          <w:szCs w:val="19"/>
          <w:u w:val="single" w:color="auto"/>
          <w:color w:val="auto"/>
        </w:rPr>
        <w:t>Law Governing Construction</w:t>
      </w:r>
      <w:r>
        <w:rPr>
          <w:rFonts w:ascii="Arial" w:cs="Arial" w:eastAsia="Arial" w:hAnsi="Arial"/>
          <w:sz w:val="19"/>
          <w:szCs w:val="19"/>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3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Headings Not a Part Hereof</w:t>
      </w:r>
      <w:r>
        <w:rPr>
          <w:rFonts w:ascii="Arial" w:cs="Arial" w:eastAsia="Arial" w:hAnsi="Arial"/>
          <w:sz w:val="22"/>
          <w:szCs w:val="22"/>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Severability of Provisions</w:t>
      </w:r>
      <w:r>
        <w:rPr>
          <w:rFonts w:ascii="Arial" w:cs="Arial" w:eastAsia="Arial" w:hAnsi="Arial"/>
          <w:sz w:val="22"/>
          <w:szCs w:val="22"/>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79"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ARTICLE 13– EFFECTIVE DATE</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effective date of this amendment and restatement of the Plan shall be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98" w:name="page99"/>
    <w:bookmarkEnd w:id="98"/>
    <w:p>
      <w:pPr>
        <w:ind w:firstLine="648"/>
        <w:spacing w:after="0" w:line="270" w:lineRule="auto"/>
        <w:rPr>
          <w:sz w:val="20"/>
          <w:szCs w:val="20"/>
          <w:color w:val="auto"/>
        </w:rPr>
      </w:pPr>
      <w:r>
        <w:rPr>
          <w:rFonts w:ascii="Arial" w:cs="Arial" w:eastAsia="Arial" w:hAnsi="Arial"/>
          <w:sz w:val="22"/>
          <w:szCs w:val="22"/>
          <w:color w:val="auto"/>
        </w:rPr>
        <w:t>IN WITNESS WHEREOF, COMCAST CORPORATION has caused this Plan to be executed by its officers thereunto duly authorized, and its corporate seal to be affixed hereto, as of the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day of March 2021.</w:t>
      </w:r>
    </w:p>
    <w:p>
      <w:pPr>
        <w:spacing w:after="0" w:line="10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-17780</wp:posOffset>
            </wp:positionV>
            <wp:extent cx="14325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32560" cy="8255"/>
                    </a:xfrm>
                    <a:prstGeom prst="rect">
                      <a:avLst/>
                    </a:prstGeom>
                    <a:noFill/>
                  </pic:spPr>
                </pic:pic>
              </a:graphicData>
            </a:graphic>
          </wp:anchor>
        </w:drawing>
      </w:r>
    </w:p>
    <w:p>
      <w:pPr>
        <w:spacing w:after="0" w:line="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Thomas J. Reid</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2005 DEFERRED COMPENSATION PLAN</w:t>
      </w:r>
    </w:p>
    <w:p>
      <w:pPr>
        <w:spacing w:after="0" w:line="196" w:lineRule="exact"/>
        <w:rPr>
          <w:sz w:val="20"/>
          <w:szCs w:val="20"/>
          <w:color w:val="auto"/>
        </w:rPr>
      </w:pPr>
    </w:p>
    <w:p>
      <w:pPr>
        <w:ind w:left="660" w:right="2760" w:firstLine="2116"/>
        <w:spacing w:after="0" w:line="451" w:lineRule="auto"/>
        <w:rPr>
          <w:sz w:val="20"/>
          <w:szCs w:val="20"/>
          <w:color w:val="auto"/>
        </w:rPr>
      </w:pPr>
      <w:r>
        <w:rPr>
          <w:rFonts w:ascii="Arial" w:cs="Arial" w:eastAsia="Arial" w:hAnsi="Arial"/>
          <w:sz w:val="22"/>
          <w:szCs w:val="22"/>
          <w:b w:val="1"/>
          <w:bCs w:val="1"/>
          <w:color w:val="auto"/>
        </w:rPr>
        <w:t xml:space="preserve">ARTICLE 1– BACKGROUND AND COVERAGE OF PLAN </w:t>
      </w:r>
      <w:r>
        <w:rPr>
          <w:rFonts w:ascii="Arial" w:cs="Arial" w:eastAsia="Arial" w:hAnsi="Arial"/>
          <w:sz w:val="22"/>
          <w:szCs w:val="22"/>
          <w:color w:val="auto"/>
        </w:rPr>
        <w:t xml:space="preserve">1.1. </w:t>
      </w:r>
      <w:r>
        <w:rPr>
          <w:rFonts w:ascii="Arial" w:cs="Arial" w:eastAsia="Arial" w:hAnsi="Arial"/>
          <w:sz w:val="22"/>
          <w:szCs w:val="22"/>
          <w:u w:val="single" w:color="auto"/>
          <w:color w:val="auto"/>
        </w:rPr>
        <w:t>Background and Adoption of Plan</w:t>
      </w:r>
      <w:r>
        <w:rPr>
          <w:rFonts w:ascii="Arial" w:cs="Arial" w:eastAsia="Arial" w:hAnsi="Arial"/>
          <w:sz w:val="22"/>
          <w:szCs w:val="22"/>
          <w:color w:val="auto"/>
        </w:rPr>
        <w:t>.</w:t>
      </w:r>
    </w:p>
    <w:p>
      <w:pPr>
        <w:jc w:val="both"/>
        <w:ind w:firstLine="1944"/>
        <w:spacing w:after="0" w:line="259"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Amendment and Restatement of the Plan</w:t>
      </w:r>
      <w:r>
        <w:rPr>
          <w:rFonts w:ascii="Arial" w:cs="Arial" w:eastAsia="Arial" w:hAnsi="Arial"/>
          <w:sz w:val="21"/>
          <w:szCs w:val="21"/>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effective March 1, 2021. The Plan has previously been amended and restated from time to time,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to make desirable changes to the rules of the Plan.</w:t>
      </w:r>
    </w:p>
    <w:p>
      <w:pPr>
        <w:spacing w:after="0" w:line="183" w:lineRule="exact"/>
        <w:rPr>
          <w:sz w:val="20"/>
          <w:szCs w:val="20"/>
          <w:color w:val="auto"/>
        </w:rPr>
      </w:pPr>
    </w:p>
    <w:p>
      <w:pPr>
        <w:jc w:val="both"/>
        <w:ind w:firstLine="1944"/>
        <w:spacing w:after="0" w:line="247"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Prior Plan</w:t>
      </w:r>
      <w:r>
        <w:rPr>
          <w:rFonts w:ascii="Arial" w:cs="Arial" w:eastAsia="Arial" w:hAnsi="Arial"/>
          <w:sz w:val="22"/>
          <w:szCs w:val="22"/>
          <w:color w:val="auto"/>
        </w:rPr>
        <w:t>. Prior to January 1, 2005, the Comcast Corporation 2002 Deferred Compensation Plan (the “Prior Plan”) was in effect. In order to preserve the favorable tax treatment available to deferrals under the Prior Plan in light of the enactment of Section 409A, the Board has prohibited future deferrals under the Prior Plan of amounts earned and vested on and after January 1, 2005. Amounts earned and vested prior to January 1, 2005 are and will remain subject to the terms of the Prior Plan. Amounts earned and vested on and after January 1, 2005 will be available to be deferred pursuant to the Plan, subject to its terms and conditions.</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Reservation of Right to Amend to Comply with Section 409A</w:t>
      </w:r>
      <w:r>
        <w:rPr>
          <w:rFonts w:ascii="Arial" w:cs="Arial" w:eastAsia="Arial" w:hAnsi="Arial"/>
          <w:sz w:val="19"/>
          <w:szCs w:val="19"/>
          <w:color w:val="auto"/>
        </w:rPr>
        <w:t>. In addition to the powers reserved to the Board and the Committee under Article 10 of the Plan, the Board and the Committee reserve the right to amend the Plan, either retroactively or prospectively, in whatever respect is required to achieve and maintain compliance with the requirements of Section 409A.</w:t>
      </w:r>
    </w:p>
    <w:p>
      <w:pPr>
        <w:spacing w:after="0" w:line="1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Plan Unfunded and Limited to Outside Directors, Directors Emeriti and Select Group of Management or Highly</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Compensated Employees</w:t>
      </w:r>
      <w:r>
        <w:rPr>
          <w:rFonts w:ascii="Arial" w:cs="Arial" w:eastAsia="Arial" w:hAnsi="Arial"/>
          <w:sz w:val="22"/>
          <w:szCs w:val="22"/>
          <w:color w:val="auto"/>
        </w:rPr>
        <w:t>. The Plan is unfunded and is maintained primarily for the purpose of providing Outside Directors, Directors Emeriti and a select group of management or highly compensated employees the opportunity to defer the receipt of compensation otherwise payable to such Outside Directors, Directors Emeriti and eligible employees in accordance with the terms of the Plan.</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References to Written Forms, Elections and Notices</w:t>
      </w:r>
      <w:r>
        <w:rPr>
          <w:rFonts w:ascii="Arial" w:cs="Arial" w:eastAsia="Arial" w:hAnsi="Arial"/>
          <w:sz w:val="22"/>
          <w:szCs w:val="22"/>
          <w:color w:val="auto"/>
        </w:rPr>
        <w:t>. Any action under the Plan that requires a written form, election, notice or other action shall be treated as completed if taken via electronic or other means, to the extent authorized by the Administrator.</w:t>
      </w:r>
    </w:p>
    <w:p>
      <w:pPr>
        <w:sectPr>
          <w:pgSz w:w="11900" w:h="16838" w:orient="portrait"/>
          <w:cols w:equalWidth="0" w:num="1">
            <w:col w:w="11240"/>
          </w:cols>
          <w:pgMar w:left="320" w:top="126"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2"/>
          <w:szCs w:val="22"/>
          <w:b w:val="1"/>
          <w:bCs w:val="1"/>
          <w:color w:val="auto"/>
        </w:rPr>
        <w:t>ARTICLE 2– DEFINITIONS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2.1. “</w:t>
      </w:r>
      <w:r>
        <w:rPr>
          <w:rFonts w:ascii="Arial" w:cs="Arial" w:eastAsia="Arial" w:hAnsi="Arial"/>
          <w:sz w:val="22"/>
          <w:szCs w:val="22"/>
          <w:u w:val="single" w:color="auto"/>
          <w:color w:val="auto"/>
        </w:rPr>
        <w:t>Account</w:t>
      </w:r>
      <w:r>
        <w:rPr>
          <w:rFonts w:ascii="Arial" w:cs="Arial" w:eastAsia="Arial" w:hAnsi="Arial"/>
          <w:sz w:val="22"/>
          <w:szCs w:val="22"/>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8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Active Participant</w:t>
      </w:r>
      <w:r>
        <w:rPr>
          <w:rFonts w:ascii="Arial" w:cs="Arial" w:eastAsia="Arial" w:hAnsi="Arial"/>
          <w:sz w:val="19"/>
          <w:szCs w:val="19"/>
          <w:color w:val="auto"/>
        </w:rPr>
        <w:t>” means:</w:t>
      </w:r>
    </w:p>
    <w:p>
      <w:pPr>
        <w:spacing w:after="0" w:line="220" w:lineRule="exact"/>
        <w:rPr>
          <w:sz w:val="20"/>
          <w:szCs w:val="20"/>
          <w:color w:val="auto"/>
        </w:rPr>
      </w:pPr>
    </w:p>
    <w:p>
      <w:pPr>
        <w:ind w:left="2400" w:hanging="448"/>
        <w:spacing w:after="0"/>
        <w:tabs>
          <w:tab w:leader="none" w:pos="240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Each Participant who is in active service as an Outside Director or a Director Emeritus; and</w:t>
      </w:r>
    </w:p>
    <w:p>
      <w:pPr>
        <w:spacing w:after="0" w:line="231" w:lineRule="exact"/>
        <w:rPr>
          <w:rFonts w:ascii="Arial" w:cs="Arial" w:eastAsia="Arial" w:hAnsi="Arial"/>
          <w:sz w:val="21"/>
          <w:szCs w:val="21"/>
          <w:color w:val="auto"/>
        </w:rPr>
      </w:pPr>
    </w:p>
    <w:p>
      <w:pPr>
        <w:ind w:left="660" w:right="440" w:firstLine="1292"/>
        <w:spacing w:after="0" w:line="448" w:lineRule="auto"/>
        <w:tabs>
          <w:tab w:leader="none" w:pos="242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Each Participant who is actively employed by a Participating Company as an Eligible Employee. 2.3. “</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Committee or its delegate.</w:t>
      </w:r>
    </w:p>
    <w:p>
      <w:pPr>
        <w:spacing w:after="0" w:line="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2.4. “</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2.5. “</w:t>
      </w:r>
      <w:r>
        <w:rPr>
          <w:rFonts w:ascii="Arial" w:cs="Arial" w:eastAsia="Arial" w:hAnsi="Arial"/>
          <w:sz w:val="22"/>
          <w:szCs w:val="22"/>
          <w:u w:val="single" w:color="auto"/>
          <w:color w:val="auto"/>
        </w:rPr>
        <w:t>Annual Rate of Pay</w:t>
      </w:r>
      <w:r>
        <w:rPr>
          <w:rFonts w:ascii="Arial" w:cs="Arial" w:eastAsia="Arial" w:hAnsi="Arial"/>
          <w:sz w:val="22"/>
          <w:szCs w:val="22"/>
          <w:color w:val="auto"/>
        </w:rPr>
        <w:t>” means, as of any date, an employee’s annualized base pay rate. An employee’s Annual Rate of Pay shall not include sales commissions or other similar payments or awards, including payments earned under any sales incentive arrangement for employees of NBCUniversal.</w:t>
      </w:r>
    </w:p>
    <w:p>
      <w:pPr>
        <w:spacing w:after="0" w:line="18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Applicable Interest Rate</w:t>
      </w:r>
      <w:r>
        <w:rPr>
          <w:rFonts w:ascii="Arial" w:cs="Arial" w:eastAsia="Arial" w:hAnsi="Arial"/>
          <w:sz w:val="19"/>
          <w:szCs w:val="19"/>
          <w:color w:val="auto"/>
        </w:rPr>
        <w:t>.”</w:t>
      </w:r>
    </w:p>
    <w:p>
      <w:pPr>
        <w:spacing w:after="0" w:line="220" w:lineRule="exact"/>
        <w:rPr>
          <w:sz w:val="20"/>
          <w:szCs w:val="20"/>
          <w:color w:val="auto"/>
        </w:rPr>
      </w:pPr>
    </w:p>
    <w:p>
      <w:pPr>
        <w:ind w:left="2400" w:hanging="448"/>
        <w:spacing w:after="0"/>
        <w:tabs>
          <w:tab w:leader="none" w:pos="240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Active Participants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2600"/>
        <w:spacing w:after="0" w:line="250" w:lineRule="auto"/>
        <w:tabs>
          <w:tab w:leader="none" w:pos="3066" w:val="left"/>
        </w:tabs>
        <w:numPr>
          <w:ilvl w:val="1"/>
          <w:numId w:val="155"/>
        </w:numPr>
        <w:rPr>
          <w:rFonts w:ascii="Arial" w:cs="Arial" w:eastAsia="Arial" w:hAnsi="Arial"/>
          <w:sz w:val="22"/>
          <w:szCs w:val="22"/>
          <w:color w:val="auto"/>
        </w:rPr>
      </w:pPr>
      <w:r>
        <w:rPr>
          <w:rFonts w:ascii="Arial" w:cs="Arial" w:eastAsia="Arial" w:hAnsi="Arial"/>
          <w:sz w:val="22"/>
          <w:szCs w:val="22"/>
          <w:u w:val="single" w:color="auto"/>
          <w:color w:val="auto"/>
        </w:rPr>
        <w:t>Protected Account Balances</w:t>
      </w:r>
      <w:r>
        <w:rPr>
          <w:rFonts w:ascii="Arial" w:cs="Arial" w:eastAsia="Arial" w:hAnsi="Arial"/>
          <w:sz w:val="22"/>
          <w:szCs w:val="22"/>
          <w:color w:val="auto"/>
        </w:rPr>
        <w:t>. Except as otherwise provided in Section 2.6(b), with respect to Protected Account Balances, the term “Applicable Interest Rate,” means the interest rate that, when compounded daily pursuant to rules established by the Administrator from time to time, is mathematically equivalent to 12% (0.12) per annum, compounded annually.</w:t>
      </w:r>
    </w:p>
    <w:p>
      <w:pPr>
        <w:spacing w:after="0" w:line="187" w:lineRule="exact"/>
        <w:rPr>
          <w:rFonts w:ascii="Arial" w:cs="Arial" w:eastAsia="Arial" w:hAnsi="Arial"/>
          <w:sz w:val="22"/>
          <w:szCs w:val="22"/>
          <w:color w:val="auto"/>
        </w:rPr>
      </w:pPr>
    </w:p>
    <w:p>
      <w:pPr>
        <w:jc w:val="both"/>
        <w:ind w:firstLine="2600"/>
        <w:spacing w:after="0" w:line="248" w:lineRule="auto"/>
        <w:tabs>
          <w:tab w:leader="none" w:pos="3220" w:val="left"/>
        </w:tabs>
        <w:numPr>
          <w:ilvl w:val="1"/>
          <w:numId w:val="155"/>
        </w:numPr>
        <w:rPr>
          <w:rFonts w:ascii="Arial" w:cs="Arial" w:eastAsia="Arial" w:hAnsi="Arial"/>
          <w:sz w:val="22"/>
          <w:szCs w:val="22"/>
          <w:color w:val="auto"/>
        </w:rPr>
      </w:pPr>
      <w:r>
        <w:rPr>
          <w:rFonts w:ascii="Arial" w:cs="Arial" w:eastAsia="Arial" w:hAnsi="Arial"/>
          <w:sz w:val="22"/>
          <w:szCs w:val="22"/>
          <w:u w:val="single" w:color="auto"/>
          <w:color w:val="auto"/>
        </w:rPr>
        <w:t>Crediting Rate</w:t>
      </w:r>
      <w:r>
        <w:rPr>
          <w:rFonts w:ascii="Arial" w:cs="Arial" w:eastAsia="Arial" w:hAnsi="Arial"/>
          <w:sz w:val="22"/>
          <w:szCs w:val="22"/>
          <w:color w:val="auto"/>
        </w:rPr>
        <w:t>. Except as otherwise provided in Section 2.6(b), for amounts (other than Protected Account Balances) credited with respect to Initial Elections or pursuant to Section 3.8, and for amounts credited pursuant to Subsequent Elections that are attributable to such amounts, the term “Applicable Interest Rate,” means the interest rate that, when compounded daily pursuant to rules established by the Administrator from time to time, is mathematically equivalent to 9% (0.09) per annum, compounded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101" w:name="page102"/>
    <w:bookmarkEnd w:id="101"/>
    <w:p>
      <w:pPr>
        <w:jc w:val="both"/>
        <w:ind w:firstLine="1952"/>
        <w:spacing w:after="0" w:line="288" w:lineRule="auto"/>
        <w:tabs>
          <w:tab w:leader="none" w:pos="2466"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Termination or Transition of Service</w:t>
      </w:r>
      <w:r>
        <w:rPr>
          <w:rFonts w:ascii="Arial" w:cs="Arial" w:eastAsia="Arial" w:hAnsi="Arial"/>
          <w:sz w:val="19"/>
          <w:szCs w:val="19"/>
          <w:color w:val="auto"/>
        </w:rPr>
        <w:t>. Effective for the period beginning as soon as administratively practicable following (i) a significant reduction in a Participant’s compensation and services to the Company, as determined by the Administrator in its sole discretion, and (ii) a Participant’s employment termination date, in each case, to the date the Participant’s Account is distributed in full, the Administrator, in its sole discretion, may designate the term “Applicable Interest Rate” for such Participant’s Account to mean the lesser of (x) the rate in effect under Section 2.6(a) or (y) the Prime Rate plus one percent. A 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employment termination date. Notwithstanding the foregoing, the Administrator may delegate its authority to determine the Applicable Interest Rate under this Section 2.6(b) to an officer of the Company or committee of two or more officers of the Company.</w:t>
      </w:r>
    </w:p>
    <w:p>
      <w:pPr>
        <w:spacing w:after="0" w:line="1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2.7. “</w:t>
      </w:r>
      <w:r>
        <w:rPr>
          <w:rFonts w:ascii="Arial" w:cs="Arial" w:eastAsia="Arial" w:hAnsi="Arial"/>
          <w:sz w:val="21"/>
          <w:szCs w:val="21"/>
          <w:u w:val="single" w:color="auto"/>
          <w:color w:val="auto"/>
        </w:rPr>
        <w:t>Beneficiary</w:t>
      </w:r>
      <w:r>
        <w:rPr>
          <w:rFonts w:ascii="Arial" w:cs="Arial" w:eastAsia="Arial" w:hAnsi="Arial"/>
          <w:sz w:val="21"/>
          <w:szCs w:val="21"/>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8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2.9. “</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any transaction or series of transactions that constitutes a change in the ownership or effective control or a change in the ownership of a substantial portion of the assets of the Company, within the meaning of Section 409A.</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Comcast Spectacor</w:t>
      </w:r>
      <w:r>
        <w:rPr>
          <w:rFonts w:ascii="Arial" w:cs="Arial" w:eastAsia="Arial" w:hAnsi="Arial"/>
          <w:sz w:val="19"/>
          <w:szCs w:val="19"/>
          <w:color w:val="auto"/>
        </w:rPr>
        <w:t>” means Comcast Spectacor, L.P.</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Compensation Committee of the Board of Directors of the Company.</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Company</w:t>
      </w:r>
      <w:r>
        <w:rPr>
          <w:rFonts w:ascii="Arial" w:cs="Arial" w:eastAsia="Arial" w:hAnsi="Arial"/>
          <w:sz w:val="22"/>
          <w:szCs w:val="22"/>
          <w:color w:val="auto"/>
        </w:rPr>
        <w:t>” means Comcast Corporation, a Pennsylvania corporation, including any successor thereto by merger, consolidation, acquisition of all or substantially all the assets thereof, or otherwise.</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2.14. “</w:t>
      </w:r>
      <w:r>
        <w:rPr>
          <w:rFonts w:ascii="Arial" w:cs="Arial" w:eastAsia="Arial" w:hAnsi="Arial"/>
          <w:sz w:val="19"/>
          <w:szCs w:val="19"/>
          <w:u w:val="single" w:color="auto"/>
          <w:color w:val="auto"/>
        </w:rPr>
        <w:t>Company Stock</w:t>
      </w:r>
      <w:r>
        <w:rPr>
          <w:rFonts w:ascii="Arial" w:cs="Arial" w:eastAsia="Arial" w:hAnsi="Arial"/>
          <w:sz w:val="19"/>
          <w:szCs w:val="19"/>
          <w:color w:val="auto"/>
        </w:rPr>
        <w:t>” means with respect to amounts credited to the Company Stock Fund pursuant to (i) deferral elections by Outside Directors or Directors Emeriti made pursuant to Section 3.1(a), or (ii) deemed transfers pursuant to Article 5, Comcast Corporation Class A Common Stock, par value $0.01, and such other securities issued by the Company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02" w:name="page103"/>
    <w:bookmarkEnd w:id="102"/>
    <w:p>
      <w:pPr>
        <w:jc w:val="both"/>
        <w:spacing w:after="0" w:line="289" w:lineRule="auto"/>
        <w:rPr>
          <w:sz w:val="20"/>
          <w:szCs w:val="20"/>
          <w:color w:val="auto"/>
        </w:rPr>
      </w:pPr>
      <w:r>
        <w:rPr>
          <w:rFonts w:ascii="Arial" w:cs="Arial" w:eastAsia="Arial" w:hAnsi="Arial"/>
          <w:sz w:val="19"/>
          <w:szCs w:val="19"/>
          <w:color w:val="auto"/>
        </w:rPr>
        <w:t>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The number of hypothetical shares of Company Stock credited to a Participant’s Account shall be rounded down to the next lower share, and the value of fractional shares that otherwise have been credited to the Company Stock Fund shall be credited to the Income Fund. Any reference to the term “Company Stock” in the Plan shall be a reference to the appropriate number and class of shares of stock as adjusted pursuant to this Section 2.14. The Committee’s adjustment shall be effective and binding for all purposes of the Plan.</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2.15. “</w:t>
      </w:r>
      <w:r>
        <w:rPr>
          <w:rFonts w:ascii="Arial" w:cs="Arial" w:eastAsia="Arial" w:hAnsi="Arial"/>
          <w:sz w:val="19"/>
          <w:szCs w:val="19"/>
          <w:u w:val="single" w:color="auto"/>
          <w:color w:val="auto"/>
        </w:rPr>
        <w:t>Company Stock Fund</w:t>
      </w:r>
      <w:r>
        <w:rPr>
          <w:rFonts w:ascii="Arial" w:cs="Arial" w:eastAsia="Arial" w:hAnsi="Arial"/>
          <w:sz w:val="19"/>
          <w:szCs w:val="19"/>
          <w:color w:val="auto"/>
        </w:rPr>
        <w:t xml:space="preserve">” means a hypothetical investment fund pursuant to which income, gains and losses are credited to a Participant’s Account as if the Account, to the extent deemed invested in the Company Stock Fund, were invested in hypothetical shares of Company Stock, and, except as otherwise provided in Section 2.14 with respect to fractional shares, all dividends and other distributions paid with respect to Company Stock shall be credited to an Other Investment Fund as a hypothetical purchase on the applicable dividend or distribution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with respect to Company Stock credited to the Accounts of Outside Directors, dividends and other distributions shall be credited to the Company Stock Fund as a hypothetical purchase of Company Stock at Fair Market Value on the applicable dividend or distribution payment date and (b) with respect to Company Stock credited to the Accounts of Covered Participants, dividends and other distributions paid after February 28, 2021 shall be credited to one or more Other Investment Funds as a hypothetical purchase on the applicable dividend or distribution payment date. Except to the extent provided by Section 5.2(b)(i)(C) with respect to Section 16 Officers or by the Administrator with respect to Participants who are not Section 16 Officers, amounts credited to the Company Stock Fund may not thereafter be transferred to the Income Fund or another Other Investment Fund.</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Compensation</w:t>
      </w:r>
      <w:r>
        <w:rPr>
          <w:rFonts w:ascii="Arial" w:cs="Arial" w:eastAsia="Arial" w:hAnsi="Arial"/>
          <w:sz w:val="19"/>
          <w:szCs w:val="19"/>
          <w:color w:val="auto"/>
        </w:rPr>
        <w:t>” means:</w:t>
      </w:r>
    </w:p>
    <w:p>
      <w:pPr>
        <w:spacing w:after="0" w:line="220" w:lineRule="exact"/>
        <w:rPr>
          <w:sz w:val="20"/>
          <w:szCs w:val="20"/>
          <w:color w:val="auto"/>
        </w:rPr>
      </w:pPr>
    </w:p>
    <w:p>
      <w:pPr>
        <w:jc w:val="both"/>
        <w:ind w:firstLine="1952"/>
        <w:spacing w:after="0" w:line="250" w:lineRule="auto"/>
        <w:tabs>
          <w:tab w:leader="none" w:pos="2489"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In the case of an Outside Director, the total remuneration payable in cash or payable in Company Stock (as elected by an Outside Director pursuant to the Comcast Corporation 2002 Non-Employee Director Compensation Plan) for services as a member of the Board and as a member of any Committee of the Board and in the case of a Director Emeritus, the total remuneration payable in cash for services to the Board.</w:t>
      </w:r>
    </w:p>
    <w:p>
      <w:pPr>
        <w:spacing w:after="0" w:line="187" w:lineRule="exact"/>
        <w:rPr>
          <w:rFonts w:ascii="Arial" w:cs="Arial" w:eastAsia="Arial" w:hAnsi="Arial"/>
          <w:sz w:val="22"/>
          <w:szCs w:val="22"/>
          <w:color w:val="auto"/>
        </w:rPr>
      </w:pPr>
    </w:p>
    <w:p>
      <w:pPr>
        <w:jc w:val="both"/>
        <w:ind w:firstLine="1952"/>
        <w:spacing w:after="0" w:line="248" w:lineRule="auto"/>
        <w:tabs>
          <w:tab w:leader="none" w:pos="2639" w:val="left"/>
        </w:tabs>
        <w:numPr>
          <w:ilvl w:val="0"/>
          <w:numId w:val="157"/>
        </w:numPr>
        <w:rPr>
          <w:rFonts w:ascii="Arial" w:cs="Arial" w:eastAsia="Arial" w:hAnsi="Arial"/>
          <w:sz w:val="22"/>
          <w:szCs w:val="22"/>
          <w:color w:val="auto"/>
        </w:rPr>
      </w:pPr>
      <w:r>
        <w:rPr>
          <w:rFonts w:ascii="Arial" w:cs="Arial" w:eastAsia="Arial" w:hAnsi="Arial"/>
          <w:sz w:val="22"/>
          <w:szCs w:val="22"/>
          <w:color w:val="auto"/>
        </w:rPr>
        <w:t>In the case of an Eligible Employee, the total cash remuneration for services payable by a Participating Company, excluding (i) Severance Pay, (ii) sales commissions or other similar payments or awards other than cash bonus arrangements described in Section 2.16(c), (iii) bonuses earned under any program designated by the Company’s Programming Division as a “long-term incentive plan” and (iv) cash bonuses earned under any long-term incentive plan for employees of NBCUniversal.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03" w:name="page104"/>
    <w:bookmarkEnd w:id="103"/>
    <w:p>
      <w:pPr>
        <w:jc w:val="both"/>
        <w:ind w:firstLine="1952"/>
        <w:spacing w:after="0" w:line="247" w:lineRule="auto"/>
        <w:tabs>
          <w:tab w:leader="none" w:pos="2487" w:val="left"/>
        </w:tabs>
        <w:numPr>
          <w:ilvl w:val="0"/>
          <w:numId w:val="158"/>
        </w:numPr>
        <w:rPr>
          <w:rFonts w:ascii="Arial" w:cs="Arial" w:eastAsia="Arial" w:hAnsi="Arial"/>
          <w:sz w:val="22"/>
          <w:szCs w:val="22"/>
          <w:color w:val="auto"/>
        </w:rPr>
      </w:pPr>
      <w:r>
        <w:rPr>
          <w:rFonts w:ascii="Arial" w:cs="Arial" w:eastAsia="Arial" w:hAnsi="Arial"/>
          <w:sz w:val="22"/>
          <w:szCs w:val="22"/>
          <w:color w:val="auto"/>
        </w:rPr>
        <w:t>Except as otherwise provided by the Administrator, with respect to any Eligible Employee who is employed by NBCUniversal or any cash bonus arrangement maintained for the benefit of employees of NBCUniversal under which there is a defined sales incentive target goal and target payout that provides for payment on a quarterly, semi-annual or annual basis, the term “Compensation” shall include cash bonuses earned under any such sales incentive arrangement for employees of NBCUniversal, provided that such cash bonus arrangement is the exclusive cash bonus arrangement in which such Eligible Employee is eligible to participate.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Contribution Limit</w:t>
      </w:r>
      <w:r>
        <w:rPr>
          <w:rFonts w:ascii="Arial" w:cs="Arial" w:eastAsia="Arial" w:hAnsi="Arial"/>
          <w:sz w:val="19"/>
          <w:szCs w:val="19"/>
          <w:color w:val="auto"/>
        </w:rPr>
        <w:t>” means</w:t>
      </w:r>
    </w:p>
    <w:p>
      <w:pPr>
        <w:spacing w:after="0" w:line="220" w:lineRule="exact"/>
        <w:rPr>
          <w:sz w:val="20"/>
          <w:szCs w:val="20"/>
          <w:color w:val="auto"/>
        </w:rPr>
      </w:pPr>
    </w:p>
    <w:p>
      <w:pPr>
        <w:ind w:left="2500" w:hanging="548"/>
        <w:spacing w:after="0"/>
        <w:tabs>
          <w:tab w:leader="none" w:pos="250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For Plan Years beginning on and after January 1, 2022, the product of (i) five (5) times (ii) Total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Compensation.</w:t>
      </w:r>
    </w:p>
    <w:p>
      <w:pPr>
        <w:spacing w:after="0" w:line="202" w:lineRule="exact"/>
        <w:rPr>
          <w:sz w:val="20"/>
          <w:szCs w:val="20"/>
          <w:color w:val="auto"/>
        </w:rPr>
      </w:pPr>
    </w:p>
    <w:p>
      <w:pPr>
        <w:ind w:left="2520" w:hanging="568"/>
        <w:spacing w:after="0"/>
        <w:tabs>
          <w:tab w:leader="none" w:pos="252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For Plan Years beginning before December 31, 2021, the product of (i) seven (7) times (ii) Total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Compensation.</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2.18. “</w:t>
      </w:r>
      <w:r>
        <w:rPr>
          <w:rFonts w:ascii="Arial" w:cs="Arial" w:eastAsia="Arial" w:hAnsi="Arial"/>
          <w:sz w:val="19"/>
          <w:szCs w:val="19"/>
          <w:u w:val="single" w:color="auto"/>
          <w:color w:val="auto"/>
        </w:rPr>
        <w:t>Covered Participant</w:t>
      </w:r>
      <w:r>
        <w:rPr>
          <w:rFonts w:ascii="Arial" w:cs="Arial" w:eastAsia="Arial" w:hAnsi="Arial"/>
          <w:sz w:val="19"/>
          <w:szCs w:val="19"/>
          <w:color w:val="auto"/>
        </w:rPr>
        <w:t>” means, as of any relevant date of determination, (i) any Section 16 Officer for whom disclosure was required pursuant to Item 402 of SEC Regulation S-K in the Company’s most recent filing with the SEC under the Securities Exchange Act of 1934, as amended, and (ii) any individual, as determined by the Committee in its discretion.</w:t>
      </w:r>
    </w:p>
    <w:p>
      <w:pPr>
        <w:spacing w:after="0" w:line="1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2.19. “</w:t>
      </w:r>
      <w:r>
        <w:rPr>
          <w:rFonts w:ascii="Arial" w:cs="Arial" w:eastAsia="Arial" w:hAnsi="Arial"/>
          <w:sz w:val="19"/>
          <w:szCs w:val="19"/>
          <w:u w:val="single" w:color="auto"/>
          <w:color w:val="auto"/>
        </w:rPr>
        <w:t>Death Tax Clearance Date</w:t>
      </w:r>
      <w:r>
        <w:rPr>
          <w:rFonts w:ascii="Arial" w:cs="Arial" w:eastAsia="Arial" w:hAnsi="Arial"/>
          <w:sz w:val="19"/>
          <w:szCs w:val="19"/>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2.20. “</w:t>
      </w:r>
      <w:r>
        <w:rPr>
          <w:rFonts w:ascii="Arial" w:cs="Arial" w:eastAsia="Arial" w:hAnsi="Arial"/>
          <w:sz w:val="22"/>
          <w:szCs w:val="22"/>
          <w:u w:val="single" w:color="auto"/>
          <w:color w:val="auto"/>
        </w:rPr>
        <w:t>Death Taxes</w:t>
      </w:r>
      <w:r>
        <w:rPr>
          <w:rFonts w:ascii="Arial" w:cs="Arial" w:eastAsia="Arial" w:hAnsi="Arial"/>
          <w:sz w:val="22"/>
          <w:szCs w:val="22"/>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2.21. “</w:t>
      </w:r>
      <w:r>
        <w:rPr>
          <w:rFonts w:ascii="Arial" w:cs="Arial" w:eastAsia="Arial" w:hAnsi="Arial"/>
          <w:sz w:val="22"/>
          <w:szCs w:val="22"/>
          <w:u w:val="single" w:color="auto"/>
          <w:color w:val="auto"/>
        </w:rPr>
        <w:t>Deceased Participant</w:t>
      </w:r>
      <w:r>
        <w:rPr>
          <w:rFonts w:ascii="Arial" w:cs="Arial" w:eastAsia="Arial" w:hAnsi="Arial"/>
          <w:sz w:val="22"/>
          <w:szCs w:val="22"/>
          <w:color w:val="auto"/>
        </w:rPr>
        <w:t>” means a Participant whose employment, or, in the case of a Participant who was an Outside Director or Director Emeritus, a Participant whose service as an Outside Director or Director Emeritus, is terminated by death.</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2.22. “</w:t>
      </w:r>
      <w:r>
        <w:rPr>
          <w:rFonts w:ascii="Arial" w:cs="Arial" w:eastAsia="Arial" w:hAnsi="Arial"/>
          <w:sz w:val="22"/>
          <w:szCs w:val="22"/>
          <w:u w:val="single" w:color="auto"/>
          <w:color w:val="auto"/>
        </w:rPr>
        <w:t>Director Emeritus</w:t>
      </w:r>
      <w:r>
        <w:rPr>
          <w:rFonts w:ascii="Arial" w:cs="Arial" w:eastAsia="Arial" w:hAnsi="Arial"/>
          <w:sz w:val="22"/>
          <w:szCs w:val="22"/>
          <w:color w:val="auto"/>
        </w:rPr>
        <w:t>” means an individual designated by the Board, in its sole discretion, as Director Emeritus, pursuant to the Board’s Director Emeritus Policy.</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04" w:name="page105"/>
    <w:bookmarkEnd w:id="104"/>
    <w:p>
      <w:pPr>
        <w:jc w:val="both"/>
        <w:ind w:firstLine="1952"/>
        <w:spacing w:after="0" w:line="253" w:lineRule="auto"/>
        <w:tabs>
          <w:tab w:leader="none" w:pos="2523"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185" w:lineRule="exact"/>
        <w:rPr>
          <w:rFonts w:ascii="Arial" w:cs="Arial" w:eastAsia="Arial" w:hAnsi="Arial"/>
          <w:sz w:val="22"/>
          <w:szCs w:val="22"/>
          <w:color w:val="auto"/>
        </w:rPr>
      </w:pPr>
    </w:p>
    <w:p>
      <w:pPr>
        <w:jc w:val="both"/>
        <w:ind w:firstLine="1952"/>
        <w:spacing w:after="0" w:line="250" w:lineRule="auto"/>
        <w:tabs>
          <w:tab w:leader="none" w:pos="2446" w:val="left"/>
        </w:tabs>
        <w:numPr>
          <w:ilvl w:val="0"/>
          <w:numId w:val="161"/>
        </w:numPr>
        <w:rPr>
          <w:rFonts w:ascii="Arial" w:cs="Arial" w:eastAsia="Arial" w:hAnsi="Arial"/>
          <w:sz w:val="22"/>
          <w:szCs w:val="22"/>
          <w:color w:val="auto"/>
        </w:rPr>
      </w:pPr>
      <w:r>
        <w:rPr>
          <w:rFonts w:ascii="Arial" w:cs="Arial" w:eastAsia="Arial" w:hAnsi="Arial"/>
          <w:sz w:val="22"/>
          <w:szCs w:val="22"/>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Disabled Participant</w:t>
      </w:r>
      <w:r>
        <w:rPr>
          <w:rFonts w:ascii="Arial" w:cs="Arial" w:eastAsia="Arial" w:hAnsi="Arial"/>
          <w:sz w:val="19"/>
          <w:szCs w:val="19"/>
          <w:color w:val="auto"/>
        </w:rPr>
        <w:t>” means:</w:t>
      </w:r>
    </w:p>
    <w:p>
      <w:pPr>
        <w:spacing w:after="0" w:line="220" w:lineRule="exact"/>
        <w:rPr>
          <w:sz w:val="20"/>
          <w:szCs w:val="20"/>
          <w:color w:val="auto"/>
        </w:rPr>
      </w:pPr>
    </w:p>
    <w:p>
      <w:pPr>
        <w:jc w:val="both"/>
        <w:ind w:firstLine="1952"/>
        <w:spacing w:after="0" w:line="343" w:lineRule="auto"/>
        <w:tabs>
          <w:tab w:leader="none" w:pos="2531"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 Participant whose employment or, in the case of a Participant who is an Outside Director or Director Emeritus, a Participant whose service as an Outside Director or Director Emeritus, is terminated by reason of Disability;</w:t>
      </w:r>
    </w:p>
    <w:p>
      <w:pPr>
        <w:spacing w:after="0" w:line="104" w:lineRule="exact"/>
        <w:rPr>
          <w:rFonts w:ascii="Arial" w:cs="Arial" w:eastAsia="Arial" w:hAnsi="Arial"/>
          <w:sz w:val="19"/>
          <w:szCs w:val="19"/>
          <w:color w:val="auto"/>
        </w:rPr>
      </w:pPr>
    </w:p>
    <w:p>
      <w:pPr>
        <w:ind w:left="2480" w:hanging="528"/>
        <w:spacing w:after="0"/>
        <w:tabs>
          <w:tab w:leader="none" w:pos="248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 duly-appointed legal guardian of an individual described in Section 2.24(a) acting on behalf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individual.</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2.25. “</w:t>
      </w:r>
      <w:r>
        <w:rPr>
          <w:rFonts w:ascii="Arial" w:cs="Arial" w:eastAsia="Arial" w:hAnsi="Arial"/>
          <w:sz w:val="22"/>
          <w:szCs w:val="22"/>
          <w:u w:val="single" w:color="auto"/>
          <w:color w:val="auto"/>
        </w:rPr>
        <w:t>Domestic Relations Order</w:t>
      </w:r>
      <w:r>
        <w:rPr>
          <w:rFonts w:ascii="Arial" w:cs="Arial" w:eastAsia="Arial" w:hAnsi="Arial"/>
          <w:sz w:val="22"/>
          <w:szCs w:val="22"/>
          <w:color w:val="auto"/>
        </w:rPr>
        <w:t>” means any judgment, decree or order (including approval of a property settlement agreement) which:</w:t>
      </w:r>
    </w:p>
    <w:p>
      <w:pPr>
        <w:spacing w:after="0" w:line="175" w:lineRule="exact"/>
        <w:rPr>
          <w:sz w:val="20"/>
          <w:szCs w:val="20"/>
          <w:color w:val="auto"/>
        </w:rPr>
      </w:pPr>
    </w:p>
    <w:p>
      <w:pPr>
        <w:ind w:right="20" w:firstLine="1952"/>
        <w:spacing w:after="0" w:line="263" w:lineRule="auto"/>
        <w:tabs>
          <w:tab w:leader="none" w:pos="2435" w:val="left"/>
        </w:tabs>
        <w:numPr>
          <w:ilvl w:val="0"/>
          <w:numId w:val="163"/>
        </w:numPr>
        <w:rPr>
          <w:rFonts w:ascii="Arial" w:cs="Arial" w:eastAsia="Arial" w:hAnsi="Arial"/>
          <w:sz w:val="22"/>
          <w:szCs w:val="22"/>
          <w:color w:val="auto"/>
        </w:rPr>
      </w:pPr>
      <w:r>
        <w:rPr>
          <w:rFonts w:ascii="Arial" w:cs="Arial" w:eastAsia="Arial" w:hAnsi="Arial"/>
          <w:sz w:val="22"/>
          <w:szCs w:val="22"/>
          <w:color w:val="auto"/>
        </w:rPr>
        <w:t>Relates to the provision of child support, alimony payments or marital property rights to a spouse or former spouse of a Participant; and</w:t>
      </w:r>
    </w:p>
    <w:p>
      <w:pPr>
        <w:spacing w:after="0" w:line="174" w:lineRule="exact"/>
        <w:rPr>
          <w:rFonts w:ascii="Arial" w:cs="Arial" w:eastAsia="Arial" w:hAnsi="Arial"/>
          <w:sz w:val="22"/>
          <w:szCs w:val="22"/>
          <w:color w:val="auto"/>
        </w:rPr>
      </w:pPr>
    </w:p>
    <w:p>
      <w:pPr>
        <w:ind w:left="2420" w:hanging="468"/>
        <w:spacing w:after="0"/>
        <w:tabs>
          <w:tab w:leader="none" w:pos="242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Is made pursuant to a State domestic relations law (including a community property law).</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2.26. “</w:t>
      </w:r>
      <w:r>
        <w:rPr>
          <w:rFonts w:ascii="Arial" w:cs="Arial" w:eastAsia="Arial" w:hAnsi="Arial"/>
          <w:sz w:val="22"/>
          <w:szCs w:val="22"/>
          <w:u w:val="single" w:color="auto"/>
          <w:color w:val="auto"/>
        </w:rPr>
        <w:t>Eligible Comcast Employee</w:t>
      </w:r>
      <w:r>
        <w:rPr>
          <w:rFonts w:ascii="Arial" w:cs="Arial" w:eastAsia="Arial" w:hAnsi="Arial"/>
          <w:sz w:val="22"/>
          <w:szCs w:val="22"/>
          <w:color w:val="auto"/>
        </w:rPr>
        <w:t>” means an employee of a Participating Company described in Section 2.26(a) through 2.26(e), provided that except as otherwise designated by the Administrator, in the case of an employee of the Company or a subsidiary of the Company (other than NBCUniversal), such individual’s Compensation is administered under the Company’s common payroll system, and in the case of an employee of NBCUniversal, such individual’s Compensation is administered under NBCUniversal’s common payroll system:</w:t>
      </w:r>
    </w:p>
    <w:p>
      <w:pPr>
        <w:spacing w:after="0" w:line="192" w:lineRule="exact"/>
        <w:rPr>
          <w:sz w:val="20"/>
          <w:szCs w:val="20"/>
          <w:color w:val="auto"/>
        </w:rPr>
      </w:pPr>
    </w:p>
    <w:p>
      <w:pPr>
        <w:jc w:val="both"/>
        <w:ind w:firstLine="1952"/>
        <w:spacing w:after="0" w:line="253" w:lineRule="auto"/>
        <w:tabs>
          <w:tab w:leader="none" w:pos="2457" w:val="left"/>
        </w:tabs>
        <w:numPr>
          <w:ilvl w:val="1"/>
          <w:numId w:val="164"/>
        </w:numPr>
        <w:rPr>
          <w:rFonts w:ascii="Arial" w:cs="Arial" w:eastAsia="Arial" w:hAnsi="Arial"/>
          <w:sz w:val="22"/>
          <w:szCs w:val="22"/>
          <w:color w:val="auto"/>
        </w:rPr>
      </w:pPr>
      <w:r>
        <w:rPr>
          <w:rFonts w:ascii="Arial" w:cs="Arial" w:eastAsia="Arial" w:hAnsi="Arial"/>
          <w:sz w:val="22"/>
          <w:szCs w:val="22"/>
          <w:color w:val="auto"/>
        </w:rPr>
        <w:t>For the 2012 Plan Year, each employee of a Participating Company who was an Eligible Employee under the rules of the Plan as in effect on December 31, 2011, including employees who are Comcast-legacy employees of NBCUniversal.</w:t>
      </w:r>
    </w:p>
    <w:p>
      <w:pPr>
        <w:spacing w:after="0" w:line="185" w:lineRule="exact"/>
        <w:rPr>
          <w:rFonts w:ascii="Arial" w:cs="Arial" w:eastAsia="Arial" w:hAnsi="Arial"/>
          <w:sz w:val="22"/>
          <w:szCs w:val="22"/>
          <w:color w:val="auto"/>
        </w:rPr>
      </w:pPr>
    </w:p>
    <w:p>
      <w:pPr>
        <w:ind w:left="2440" w:hanging="488"/>
        <w:spacing w:after="0"/>
        <w:tabs>
          <w:tab w:leader="none" w:pos="2440" w:val="left"/>
        </w:tabs>
        <w:numPr>
          <w:ilvl w:val="1"/>
          <w:numId w:val="164"/>
        </w:numPr>
        <w:rPr>
          <w:rFonts w:ascii="Arial" w:cs="Arial" w:eastAsia="Arial" w:hAnsi="Arial"/>
          <w:sz w:val="19"/>
          <w:szCs w:val="19"/>
          <w:color w:val="auto"/>
        </w:rPr>
      </w:pPr>
      <w:r>
        <w:rPr>
          <w:rFonts w:ascii="Arial" w:cs="Arial" w:eastAsia="Arial" w:hAnsi="Arial"/>
          <w:sz w:val="19"/>
          <w:szCs w:val="19"/>
          <w:color w:val="auto"/>
        </w:rPr>
        <w:t>For the 2013 Plan Year, (i) each employee of a Participating Company other than NBCUniversal and</w:t>
      </w:r>
    </w:p>
    <w:p>
      <w:pPr>
        <w:spacing w:after="0" w:line="55" w:lineRule="exact"/>
        <w:rPr>
          <w:rFonts w:ascii="Arial" w:cs="Arial" w:eastAsia="Arial" w:hAnsi="Arial"/>
          <w:sz w:val="19"/>
          <w:szCs w:val="19"/>
          <w:color w:val="auto"/>
        </w:rPr>
      </w:pPr>
    </w:p>
    <w:p>
      <w:pPr>
        <w:jc w:val="both"/>
        <w:ind w:firstLine="8"/>
        <w:spacing w:after="0" w:line="245" w:lineRule="auto"/>
        <w:tabs>
          <w:tab w:leader="none" w:pos="322" w:val="left"/>
        </w:tabs>
        <w:numPr>
          <w:ilvl w:val="0"/>
          <w:numId w:val="165"/>
        </w:numPr>
        <w:rPr>
          <w:rFonts w:ascii="Arial" w:cs="Arial" w:eastAsia="Arial" w:hAnsi="Arial"/>
          <w:sz w:val="22"/>
          <w:szCs w:val="22"/>
          <w:color w:val="auto"/>
        </w:rPr>
      </w:pPr>
      <w:r>
        <w:rPr>
          <w:rFonts w:ascii="Arial" w:cs="Arial" w:eastAsia="Arial" w:hAnsi="Arial"/>
          <w:sz w:val="22"/>
          <w:szCs w:val="22"/>
          <w:color w:val="auto"/>
        </w:rPr>
        <w:t>each employee of NBCUniversal described in Section 2.26(a), provided that in each case, such employee has an Annual Rate of Pay of $200,000 or more as of both (iii) the date on which an Initial Election is filed with the Administrator for the 2013 Plan Year and (iv) January 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05" w:name="page106"/>
    <w:bookmarkEnd w:id="105"/>
    <w:p>
      <w:pPr>
        <w:jc w:val="both"/>
        <w:ind w:firstLine="1952"/>
        <w:spacing w:after="0" w:line="297" w:lineRule="auto"/>
        <w:tabs>
          <w:tab w:leader="none" w:pos="245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For the period extending from January 1, 2014 through December 31, 2018, (i) each employee of a Participating Company other than NBCUniversal and (ii) each employee of NBCUniversal described in Section 2.26(a) whose Compensation was administered under NBCUniversal’s common payroll system as of December 31, 2013, provided that in each case, such employee has an Annual Rate of Pay of $250,000 or more as of both the date on which an Initial Election is filed with the Administrator and the first day of the calendar year in which such Initial Election is filed.</w:t>
      </w:r>
    </w:p>
    <w:p>
      <w:pPr>
        <w:spacing w:after="0" w:line="146" w:lineRule="exact"/>
        <w:rPr>
          <w:rFonts w:ascii="Arial" w:cs="Arial" w:eastAsia="Arial" w:hAnsi="Arial"/>
          <w:sz w:val="19"/>
          <w:szCs w:val="19"/>
          <w:color w:val="auto"/>
        </w:rPr>
      </w:pPr>
    </w:p>
    <w:p>
      <w:pPr>
        <w:jc w:val="both"/>
        <w:ind w:firstLine="1952"/>
        <w:spacing w:after="0" w:line="253" w:lineRule="auto"/>
        <w:tabs>
          <w:tab w:leader="none" w:pos="258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Effective on and after January 1, 2019, each employee of a Participating Company other than NBCUniversal, provided that such employee has an Annual Rate of Pay of $350,000 or more as of the date on which an Initial Election is filed with the Administrator.</w:t>
      </w:r>
    </w:p>
    <w:p>
      <w:pPr>
        <w:spacing w:after="0" w:line="185" w:lineRule="exact"/>
        <w:rPr>
          <w:rFonts w:ascii="Arial" w:cs="Arial" w:eastAsia="Arial" w:hAnsi="Arial"/>
          <w:sz w:val="22"/>
          <w:szCs w:val="22"/>
          <w:color w:val="auto"/>
        </w:rPr>
      </w:pPr>
    </w:p>
    <w:p>
      <w:pPr>
        <w:ind w:left="2660" w:hanging="708"/>
        <w:spacing w:after="0"/>
        <w:tabs>
          <w:tab w:leader="none" w:pos="2660" w:val="left"/>
        </w:tabs>
        <w:numPr>
          <w:ilvl w:val="0"/>
          <w:numId w:val="166"/>
        </w:numPr>
        <w:rPr>
          <w:rFonts w:ascii="Arial" w:cs="Arial" w:eastAsia="Arial" w:hAnsi="Arial"/>
          <w:sz w:val="21"/>
          <w:szCs w:val="21"/>
          <w:color w:val="auto"/>
        </w:rPr>
      </w:pPr>
      <w:r>
        <w:rPr>
          <w:rFonts w:ascii="Arial" w:cs="Arial" w:eastAsia="Arial" w:hAnsi="Arial"/>
          <w:sz w:val="21"/>
          <w:szCs w:val="21"/>
          <w:color w:val="auto"/>
        </w:rPr>
        <w:t>Each Grandfathered Employee who is an employee of a Participating Company other than</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NBCUniversal.</w:t>
      </w:r>
    </w:p>
    <w:p>
      <w:pPr>
        <w:spacing w:after="0" w:line="201" w:lineRule="exact"/>
        <w:rPr>
          <w:rFonts w:ascii="Arial" w:cs="Arial" w:eastAsia="Arial" w:hAnsi="Arial"/>
          <w:sz w:val="21"/>
          <w:szCs w:val="21"/>
          <w:color w:val="auto"/>
        </w:rPr>
      </w:pPr>
    </w:p>
    <w:p>
      <w:pPr>
        <w:ind w:left="2380" w:hanging="428"/>
        <w:spacing w:after="0"/>
        <w:tabs>
          <w:tab w:leader="none" w:pos="238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Each New Key Employee who is an employee of a Participating Company other than NBCUniversal.</w:t>
      </w:r>
    </w:p>
    <w:p>
      <w:pPr>
        <w:spacing w:after="0" w:line="254" w:lineRule="exact"/>
        <w:rPr>
          <w:rFonts w:ascii="Arial" w:cs="Arial" w:eastAsia="Arial" w:hAnsi="Arial"/>
          <w:sz w:val="19"/>
          <w:szCs w:val="19"/>
          <w:color w:val="auto"/>
        </w:rPr>
      </w:pPr>
    </w:p>
    <w:p>
      <w:pPr>
        <w:ind w:left="2420" w:hanging="468"/>
        <w:spacing w:after="0"/>
        <w:tabs>
          <w:tab w:leader="none" w:pos="242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Each Eligible Comcast Spectacor Employee.</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Eligible Comcast Spectacor Employee</w:t>
      </w:r>
      <w:r>
        <w:rPr>
          <w:rFonts w:ascii="Arial" w:cs="Arial" w:eastAsia="Arial" w:hAnsi="Arial"/>
          <w:sz w:val="19"/>
          <w:szCs w:val="19"/>
          <w:color w:val="auto"/>
        </w:rPr>
        <w:t>” means:</w:t>
      </w:r>
    </w:p>
    <w:p>
      <w:pPr>
        <w:spacing w:after="0" w:line="220" w:lineRule="exact"/>
        <w:rPr>
          <w:sz w:val="20"/>
          <w:szCs w:val="20"/>
          <w:color w:val="auto"/>
        </w:rPr>
      </w:pPr>
    </w:p>
    <w:p>
      <w:pPr>
        <w:ind w:firstLine="1952"/>
        <w:spacing w:after="0" w:line="263" w:lineRule="auto"/>
        <w:tabs>
          <w:tab w:leader="none" w:pos="2653" w:val="left"/>
        </w:tabs>
        <w:numPr>
          <w:ilvl w:val="0"/>
          <w:numId w:val="167"/>
        </w:numPr>
        <w:rPr>
          <w:rFonts w:ascii="Arial" w:cs="Arial" w:eastAsia="Arial" w:hAnsi="Arial"/>
          <w:sz w:val="22"/>
          <w:szCs w:val="22"/>
          <w:color w:val="auto"/>
        </w:rPr>
      </w:pPr>
      <w:r>
        <w:rPr>
          <w:rFonts w:ascii="Arial" w:cs="Arial" w:eastAsia="Arial" w:hAnsi="Arial"/>
          <w:sz w:val="22"/>
          <w:szCs w:val="22"/>
          <w:color w:val="auto"/>
        </w:rPr>
        <w:t>Each Eligible Comcast Employee who is providing services to Comcast Spectacor under a secondment arrangement between the Company and Comcast Spectacor.</w:t>
      </w:r>
    </w:p>
    <w:p>
      <w:pPr>
        <w:spacing w:after="0" w:line="174" w:lineRule="exact"/>
        <w:rPr>
          <w:rFonts w:ascii="Arial" w:cs="Arial" w:eastAsia="Arial" w:hAnsi="Arial"/>
          <w:sz w:val="22"/>
          <w:szCs w:val="22"/>
          <w:color w:val="auto"/>
        </w:rPr>
      </w:pPr>
    </w:p>
    <w:p>
      <w:pPr>
        <w:jc w:val="both"/>
        <w:ind w:firstLine="1952"/>
        <w:spacing w:after="0" w:line="250" w:lineRule="auto"/>
        <w:tabs>
          <w:tab w:leader="none" w:pos="2505" w:val="left"/>
        </w:tabs>
        <w:numPr>
          <w:ilvl w:val="0"/>
          <w:numId w:val="167"/>
        </w:numPr>
        <w:rPr>
          <w:rFonts w:ascii="Arial" w:cs="Arial" w:eastAsia="Arial" w:hAnsi="Arial"/>
          <w:sz w:val="22"/>
          <w:szCs w:val="22"/>
          <w:color w:val="auto"/>
        </w:rPr>
      </w:pPr>
      <w:r>
        <w:rPr>
          <w:rFonts w:ascii="Arial" w:cs="Arial" w:eastAsia="Arial" w:hAnsi="Arial"/>
          <w:sz w:val="22"/>
          <w:szCs w:val="22"/>
          <w:color w:val="auto"/>
        </w:rPr>
        <w:t>Each employee of Comcast Spectacor, provided that such employee (i) has been designated as an Eligible Comcast Spectacor Employee by the Administrator or its delegate and (ii) has an Annual Rate of Pay of $350,000 or more as of both (x) the date on which an Initial Election is filed with the Administrator and (y) the first day of the calendar year in which such Initial Election is filed.</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w:t>
      </w:r>
    </w:p>
    <w:p>
      <w:pPr>
        <w:spacing w:after="0" w:line="220" w:lineRule="exact"/>
        <w:rPr>
          <w:sz w:val="20"/>
          <w:szCs w:val="20"/>
          <w:color w:val="auto"/>
        </w:rPr>
      </w:pPr>
    </w:p>
    <w:p>
      <w:pPr>
        <w:ind w:left="2400" w:hanging="448"/>
        <w:spacing w:after="0"/>
        <w:tabs>
          <w:tab w:leader="none" w:pos="24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Each Eligible Comcast Employee;</w:t>
      </w:r>
    </w:p>
    <w:p>
      <w:pPr>
        <w:spacing w:after="0" w:line="219" w:lineRule="exact"/>
        <w:rPr>
          <w:rFonts w:ascii="Arial" w:cs="Arial" w:eastAsia="Arial" w:hAnsi="Arial"/>
          <w:sz w:val="22"/>
          <w:szCs w:val="22"/>
          <w:color w:val="auto"/>
        </w:rPr>
      </w:pPr>
    </w:p>
    <w:p>
      <w:pPr>
        <w:ind w:left="2420" w:hanging="468"/>
        <w:spacing w:after="0"/>
        <w:tabs>
          <w:tab w:leader="none" w:pos="242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Each Eligible NBCU Employee; and</w:t>
      </w:r>
    </w:p>
    <w:p>
      <w:pPr>
        <w:spacing w:after="0" w:line="219" w:lineRule="exact"/>
        <w:rPr>
          <w:rFonts w:ascii="Arial" w:cs="Arial" w:eastAsia="Arial" w:hAnsi="Arial"/>
          <w:sz w:val="22"/>
          <w:szCs w:val="22"/>
          <w:color w:val="auto"/>
        </w:rPr>
      </w:pPr>
    </w:p>
    <w:p>
      <w:pPr>
        <w:ind w:right="20" w:firstLine="1952"/>
        <w:spacing w:after="0" w:line="263" w:lineRule="auto"/>
        <w:tabs>
          <w:tab w:leader="none" w:pos="2529"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Each other employee of a Participating Company who is designated by the Administrator, in its discretion, as an Eligible Employee.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Eligible NBCU Employee</w:t>
      </w:r>
      <w:r>
        <w:rPr>
          <w:rFonts w:ascii="Arial" w:cs="Arial" w:eastAsia="Arial" w:hAnsi="Arial"/>
          <w:sz w:val="19"/>
          <w:szCs w:val="19"/>
          <w:color w:val="auto"/>
        </w:rPr>
        <w:t>” means:</w:t>
      </w:r>
    </w:p>
    <w:p>
      <w:pPr>
        <w:spacing w:after="0" w:line="220" w:lineRule="exact"/>
        <w:rPr>
          <w:sz w:val="20"/>
          <w:szCs w:val="20"/>
          <w:color w:val="auto"/>
        </w:rPr>
      </w:pPr>
    </w:p>
    <w:p>
      <w:pPr>
        <w:ind w:firstLine="1952"/>
        <w:spacing w:after="0" w:line="263" w:lineRule="auto"/>
        <w:tabs>
          <w:tab w:leader="none" w:pos="2417" w:val="left"/>
        </w:tabs>
        <w:numPr>
          <w:ilvl w:val="0"/>
          <w:numId w:val="169"/>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2013 through December 31, 2018, an employee of NBCUniversal described in Section 2.29(a)(i)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06" w:name="page107"/>
    <w:bookmarkEnd w:id="106"/>
    <w:p>
      <w:pPr>
        <w:spacing w:after="0" w:line="263" w:lineRule="auto"/>
        <w:rPr>
          <w:sz w:val="20"/>
          <w:szCs w:val="20"/>
          <w:color w:val="auto"/>
        </w:rPr>
      </w:pPr>
      <w:r>
        <w:rPr>
          <w:rFonts w:ascii="Arial" w:cs="Arial" w:eastAsia="Arial" w:hAnsi="Arial"/>
          <w:sz w:val="22"/>
          <w:szCs w:val="22"/>
          <w:color w:val="auto"/>
        </w:rPr>
        <w:t>2.29(a)(v), provided that, in each case, except as otherwise designated by the Administrator, such individual’s Compensation is administered under NBCUniversal’s common payroll system.</w:t>
      </w:r>
    </w:p>
    <w:p>
      <w:pPr>
        <w:spacing w:after="0" w:line="175" w:lineRule="exact"/>
        <w:rPr>
          <w:sz w:val="20"/>
          <w:szCs w:val="20"/>
          <w:color w:val="auto"/>
        </w:rPr>
      </w:pPr>
    </w:p>
    <w:p>
      <w:pPr>
        <w:jc w:val="both"/>
        <w:ind w:firstLine="2600"/>
        <w:spacing w:after="0" w:line="271" w:lineRule="auto"/>
        <w:tabs>
          <w:tab w:leader="none" w:pos="3073" w:val="left"/>
        </w:tabs>
        <w:numPr>
          <w:ilvl w:val="0"/>
          <w:numId w:val="170"/>
        </w:numPr>
        <w:rPr>
          <w:rFonts w:ascii="Arial" w:cs="Arial" w:eastAsia="Arial" w:hAnsi="Arial"/>
          <w:sz w:val="21"/>
          <w:szCs w:val="21"/>
          <w:color w:val="auto"/>
        </w:rPr>
      </w:pPr>
      <w:r>
        <w:rPr>
          <w:rFonts w:ascii="Arial" w:cs="Arial" w:eastAsia="Arial" w:hAnsi="Arial"/>
          <w:sz w:val="21"/>
          <w:szCs w:val="21"/>
          <w:color w:val="auto"/>
        </w:rPr>
        <w:t>Each employee of NBCUniversal who has been designated as a member of NBCUniversal’s Executive Committee, Management Committee or Operating Committee by the Chief Executive Officer of NBCUniversal and approved by the Administrator, other than an employee who is described in Section 2.26.</w:t>
      </w:r>
    </w:p>
    <w:p>
      <w:pPr>
        <w:spacing w:after="0" w:line="167" w:lineRule="exact"/>
        <w:rPr>
          <w:rFonts w:ascii="Arial" w:cs="Arial" w:eastAsia="Arial" w:hAnsi="Arial"/>
          <w:sz w:val="21"/>
          <w:szCs w:val="21"/>
          <w:color w:val="auto"/>
        </w:rPr>
      </w:pPr>
    </w:p>
    <w:p>
      <w:pPr>
        <w:ind w:left="3140" w:hanging="540"/>
        <w:spacing w:after="0"/>
        <w:tabs>
          <w:tab w:leader="none" w:pos="314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Each employee of NBCUniversal, other than an employee who is described in Section 2.26,</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who, for the 2013 Plan Year:</w:t>
      </w:r>
    </w:p>
    <w:p>
      <w:pPr>
        <w:spacing w:after="0" w:line="201" w:lineRule="exact"/>
        <w:rPr>
          <w:rFonts w:ascii="Arial" w:cs="Arial" w:eastAsia="Arial" w:hAnsi="Arial"/>
          <w:sz w:val="19"/>
          <w:szCs w:val="19"/>
          <w:color w:val="auto"/>
        </w:rPr>
      </w:pPr>
    </w:p>
    <w:p>
      <w:pPr>
        <w:ind w:left="4600" w:hanging="704"/>
        <w:spacing w:after="0"/>
        <w:tabs>
          <w:tab w:leader="none" w:pos="460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Is not a member of NBCUniversal’s Executive Committee, Management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Committee or Operating Committee;</w:t>
      </w:r>
    </w:p>
    <w:p>
      <w:pPr>
        <w:spacing w:after="0" w:line="201" w:lineRule="exact"/>
        <w:rPr>
          <w:rFonts w:ascii="Arial" w:cs="Arial" w:eastAsia="Arial" w:hAnsi="Arial"/>
          <w:sz w:val="19"/>
          <w:szCs w:val="19"/>
          <w:color w:val="auto"/>
        </w:rPr>
      </w:pPr>
    </w:p>
    <w:p>
      <w:pPr>
        <w:ind w:left="4400" w:hanging="504"/>
        <w:spacing w:after="0"/>
        <w:tabs>
          <w:tab w:leader="none" w:pos="440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Transferred employment directly from the Company to NBCUniversal in 2011</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2012;</w:t>
      </w:r>
    </w:p>
    <w:p>
      <w:pPr>
        <w:spacing w:after="0" w:line="201" w:lineRule="exact"/>
        <w:rPr>
          <w:rFonts w:ascii="Arial" w:cs="Arial" w:eastAsia="Arial" w:hAnsi="Arial"/>
          <w:sz w:val="19"/>
          <w:szCs w:val="19"/>
          <w:color w:val="auto"/>
        </w:rPr>
      </w:pPr>
    </w:p>
    <w:p>
      <w:pPr>
        <w:ind w:right="20" w:firstLine="3896"/>
        <w:spacing w:after="0" w:line="263" w:lineRule="auto"/>
        <w:tabs>
          <w:tab w:leader="none" w:pos="4407" w:val="left"/>
        </w:tabs>
        <w:numPr>
          <w:ilvl w:val="1"/>
          <w:numId w:val="170"/>
        </w:numPr>
        <w:rPr>
          <w:rFonts w:ascii="Arial" w:cs="Arial" w:eastAsia="Arial" w:hAnsi="Arial"/>
          <w:sz w:val="22"/>
          <w:szCs w:val="22"/>
          <w:color w:val="auto"/>
        </w:rPr>
      </w:pPr>
      <w:r>
        <w:rPr>
          <w:rFonts w:ascii="Arial" w:cs="Arial" w:eastAsia="Arial" w:hAnsi="Arial"/>
          <w:sz w:val="22"/>
          <w:szCs w:val="22"/>
          <w:color w:val="auto"/>
        </w:rPr>
        <w:t>Was an Eligible Employee under the rules of the Plan as in effect immediately before transferring employment from the Company to NBCUniversal;</w:t>
      </w:r>
    </w:p>
    <w:p>
      <w:pPr>
        <w:spacing w:after="0" w:line="174" w:lineRule="exact"/>
        <w:rPr>
          <w:rFonts w:ascii="Arial" w:cs="Arial" w:eastAsia="Arial" w:hAnsi="Arial"/>
          <w:sz w:val="22"/>
          <w:szCs w:val="22"/>
          <w:color w:val="auto"/>
        </w:rPr>
      </w:pPr>
    </w:p>
    <w:p>
      <w:pPr>
        <w:ind w:left="4560" w:hanging="664"/>
        <w:spacing w:after="0"/>
        <w:tabs>
          <w:tab w:leader="none" w:pos="4560" w:val="left"/>
        </w:tabs>
        <w:numPr>
          <w:ilvl w:val="1"/>
          <w:numId w:val="170"/>
        </w:numPr>
        <w:rPr>
          <w:rFonts w:ascii="Arial" w:cs="Arial" w:eastAsia="Arial" w:hAnsi="Arial"/>
          <w:sz w:val="21"/>
          <w:szCs w:val="21"/>
          <w:color w:val="auto"/>
        </w:rPr>
      </w:pPr>
      <w:r>
        <w:rPr>
          <w:rFonts w:ascii="Arial" w:cs="Arial" w:eastAsia="Arial" w:hAnsi="Arial"/>
          <w:sz w:val="21"/>
          <w:szCs w:val="21"/>
          <w:color w:val="auto"/>
        </w:rPr>
        <w:t>Elected to waive the opportunity to continue to be an Eligible Employee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following the transfer of employment directly from the Company to NBCUniversal;</w:t>
      </w:r>
    </w:p>
    <w:p>
      <w:pPr>
        <w:spacing w:after="0" w:line="201" w:lineRule="exact"/>
        <w:rPr>
          <w:rFonts w:ascii="Arial" w:cs="Arial" w:eastAsia="Arial" w:hAnsi="Arial"/>
          <w:sz w:val="21"/>
          <w:szCs w:val="21"/>
          <w:color w:val="auto"/>
        </w:rPr>
      </w:pPr>
    </w:p>
    <w:p>
      <w:pPr>
        <w:ind w:left="4460" w:hanging="564"/>
        <w:spacing w:after="0"/>
        <w:tabs>
          <w:tab w:leader="none" w:pos="446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Has an Annual Rate of Pay of $200,000 or more as of both (iii) the date 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which an Initial Election is filed with the Administrator for the 2013 Plan Year and (iv) January 1, 2013; and</w:t>
      </w:r>
    </w:p>
    <w:p>
      <w:pPr>
        <w:spacing w:after="0" w:line="201" w:lineRule="exact"/>
        <w:rPr>
          <w:rFonts w:ascii="Arial" w:cs="Arial" w:eastAsia="Arial" w:hAnsi="Arial"/>
          <w:sz w:val="19"/>
          <w:szCs w:val="19"/>
          <w:color w:val="auto"/>
        </w:rPr>
      </w:pPr>
    </w:p>
    <w:p>
      <w:pPr>
        <w:ind w:left="4380" w:hanging="484"/>
        <w:spacing w:after="0"/>
        <w:tabs>
          <w:tab w:leader="none" w:pos="438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Files an Initial Election with the Administrator for the 2013 Plan Year.</w:t>
      </w:r>
    </w:p>
    <w:p>
      <w:pPr>
        <w:spacing w:after="0" w:line="219" w:lineRule="exact"/>
        <w:rPr>
          <w:rFonts w:ascii="Arial" w:cs="Arial" w:eastAsia="Arial" w:hAnsi="Arial"/>
          <w:sz w:val="22"/>
          <w:szCs w:val="22"/>
          <w:color w:val="auto"/>
        </w:rPr>
      </w:pPr>
    </w:p>
    <w:p>
      <w:pPr>
        <w:ind w:left="3180" w:hanging="580"/>
        <w:spacing w:after="0"/>
        <w:tabs>
          <w:tab w:leader="none" w:pos="318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Each employee of NBCUniversal, other than an employee who is described in Section 2.26,</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who, for the 2013 Plan Year:</w:t>
      </w:r>
    </w:p>
    <w:p>
      <w:pPr>
        <w:spacing w:after="0" w:line="201" w:lineRule="exact"/>
        <w:rPr>
          <w:rFonts w:ascii="Arial" w:cs="Arial" w:eastAsia="Arial" w:hAnsi="Arial"/>
          <w:sz w:val="19"/>
          <w:szCs w:val="19"/>
          <w:color w:val="auto"/>
        </w:rPr>
      </w:pPr>
    </w:p>
    <w:p>
      <w:pPr>
        <w:ind w:left="4600" w:hanging="704"/>
        <w:spacing w:after="0"/>
        <w:tabs>
          <w:tab w:leader="none" w:pos="460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Is not a member of NBCUniversal’s Executive Committee, Management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Committee or Operating Committee;</w:t>
      </w:r>
    </w:p>
    <w:p>
      <w:pPr>
        <w:spacing w:after="0" w:line="201" w:lineRule="exact"/>
        <w:rPr>
          <w:rFonts w:ascii="Arial" w:cs="Arial" w:eastAsia="Arial" w:hAnsi="Arial"/>
          <w:sz w:val="19"/>
          <w:szCs w:val="19"/>
          <w:color w:val="auto"/>
        </w:rPr>
      </w:pPr>
    </w:p>
    <w:p>
      <w:pPr>
        <w:ind w:firstLine="3896"/>
        <w:spacing w:after="0" w:line="263" w:lineRule="auto"/>
        <w:tabs>
          <w:tab w:leader="none" w:pos="4446" w:val="left"/>
        </w:tabs>
        <w:numPr>
          <w:ilvl w:val="1"/>
          <w:numId w:val="170"/>
        </w:numPr>
        <w:rPr>
          <w:rFonts w:ascii="Arial" w:cs="Arial" w:eastAsia="Arial" w:hAnsi="Arial"/>
          <w:sz w:val="22"/>
          <w:szCs w:val="22"/>
          <w:color w:val="auto"/>
        </w:rPr>
      </w:pPr>
      <w:r>
        <w:rPr>
          <w:rFonts w:ascii="Arial" w:cs="Arial" w:eastAsia="Arial" w:hAnsi="Arial"/>
          <w:sz w:val="22"/>
          <w:szCs w:val="22"/>
          <w:color w:val="auto"/>
        </w:rPr>
        <w:t>Has been a participant in the NBCUniversal Supplementary Pension Plan for the period extending from January 29, 2011 through December 31, 2012;</w:t>
      </w:r>
    </w:p>
    <w:p>
      <w:pPr>
        <w:spacing w:after="0" w:line="174" w:lineRule="exact"/>
        <w:rPr>
          <w:rFonts w:ascii="Arial" w:cs="Arial" w:eastAsia="Arial" w:hAnsi="Arial"/>
          <w:sz w:val="22"/>
          <w:szCs w:val="22"/>
          <w:color w:val="auto"/>
        </w:rPr>
      </w:pPr>
    </w:p>
    <w:p>
      <w:pPr>
        <w:ind w:left="4480" w:hanging="584"/>
        <w:spacing w:after="0"/>
        <w:tabs>
          <w:tab w:leader="none" w:pos="448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Has an Annual Rate of Pay is $200,000 or more as of both (iii) the date 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which an Initial Election is filed with the Administrator for the 2013 Plan Year and (iv) January 1, 2013;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07" w:name="page108"/>
    <w:bookmarkEnd w:id="107"/>
    <w:p>
      <w:pPr>
        <w:ind w:left="4420" w:hanging="524"/>
        <w:spacing w:after="0"/>
        <w:tabs>
          <w:tab w:leader="none" w:pos="4420" w:val="left"/>
        </w:tabs>
        <w:numPr>
          <w:ilvl w:val="2"/>
          <w:numId w:val="171"/>
        </w:numPr>
        <w:rPr>
          <w:rFonts w:ascii="Arial" w:cs="Arial" w:eastAsia="Arial" w:hAnsi="Arial"/>
          <w:sz w:val="22"/>
          <w:szCs w:val="22"/>
          <w:color w:val="auto"/>
        </w:rPr>
      </w:pPr>
      <w:r>
        <w:rPr>
          <w:rFonts w:ascii="Arial" w:cs="Arial" w:eastAsia="Arial" w:hAnsi="Arial"/>
          <w:sz w:val="22"/>
          <w:szCs w:val="22"/>
          <w:color w:val="auto"/>
        </w:rPr>
        <w:t>Files an Initial Election with the Administrator for the 2013 Plan Year.</w:t>
      </w:r>
    </w:p>
    <w:p>
      <w:pPr>
        <w:spacing w:after="0" w:line="219" w:lineRule="exact"/>
        <w:rPr>
          <w:rFonts w:ascii="Arial" w:cs="Arial" w:eastAsia="Arial" w:hAnsi="Arial"/>
          <w:sz w:val="22"/>
          <w:szCs w:val="22"/>
          <w:color w:val="auto"/>
        </w:rPr>
      </w:pPr>
    </w:p>
    <w:p>
      <w:pPr>
        <w:ind w:left="3120" w:hanging="520"/>
        <w:spacing w:after="0"/>
        <w:tabs>
          <w:tab w:leader="none" w:pos="312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Each Grandfathered Employee who is an employee of NBCUniversal.</w:t>
      </w:r>
    </w:p>
    <w:p>
      <w:pPr>
        <w:spacing w:after="0" w:line="219" w:lineRule="exact"/>
        <w:rPr>
          <w:rFonts w:ascii="Arial" w:cs="Arial" w:eastAsia="Arial" w:hAnsi="Arial"/>
          <w:sz w:val="22"/>
          <w:szCs w:val="22"/>
          <w:color w:val="auto"/>
        </w:rPr>
      </w:pPr>
    </w:p>
    <w:p>
      <w:pPr>
        <w:ind w:left="3060" w:hanging="460"/>
        <w:spacing w:after="0"/>
        <w:tabs>
          <w:tab w:leader="none" w:pos="306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Each New Key Employee who is an employee of NBCUniversal.</w:t>
      </w:r>
    </w:p>
    <w:p>
      <w:pPr>
        <w:spacing w:after="0" w:line="219" w:lineRule="exact"/>
        <w:rPr>
          <w:rFonts w:ascii="Arial" w:cs="Arial" w:eastAsia="Arial" w:hAnsi="Arial"/>
          <w:sz w:val="22"/>
          <w:szCs w:val="22"/>
          <w:color w:val="auto"/>
        </w:rPr>
      </w:pPr>
    </w:p>
    <w:p>
      <w:pPr>
        <w:jc w:val="both"/>
        <w:ind w:firstLine="1952"/>
        <w:spacing w:after="0" w:line="253" w:lineRule="auto"/>
        <w:tabs>
          <w:tab w:leader="none" w:pos="2421" w:val="left"/>
        </w:tabs>
        <w:numPr>
          <w:ilvl w:val="0"/>
          <w:numId w:val="173"/>
        </w:numPr>
        <w:rPr>
          <w:rFonts w:ascii="Arial" w:cs="Arial" w:eastAsia="Arial" w:hAnsi="Arial"/>
          <w:sz w:val="22"/>
          <w:szCs w:val="22"/>
          <w:color w:val="auto"/>
        </w:rPr>
      </w:pPr>
      <w:r>
        <w:rPr>
          <w:rFonts w:ascii="Arial" w:cs="Arial" w:eastAsia="Arial" w:hAnsi="Arial"/>
          <w:sz w:val="22"/>
          <w:szCs w:val="22"/>
          <w:color w:val="auto"/>
        </w:rPr>
        <w:t>Effective on and after January 1, 2019, an employee of NBCUniversal described in Section 2.29(b)(i) through 2.29(b)(iii), provided that, in each case, except as otherwise designated by the Administrator, such individual’s Compensation is administered under NBCUniversal’s common payroll system.</w:t>
      </w:r>
    </w:p>
    <w:p>
      <w:pPr>
        <w:spacing w:after="0" w:line="185" w:lineRule="exact"/>
        <w:rPr>
          <w:rFonts w:ascii="Arial" w:cs="Arial" w:eastAsia="Arial" w:hAnsi="Arial"/>
          <w:sz w:val="22"/>
          <w:szCs w:val="22"/>
          <w:color w:val="auto"/>
        </w:rPr>
      </w:pPr>
    </w:p>
    <w:p>
      <w:pPr>
        <w:jc w:val="both"/>
        <w:ind w:firstLine="2600"/>
        <w:spacing w:after="0" w:line="253" w:lineRule="auto"/>
        <w:tabs>
          <w:tab w:leader="none" w:pos="3073" w:val="left"/>
        </w:tabs>
        <w:numPr>
          <w:ilvl w:val="1"/>
          <w:numId w:val="173"/>
        </w:numPr>
        <w:rPr>
          <w:rFonts w:ascii="Arial" w:cs="Arial" w:eastAsia="Arial" w:hAnsi="Arial"/>
          <w:sz w:val="22"/>
          <w:szCs w:val="22"/>
          <w:color w:val="auto"/>
        </w:rPr>
      </w:pPr>
      <w:r>
        <w:rPr>
          <w:rFonts w:ascii="Arial" w:cs="Arial" w:eastAsia="Arial" w:hAnsi="Arial"/>
          <w:sz w:val="22"/>
          <w:szCs w:val="22"/>
          <w:color w:val="auto"/>
        </w:rPr>
        <w:t>Each employee of NBCUniversal who has been designated as a member of NBCUniversal’s Executive Committee or Management Committee by the Chief Executive Officer of NBCUniversal and approved by the Administrator, other than an employee who is described in Section 2.26.</w:t>
      </w:r>
    </w:p>
    <w:p>
      <w:pPr>
        <w:spacing w:after="0" w:line="185" w:lineRule="exact"/>
        <w:rPr>
          <w:rFonts w:ascii="Arial" w:cs="Arial" w:eastAsia="Arial" w:hAnsi="Arial"/>
          <w:sz w:val="22"/>
          <w:szCs w:val="22"/>
          <w:color w:val="auto"/>
        </w:rPr>
      </w:pPr>
    </w:p>
    <w:p>
      <w:pPr>
        <w:ind w:left="3080" w:hanging="480"/>
        <w:spacing w:after="0"/>
        <w:tabs>
          <w:tab w:leader="none" w:pos="308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Each Grandfathered Employee who is an employee of NBCUniversal.</w:t>
      </w:r>
    </w:p>
    <w:p>
      <w:pPr>
        <w:spacing w:after="0" w:line="219" w:lineRule="exact"/>
        <w:rPr>
          <w:rFonts w:ascii="Arial" w:cs="Arial" w:eastAsia="Arial" w:hAnsi="Arial"/>
          <w:sz w:val="22"/>
          <w:szCs w:val="22"/>
          <w:color w:val="auto"/>
        </w:rPr>
      </w:pPr>
    </w:p>
    <w:p>
      <w:pPr>
        <w:ind w:left="3140" w:hanging="540"/>
        <w:spacing w:after="0"/>
        <w:tabs>
          <w:tab w:leader="none" w:pos="314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Each New Key Employee who is an employee of NBCUniversal.</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53" w:lineRule="auto"/>
        <w:tabs>
          <w:tab w:leader="none" w:pos="247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If shares of any Other Investment Fund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85" w:lineRule="exact"/>
        <w:rPr>
          <w:rFonts w:ascii="Arial" w:cs="Arial" w:eastAsia="Arial" w:hAnsi="Arial"/>
          <w:sz w:val="22"/>
          <w:szCs w:val="22"/>
          <w:color w:val="auto"/>
        </w:rPr>
      </w:pPr>
    </w:p>
    <w:p>
      <w:pPr>
        <w:jc w:val="both"/>
        <w:ind w:firstLine="1952"/>
        <w:spacing w:after="0" w:line="271" w:lineRule="auto"/>
        <w:tabs>
          <w:tab w:leader="none" w:pos="2542" w:val="left"/>
        </w:tabs>
        <w:numPr>
          <w:ilvl w:val="0"/>
          <w:numId w:val="174"/>
        </w:numPr>
        <w:rPr>
          <w:rFonts w:ascii="Arial" w:cs="Arial" w:eastAsia="Arial" w:hAnsi="Arial"/>
          <w:sz w:val="21"/>
          <w:szCs w:val="21"/>
          <w:color w:val="auto"/>
        </w:rPr>
      </w:pPr>
      <w:r>
        <w:rPr>
          <w:rFonts w:ascii="Arial" w:cs="Arial" w:eastAsia="Arial" w:hAnsi="Arial"/>
          <w:sz w:val="21"/>
          <w:szCs w:val="21"/>
          <w:color w:val="auto"/>
        </w:rPr>
        <w:t>If shares of any Other Investment Fund are not so listed, but trades of shares are reported on a quotation system, Fair Market Value shall be determined based on the last quoted sale price of a share on the quotation system on the date of determination, or if such date is not a trading day, the next trading date.</w:t>
      </w:r>
    </w:p>
    <w:p>
      <w:pPr>
        <w:spacing w:after="0" w:line="167" w:lineRule="exact"/>
        <w:rPr>
          <w:rFonts w:ascii="Arial" w:cs="Arial" w:eastAsia="Arial" w:hAnsi="Arial"/>
          <w:sz w:val="21"/>
          <w:szCs w:val="21"/>
          <w:color w:val="auto"/>
        </w:rPr>
      </w:pPr>
    </w:p>
    <w:p>
      <w:pPr>
        <w:ind w:firstLine="1952"/>
        <w:spacing w:after="0" w:line="263" w:lineRule="auto"/>
        <w:tabs>
          <w:tab w:leader="none" w:pos="2422" w:val="left"/>
        </w:tabs>
        <w:numPr>
          <w:ilvl w:val="0"/>
          <w:numId w:val="174"/>
        </w:numPr>
        <w:rPr>
          <w:rFonts w:ascii="Arial" w:cs="Arial" w:eastAsia="Arial" w:hAnsi="Arial"/>
          <w:sz w:val="22"/>
          <w:szCs w:val="22"/>
          <w:color w:val="auto"/>
        </w:rPr>
      </w:pPr>
      <w:r>
        <w:rPr>
          <w:rFonts w:ascii="Arial" w:cs="Arial" w:eastAsia="Arial" w:hAnsi="Arial"/>
          <w:sz w:val="22"/>
          <w:szCs w:val="22"/>
          <w:color w:val="auto"/>
        </w:rPr>
        <w:t>If shares of any Other Investment Fund are not so listed nor trades of shares so reported, Fair Market Value shall be determined by the Committee in good faith.</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Grandfathered Employee</w:t>
      </w:r>
      <w:r>
        <w:rPr>
          <w:rFonts w:ascii="Arial" w:cs="Arial" w:eastAsia="Arial" w:hAnsi="Arial"/>
          <w:sz w:val="19"/>
          <w:szCs w:val="19"/>
          <w:color w:val="auto"/>
        </w:rPr>
        <w:t>” means:</w:t>
      </w:r>
    </w:p>
    <w:p>
      <w:pPr>
        <w:spacing w:after="0" w:line="220" w:lineRule="exact"/>
        <w:rPr>
          <w:sz w:val="20"/>
          <w:szCs w:val="20"/>
          <w:color w:val="auto"/>
        </w:rPr>
      </w:pPr>
    </w:p>
    <w:p>
      <w:pPr>
        <w:ind w:left="2400" w:hanging="448"/>
        <w:spacing w:after="0"/>
        <w:tabs>
          <w:tab w:leader="none" w:pos="240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Effective before January 1, 2014:</w:t>
      </w:r>
    </w:p>
    <w:p>
      <w:pPr>
        <w:spacing w:after="0" w:line="219" w:lineRule="exact"/>
        <w:rPr>
          <w:rFonts w:ascii="Arial" w:cs="Arial" w:eastAsia="Arial" w:hAnsi="Arial"/>
          <w:sz w:val="22"/>
          <w:szCs w:val="22"/>
          <w:color w:val="auto"/>
        </w:rPr>
      </w:pPr>
    </w:p>
    <w:p>
      <w:pPr>
        <w:jc w:val="both"/>
        <w:ind w:firstLine="2600"/>
        <w:spacing w:after="0" w:line="253" w:lineRule="auto"/>
        <w:tabs>
          <w:tab w:leader="none" w:pos="3086" w:val="left"/>
        </w:tabs>
        <w:numPr>
          <w:ilvl w:val="1"/>
          <w:numId w:val="175"/>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as of December 31, 1989, was eligible to participate in the Prior Plan and who has been in continuous service to the Company or an Affiliate since December 31, 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108" w:name="page109"/>
    <w:bookmarkEnd w:id="108"/>
    <w:p>
      <w:pPr>
        <w:jc w:val="both"/>
        <w:ind w:firstLine="2600"/>
        <w:spacing w:after="0" w:line="291" w:lineRule="auto"/>
        <w:tabs>
          <w:tab w:leader="none" w:pos="3129" w:val="left"/>
        </w:tabs>
        <w:numPr>
          <w:ilvl w:val="2"/>
          <w:numId w:val="176"/>
        </w:numPr>
        <w:rPr>
          <w:rFonts w:ascii="Arial" w:cs="Arial" w:eastAsia="Arial" w:hAnsi="Arial"/>
          <w:sz w:val="19"/>
          <w:szCs w:val="19"/>
          <w:color w:val="auto"/>
        </w:rPr>
      </w:pPr>
      <w:r>
        <w:rPr>
          <w:rFonts w:ascii="Arial" w:cs="Arial" w:eastAsia="Arial" w:hAnsi="Arial"/>
          <w:sz w:val="19"/>
          <w:szCs w:val="19"/>
          <w:color w:val="auto"/>
        </w:rPr>
        <w:t>Each employee of a Participating Company other than NBCUniversal who was, at any time before January 1, 1995, eligible to participate in the Prior Plan and whose Annual Rate of Pay was $90,000 or more as of both</w:t>
      </w:r>
    </w:p>
    <w:p>
      <w:pPr>
        <w:spacing w:after="0" w:line="1" w:lineRule="exact"/>
        <w:rPr>
          <w:rFonts w:ascii="Arial" w:cs="Arial" w:eastAsia="Arial" w:hAnsi="Arial"/>
          <w:sz w:val="19"/>
          <w:szCs w:val="19"/>
          <w:color w:val="auto"/>
        </w:rPr>
      </w:pPr>
    </w:p>
    <w:p>
      <w:pPr>
        <w:ind w:firstLine="8"/>
        <w:spacing w:after="0" w:line="246" w:lineRule="auto"/>
        <w:tabs>
          <w:tab w:leader="none" w:pos="354"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date on which an Initial Election is filed with the Administrator and (B) the first day of each calendar year beginning after December 31, 1994.</w:t>
      </w:r>
    </w:p>
    <w:p>
      <w:pPr>
        <w:spacing w:after="0" w:line="192" w:lineRule="exact"/>
        <w:rPr>
          <w:rFonts w:ascii="Arial" w:cs="Arial" w:eastAsia="Arial" w:hAnsi="Arial"/>
          <w:sz w:val="22"/>
          <w:szCs w:val="22"/>
          <w:color w:val="auto"/>
        </w:rPr>
      </w:pPr>
    </w:p>
    <w:p>
      <w:pPr>
        <w:jc w:val="both"/>
        <w:ind w:firstLine="2600"/>
        <w:spacing w:after="0" w:line="250" w:lineRule="auto"/>
        <w:tabs>
          <w:tab w:leader="none" w:pos="3159" w:val="left"/>
        </w:tabs>
        <w:numPr>
          <w:ilvl w:val="2"/>
          <w:numId w:val="177"/>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was an employee of an entity that was a Participating Company in the Prior Plan as of June 30, 2002 and who had an Annual Rate of Pay of $125,000 as of each of (i) June 30, 2002; (ii) the date on which an Initial Election was filed with the Administrator and (iii) the first day of each calendar year beginning after December 31, 2002.</w:t>
      </w:r>
    </w:p>
    <w:p>
      <w:pPr>
        <w:spacing w:after="0" w:line="187" w:lineRule="exact"/>
        <w:rPr>
          <w:rFonts w:ascii="Arial" w:cs="Arial" w:eastAsia="Arial" w:hAnsi="Arial"/>
          <w:sz w:val="22"/>
          <w:szCs w:val="22"/>
          <w:color w:val="auto"/>
        </w:rPr>
      </w:pPr>
    </w:p>
    <w:p>
      <w:pPr>
        <w:jc w:val="both"/>
        <w:ind w:firstLine="2600"/>
        <w:spacing w:after="0" w:line="248" w:lineRule="auto"/>
        <w:tabs>
          <w:tab w:leader="none" w:pos="3353" w:val="left"/>
        </w:tabs>
        <w:numPr>
          <w:ilvl w:val="2"/>
          <w:numId w:val="177"/>
        </w:numPr>
        <w:rPr>
          <w:rFonts w:ascii="Arial" w:cs="Arial" w:eastAsia="Arial" w:hAnsi="Arial"/>
          <w:sz w:val="22"/>
          <w:szCs w:val="22"/>
          <w:color w:val="auto"/>
        </w:rPr>
      </w:pPr>
      <w:r>
        <w:rPr>
          <w:rFonts w:ascii="Arial" w:cs="Arial" w:eastAsia="Arial" w:hAnsi="Arial"/>
          <w:sz w:val="22"/>
          <w:szCs w:val="22"/>
          <w:color w:val="auto"/>
        </w:rPr>
        <w:t>Each employee of a Participating Company other than NBCUniversal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91" w:lineRule="exact"/>
        <w:rPr>
          <w:rFonts w:ascii="Arial" w:cs="Arial" w:eastAsia="Arial" w:hAnsi="Arial"/>
          <w:sz w:val="22"/>
          <w:szCs w:val="22"/>
          <w:color w:val="auto"/>
        </w:rPr>
      </w:pPr>
    </w:p>
    <w:p>
      <w:pPr>
        <w:ind w:left="2420" w:hanging="468"/>
        <w:spacing w:after="0"/>
        <w:tabs>
          <w:tab w:leader="none" w:pos="242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w:t>
      </w:r>
    </w:p>
    <w:p>
      <w:pPr>
        <w:spacing w:after="0" w:line="219" w:lineRule="exact"/>
        <w:rPr>
          <w:rFonts w:ascii="Arial" w:cs="Arial" w:eastAsia="Arial" w:hAnsi="Arial"/>
          <w:sz w:val="22"/>
          <w:szCs w:val="22"/>
          <w:color w:val="auto"/>
        </w:rPr>
      </w:pPr>
    </w:p>
    <w:p>
      <w:pPr>
        <w:ind w:left="3140" w:hanging="540"/>
        <w:spacing w:after="0"/>
        <w:tabs>
          <w:tab w:leader="none" w:pos="3140" w:val="left"/>
        </w:tabs>
        <w:numPr>
          <w:ilvl w:val="2"/>
          <w:numId w:val="178"/>
        </w:numPr>
        <w:rPr>
          <w:rFonts w:ascii="Arial" w:cs="Arial" w:eastAsia="Arial" w:hAnsi="Arial"/>
          <w:sz w:val="19"/>
          <w:szCs w:val="19"/>
          <w:color w:val="auto"/>
        </w:rPr>
      </w:pPr>
      <w:r>
        <w:rPr>
          <w:rFonts w:ascii="Arial" w:cs="Arial" w:eastAsia="Arial" w:hAnsi="Arial"/>
          <w:sz w:val="19"/>
          <w:szCs w:val="19"/>
          <w:color w:val="auto"/>
        </w:rPr>
        <w:t>Each employee of a Participating Company other than NBCUniversal who is described in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2.31(a)(i)-(iv).</w:t>
      </w:r>
    </w:p>
    <w:p>
      <w:pPr>
        <w:spacing w:after="0" w:line="201" w:lineRule="exact"/>
        <w:rPr>
          <w:rFonts w:ascii="Arial" w:cs="Arial" w:eastAsia="Arial" w:hAnsi="Arial"/>
          <w:sz w:val="19"/>
          <w:szCs w:val="19"/>
          <w:color w:val="auto"/>
        </w:rPr>
      </w:pPr>
    </w:p>
    <w:p>
      <w:pPr>
        <w:jc w:val="both"/>
        <w:ind w:firstLine="2600"/>
        <w:spacing w:after="0" w:line="312" w:lineRule="auto"/>
        <w:tabs>
          <w:tab w:leader="none" w:pos="3072" w:val="left"/>
        </w:tabs>
        <w:numPr>
          <w:ilvl w:val="2"/>
          <w:numId w:val="178"/>
        </w:numPr>
        <w:rPr>
          <w:rFonts w:ascii="Arial" w:cs="Arial" w:eastAsia="Arial" w:hAnsi="Arial"/>
          <w:sz w:val="19"/>
          <w:szCs w:val="19"/>
          <w:color w:val="auto"/>
        </w:rPr>
      </w:pPr>
      <w:r>
        <w:rPr>
          <w:rFonts w:ascii="Arial" w:cs="Arial" w:eastAsia="Arial" w:hAnsi="Arial"/>
          <w:sz w:val="19"/>
          <w:szCs w:val="19"/>
          <w:color w:val="auto"/>
        </w:rPr>
        <w:t>Each employee of a Participating Company other than NBCUniversal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33" w:lineRule="exact"/>
        <w:rPr>
          <w:rFonts w:ascii="Arial" w:cs="Arial" w:eastAsia="Arial" w:hAnsi="Arial"/>
          <w:sz w:val="19"/>
          <w:szCs w:val="19"/>
          <w:color w:val="auto"/>
        </w:rPr>
      </w:pPr>
    </w:p>
    <w:p>
      <w:pPr>
        <w:jc w:val="both"/>
        <w:ind w:firstLine="2600"/>
        <w:spacing w:after="0" w:line="312" w:lineRule="auto"/>
        <w:tabs>
          <w:tab w:leader="none" w:pos="3243" w:val="left"/>
        </w:tabs>
        <w:numPr>
          <w:ilvl w:val="2"/>
          <w:numId w:val="178"/>
        </w:numPr>
        <w:rPr>
          <w:rFonts w:ascii="Arial" w:cs="Arial" w:eastAsia="Arial" w:hAnsi="Arial"/>
          <w:sz w:val="19"/>
          <w:szCs w:val="19"/>
          <w:color w:val="auto"/>
        </w:rPr>
      </w:pPr>
      <w:r>
        <w:rPr>
          <w:rFonts w:ascii="Arial" w:cs="Arial" w:eastAsia="Arial" w:hAnsi="Arial"/>
          <w:sz w:val="19"/>
          <w:szCs w:val="19"/>
          <w:color w:val="auto"/>
        </w:rPr>
        <w:t>Each employee of NBCUniversal described in Section 2.29(a)(ii) or 2.29(a)(iii) who is a Participant and who has an Annual Rate of Pay of $200,000 or more as of each of (A) December 31, 2013; (B) the date on which an Initial Election is filed with the Administrator and (C) the first day of each calendar year beginning after December 31, 2013.</w:t>
      </w:r>
    </w:p>
    <w:p>
      <w:pPr>
        <w:spacing w:after="0" w:line="133" w:lineRule="exact"/>
        <w:rPr>
          <w:rFonts w:ascii="Arial" w:cs="Arial" w:eastAsia="Arial" w:hAnsi="Arial"/>
          <w:sz w:val="19"/>
          <w:szCs w:val="19"/>
          <w:color w:val="auto"/>
        </w:rPr>
      </w:pPr>
    </w:p>
    <w:p>
      <w:pPr>
        <w:jc w:val="both"/>
        <w:ind w:right="20" w:firstLine="1952"/>
        <w:spacing w:after="0" w:line="253" w:lineRule="auto"/>
        <w:tabs>
          <w:tab w:leader="none" w:pos="2427" w:val="left"/>
        </w:tabs>
        <w:numPr>
          <w:ilvl w:val="1"/>
          <w:numId w:val="179"/>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2019 through December 31, 2020, each employee of a Participating Company who either has a balance credited to his Account as of December 31, 2018, or has filed an Initial Election to defer bonus earned for the 2018 Plan Year and who:</w:t>
      </w:r>
    </w:p>
    <w:p>
      <w:pPr>
        <w:spacing w:after="0" w:line="185" w:lineRule="exact"/>
        <w:rPr>
          <w:rFonts w:ascii="Arial" w:cs="Arial" w:eastAsia="Arial" w:hAnsi="Arial"/>
          <w:sz w:val="22"/>
          <w:szCs w:val="22"/>
          <w:color w:val="auto"/>
        </w:rPr>
      </w:pPr>
    </w:p>
    <w:p>
      <w:pPr>
        <w:jc w:val="both"/>
        <w:ind w:firstLine="2600"/>
        <w:spacing w:after="0" w:line="250" w:lineRule="auto"/>
        <w:tabs>
          <w:tab w:leader="none" w:pos="3163" w:val="left"/>
        </w:tabs>
        <w:numPr>
          <w:ilvl w:val="2"/>
          <w:numId w:val="179"/>
        </w:numPr>
        <w:rPr>
          <w:rFonts w:ascii="Arial" w:cs="Arial" w:eastAsia="Arial" w:hAnsi="Arial"/>
          <w:sz w:val="22"/>
          <w:szCs w:val="22"/>
          <w:color w:val="auto"/>
        </w:rPr>
      </w:pPr>
      <w:r>
        <w:rPr>
          <w:rFonts w:ascii="Arial" w:cs="Arial" w:eastAsia="Arial" w:hAnsi="Arial"/>
          <w:sz w:val="22"/>
          <w:szCs w:val="22"/>
          <w:color w:val="auto"/>
        </w:rPr>
        <w:t>is an employee of NBCUniversal described in Section 2.26(a) whose Compensation was administered under NBCUniversal’s common payroll system as of December 31, 2013, has an Annual Rate of Pay of $250,000 or more as of both the date on which an Initial Election is filed with the Administrator and the first day of the calendar year in which such Initial Election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09" w:name="page110"/>
    <w:bookmarkEnd w:id="109"/>
    <w:p>
      <w:pPr>
        <w:ind w:firstLine="2600"/>
        <w:spacing w:after="0" w:line="263" w:lineRule="auto"/>
        <w:tabs>
          <w:tab w:leader="none" w:pos="325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is described in Section 2.29(a)(i), and who is a member of NBCUniversal’s Operating Committee (but not NBCUniversal’s Executive Committee or Management Committee); or</w:t>
      </w:r>
    </w:p>
    <w:p>
      <w:pPr>
        <w:spacing w:after="0" w:line="174" w:lineRule="exact"/>
        <w:rPr>
          <w:rFonts w:ascii="Arial" w:cs="Arial" w:eastAsia="Arial" w:hAnsi="Arial"/>
          <w:sz w:val="22"/>
          <w:szCs w:val="22"/>
          <w:color w:val="auto"/>
        </w:rPr>
      </w:pPr>
    </w:p>
    <w:p>
      <w:pPr>
        <w:ind w:left="3140" w:hanging="540"/>
        <w:spacing w:after="0"/>
        <w:tabs>
          <w:tab w:leader="none" w:pos="314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is described in Section 2.31(b).</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2.32. “</w:t>
      </w:r>
      <w:r>
        <w:rPr>
          <w:rFonts w:ascii="Arial" w:cs="Arial" w:eastAsia="Arial" w:hAnsi="Arial"/>
          <w:sz w:val="19"/>
          <w:szCs w:val="19"/>
          <w:u w:val="single" w:color="auto"/>
          <w:color w:val="auto"/>
        </w:rPr>
        <w:t>Hardship</w:t>
      </w:r>
      <w:r>
        <w:rPr>
          <w:rFonts w:ascii="Arial" w:cs="Arial" w:eastAsia="Arial" w:hAnsi="Arial"/>
          <w:sz w:val="19"/>
          <w:szCs w:val="19"/>
          <w:color w:val="auto"/>
        </w:rPr>
        <w:t>” means an “unforeseeable emergency,” as defined in Section 409A. The Committee shall determine whether the circumstances of the Participant constitute an unforeseeable emergency and thus a Hardship within the meaning of this Section 2.32. Following a uniform procedure, the Committee’s determination shall consider any facts or conditions deemed necessary or advisable by the Committee, and the Participant shall be required to submit any evidence of the Participant’s circumstances that the Committee requires. The determination as to whether the Participant’s circumstances are a case of Hardship shall be based on the facts of each case; provided however, that all determinations as to Hardship shall be uniformly and consistently made according to the provisions of this Section 2.32 for all Participants in similar circumstances.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High Balance Participant</w:t>
      </w:r>
      <w:r>
        <w:rPr>
          <w:rFonts w:ascii="Arial" w:cs="Arial" w:eastAsia="Arial" w:hAnsi="Arial"/>
          <w:sz w:val="19"/>
          <w:szCs w:val="19"/>
          <w:color w:val="auto"/>
        </w:rPr>
        <w:t>” means:</w:t>
      </w:r>
    </w:p>
    <w:p>
      <w:pPr>
        <w:spacing w:after="0" w:line="220" w:lineRule="exact"/>
        <w:rPr>
          <w:sz w:val="20"/>
          <w:szCs w:val="20"/>
          <w:color w:val="auto"/>
        </w:rPr>
      </w:pPr>
    </w:p>
    <w:p>
      <w:pPr>
        <w:ind w:firstLine="1952"/>
        <w:spacing w:after="0" w:line="263" w:lineRule="auto"/>
        <w:tabs>
          <w:tab w:leader="none" w:pos="243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 Participant the value of whose Account that is deemed invested in the Income Fund is greater than or equal to the Income Fund Limit, as determined by the Administrator;</w:t>
      </w:r>
    </w:p>
    <w:p>
      <w:pPr>
        <w:spacing w:after="0" w:line="174" w:lineRule="exact"/>
        <w:rPr>
          <w:rFonts w:ascii="Arial" w:cs="Arial" w:eastAsia="Arial" w:hAnsi="Arial"/>
          <w:sz w:val="22"/>
          <w:szCs w:val="22"/>
          <w:color w:val="auto"/>
        </w:rPr>
      </w:pPr>
    </w:p>
    <w:p>
      <w:pPr>
        <w:ind w:left="2500" w:hanging="548"/>
        <w:spacing w:after="0"/>
        <w:tabs>
          <w:tab w:leader="none" w:pos="250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effective July 31, 2020, a Participant who is, as of any relevant date of determination, an Outside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Director; and</w:t>
      </w:r>
    </w:p>
    <w:p>
      <w:pPr>
        <w:spacing w:after="0" w:line="201" w:lineRule="exact"/>
        <w:rPr>
          <w:rFonts w:ascii="Arial" w:cs="Arial" w:eastAsia="Arial" w:hAnsi="Arial"/>
          <w:sz w:val="19"/>
          <w:szCs w:val="19"/>
          <w:color w:val="auto"/>
        </w:rPr>
      </w:pPr>
    </w:p>
    <w:p>
      <w:pPr>
        <w:ind w:left="2420" w:hanging="468"/>
        <w:spacing w:after="0"/>
        <w:tabs>
          <w:tab w:leader="none" w:pos="242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Effective February 28, 2021, a Participant who is, as of any relevant date of determination, a Covered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Participant.</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High-Water Mark</w:t>
      </w:r>
      <w:r>
        <w:rPr>
          <w:rFonts w:ascii="Arial" w:cs="Arial" w:eastAsia="Arial" w:hAnsi="Arial"/>
          <w:sz w:val="19"/>
          <w:szCs w:val="19"/>
          <w:color w:val="auto"/>
        </w:rPr>
        <w:t>” means:</w:t>
      </w:r>
    </w:p>
    <w:p>
      <w:pPr>
        <w:spacing w:after="0" w:line="220" w:lineRule="exact"/>
        <w:rPr>
          <w:sz w:val="20"/>
          <w:szCs w:val="20"/>
          <w:color w:val="auto"/>
        </w:rPr>
      </w:pPr>
    </w:p>
    <w:p>
      <w:pPr>
        <w:jc w:val="both"/>
        <w:ind w:firstLine="1952"/>
        <w:spacing w:after="0" w:line="312" w:lineRule="auto"/>
        <w:tabs>
          <w:tab w:leader="none" w:pos="2471" w:val="left"/>
        </w:tabs>
        <w:numPr>
          <w:ilvl w:val="0"/>
          <w:numId w:val="182"/>
        </w:numPr>
        <w:rPr>
          <w:rFonts w:ascii="Arial" w:cs="Arial" w:eastAsia="Arial" w:hAnsi="Arial"/>
          <w:sz w:val="19"/>
          <w:szCs w:val="19"/>
          <w:color w:val="auto"/>
        </w:rPr>
      </w:pPr>
      <w:r>
        <w:rPr>
          <w:rFonts w:ascii="Arial" w:cs="Arial" w:eastAsia="Arial" w:hAnsi="Arial"/>
          <w:sz w:val="19"/>
          <w:szCs w:val="19"/>
          <w:color w:val="auto"/>
        </w:rPr>
        <w:t>With respect to amounts credited to the Income Fund pursuant to an Eligible Comcast Employee’s Initial Elections on account of Compensation earned in 2014, the highest of the sum of the amounts described in Section 2.34(a) (i), (ii) and (iii) as of the last day of any calendar quarter beginning after December 31, 2008 and before October 1, 2013:</w:t>
      </w:r>
    </w:p>
    <w:p>
      <w:pPr>
        <w:spacing w:after="0" w:line="133" w:lineRule="exact"/>
        <w:rPr>
          <w:rFonts w:ascii="Arial" w:cs="Arial" w:eastAsia="Arial" w:hAnsi="Arial"/>
          <w:sz w:val="19"/>
          <w:szCs w:val="19"/>
          <w:color w:val="auto"/>
        </w:rPr>
      </w:pPr>
    </w:p>
    <w:p>
      <w:pPr>
        <w:ind w:left="3020" w:hanging="420"/>
        <w:spacing w:after="0"/>
        <w:tabs>
          <w:tab w:leader="none" w:pos="3020" w:val="left"/>
        </w:tabs>
        <w:numPr>
          <w:ilvl w:val="1"/>
          <w:numId w:val="182"/>
        </w:numPr>
        <w:rPr>
          <w:rFonts w:ascii="Arial" w:cs="Arial" w:eastAsia="Arial" w:hAnsi="Arial"/>
          <w:sz w:val="19"/>
          <w:szCs w:val="19"/>
          <w:color w:val="auto"/>
        </w:rPr>
      </w:pPr>
      <w:r>
        <w:rPr>
          <w:rFonts w:ascii="Arial" w:cs="Arial" w:eastAsia="Arial" w:hAnsi="Arial"/>
          <w:sz w:val="19"/>
          <w:szCs w:val="19"/>
          <w:color w:val="auto"/>
        </w:rPr>
        <w:t>An Eligible Comcast Employee’s Account to the extent such Account is credited to the Income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Fund; plus</w:t>
      </w:r>
    </w:p>
    <w:p>
      <w:pPr>
        <w:spacing w:after="0" w:line="201" w:lineRule="exact"/>
        <w:rPr>
          <w:rFonts w:ascii="Arial" w:cs="Arial" w:eastAsia="Arial" w:hAnsi="Arial"/>
          <w:sz w:val="19"/>
          <w:szCs w:val="19"/>
          <w:color w:val="auto"/>
        </w:rPr>
      </w:pPr>
    </w:p>
    <w:p>
      <w:pPr>
        <w:ind w:left="3140" w:hanging="540"/>
        <w:spacing w:after="0"/>
        <w:tabs>
          <w:tab w:leader="none" w:pos="3140" w:val="left"/>
        </w:tabs>
        <w:numPr>
          <w:ilvl w:val="1"/>
          <w:numId w:val="182"/>
        </w:numPr>
        <w:rPr>
          <w:rFonts w:ascii="Arial" w:cs="Arial" w:eastAsia="Arial" w:hAnsi="Arial"/>
          <w:sz w:val="19"/>
          <w:szCs w:val="19"/>
          <w:color w:val="auto"/>
        </w:rPr>
      </w:pPr>
      <w:r>
        <w:rPr>
          <w:rFonts w:ascii="Arial" w:cs="Arial" w:eastAsia="Arial" w:hAnsi="Arial"/>
          <w:sz w:val="19"/>
          <w:szCs w:val="19"/>
          <w:color w:val="auto"/>
        </w:rPr>
        <w:t>Such Eligible Comcast Employee’s Account in the Prior Plan to the extent such Account 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credited to the Income Fund; plus</w:t>
      </w:r>
    </w:p>
    <w:p>
      <w:pPr>
        <w:spacing w:after="0" w:line="201" w:lineRule="exact"/>
        <w:rPr>
          <w:rFonts w:ascii="Arial" w:cs="Arial" w:eastAsia="Arial" w:hAnsi="Arial"/>
          <w:sz w:val="19"/>
          <w:szCs w:val="19"/>
          <w:color w:val="auto"/>
        </w:rPr>
      </w:pPr>
    </w:p>
    <w:p>
      <w:pPr>
        <w:ind w:firstLine="2600"/>
        <w:spacing w:after="0" w:line="263" w:lineRule="auto"/>
        <w:tabs>
          <w:tab w:leader="none" w:pos="3186" w:val="left"/>
        </w:tabs>
        <w:numPr>
          <w:ilvl w:val="1"/>
          <w:numId w:val="182"/>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10" w:name="page111"/>
    <w:bookmarkEnd w:id="110"/>
    <w:p>
      <w:pPr>
        <w:jc w:val="both"/>
        <w:ind w:firstLine="1952"/>
        <w:spacing w:after="0" w:line="288" w:lineRule="auto"/>
        <w:tabs>
          <w:tab w:leader="none" w:pos="2483" w:val="left"/>
        </w:tabs>
        <w:numPr>
          <w:ilvl w:val="0"/>
          <w:numId w:val="183"/>
        </w:numPr>
        <w:rPr>
          <w:rFonts w:ascii="Arial" w:cs="Arial" w:eastAsia="Arial" w:hAnsi="Arial"/>
          <w:sz w:val="19"/>
          <w:szCs w:val="19"/>
          <w:color w:val="auto"/>
        </w:rPr>
      </w:pPr>
      <w:r>
        <w:rPr>
          <w:rFonts w:ascii="Arial" w:cs="Arial" w:eastAsia="Arial" w:hAnsi="Arial"/>
          <w:sz w:val="19"/>
          <w:szCs w:val="19"/>
          <w:color w:val="auto"/>
        </w:rPr>
        <w:t>With respect to amounts credited to the Income Fund pursuant to an Eligible Comcast Employee’s Initial Elections on account of Compensation earned after 2014, the sum of (x) plus (y) where (x) equals the highest of the sum of the amounts described in Section 2.34(a)(i), (ii) and (iii) as of the last day of any calendar quarter beginning after December 31,</w:t>
      </w:r>
    </w:p>
    <w:p>
      <w:pPr>
        <w:spacing w:after="0"/>
        <w:rPr>
          <w:rFonts w:ascii="Arial" w:cs="Arial" w:eastAsia="Arial" w:hAnsi="Arial"/>
          <w:sz w:val="19"/>
          <w:szCs w:val="19"/>
          <w:color w:val="auto"/>
        </w:rPr>
      </w:pPr>
      <w:r>
        <w:rPr>
          <w:rFonts w:ascii="Arial" w:cs="Arial" w:eastAsia="Arial" w:hAnsi="Arial"/>
          <w:sz w:val="22"/>
          <w:szCs w:val="22"/>
          <w:color w:val="auto"/>
        </w:rPr>
        <w:t>2008 and before January 1, 2014, and (y) equals the sum of:</w:t>
      </w:r>
    </w:p>
    <w:p>
      <w:pPr>
        <w:spacing w:after="0" w:line="201" w:lineRule="exact"/>
        <w:rPr>
          <w:rFonts w:ascii="Arial" w:cs="Arial" w:eastAsia="Arial" w:hAnsi="Arial"/>
          <w:sz w:val="19"/>
          <w:szCs w:val="19"/>
          <w:color w:val="auto"/>
        </w:rPr>
      </w:pPr>
    </w:p>
    <w:p>
      <w:pPr>
        <w:jc w:val="both"/>
        <w:ind w:firstLine="2600"/>
        <w:spacing w:after="0" w:line="253" w:lineRule="auto"/>
        <w:tabs>
          <w:tab w:leader="none" w:pos="3122"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The amount credited to the Income Fund with respect to an Eligible Comcast Employee’s Account pursuant to Section 3.8 after December 31, 2013 and on or before September 30, 2014 that is contractually committed pursuant to an employment agreement entered into on or before December 31, 2013; plus</w:t>
      </w:r>
    </w:p>
    <w:p>
      <w:pPr>
        <w:spacing w:after="0" w:line="185" w:lineRule="exact"/>
        <w:rPr>
          <w:rFonts w:ascii="Arial" w:cs="Arial" w:eastAsia="Arial" w:hAnsi="Arial"/>
          <w:sz w:val="22"/>
          <w:szCs w:val="22"/>
          <w:color w:val="auto"/>
        </w:rPr>
      </w:pPr>
    </w:p>
    <w:p>
      <w:pPr>
        <w:jc w:val="both"/>
        <w:ind w:firstLine="2600"/>
        <w:spacing w:after="0" w:line="253" w:lineRule="auto"/>
        <w:tabs>
          <w:tab w:leader="none" w:pos="3074"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The deferred portion of an Eligible Comcast Employee’s cash bonus award earned for 2013 to the extent credited to the Income Fund and payable, but for the Eligible Comcast Employee’s Initial Election, after December 31, 2013 and on or before September 30, 2014; plus</w:t>
      </w:r>
    </w:p>
    <w:p>
      <w:pPr>
        <w:spacing w:after="0" w:line="185" w:lineRule="exact"/>
        <w:rPr>
          <w:rFonts w:ascii="Arial" w:cs="Arial" w:eastAsia="Arial" w:hAnsi="Arial"/>
          <w:sz w:val="22"/>
          <w:szCs w:val="22"/>
          <w:color w:val="auto"/>
        </w:rPr>
      </w:pPr>
    </w:p>
    <w:p>
      <w:pPr>
        <w:jc w:val="both"/>
        <w:ind w:firstLine="2600"/>
        <w:spacing w:after="0" w:line="250" w:lineRule="auto"/>
        <w:tabs>
          <w:tab w:leader="none" w:pos="3366"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The amount credited to the Eligible Comcast Employee’s “Income Fund” under the Restricted Stock Plan pursuant to a “Diversification Election” made by an Eligible Comcast Employee before January 1, 2014 with respect to restricted stock units that vest under the Restricted Stock Plan after December 31, 2013 and on or before September 30, 2014.</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2.35. “</w:t>
      </w:r>
      <w:r>
        <w:rPr>
          <w:rFonts w:ascii="Arial" w:cs="Arial" w:eastAsia="Arial" w:hAnsi="Arial"/>
          <w:sz w:val="22"/>
          <w:szCs w:val="22"/>
          <w:u w:val="single" w:color="auto"/>
          <w:color w:val="auto"/>
        </w:rPr>
        <w:t>Inactive Participant</w:t>
      </w:r>
      <w:r>
        <w:rPr>
          <w:rFonts w:ascii="Arial" w:cs="Arial" w:eastAsia="Arial" w:hAnsi="Arial"/>
          <w:sz w:val="22"/>
          <w:szCs w:val="22"/>
          <w:color w:val="auto"/>
        </w:rPr>
        <w:t>” means each Participant (other than an Outside Director or Section 16 Officer described in Section 3.5(a), Retired Participant, Deceased Participant or Disabled Participant) who is not in active service as an Outside Director or Director Emeritus and is not actively employed by a Participating Company.</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2.36. “</w:t>
      </w:r>
      <w:r>
        <w:rPr>
          <w:rFonts w:ascii="Arial" w:cs="Arial" w:eastAsia="Arial" w:hAnsi="Arial"/>
          <w:sz w:val="21"/>
          <w:szCs w:val="21"/>
          <w:u w:val="single" w:color="auto"/>
          <w:color w:val="auto"/>
        </w:rPr>
        <w:t>Income Fund</w:t>
      </w:r>
      <w:r>
        <w:rPr>
          <w:rFonts w:ascii="Arial" w:cs="Arial" w:eastAsia="Arial" w:hAnsi="Arial"/>
          <w:sz w:val="21"/>
          <w:szCs w:val="21"/>
          <w:color w:val="auto"/>
        </w:rPr>
        <w:t>” means a hypothetical investment fund pursuant to which income, gains and losses are credited to a Participant’s Account as if the Account, to the extent deemed invested in the Income Fund, were credited with interest at the Applicable Interest Rate. The “</w:t>
      </w:r>
      <w:r>
        <w:rPr>
          <w:rFonts w:ascii="Arial" w:cs="Arial" w:eastAsia="Arial" w:hAnsi="Arial"/>
          <w:sz w:val="21"/>
          <w:szCs w:val="21"/>
          <w:u w:val="single" w:color="auto"/>
          <w:color w:val="auto"/>
        </w:rPr>
        <w:t>9% Fund</w:t>
      </w:r>
      <w:r>
        <w:rPr>
          <w:rFonts w:ascii="Arial" w:cs="Arial" w:eastAsia="Arial" w:hAnsi="Arial"/>
          <w:sz w:val="21"/>
          <w:szCs w:val="21"/>
          <w:color w:val="auto"/>
        </w:rPr>
        <w:t>” means that portion of the Income Fund with respect to which the Applicable Interest Rate is 9%. The “</w:t>
      </w:r>
      <w:r>
        <w:rPr>
          <w:rFonts w:ascii="Arial" w:cs="Arial" w:eastAsia="Arial" w:hAnsi="Arial"/>
          <w:sz w:val="21"/>
          <w:szCs w:val="21"/>
          <w:u w:val="single" w:color="auto"/>
          <w:color w:val="auto"/>
        </w:rPr>
        <w:t>12% Fund</w:t>
      </w:r>
      <w:r>
        <w:rPr>
          <w:rFonts w:ascii="Arial" w:cs="Arial" w:eastAsia="Arial" w:hAnsi="Arial"/>
          <w:sz w:val="21"/>
          <w:szCs w:val="21"/>
          <w:color w:val="auto"/>
        </w:rPr>
        <w:t>” means that portion of the Income Fund with respect to which the Applicable Interest Rate is 12%. The “</w:t>
      </w:r>
      <w:r>
        <w:rPr>
          <w:rFonts w:ascii="Arial" w:cs="Arial" w:eastAsia="Arial" w:hAnsi="Arial"/>
          <w:sz w:val="21"/>
          <w:szCs w:val="21"/>
          <w:u w:val="single" w:color="auto"/>
          <w:color w:val="auto"/>
        </w:rPr>
        <w:t>Prime Plus One Fund</w:t>
      </w:r>
      <w:r>
        <w:rPr>
          <w:rFonts w:ascii="Arial" w:cs="Arial" w:eastAsia="Arial" w:hAnsi="Arial"/>
          <w:sz w:val="21"/>
          <w:szCs w:val="21"/>
          <w:color w:val="auto"/>
        </w:rPr>
        <w:t>” means that portion of the Income Fund with respect to which the Applicable Interest Rate is described in Section 2.6(b). For purposes of this Section 2.36, the Income Fund shall include amounts credited to the Income Fund under the Prior Plan and the Restricted Stock Plan.</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Income Fund Limit</w:t>
      </w:r>
      <w:r>
        <w:rPr>
          <w:rFonts w:ascii="Arial" w:cs="Arial" w:eastAsia="Arial" w:hAnsi="Arial"/>
          <w:sz w:val="19"/>
          <w:szCs w:val="19"/>
          <w:color w:val="auto"/>
        </w:rPr>
        <w:t>” means:</w:t>
      </w:r>
    </w:p>
    <w:p>
      <w:pPr>
        <w:spacing w:after="0" w:line="220" w:lineRule="exact"/>
        <w:rPr>
          <w:sz w:val="20"/>
          <w:szCs w:val="20"/>
          <w:color w:val="auto"/>
        </w:rPr>
      </w:pPr>
    </w:p>
    <w:p>
      <w:pPr>
        <w:jc w:val="both"/>
        <w:ind w:firstLine="1952"/>
        <w:spacing w:after="0" w:line="248" w:lineRule="auto"/>
        <w:tabs>
          <w:tab w:leader="none" w:pos="2453" w:val="left"/>
        </w:tabs>
        <w:numPr>
          <w:ilvl w:val="0"/>
          <w:numId w:val="184"/>
        </w:numPr>
        <w:rPr>
          <w:rFonts w:ascii="Arial" w:cs="Arial" w:eastAsia="Arial" w:hAnsi="Arial"/>
          <w:sz w:val="22"/>
          <w:szCs w:val="22"/>
          <w:color w:val="auto"/>
        </w:rPr>
      </w:pPr>
      <w:r>
        <w:rPr>
          <w:rFonts w:ascii="Arial" w:cs="Arial" w:eastAsia="Arial" w:hAnsi="Arial"/>
          <w:sz w:val="22"/>
          <w:szCs w:val="22"/>
          <w:color w:val="auto"/>
        </w:rPr>
        <w:t>With respect to Participants other than Participants described in Section 2.37(b), Section 2.37(c), or Section 2.37(d), $100 million, provided that if the amount credited to a Participant’s Income Fund is greater than $100 million as of December 31, 2019, the Income Fund Limit applicable to such Participant for any applicable Plan Year shall be equal to the amount credited to a Participant’s Income Fund as of the December 31 immediately preceding such applicable Plan Year until such balance is equal to or less than $100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11" w:name="page112"/>
    <w:bookmarkEnd w:id="111"/>
    <w:p>
      <w:pPr>
        <w:ind w:left="1960"/>
        <w:spacing w:after="0"/>
        <w:tabs>
          <w:tab w:leader="none" w:pos="256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Effective as of July 31, 2020, with respect to Participants who are Outside Directors, $0 (zero</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dollars).</w:t>
      </w:r>
    </w:p>
    <w:p>
      <w:pPr>
        <w:spacing w:after="0" w:line="202" w:lineRule="exact"/>
        <w:rPr>
          <w:sz w:val="20"/>
          <w:szCs w:val="20"/>
          <w:color w:val="auto"/>
        </w:rPr>
      </w:pPr>
    </w:p>
    <w:p>
      <w:pPr>
        <w:ind w:left="2500" w:hanging="548"/>
        <w:spacing w:after="0"/>
        <w:tabs>
          <w:tab w:leader="none" w:pos="250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Effective as of February 28, 2021, with respect to Participants who are Covered Participants as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date, $0 (zero dollars).</w:t>
      </w:r>
    </w:p>
    <w:p>
      <w:pPr>
        <w:spacing w:after="0" w:line="201" w:lineRule="exact"/>
        <w:rPr>
          <w:rFonts w:ascii="Arial" w:cs="Arial" w:eastAsia="Arial" w:hAnsi="Arial"/>
          <w:sz w:val="19"/>
          <w:szCs w:val="19"/>
          <w:color w:val="auto"/>
        </w:rPr>
      </w:pPr>
    </w:p>
    <w:p>
      <w:pPr>
        <w:jc w:val="both"/>
        <w:ind w:firstLine="1952"/>
        <w:spacing w:after="0" w:line="253" w:lineRule="auto"/>
        <w:tabs>
          <w:tab w:leader="none" w:pos="2507" w:val="left"/>
        </w:tabs>
        <w:numPr>
          <w:ilvl w:val="0"/>
          <w:numId w:val="185"/>
        </w:numPr>
        <w:rPr>
          <w:rFonts w:ascii="Arial" w:cs="Arial" w:eastAsia="Arial" w:hAnsi="Arial"/>
          <w:sz w:val="22"/>
          <w:szCs w:val="22"/>
          <w:color w:val="auto"/>
        </w:rPr>
      </w:pPr>
      <w:r>
        <w:rPr>
          <w:rFonts w:ascii="Arial" w:cs="Arial" w:eastAsia="Arial" w:hAnsi="Arial"/>
          <w:sz w:val="22"/>
          <w:szCs w:val="22"/>
          <w:color w:val="auto"/>
        </w:rPr>
        <w:t>Following July 31, 2020 (in the case of Outside Directors) and February 28, 2021 (in the case of Covered Participants), effective as of the last day of the month following the date a Participant first becomes an Outside Director or a Covered Participant, $0 (zero dollars).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Administrator may waive or modify downward the Income Fund Limit applicable to one or more High Balance Participants in its discretion. For purposes of this Section 2.37, the Income Fund shall include amounts credited to the Income Fund under the Prior Plan and the Restricted Stock Plan.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Initial Election</w:t>
      </w:r>
      <w:r>
        <w:rPr>
          <w:rFonts w:ascii="Arial" w:cs="Arial" w:eastAsia="Arial" w:hAnsi="Arial"/>
          <w:sz w:val="21"/>
          <w:szCs w:val="21"/>
          <w:color w:val="auto"/>
        </w:rPr>
        <w:t>.”</w:t>
      </w:r>
    </w:p>
    <w:p>
      <w:pPr>
        <w:spacing w:after="0" w:line="220" w:lineRule="exact"/>
        <w:rPr>
          <w:sz w:val="20"/>
          <w:szCs w:val="20"/>
          <w:color w:val="auto"/>
        </w:rPr>
      </w:pPr>
    </w:p>
    <w:p>
      <w:pPr>
        <w:jc w:val="both"/>
        <w:ind w:right="20" w:firstLine="1952"/>
        <w:spacing w:after="0" w:line="271" w:lineRule="auto"/>
        <w:tabs>
          <w:tab w:leader="none" w:pos="2413" w:val="left"/>
        </w:tabs>
        <w:numPr>
          <w:ilvl w:val="0"/>
          <w:numId w:val="186"/>
        </w:numPr>
        <w:rPr>
          <w:rFonts w:ascii="Arial" w:cs="Arial" w:eastAsia="Arial" w:hAnsi="Arial"/>
          <w:sz w:val="21"/>
          <w:szCs w:val="21"/>
          <w:color w:val="auto"/>
        </w:rPr>
      </w:pPr>
      <w:r>
        <w:rPr>
          <w:rFonts w:ascii="Arial" w:cs="Arial" w:eastAsia="Arial" w:hAnsi="Arial"/>
          <w:sz w:val="21"/>
          <w:szCs w:val="21"/>
          <w:u w:val="single" w:color="auto"/>
          <w:color w:val="auto"/>
        </w:rPr>
        <w:t>Outside Directors and Directors Emeriti</w:t>
      </w:r>
      <w:r>
        <w:rPr>
          <w:rFonts w:ascii="Arial" w:cs="Arial" w:eastAsia="Arial" w:hAnsi="Arial"/>
          <w:sz w:val="21"/>
          <w:szCs w:val="21"/>
          <w:color w:val="auto"/>
        </w:rPr>
        <w:t>. With respect to Outside Directors and Directors Emeriti, the term “Initial Election” means one or more written elections on a form provided by the Administrator and filed with the Administrator in accordance with Article 3, pursuant to which an Outside Director or Director Emeritus may:</w:t>
      </w:r>
    </w:p>
    <w:p>
      <w:pPr>
        <w:spacing w:after="0" w:line="167" w:lineRule="exact"/>
        <w:rPr>
          <w:rFonts w:ascii="Arial" w:cs="Arial" w:eastAsia="Arial" w:hAnsi="Arial"/>
          <w:sz w:val="21"/>
          <w:szCs w:val="21"/>
          <w:color w:val="auto"/>
        </w:rPr>
      </w:pPr>
    </w:p>
    <w:p>
      <w:pPr>
        <w:jc w:val="both"/>
        <w:ind w:firstLine="2600"/>
        <w:spacing w:after="0" w:line="253" w:lineRule="auto"/>
        <w:tabs>
          <w:tab w:leader="none" w:pos="3052" w:val="left"/>
        </w:tabs>
        <w:numPr>
          <w:ilvl w:val="1"/>
          <w:numId w:val="186"/>
        </w:numPr>
        <w:rPr>
          <w:rFonts w:ascii="Arial" w:cs="Arial" w:eastAsia="Arial" w:hAnsi="Arial"/>
          <w:sz w:val="22"/>
          <w:szCs w:val="22"/>
          <w:color w:val="auto"/>
        </w:rPr>
      </w:pPr>
      <w:r>
        <w:rPr>
          <w:rFonts w:ascii="Arial" w:cs="Arial" w:eastAsia="Arial" w:hAnsi="Arial"/>
          <w:sz w:val="22"/>
          <w:szCs w:val="22"/>
          <w:color w:val="auto"/>
        </w:rPr>
        <w:t>Elect to defer any portion of the Compensation payable for the performance of services as an Outside Director or a Director Emeritus, net of required withholdings and deductions as determined by the Administrator in its sole discretion; and</w:t>
      </w:r>
    </w:p>
    <w:p>
      <w:pPr>
        <w:spacing w:after="0" w:line="185" w:lineRule="exact"/>
        <w:rPr>
          <w:rFonts w:ascii="Arial" w:cs="Arial" w:eastAsia="Arial" w:hAnsi="Arial"/>
          <w:sz w:val="22"/>
          <w:szCs w:val="22"/>
          <w:color w:val="auto"/>
        </w:rPr>
      </w:pPr>
    </w:p>
    <w:p>
      <w:pPr>
        <w:ind w:left="3140" w:hanging="540"/>
        <w:spacing w:after="0"/>
        <w:tabs>
          <w:tab w:leader="none" w:pos="3140" w:val="left"/>
        </w:tabs>
        <w:numPr>
          <w:ilvl w:val="1"/>
          <w:numId w:val="186"/>
        </w:numPr>
        <w:rPr>
          <w:rFonts w:ascii="Arial" w:cs="Arial" w:eastAsia="Arial" w:hAnsi="Arial"/>
          <w:sz w:val="19"/>
          <w:szCs w:val="19"/>
          <w:color w:val="auto"/>
        </w:rPr>
      </w:pPr>
      <w:r>
        <w:rPr>
          <w:rFonts w:ascii="Arial" w:cs="Arial" w:eastAsia="Arial" w:hAnsi="Arial"/>
          <w:sz w:val="19"/>
          <w:szCs w:val="19"/>
          <w:color w:val="auto"/>
        </w:rPr>
        <w:t>Designate the time of payment of the amount of deferred Compensation to which the Initial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Election relates.</w:t>
      </w:r>
    </w:p>
    <w:p>
      <w:pPr>
        <w:spacing w:after="0" w:line="201" w:lineRule="exact"/>
        <w:rPr>
          <w:rFonts w:ascii="Arial" w:cs="Arial" w:eastAsia="Arial" w:hAnsi="Arial"/>
          <w:sz w:val="19"/>
          <w:szCs w:val="19"/>
          <w:color w:val="auto"/>
        </w:rPr>
      </w:pPr>
    </w:p>
    <w:p>
      <w:pPr>
        <w:ind w:right="20" w:firstLine="1952"/>
        <w:spacing w:after="0" w:line="343" w:lineRule="auto"/>
        <w:tabs>
          <w:tab w:leader="none" w:pos="2425"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Eligible Employees</w:t>
      </w:r>
      <w:r>
        <w:rPr>
          <w:rFonts w:ascii="Arial" w:cs="Arial" w:eastAsia="Arial" w:hAnsi="Arial"/>
          <w:sz w:val="19"/>
          <w:szCs w:val="19"/>
          <w:color w:val="auto"/>
        </w:rPr>
        <w:t>. The term “Initial Election” means one or more written elections provided by the Administrator and filed with the Administrator in accordance with Article 3 pursuant to which an Eligible Employee may:</w:t>
      </w:r>
    </w:p>
    <w:p>
      <w:pPr>
        <w:spacing w:after="0" w:line="104" w:lineRule="exact"/>
        <w:rPr>
          <w:rFonts w:ascii="Arial" w:cs="Arial" w:eastAsia="Arial" w:hAnsi="Arial"/>
          <w:sz w:val="19"/>
          <w:szCs w:val="19"/>
          <w:color w:val="auto"/>
        </w:rPr>
      </w:pPr>
    </w:p>
    <w:p>
      <w:pPr>
        <w:ind w:firstLine="2600"/>
        <w:spacing w:after="0" w:line="287" w:lineRule="auto"/>
        <w:tabs>
          <w:tab w:leader="none" w:pos="3199" w:val="left"/>
        </w:tabs>
        <w:numPr>
          <w:ilvl w:val="1"/>
          <w:numId w:val="186"/>
        </w:numPr>
        <w:rPr>
          <w:rFonts w:ascii="Arial" w:cs="Arial" w:eastAsia="Arial" w:hAnsi="Arial"/>
          <w:sz w:val="21"/>
          <w:szCs w:val="21"/>
          <w:color w:val="auto"/>
        </w:rPr>
      </w:pPr>
      <w:r>
        <w:rPr>
          <w:rFonts w:ascii="Arial" w:cs="Arial" w:eastAsia="Arial" w:hAnsi="Arial"/>
          <w:sz w:val="21"/>
          <w:szCs w:val="21"/>
          <w:color w:val="auto"/>
        </w:rPr>
        <w:t>Subject to the limitations described in Section 2.38(b)(iii), elect to defer Compensation payable for the performance of services as an Eligible Employee following the time that such election is filed; and</w:t>
      </w:r>
    </w:p>
    <w:p>
      <w:pPr>
        <w:spacing w:after="0" w:line="151" w:lineRule="exact"/>
        <w:rPr>
          <w:rFonts w:ascii="Arial" w:cs="Arial" w:eastAsia="Arial" w:hAnsi="Arial"/>
          <w:sz w:val="21"/>
          <w:szCs w:val="21"/>
          <w:color w:val="auto"/>
        </w:rPr>
      </w:pPr>
    </w:p>
    <w:p>
      <w:pPr>
        <w:ind w:left="3140" w:hanging="540"/>
        <w:spacing w:after="0"/>
        <w:tabs>
          <w:tab w:leader="none" w:pos="3140" w:val="left"/>
        </w:tabs>
        <w:numPr>
          <w:ilvl w:val="1"/>
          <w:numId w:val="186"/>
        </w:numPr>
        <w:rPr>
          <w:rFonts w:ascii="Arial" w:cs="Arial" w:eastAsia="Arial" w:hAnsi="Arial"/>
          <w:sz w:val="19"/>
          <w:szCs w:val="19"/>
          <w:color w:val="auto"/>
        </w:rPr>
      </w:pPr>
      <w:r>
        <w:rPr>
          <w:rFonts w:ascii="Arial" w:cs="Arial" w:eastAsia="Arial" w:hAnsi="Arial"/>
          <w:sz w:val="19"/>
          <w:szCs w:val="19"/>
          <w:color w:val="auto"/>
        </w:rPr>
        <w:t>Designate the time of payment of the amount of deferred Compensation to which the Initial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Election relates.</w:t>
      </w:r>
    </w:p>
    <w:p>
      <w:pPr>
        <w:spacing w:after="0" w:line="201" w:lineRule="exact"/>
        <w:rPr>
          <w:rFonts w:ascii="Arial" w:cs="Arial" w:eastAsia="Arial" w:hAnsi="Arial"/>
          <w:sz w:val="19"/>
          <w:szCs w:val="19"/>
          <w:color w:val="auto"/>
        </w:rPr>
      </w:pPr>
    </w:p>
    <w:p>
      <w:pPr>
        <w:ind w:left="3140" w:hanging="540"/>
        <w:spacing w:after="0"/>
        <w:tabs>
          <w:tab w:leader="none" w:pos="314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The following rules shall apply to Initial Elections:</w:t>
      </w:r>
    </w:p>
    <w:p>
      <w:pPr>
        <w:spacing w:after="0" w:line="219" w:lineRule="exact"/>
        <w:rPr>
          <w:rFonts w:ascii="Arial" w:cs="Arial" w:eastAsia="Arial" w:hAnsi="Arial"/>
          <w:sz w:val="22"/>
          <w:szCs w:val="22"/>
          <w:color w:val="auto"/>
        </w:rPr>
      </w:pPr>
    </w:p>
    <w:p>
      <w:pPr>
        <w:ind w:left="4600" w:hanging="704"/>
        <w:spacing w:after="0"/>
        <w:tabs>
          <w:tab w:leader="none" w:pos="4600" w:val="left"/>
        </w:tabs>
        <w:numPr>
          <w:ilvl w:val="2"/>
          <w:numId w:val="186"/>
        </w:numPr>
        <w:rPr>
          <w:rFonts w:ascii="Arial" w:cs="Arial" w:eastAsia="Arial" w:hAnsi="Arial"/>
          <w:sz w:val="21"/>
          <w:szCs w:val="21"/>
          <w:color w:val="auto"/>
        </w:rPr>
      </w:pPr>
      <w:r>
        <w:rPr>
          <w:rFonts w:ascii="Arial" w:cs="Arial" w:eastAsia="Arial" w:hAnsi="Arial"/>
          <w:sz w:val="21"/>
          <w:szCs w:val="21"/>
          <w:color w:val="auto"/>
        </w:rPr>
        <w:t>Subject to the limits on deferrals of Compensation described in Section</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2.38(b)(iii)(B) and Section 2.38(b)(iii)(C):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112" w:name="page113"/>
    <w:bookmarkEnd w:id="112"/>
    <w:p>
      <w:pPr>
        <w:jc w:val="both"/>
        <w:ind w:firstLine="4544"/>
        <w:spacing w:after="0" w:line="253" w:lineRule="auto"/>
        <w:tabs>
          <w:tab w:leader="none" w:pos="5147" w:val="left"/>
        </w:tabs>
        <w:numPr>
          <w:ilvl w:val="1"/>
          <w:numId w:val="187"/>
        </w:numPr>
        <w:rPr>
          <w:rFonts w:ascii="Arial" w:cs="Arial" w:eastAsia="Arial" w:hAnsi="Arial"/>
          <w:sz w:val="22"/>
          <w:szCs w:val="22"/>
          <w:color w:val="auto"/>
        </w:rPr>
      </w:pPr>
      <w:r>
        <w:rPr>
          <w:rFonts w:ascii="Arial" w:cs="Arial" w:eastAsia="Arial" w:hAnsi="Arial"/>
          <w:sz w:val="22"/>
          <w:szCs w:val="22"/>
          <w:color w:val="auto"/>
        </w:rPr>
        <w:t>the maximum amount of base salary available for deferral shall be determined net of required withholdings and deductions as determined by the Administrator in its sole discretion, but shall in no event be less than 85% of the Participant’s base salary and</w:t>
      </w:r>
    </w:p>
    <w:p>
      <w:pPr>
        <w:spacing w:after="0" w:line="185" w:lineRule="exact"/>
        <w:rPr>
          <w:rFonts w:ascii="Arial" w:cs="Arial" w:eastAsia="Arial" w:hAnsi="Arial"/>
          <w:sz w:val="22"/>
          <w:szCs w:val="22"/>
          <w:color w:val="auto"/>
        </w:rPr>
      </w:pPr>
    </w:p>
    <w:p>
      <w:pPr>
        <w:ind w:left="5240" w:hanging="696"/>
        <w:spacing w:after="0"/>
        <w:tabs>
          <w:tab w:leader="none" w:pos="5240" w:val="left"/>
        </w:tabs>
        <w:numPr>
          <w:ilvl w:val="1"/>
          <w:numId w:val="187"/>
        </w:numPr>
        <w:rPr>
          <w:rFonts w:ascii="Arial" w:cs="Arial" w:eastAsia="Arial" w:hAnsi="Arial"/>
          <w:sz w:val="21"/>
          <w:szCs w:val="21"/>
          <w:color w:val="auto"/>
        </w:rPr>
      </w:pPr>
      <w:r>
        <w:rPr>
          <w:rFonts w:ascii="Arial" w:cs="Arial" w:eastAsia="Arial" w:hAnsi="Arial"/>
          <w:sz w:val="21"/>
          <w:szCs w:val="21"/>
          <w:color w:val="auto"/>
        </w:rPr>
        <w:t>the maximum amount of a Signing Bonus available for deferral</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pursuant to an Initial Election shall not exceed 50%.</w:t>
      </w:r>
    </w:p>
    <w:p>
      <w:pPr>
        <w:spacing w:after="0" w:line="201" w:lineRule="exact"/>
        <w:rPr>
          <w:rFonts w:ascii="Arial" w:cs="Arial" w:eastAsia="Arial" w:hAnsi="Arial"/>
          <w:sz w:val="21"/>
          <w:szCs w:val="21"/>
          <w:color w:val="auto"/>
        </w:rPr>
      </w:pPr>
    </w:p>
    <w:p>
      <w:pPr>
        <w:ind w:left="4440" w:hanging="544"/>
        <w:spacing w:after="0"/>
        <w:tabs>
          <w:tab w:leader="none" w:pos="444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maximum amount subject to Initial Elections for any Plan Year shall not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exceed 35% of Total Compensation.</w:t>
      </w:r>
    </w:p>
    <w:p>
      <w:pPr>
        <w:spacing w:after="0" w:line="201" w:lineRule="exact"/>
        <w:rPr>
          <w:rFonts w:ascii="Arial" w:cs="Arial" w:eastAsia="Arial" w:hAnsi="Arial"/>
          <w:sz w:val="19"/>
          <w:szCs w:val="19"/>
          <w:color w:val="auto"/>
        </w:rPr>
      </w:pPr>
    </w:p>
    <w:p>
      <w:pPr>
        <w:jc w:val="both"/>
        <w:ind w:firstLine="3896"/>
        <w:spacing w:after="0" w:line="265" w:lineRule="auto"/>
        <w:tabs>
          <w:tab w:leader="none" w:pos="4466" w:val="left"/>
        </w:tabs>
        <w:numPr>
          <w:ilvl w:val="0"/>
          <w:numId w:val="188"/>
        </w:numPr>
        <w:rPr>
          <w:rFonts w:ascii="Arial" w:cs="Arial" w:eastAsia="Arial" w:hAnsi="Arial"/>
          <w:sz w:val="21"/>
          <w:szCs w:val="21"/>
          <w:color w:val="auto"/>
        </w:rPr>
      </w:pPr>
      <w:r>
        <w:rPr>
          <w:rFonts w:ascii="Arial" w:cs="Arial" w:eastAsia="Arial" w:hAnsi="Arial"/>
          <w:sz w:val="21"/>
          <w:szCs w:val="21"/>
          <w:color w:val="auto"/>
        </w:rPr>
        <w:t>No Initial Election with respect to Compensation expected to be earned in a Plan Year shall be effective if the sum of (x) the value of the Eligible Employee’s Account in the Plan, plus (y) the value of the Eligible Employee’s Account in the Prior Plan, plus (z) the value of the Eligible Employee’s Account in the Restricted Stock Plan to the extent such Account is credited to the “Income Fund” thereunder, exceeds the Contribution Limit with respect to such Plan Year, determined as of September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immediately preceding such Plan Year.</w:t>
      </w:r>
    </w:p>
    <w:p>
      <w:pPr>
        <w:spacing w:after="0" w:line="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color w:val="auto"/>
        </w:rPr>
        <w:t>[RESERVED]</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NBCUniversal</w:t>
      </w:r>
      <w:r>
        <w:rPr>
          <w:rFonts w:ascii="Arial" w:cs="Arial" w:eastAsia="Arial" w:hAnsi="Arial"/>
          <w:sz w:val="19"/>
          <w:szCs w:val="19"/>
          <w:color w:val="auto"/>
        </w:rPr>
        <w:t>” means NBCUniversal, LLC and its subsidiaries.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New Key Employee</w:t>
      </w:r>
      <w:r>
        <w:rPr>
          <w:rFonts w:ascii="Arial" w:cs="Arial" w:eastAsia="Arial" w:hAnsi="Arial"/>
          <w:sz w:val="19"/>
          <w:szCs w:val="19"/>
          <w:color w:val="auto"/>
        </w:rPr>
        <w:t>” means:</w:t>
      </w:r>
    </w:p>
    <w:p>
      <w:pPr>
        <w:spacing w:after="0" w:line="220" w:lineRule="exact"/>
        <w:rPr>
          <w:sz w:val="20"/>
          <w:szCs w:val="20"/>
          <w:color w:val="auto"/>
        </w:rPr>
      </w:pPr>
    </w:p>
    <w:p>
      <w:pPr>
        <w:ind w:left="2400" w:hanging="448"/>
        <w:spacing w:after="0"/>
        <w:tabs>
          <w:tab w:leader="none" w:pos="2400" w:val="left"/>
        </w:tabs>
        <w:numPr>
          <w:ilvl w:val="1"/>
          <w:numId w:val="189"/>
        </w:numPr>
        <w:rPr>
          <w:rFonts w:ascii="Arial" w:cs="Arial" w:eastAsia="Arial" w:hAnsi="Arial"/>
          <w:sz w:val="22"/>
          <w:szCs w:val="22"/>
          <w:color w:val="auto"/>
        </w:rPr>
      </w:pPr>
      <w:r>
        <w:rPr>
          <w:rFonts w:ascii="Arial" w:cs="Arial" w:eastAsia="Arial" w:hAnsi="Arial"/>
          <w:sz w:val="22"/>
          <w:szCs w:val="22"/>
          <w:u w:val="single" w:color="auto"/>
          <w:color w:val="auto"/>
        </w:rPr>
        <w:t>Employees of Comcast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2600"/>
        <w:spacing w:after="0" w:line="253" w:lineRule="auto"/>
        <w:tabs>
          <w:tab w:leader="none" w:pos="3126" w:val="left"/>
        </w:tabs>
        <w:numPr>
          <w:ilvl w:val="2"/>
          <w:numId w:val="189"/>
        </w:numPr>
        <w:rPr>
          <w:rFonts w:ascii="Arial" w:cs="Arial" w:eastAsia="Arial" w:hAnsi="Arial"/>
          <w:sz w:val="22"/>
          <w:szCs w:val="22"/>
          <w:color w:val="auto"/>
        </w:rPr>
      </w:pPr>
      <w:r>
        <w:rPr>
          <w:rFonts w:ascii="Arial" w:cs="Arial" w:eastAsia="Arial" w:hAnsi="Arial"/>
          <w:sz w:val="22"/>
          <w:szCs w:val="22"/>
          <w:color w:val="auto"/>
        </w:rPr>
        <w:t>Effective for the period extending from January 1, 2014 through December 31, 2018, and except as provided in Section 2.41(d), each employee of a Participating Company other than NBCUniversal and Comcast Spectacor:</w:t>
      </w:r>
    </w:p>
    <w:p>
      <w:pPr>
        <w:spacing w:after="0" w:line="185" w:lineRule="exact"/>
        <w:rPr>
          <w:rFonts w:ascii="Arial" w:cs="Arial" w:eastAsia="Arial" w:hAnsi="Arial"/>
          <w:sz w:val="22"/>
          <w:szCs w:val="22"/>
          <w:color w:val="auto"/>
        </w:rPr>
      </w:pPr>
    </w:p>
    <w:p>
      <w:pPr>
        <w:ind w:left="4540" w:hanging="644"/>
        <w:spacing w:after="0"/>
        <w:tabs>
          <w:tab w:leader="none" w:pos="4540" w:val="left"/>
        </w:tabs>
        <w:numPr>
          <w:ilvl w:val="3"/>
          <w:numId w:val="189"/>
        </w:numPr>
        <w:rPr>
          <w:rFonts w:ascii="Arial" w:cs="Arial" w:eastAsia="Arial" w:hAnsi="Arial"/>
          <w:sz w:val="19"/>
          <w:szCs w:val="19"/>
          <w:color w:val="auto"/>
        </w:rPr>
      </w:pPr>
      <w:r>
        <w:rPr>
          <w:rFonts w:ascii="Arial" w:cs="Arial" w:eastAsia="Arial" w:hAnsi="Arial"/>
          <w:sz w:val="19"/>
          <w:szCs w:val="19"/>
          <w:color w:val="auto"/>
        </w:rPr>
        <w:t>who (x) becomes an employee of a Participating Company and (y) has an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Annual Rate of Pay of $250,000 or more as of his employment commencement date, or</w:t>
      </w:r>
    </w:p>
    <w:p>
      <w:pPr>
        <w:spacing w:after="0" w:line="201" w:lineRule="exact"/>
        <w:rPr>
          <w:rFonts w:ascii="Arial" w:cs="Arial" w:eastAsia="Arial" w:hAnsi="Arial"/>
          <w:sz w:val="19"/>
          <w:szCs w:val="19"/>
          <w:color w:val="auto"/>
        </w:rPr>
      </w:pPr>
    </w:p>
    <w:p>
      <w:pPr>
        <w:ind w:left="4440" w:hanging="544"/>
        <w:spacing w:after="0"/>
        <w:tabs>
          <w:tab w:leader="none" w:pos="4440" w:val="left"/>
        </w:tabs>
        <w:numPr>
          <w:ilvl w:val="3"/>
          <w:numId w:val="189"/>
        </w:numPr>
        <w:rPr>
          <w:rFonts w:ascii="Arial" w:cs="Arial" w:eastAsia="Arial" w:hAnsi="Arial"/>
          <w:sz w:val="19"/>
          <w:szCs w:val="19"/>
          <w:color w:val="auto"/>
        </w:rPr>
      </w:pPr>
      <w:r>
        <w:rPr>
          <w:rFonts w:ascii="Arial" w:cs="Arial" w:eastAsia="Arial" w:hAnsi="Arial"/>
          <w:sz w:val="19"/>
          <w:szCs w:val="19"/>
          <w:color w:val="auto"/>
        </w:rPr>
        <w:t>who (x) has an Annual Rate of Pay that is increased to $250,000 or more and</w:t>
      </w:r>
    </w:p>
    <w:p>
      <w:pPr>
        <w:spacing w:after="0" w:line="55" w:lineRule="exact"/>
        <w:rPr>
          <w:rFonts w:ascii="Arial" w:cs="Arial" w:eastAsia="Arial" w:hAnsi="Arial"/>
          <w:sz w:val="19"/>
          <w:szCs w:val="19"/>
          <w:color w:val="auto"/>
        </w:rPr>
      </w:pPr>
    </w:p>
    <w:p>
      <w:pPr>
        <w:ind w:left="320" w:hanging="312"/>
        <w:spacing w:after="0"/>
        <w:tabs>
          <w:tab w:leader="none" w:pos="32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immediately preceding such increase, was not an Eligible Employee.</w:t>
      </w:r>
    </w:p>
    <w:p>
      <w:pPr>
        <w:spacing w:after="0" w:line="201" w:lineRule="exact"/>
        <w:rPr>
          <w:rFonts w:ascii="Arial" w:cs="Arial" w:eastAsia="Arial" w:hAnsi="Arial"/>
          <w:sz w:val="22"/>
          <w:szCs w:val="22"/>
          <w:color w:val="auto"/>
        </w:rPr>
      </w:pPr>
    </w:p>
    <w:p>
      <w:pPr>
        <w:ind w:firstLine="2600"/>
        <w:spacing w:after="0" w:line="263" w:lineRule="auto"/>
        <w:tabs>
          <w:tab w:leader="none" w:pos="3216" w:val="left"/>
        </w:tabs>
        <w:numPr>
          <w:ilvl w:val="2"/>
          <w:numId w:val="190"/>
        </w:numPr>
        <w:rPr>
          <w:rFonts w:ascii="Arial" w:cs="Arial" w:eastAsia="Arial" w:hAnsi="Arial"/>
          <w:sz w:val="22"/>
          <w:szCs w:val="22"/>
          <w:color w:val="auto"/>
        </w:rPr>
      </w:pPr>
      <w:r>
        <w:rPr>
          <w:rFonts w:ascii="Arial" w:cs="Arial" w:eastAsia="Arial" w:hAnsi="Arial"/>
          <w:sz w:val="22"/>
          <w:szCs w:val="22"/>
          <w:color w:val="auto"/>
        </w:rPr>
        <w:t>Effective on and after January 1, 2019, and except as provided in Section 2.41(d), each employee of a Participating Company other than NBCUniversal and Comcast Spectacor:</w:t>
      </w:r>
    </w:p>
    <w:p>
      <w:pPr>
        <w:spacing w:after="0" w:line="174" w:lineRule="exact"/>
        <w:rPr>
          <w:rFonts w:ascii="Arial" w:cs="Arial" w:eastAsia="Arial" w:hAnsi="Arial"/>
          <w:sz w:val="22"/>
          <w:szCs w:val="22"/>
          <w:color w:val="auto"/>
        </w:rPr>
      </w:pPr>
    </w:p>
    <w:p>
      <w:pPr>
        <w:ind w:left="4540" w:hanging="644"/>
        <w:spacing w:after="0"/>
        <w:tabs>
          <w:tab w:leader="none" w:pos="4540" w:val="left"/>
        </w:tabs>
        <w:numPr>
          <w:ilvl w:val="3"/>
          <w:numId w:val="190"/>
        </w:numPr>
        <w:rPr>
          <w:rFonts w:ascii="Arial" w:cs="Arial" w:eastAsia="Arial" w:hAnsi="Arial"/>
          <w:sz w:val="19"/>
          <w:szCs w:val="19"/>
          <w:color w:val="auto"/>
        </w:rPr>
      </w:pPr>
      <w:r>
        <w:rPr>
          <w:rFonts w:ascii="Arial" w:cs="Arial" w:eastAsia="Arial" w:hAnsi="Arial"/>
          <w:sz w:val="19"/>
          <w:szCs w:val="19"/>
          <w:color w:val="auto"/>
        </w:rPr>
        <w:t>who (x) becomes an employee of a Participating Company and (y) has an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Annual Rate of Pay of $350,000 or more as of his employment commencement 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113" w:name="page114"/>
    <w:bookmarkEnd w:id="113"/>
    <w:p>
      <w:pPr>
        <w:ind w:left="4440" w:hanging="544"/>
        <w:spacing w:after="0"/>
        <w:tabs>
          <w:tab w:leader="none" w:pos="4440" w:val="left"/>
        </w:tabs>
        <w:numPr>
          <w:ilvl w:val="3"/>
          <w:numId w:val="191"/>
        </w:numPr>
        <w:rPr>
          <w:rFonts w:ascii="Arial" w:cs="Arial" w:eastAsia="Arial" w:hAnsi="Arial"/>
          <w:sz w:val="19"/>
          <w:szCs w:val="19"/>
          <w:color w:val="auto"/>
        </w:rPr>
      </w:pPr>
      <w:r>
        <w:rPr>
          <w:rFonts w:ascii="Arial" w:cs="Arial" w:eastAsia="Arial" w:hAnsi="Arial"/>
          <w:sz w:val="19"/>
          <w:szCs w:val="19"/>
          <w:color w:val="auto"/>
        </w:rPr>
        <w:t>who (x) has an Annual Rate of Pay that is increased to $350,000 or more and</w:t>
      </w:r>
    </w:p>
    <w:p>
      <w:pPr>
        <w:spacing w:after="0" w:line="55" w:lineRule="exact"/>
        <w:rPr>
          <w:rFonts w:ascii="Arial" w:cs="Arial" w:eastAsia="Arial" w:hAnsi="Arial"/>
          <w:sz w:val="19"/>
          <w:szCs w:val="19"/>
          <w:color w:val="auto"/>
        </w:rPr>
      </w:pPr>
    </w:p>
    <w:p>
      <w:pPr>
        <w:ind w:left="320" w:hanging="312"/>
        <w:spacing w:after="0"/>
        <w:tabs>
          <w:tab w:leader="none" w:pos="3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immediately preceding such increase, was not an Eligible Employee.</w:t>
      </w:r>
    </w:p>
    <w:p>
      <w:pPr>
        <w:spacing w:after="0" w:line="201" w:lineRule="exact"/>
        <w:rPr>
          <w:rFonts w:ascii="Arial" w:cs="Arial" w:eastAsia="Arial" w:hAnsi="Arial"/>
          <w:sz w:val="22"/>
          <w:szCs w:val="22"/>
          <w:color w:val="auto"/>
        </w:rPr>
      </w:pPr>
    </w:p>
    <w:p>
      <w:pPr>
        <w:ind w:left="2420" w:hanging="468"/>
        <w:spacing w:after="0"/>
        <w:tabs>
          <w:tab w:leader="none" w:pos="2420" w:val="left"/>
        </w:tabs>
        <w:numPr>
          <w:ilvl w:val="1"/>
          <w:numId w:val="192"/>
        </w:numPr>
        <w:rPr>
          <w:rFonts w:ascii="Arial" w:cs="Arial" w:eastAsia="Arial" w:hAnsi="Arial"/>
          <w:sz w:val="22"/>
          <w:szCs w:val="22"/>
          <w:color w:val="auto"/>
        </w:rPr>
      </w:pPr>
      <w:r>
        <w:rPr>
          <w:rFonts w:ascii="Arial" w:cs="Arial" w:eastAsia="Arial" w:hAnsi="Arial"/>
          <w:sz w:val="22"/>
          <w:szCs w:val="22"/>
          <w:u w:val="single" w:color="auto"/>
          <w:color w:val="auto"/>
        </w:rPr>
        <w:t>Employees of NBCUniversal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2600"/>
        <w:spacing w:after="0" w:line="302" w:lineRule="auto"/>
        <w:tabs>
          <w:tab w:leader="none" w:pos="3126" w:val="left"/>
        </w:tabs>
        <w:numPr>
          <w:ilvl w:val="2"/>
          <w:numId w:val="192"/>
        </w:numPr>
        <w:rPr>
          <w:rFonts w:ascii="Arial" w:cs="Arial" w:eastAsia="Arial" w:hAnsi="Arial"/>
          <w:sz w:val="19"/>
          <w:szCs w:val="19"/>
          <w:color w:val="auto"/>
        </w:rPr>
      </w:pPr>
      <w:r>
        <w:rPr>
          <w:rFonts w:ascii="Arial" w:cs="Arial" w:eastAsia="Arial" w:hAnsi="Arial"/>
          <w:sz w:val="19"/>
          <w:szCs w:val="19"/>
          <w:color w:val="auto"/>
        </w:rPr>
        <w:t>Effective for the period extending from January 1, 2013 through December 31, 2018, and except as provided in Section 2.41(d), each employee of NBCUniversal who (x) first becomes a member of the NBCUniversal Executive Committee, Management Committee or Operating Committee, and approved by the Administrator during a Plan Year and (y) immediately preceding the effective date of such membership, was not an Eligible Employee.</w:t>
      </w:r>
    </w:p>
    <w:p>
      <w:pPr>
        <w:spacing w:after="0" w:line="142" w:lineRule="exact"/>
        <w:rPr>
          <w:rFonts w:ascii="Arial" w:cs="Arial" w:eastAsia="Arial" w:hAnsi="Arial"/>
          <w:sz w:val="19"/>
          <w:szCs w:val="19"/>
          <w:color w:val="auto"/>
        </w:rPr>
      </w:pPr>
    </w:p>
    <w:p>
      <w:pPr>
        <w:jc w:val="both"/>
        <w:ind w:firstLine="2600"/>
        <w:spacing w:after="0" w:line="250" w:lineRule="auto"/>
        <w:tabs>
          <w:tab w:leader="none" w:pos="3216" w:val="left"/>
        </w:tabs>
        <w:numPr>
          <w:ilvl w:val="2"/>
          <w:numId w:val="192"/>
        </w:numPr>
        <w:rPr>
          <w:rFonts w:ascii="Arial" w:cs="Arial" w:eastAsia="Arial" w:hAnsi="Arial"/>
          <w:sz w:val="22"/>
          <w:szCs w:val="22"/>
          <w:color w:val="auto"/>
        </w:rPr>
      </w:pPr>
      <w:r>
        <w:rPr>
          <w:rFonts w:ascii="Arial" w:cs="Arial" w:eastAsia="Arial" w:hAnsi="Arial"/>
          <w:sz w:val="22"/>
          <w:szCs w:val="22"/>
          <w:color w:val="auto"/>
        </w:rPr>
        <w:t>Effective on and after January 1, 2019, and except as provided in Section 2.41(d), each employee of NBCUniversal who (x) first becomes a member of the NBCUniversal Executive Committee or the NBCUniversal Management Committee and approved by the Administrator during a Plan Year and (y) immediately preceding the effective date of such membership, was not an Eligible Employee.</w:t>
      </w:r>
    </w:p>
    <w:p>
      <w:pPr>
        <w:spacing w:after="0" w:line="187" w:lineRule="exact"/>
        <w:rPr>
          <w:rFonts w:ascii="Arial" w:cs="Arial" w:eastAsia="Arial" w:hAnsi="Arial"/>
          <w:sz w:val="22"/>
          <w:szCs w:val="22"/>
          <w:color w:val="auto"/>
        </w:rPr>
      </w:pPr>
    </w:p>
    <w:p>
      <w:pPr>
        <w:ind w:left="2480" w:hanging="528"/>
        <w:spacing w:after="0"/>
        <w:tabs>
          <w:tab w:leader="none" w:pos="248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Effective on and after May 20, 2014, and except as provided in Section 2.41(d), each employee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Comcast Spectacor:</w:t>
      </w:r>
    </w:p>
    <w:p>
      <w:pPr>
        <w:spacing w:after="0" w:line="201" w:lineRule="exact"/>
        <w:rPr>
          <w:rFonts w:ascii="Arial" w:cs="Arial" w:eastAsia="Arial" w:hAnsi="Arial"/>
          <w:sz w:val="19"/>
          <w:szCs w:val="19"/>
          <w:color w:val="auto"/>
        </w:rPr>
      </w:pPr>
    </w:p>
    <w:p>
      <w:pPr>
        <w:jc w:val="both"/>
        <w:ind w:firstLine="2600"/>
        <w:spacing w:after="0" w:line="253" w:lineRule="auto"/>
        <w:tabs>
          <w:tab w:leader="none" w:pos="3157" w:val="left"/>
        </w:tabs>
        <w:numPr>
          <w:ilvl w:val="2"/>
          <w:numId w:val="192"/>
        </w:numPr>
        <w:rPr>
          <w:rFonts w:ascii="Arial" w:cs="Arial" w:eastAsia="Arial" w:hAnsi="Arial"/>
          <w:sz w:val="22"/>
          <w:szCs w:val="22"/>
          <w:color w:val="auto"/>
        </w:rPr>
      </w:pPr>
      <w:r>
        <w:rPr>
          <w:rFonts w:ascii="Arial" w:cs="Arial" w:eastAsia="Arial" w:hAnsi="Arial"/>
          <w:sz w:val="22"/>
          <w:szCs w:val="22"/>
          <w:color w:val="auto"/>
        </w:rPr>
        <w:t>who (x) becomes an employee of Comcast Spectacor, (y) has an Annual Rate of Pay of $350,000 or more as of his employment commencement date and (z) is designated as an Eligible Comcast Spectacor Employee by the Administrator or its delegate, or</w:t>
      </w:r>
    </w:p>
    <w:p>
      <w:pPr>
        <w:spacing w:after="0" w:line="185" w:lineRule="exact"/>
        <w:rPr>
          <w:rFonts w:ascii="Arial" w:cs="Arial" w:eastAsia="Arial" w:hAnsi="Arial"/>
          <w:sz w:val="22"/>
          <w:szCs w:val="22"/>
          <w:color w:val="auto"/>
        </w:rPr>
      </w:pPr>
    </w:p>
    <w:p>
      <w:pPr>
        <w:jc w:val="both"/>
        <w:ind w:firstLine="2600"/>
        <w:spacing w:after="0" w:line="253" w:lineRule="auto"/>
        <w:tabs>
          <w:tab w:leader="none" w:pos="3090" w:val="left"/>
        </w:tabs>
        <w:numPr>
          <w:ilvl w:val="2"/>
          <w:numId w:val="192"/>
        </w:numPr>
        <w:rPr>
          <w:rFonts w:ascii="Arial" w:cs="Arial" w:eastAsia="Arial" w:hAnsi="Arial"/>
          <w:sz w:val="22"/>
          <w:szCs w:val="22"/>
          <w:color w:val="auto"/>
        </w:rPr>
      </w:pPr>
      <w:r>
        <w:rPr>
          <w:rFonts w:ascii="Arial" w:cs="Arial" w:eastAsia="Arial" w:hAnsi="Arial"/>
          <w:sz w:val="22"/>
          <w:szCs w:val="22"/>
          <w:color w:val="auto"/>
        </w:rPr>
        <w:t>who (x) is designated as an Eligible Comcast Spectacor Employee by the Administrator or its delegate, (y) has an Annual Rate of Pay that is increased to $350,000 or more and (z) immediately preceding such increase, was not an Eligible Employee.</w:t>
      </w:r>
    </w:p>
    <w:p>
      <w:pPr>
        <w:spacing w:after="0" w:line="185" w:lineRule="exact"/>
        <w:rPr>
          <w:rFonts w:ascii="Arial" w:cs="Arial" w:eastAsia="Arial" w:hAnsi="Arial"/>
          <w:sz w:val="22"/>
          <w:szCs w:val="22"/>
          <w:color w:val="auto"/>
        </w:rPr>
      </w:pPr>
    </w:p>
    <w:p>
      <w:pPr>
        <w:ind w:firstLine="1952"/>
        <w:spacing w:after="0" w:line="263" w:lineRule="auto"/>
        <w:tabs>
          <w:tab w:leader="none" w:pos="2479" w:val="left"/>
        </w:tabs>
        <w:numPr>
          <w:ilvl w:val="1"/>
          <w:numId w:val="192"/>
        </w:numPr>
        <w:rPr>
          <w:rFonts w:ascii="Arial" w:cs="Arial" w:eastAsia="Arial" w:hAnsi="Arial"/>
          <w:sz w:val="22"/>
          <w:szCs w:val="22"/>
          <w:color w:val="auto"/>
        </w:rPr>
      </w:pPr>
      <w:r>
        <w:rPr>
          <w:rFonts w:ascii="Arial" w:cs="Arial" w:eastAsia="Arial" w:hAnsi="Arial"/>
          <w:sz w:val="22"/>
          <w:szCs w:val="22"/>
          <w:color w:val="auto"/>
        </w:rPr>
        <w:t>Notwithstanding Section 2.41(a), (b), or (c) to the contrary, no employee shall be treated as a New Key Employee with respect to any Plan Year under this Section 2.41 if:</w:t>
      </w:r>
    </w:p>
    <w:p>
      <w:pPr>
        <w:spacing w:after="0" w:line="174" w:lineRule="exact"/>
        <w:rPr>
          <w:rFonts w:ascii="Arial" w:cs="Arial" w:eastAsia="Arial" w:hAnsi="Arial"/>
          <w:sz w:val="22"/>
          <w:szCs w:val="22"/>
          <w:color w:val="auto"/>
        </w:rPr>
      </w:pPr>
    </w:p>
    <w:p>
      <w:pPr>
        <w:jc w:val="both"/>
        <w:ind w:firstLine="2600"/>
        <w:spacing w:after="0" w:line="291" w:lineRule="auto"/>
        <w:tabs>
          <w:tab w:leader="none" w:pos="3090" w:val="left"/>
        </w:tabs>
        <w:numPr>
          <w:ilvl w:val="2"/>
          <w:numId w:val="192"/>
        </w:numPr>
        <w:rPr>
          <w:rFonts w:ascii="Arial" w:cs="Arial" w:eastAsia="Arial" w:hAnsi="Arial"/>
          <w:sz w:val="19"/>
          <w:szCs w:val="19"/>
          <w:color w:val="auto"/>
        </w:rPr>
      </w:pPr>
      <w:r>
        <w:rPr>
          <w:rFonts w:ascii="Arial" w:cs="Arial" w:eastAsia="Arial" w:hAnsi="Arial"/>
          <w:sz w:val="19"/>
          <w:szCs w:val="19"/>
          <w:color w:val="auto"/>
        </w:rPr>
        <w:t>Such employee was eligible to participate in another plan sponsored by the Company or an Affiliate of the Company which is considered to be of a similar type as defined in Treasury Regulation Section 1.409A-1(c)(2)(i)</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 or (B) with respect to such Plan Year; or</w:t>
      </w:r>
    </w:p>
    <w:p>
      <w:pPr>
        <w:spacing w:after="0" w:line="201" w:lineRule="exact"/>
        <w:rPr>
          <w:rFonts w:ascii="Arial" w:cs="Arial" w:eastAsia="Arial" w:hAnsi="Arial"/>
          <w:sz w:val="19"/>
          <w:szCs w:val="19"/>
          <w:color w:val="auto"/>
        </w:rPr>
      </w:pPr>
    </w:p>
    <w:p>
      <w:pPr>
        <w:jc w:val="both"/>
        <w:ind w:firstLine="2600"/>
        <w:spacing w:after="0" w:line="271" w:lineRule="auto"/>
        <w:tabs>
          <w:tab w:leader="none" w:pos="3166" w:val="left"/>
        </w:tabs>
        <w:numPr>
          <w:ilvl w:val="2"/>
          <w:numId w:val="192"/>
        </w:numPr>
        <w:rPr>
          <w:rFonts w:ascii="Arial" w:cs="Arial" w:eastAsia="Arial" w:hAnsi="Arial"/>
          <w:sz w:val="21"/>
          <w:szCs w:val="21"/>
          <w:color w:val="auto"/>
        </w:rPr>
      </w:pPr>
      <w:r>
        <w:rPr>
          <w:rFonts w:ascii="Arial" w:cs="Arial" w:eastAsia="Arial" w:hAnsi="Arial"/>
          <w:sz w:val="21"/>
          <w:szCs w:val="21"/>
          <w:color w:val="auto"/>
        </w:rPr>
        <w:t>Such employee has been eligible to participate in the Plan or any other plan referenced in Section 2.41(d)(i) (other than with respect to the accrual of earnings) at any time during the 24-month period ending on the date such employee would, but for this Section 2.41(d), otherwise become a New Key Employee.</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Normal Retirement</w:t>
      </w:r>
      <w:r>
        <w:rPr>
          <w:rFonts w:ascii="Arial" w:cs="Arial" w:eastAsia="Arial" w:hAnsi="Arial"/>
          <w:sz w:val="19"/>
          <w:szCs w:val="19"/>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114" w:name="page115"/>
    <w:bookmarkEnd w:id="114"/>
    <w:p>
      <w:pPr>
        <w:jc w:val="both"/>
        <w:ind w:firstLine="1952"/>
        <w:spacing w:after="0" w:line="253" w:lineRule="auto"/>
        <w:tabs>
          <w:tab w:leader="none" w:pos="2593" w:val="left"/>
        </w:tabs>
        <w:numPr>
          <w:ilvl w:val="0"/>
          <w:numId w:val="193"/>
        </w:numPr>
        <w:rPr>
          <w:rFonts w:ascii="Arial" w:cs="Arial" w:eastAsia="Arial" w:hAnsi="Arial"/>
          <w:sz w:val="22"/>
          <w:szCs w:val="22"/>
          <w:color w:val="auto"/>
        </w:rPr>
      </w:pPr>
      <w:r>
        <w:rPr>
          <w:rFonts w:ascii="Arial" w:cs="Arial" w:eastAsia="Arial" w:hAnsi="Arial"/>
          <w:sz w:val="22"/>
          <w:szCs w:val="22"/>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85" w:lineRule="exact"/>
        <w:rPr>
          <w:rFonts w:ascii="Arial" w:cs="Arial" w:eastAsia="Arial" w:hAnsi="Arial"/>
          <w:sz w:val="22"/>
          <w:szCs w:val="22"/>
          <w:color w:val="auto"/>
        </w:rPr>
      </w:pPr>
    </w:p>
    <w:p>
      <w:pPr>
        <w:ind w:firstLine="1952"/>
        <w:spacing w:after="0" w:line="263" w:lineRule="auto"/>
        <w:tabs>
          <w:tab w:leader="none" w:pos="2602" w:val="left"/>
        </w:tabs>
        <w:numPr>
          <w:ilvl w:val="0"/>
          <w:numId w:val="193"/>
        </w:numPr>
        <w:rPr>
          <w:rFonts w:ascii="Arial" w:cs="Arial" w:eastAsia="Arial" w:hAnsi="Arial"/>
          <w:sz w:val="22"/>
          <w:szCs w:val="22"/>
          <w:color w:val="auto"/>
        </w:rPr>
      </w:pPr>
      <w:r>
        <w:rPr>
          <w:rFonts w:ascii="Arial" w:cs="Arial" w:eastAsia="Arial" w:hAnsi="Arial"/>
          <w:sz w:val="22"/>
          <w:szCs w:val="22"/>
          <w:color w:val="auto"/>
        </w:rPr>
        <w:t>For a Participant who is an Outside Director or Director Emeritus immediately preceding his termination of service, the Participant’s normal retirement from the Board.</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2.43. “</w:t>
      </w:r>
      <w:r>
        <w:rPr>
          <w:rFonts w:ascii="Arial" w:cs="Arial" w:eastAsia="Arial" w:hAnsi="Arial"/>
          <w:sz w:val="22"/>
          <w:szCs w:val="22"/>
          <w:u w:val="single" w:color="auto"/>
          <w:color w:val="auto"/>
        </w:rPr>
        <w:t>Other Investment Fund</w:t>
      </w:r>
      <w:r>
        <w:rPr>
          <w:rFonts w:ascii="Arial" w:cs="Arial" w:eastAsia="Arial" w:hAnsi="Arial"/>
          <w:sz w:val="22"/>
          <w:szCs w:val="22"/>
          <w:color w:val="auto"/>
        </w:rPr>
        <w:t>” means the Company Stock Fund and such other hypothetical investment funds designated by the Administrator, pursuant to which income, gains, and losses are credited to a Participant’s Account as if the Account, to the extent deemed invested in such Other Investment Fund, were credited with income, gains, and losses as if actually invested in such Other Investment Fund. Unless otherwise specified by the Administrator, the Participant shall designate the Other Investment Funds in which the Participant’s Account shall be invested in accordance with rules established by the Administrator.</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Outside Director</w:t>
      </w:r>
      <w:r>
        <w:rPr>
          <w:rFonts w:ascii="Arial" w:cs="Arial" w:eastAsia="Arial" w:hAnsi="Arial"/>
          <w:sz w:val="19"/>
          <w:szCs w:val="19"/>
          <w:color w:val="auto"/>
        </w:rPr>
        <w:t>” means a member of the Board who is not an Eligible Employee of a Participating Company.</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2.45. “</w:t>
      </w:r>
      <w:r>
        <w:rPr>
          <w:rFonts w:ascii="Arial" w:cs="Arial" w:eastAsia="Arial" w:hAnsi="Arial"/>
          <w:sz w:val="21"/>
          <w:szCs w:val="21"/>
          <w:u w:val="single" w:color="auto"/>
          <w:color w:val="auto"/>
        </w:rPr>
        <w:t>Participant</w:t>
      </w:r>
      <w:r>
        <w:rPr>
          <w:rFonts w:ascii="Arial" w:cs="Arial" w:eastAsia="Arial" w:hAnsi="Arial"/>
          <w:sz w:val="21"/>
          <w:szCs w:val="21"/>
          <w:color w:val="auto"/>
        </w:rPr>
        <w:t>” means each individual who has made an Initial Election, or for whom an Account is established pursuant to Section 5.1, and who has an undistributed amount credited to an Account under the Plan, including an Active Participant, a Deceased Participant, a Retired Participant, a Disabled Participant, and an Inactive Participant.</w:t>
      </w:r>
    </w:p>
    <w:p>
      <w:pPr>
        <w:spacing w:after="0" w:line="16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2.46. “</w:t>
      </w:r>
      <w:r>
        <w:rPr>
          <w:rFonts w:ascii="Arial" w:cs="Arial" w:eastAsia="Arial" w:hAnsi="Arial"/>
          <w:sz w:val="22"/>
          <w:szCs w:val="22"/>
          <w:u w:val="single" w:color="auto"/>
          <w:color w:val="auto"/>
        </w:rPr>
        <w:t>Participating Company</w:t>
      </w:r>
      <w:r>
        <w:rPr>
          <w:rFonts w:ascii="Arial" w:cs="Arial" w:eastAsia="Arial" w:hAnsi="Arial"/>
          <w:sz w:val="22"/>
          <w:szCs w:val="22"/>
          <w:color w:val="auto"/>
        </w:rPr>
        <w:t>” means the Company and each Affiliate of the Company in which the Company owns, directly or indirectly, 50 percent or more of the voting interests or value, other than such an affiliate designated by the Administrator as an excluded Affiliate. Notwithstanding the foregoing, the Administrator may delegate its authority to designate an eligible Affiliate as an excluded Affiliate under this Section 2.46 to an officer of the Company or committee of two or more officers of the Company.</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2.47.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Performance-Based Compensation</w:t>
      </w:r>
      <w:r>
        <w:rPr>
          <w:rFonts w:ascii="Arial" w:cs="Arial" w:eastAsia="Arial" w:hAnsi="Arial"/>
          <w:sz w:val="19"/>
          <w:szCs w:val="19"/>
          <w:color w:val="auto"/>
        </w:rPr>
        <w:t>” means “Performance-Based Compensation” within the meaning of Section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409A.</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2.48. “</w:t>
      </w:r>
      <w:r>
        <w:rPr>
          <w:rFonts w:ascii="Arial" w:cs="Arial" w:eastAsia="Arial" w:hAnsi="Arial"/>
          <w:sz w:val="22"/>
          <w:szCs w:val="22"/>
          <w:u w:val="single" w:color="auto"/>
          <w:color w:val="auto"/>
        </w:rPr>
        <w:t>Performance Period</w:t>
      </w:r>
      <w:r>
        <w:rPr>
          <w:rFonts w:ascii="Arial" w:cs="Arial" w:eastAsia="Arial" w:hAnsi="Arial"/>
          <w:sz w:val="22"/>
          <w:szCs w:val="22"/>
          <w:color w:val="auto"/>
        </w:rPr>
        <w:t>” means a period of at least 12 months during which a Participant may earn Performance-Based Compensation. Effective for Comcast Spectacor’s fiscal years beginning on and after July 1, 2014, the Performance Period for annual incentive bonuses earned by Eligible Comcast Spectacor Employees shall be Comcast Spectacor’s fiscal year ending June 30.</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2.49. “</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a corporation, a partnership, an association, a trust or any other entity or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115" w:name="page116"/>
    <w:bookmarkEnd w:id="115"/>
    <w:p>
      <w:pPr>
        <w:jc w:val="both"/>
        <w:ind w:firstLine="648"/>
        <w:spacing w:after="0" w:line="263" w:lineRule="auto"/>
        <w:rPr>
          <w:sz w:val="20"/>
          <w:szCs w:val="20"/>
          <w:color w:val="auto"/>
        </w:rPr>
      </w:pPr>
      <w:r>
        <w:rPr>
          <w:rFonts w:ascii="Arial" w:cs="Arial" w:eastAsia="Arial" w:hAnsi="Arial"/>
          <w:sz w:val="22"/>
          <w:szCs w:val="22"/>
          <w:color w:val="auto"/>
        </w:rPr>
        <w:t>2.50. “</w:t>
      </w:r>
      <w:r>
        <w:rPr>
          <w:rFonts w:ascii="Arial" w:cs="Arial" w:eastAsia="Arial" w:hAnsi="Arial"/>
          <w:sz w:val="22"/>
          <w:szCs w:val="22"/>
          <w:u w:val="single" w:color="auto"/>
          <w:color w:val="auto"/>
        </w:rPr>
        <w:t>Plan</w:t>
      </w:r>
      <w:r>
        <w:rPr>
          <w:rFonts w:ascii="Arial" w:cs="Arial" w:eastAsia="Arial" w:hAnsi="Arial"/>
          <w:sz w:val="22"/>
          <w:szCs w:val="22"/>
          <w:color w:val="auto"/>
        </w:rPr>
        <w:t>” means the Comcast Corporation 2005 Deferred Compensation Plan, as set forth herein, and as amended from time to time.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2.51.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 Year</w:t>
      </w:r>
      <w:r>
        <w:rPr>
          <w:rFonts w:ascii="Arial" w:cs="Arial" w:eastAsia="Arial" w:hAnsi="Arial"/>
          <w:sz w:val="19"/>
          <w:szCs w:val="19"/>
          <w:color w:val="auto"/>
        </w:rPr>
        <w:t>” means the calendar year.</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2.52. “</w:t>
      </w:r>
      <w:r>
        <w:rPr>
          <w:rFonts w:ascii="Arial" w:cs="Arial" w:eastAsia="Arial" w:hAnsi="Arial"/>
          <w:sz w:val="19"/>
          <w:szCs w:val="19"/>
          <w:u w:val="single" w:color="auto"/>
          <w:color w:val="auto"/>
        </w:rPr>
        <w:t>Prime Rate</w:t>
      </w:r>
      <w:r>
        <w:rPr>
          <w:rFonts w:ascii="Arial" w:cs="Arial" w:eastAsia="Arial" w:hAnsi="Arial"/>
          <w:sz w:val="19"/>
          <w:szCs w:val="19"/>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9"/>
          <w:szCs w:val="19"/>
          <w:u w:val="single" w:color="auto"/>
          <w:color w:val="auto"/>
        </w:rPr>
        <w:t>The Wall Street Journal</w:t>
      </w:r>
      <w:r>
        <w:rPr>
          <w:rFonts w:ascii="Arial" w:cs="Arial" w:eastAsia="Arial" w:hAnsi="Arial"/>
          <w:sz w:val="19"/>
          <w:szCs w:val="19"/>
          <w:color w:val="auto"/>
        </w:rPr>
        <w:t xml:space="preserve"> on the last business day preceding the first day of such calendar year, and as adjusted as of the last business day preceding the first day of each calendar year beginning thereafter.</w:t>
      </w:r>
    </w:p>
    <w:p>
      <w:pPr>
        <w:spacing w:after="0" w:line="14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2.53.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Prior Plan</w:t>
      </w:r>
      <w:r>
        <w:rPr>
          <w:rFonts w:ascii="Arial" w:cs="Arial" w:eastAsia="Arial" w:hAnsi="Arial"/>
          <w:sz w:val="19"/>
          <w:szCs w:val="19"/>
          <w:color w:val="auto"/>
        </w:rPr>
        <w:t>” means the Comcast Corporation 2002 Deferred Compensation Plan.</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2.54.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Protected Account Balance</w:t>
      </w:r>
      <w:r>
        <w:rPr>
          <w:rFonts w:ascii="Arial" w:cs="Arial" w:eastAsia="Arial" w:hAnsi="Arial"/>
          <w:sz w:val="19"/>
          <w:szCs w:val="19"/>
          <w:color w:val="auto"/>
        </w:rPr>
        <w:t>” means:</w:t>
      </w:r>
    </w:p>
    <w:p>
      <w:pPr>
        <w:spacing w:after="0" w:line="220" w:lineRule="exact"/>
        <w:rPr>
          <w:sz w:val="20"/>
          <w:szCs w:val="20"/>
          <w:color w:val="auto"/>
        </w:rPr>
      </w:pPr>
    </w:p>
    <w:p>
      <w:pPr>
        <w:ind w:firstLine="1952"/>
        <w:spacing w:after="0" w:line="263" w:lineRule="auto"/>
        <w:tabs>
          <w:tab w:leader="none" w:pos="2512"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amount credited to the Account of an Eligible Comcast Employee, an Outside Director or a Director Emeritus pursuant to:</w:t>
      </w:r>
    </w:p>
    <w:p>
      <w:pPr>
        <w:spacing w:after="0" w:line="174" w:lineRule="exact"/>
        <w:rPr>
          <w:rFonts w:ascii="Arial" w:cs="Arial" w:eastAsia="Arial" w:hAnsi="Arial"/>
          <w:sz w:val="22"/>
          <w:szCs w:val="22"/>
          <w:color w:val="auto"/>
        </w:rPr>
      </w:pPr>
    </w:p>
    <w:p>
      <w:pPr>
        <w:ind w:left="3020" w:hanging="420"/>
        <w:spacing w:after="0"/>
        <w:tabs>
          <w:tab w:leader="none" w:pos="302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Initial Elections with respect to Compensation earned before January 1, 2014;</w:t>
      </w:r>
    </w:p>
    <w:p>
      <w:pPr>
        <w:spacing w:after="0" w:line="219" w:lineRule="exact"/>
        <w:rPr>
          <w:rFonts w:ascii="Arial" w:cs="Arial" w:eastAsia="Arial" w:hAnsi="Arial"/>
          <w:sz w:val="22"/>
          <w:szCs w:val="22"/>
          <w:color w:val="auto"/>
        </w:rPr>
      </w:pPr>
    </w:p>
    <w:p>
      <w:pPr>
        <w:jc w:val="both"/>
        <w:ind w:firstLine="2600"/>
        <w:spacing w:after="0" w:line="253" w:lineRule="auto"/>
        <w:tabs>
          <w:tab w:leader="none" w:pos="3108" w:val="left"/>
        </w:tabs>
        <w:numPr>
          <w:ilvl w:val="1"/>
          <w:numId w:val="194"/>
        </w:numPr>
        <w:rPr>
          <w:rFonts w:ascii="Arial" w:cs="Arial" w:eastAsia="Arial" w:hAnsi="Arial"/>
          <w:sz w:val="22"/>
          <w:szCs w:val="22"/>
          <w:color w:val="auto"/>
        </w:rPr>
      </w:pPr>
      <w:r>
        <w:rPr>
          <w:rFonts w:ascii="Arial" w:cs="Arial" w:eastAsia="Arial" w:hAnsi="Arial"/>
          <w:sz w:val="22"/>
          <w:szCs w:val="22"/>
          <w:color w:val="auto"/>
        </w:rPr>
        <w:t>Company Credits described in Section 3.8 that were credited before January 1, 2014 or were made pursuant to an employment agreement entered into on or before December 31, 2013, including amounts attributable to Subsequent Elections filed with respect to such amounts before January 1, 2021; and</w:t>
      </w:r>
    </w:p>
    <w:p>
      <w:pPr>
        <w:spacing w:after="0" w:line="185" w:lineRule="exact"/>
        <w:rPr>
          <w:rFonts w:ascii="Arial" w:cs="Arial" w:eastAsia="Arial" w:hAnsi="Arial"/>
          <w:sz w:val="22"/>
          <w:szCs w:val="22"/>
          <w:color w:val="auto"/>
        </w:rPr>
      </w:pPr>
    </w:p>
    <w:p>
      <w:pPr>
        <w:ind w:firstLine="2600"/>
        <w:spacing w:after="0" w:line="263" w:lineRule="auto"/>
        <w:tabs>
          <w:tab w:leader="none" w:pos="331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Subsequent Elections filed before January 1, 2021 with respect to the portion of such Participant’s Accounts attributable to amounts credited pursuant to this Section 2.54(a);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including interest credits attributable to such amounts.</w:t>
      </w:r>
    </w:p>
    <w:p>
      <w:pPr>
        <w:spacing w:after="0" w:line="220" w:lineRule="exact"/>
        <w:rPr>
          <w:sz w:val="20"/>
          <w:szCs w:val="20"/>
          <w:color w:val="auto"/>
        </w:rPr>
      </w:pPr>
    </w:p>
    <w:p>
      <w:pPr>
        <w:ind w:right="20" w:firstLine="1952"/>
        <w:spacing w:after="0" w:line="343" w:lineRule="auto"/>
        <w:tabs>
          <w:tab w:leader="none" w:pos="2492"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amount credited pursuant to Initial Elections with respect to Compensation earned in 2014 or 2015, if, as of the September 30th immediately preceding the Plan Year to which the Initial Election applied, the sum of:</w:t>
      </w:r>
    </w:p>
    <w:p>
      <w:pPr>
        <w:spacing w:after="0" w:line="104" w:lineRule="exact"/>
        <w:rPr>
          <w:rFonts w:ascii="Arial" w:cs="Arial" w:eastAsia="Arial" w:hAnsi="Arial"/>
          <w:sz w:val="19"/>
          <w:szCs w:val="19"/>
          <w:color w:val="auto"/>
        </w:rPr>
      </w:pPr>
    </w:p>
    <w:p>
      <w:pPr>
        <w:ind w:left="3000" w:hanging="400"/>
        <w:spacing w:after="0"/>
        <w:tabs>
          <w:tab w:leader="none" w:pos="3000" w:val="left"/>
        </w:tabs>
        <w:numPr>
          <w:ilvl w:val="1"/>
          <w:numId w:val="195"/>
        </w:numPr>
        <w:rPr>
          <w:rFonts w:ascii="Arial" w:cs="Arial" w:eastAsia="Arial" w:hAnsi="Arial"/>
          <w:sz w:val="22"/>
          <w:szCs w:val="22"/>
          <w:color w:val="auto"/>
        </w:rPr>
      </w:pPr>
      <w:r>
        <w:rPr>
          <w:rFonts w:ascii="Arial" w:cs="Arial" w:eastAsia="Arial" w:hAnsi="Arial"/>
          <w:sz w:val="22"/>
          <w:szCs w:val="22"/>
          <w:color w:val="auto"/>
        </w:rPr>
        <w:t>An Eligible Comcast Employee’s Account; plus</w:t>
      </w:r>
    </w:p>
    <w:p>
      <w:pPr>
        <w:spacing w:after="0" w:line="219" w:lineRule="exact"/>
        <w:rPr>
          <w:rFonts w:ascii="Arial" w:cs="Arial" w:eastAsia="Arial" w:hAnsi="Arial"/>
          <w:sz w:val="22"/>
          <w:szCs w:val="22"/>
          <w:color w:val="auto"/>
        </w:rPr>
      </w:pPr>
    </w:p>
    <w:p>
      <w:pPr>
        <w:ind w:left="3080" w:hanging="480"/>
        <w:spacing w:after="0"/>
        <w:tabs>
          <w:tab w:leader="none" w:pos="3080" w:val="left"/>
        </w:tabs>
        <w:numPr>
          <w:ilvl w:val="1"/>
          <w:numId w:val="195"/>
        </w:numPr>
        <w:rPr>
          <w:rFonts w:ascii="Arial" w:cs="Arial" w:eastAsia="Arial" w:hAnsi="Arial"/>
          <w:sz w:val="22"/>
          <w:szCs w:val="22"/>
          <w:color w:val="auto"/>
        </w:rPr>
      </w:pPr>
      <w:r>
        <w:rPr>
          <w:rFonts w:ascii="Arial" w:cs="Arial" w:eastAsia="Arial" w:hAnsi="Arial"/>
          <w:sz w:val="22"/>
          <w:szCs w:val="22"/>
          <w:color w:val="auto"/>
        </w:rPr>
        <w:t>Such Eligible Comcast Employee’s Account in the Prior Plan; plus</w:t>
      </w:r>
    </w:p>
    <w:p>
      <w:pPr>
        <w:spacing w:after="0" w:line="219" w:lineRule="exact"/>
        <w:rPr>
          <w:rFonts w:ascii="Arial" w:cs="Arial" w:eastAsia="Arial" w:hAnsi="Arial"/>
          <w:sz w:val="22"/>
          <w:szCs w:val="22"/>
          <w:color w:val="auto"/>
        </w:rPr>
      </w:pPr>
    </w:p>
    <w:p>
      <w:pPr>
        <w:ind w:firstLine="2600"/>
        <w:spacing w:after="0" w:line="263" w:lineRule="auto"/>
        <w:tabs>
          <w:tab w:leader="none" w:pos="3186" w:val="left"/>
        </w:tabs>
        <w:numPr>
          <w:ilvl w:val="1"/>
          <w:numId w:val="195"/>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was credited to the Income Fund;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is less than the High-Water 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116" w:name="page117"/>
    <w:bookmarkEnd w:id="116"/>
    <w:p>
      <w:pPr>
        <w:jc w:val="both"/>
        <w:ind w:firstLine="1952"/>
        <w:spacing w:after="0" w:line="233" w:lineRule="auto"/>
        <w:tabs>
          <w:tab w:leader="none" w:pos="2453"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amount credited pursuant to Initial Elections with respect to Compensation earned on and after January 1, 2016 and before January 1, 2021, and the amount credited to an Eligible Comcast Employee’s Account attributable to Company Credits described in Section 3.8 after May 20, 2015 and before January 1, 2021 (other than Company Credits described in Section 2.54(b)), if, as of the September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immediately preceding the Plan Year in which such amounts are creditable, the sum of:</w:t>
      </w:r>
    </w:p>
    <w:p>
      <w:pPr>
        <w:spacing w:after="0" w:line="203" w:lineRule="exact"/>
        <w:rPr>
          <w:rFonts w:ascii="Arial" w:cs="Arial" w:eastAsia="Arial" w:hAnsi="Arial"/>
          <w:sz w:val="22"/>
          <w:szCs w:val="22"/>
          <w:color w:val="auto"/>
        </w:rPr>
      </w:pPr>
    </w:p>
    <w:p>
      <w:pPr>
        <w:ind w:left="3660" w:hanging="412"/>
        <w:spacing w:after="0"/>
        <w:tabs>
          <w:tab w:leader="none" w:pos="3660" w:val="left"/>
        </w:tabs>
        <w:numPr>
          <w:ilvl w:val="1"/>
          <w:numId w:val="196"/>
        </w:numPr>
        <w:rPr>
          <w:rFonts w:ascii="Arial" w:cs="Arial" w:eastAsia="Arial" w:hAnsi="Arial"/>
          <w:sz w:val="22"/>
          <w:szCs w:val="22"/>
          <w:color w:val="auto"/>
        </w:rPr>
      </w:pPr>
      <w:r>
        <w:rPr>
          <w:rFonts w:ascii="Arial" w:cs="Arial" w:eastAsia="Arial" w:hAnsi="Arial"/>
          <w:sz w:val="22"/>
          <w:szCs w:val="22"/>
          <w:color w:val="auto"/>
        </w:rPr>
        <w:t>An Eligible Comcast Employee’s Account to the extent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such Account is credited to the Income Fund; plus</w:t>
      </w:r>
    </w:p>
    <w:p>
      <w:pPr>
        <w:spacing w:after="0" w:line="21" w:lineRule="exact"/>
        <w:rPr>
          <w:sz w:val="20"/>
          <w:szCs w:val="20"/>
          <w:color w:val="auto"/>
        </w:rPr>
      </w:pPr>
    </w:p>
    <w:p>
      <w:pPr>
        <w:ind w:left="3080" w:hanging="480"/>
        <w:spacing w:after="0"/>
        <w:tabs>
          <w:tab w:leader="none" w:pos="308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Such Eligible Comcast Employee’s Account in the Prior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Plan to the extent such Account is credited to the Income Fund; plus</w:t>
      </w:r>
    </w:p>
    <w:p>
      <w:pPr>
        <w:spacing w:after="0" w:line="21" w:lineRule="exact"/>
        <w:rPr>
          <w:sz w:val="20"/>
          <w:szCs w:val="20"/>
          <w:color w:val="auto"/>
        </w:rPr>
      </w:pPr>
    </w:p>
    <w:p>
      <w:pPr>
        <w:ind w:firstLine="2600"/>
        <w:spacing w:after="0" w:line="246" w:lineRule="auto"/>
        <w:tabs>
          <w:tab w:leader="none" w:pos="3186" w:val="left"/>
        </w:tabs>
        <w:numPr>
          <w:ilvl w:val="0"/>
          <w:numId w:val="198"/>
        </w:numPr>
        <w:rPr>
          <w:rFonts w:ascii="Arial" w:cs="Arial" w:eastAsia="Arial" w:hAnsi="Arial"/>
          <w:sz w:val="22"/>
          <w:szCs w:val="22"/>
          <w:color w:val="auto"/>
        </w:rPr>
      </w:pPr>
      <w:r>
        <w:rPr>
          <w:rFonts w:ascii="Arial" w:cs="Arial" w:eastAsia="Arial" w:hAnsi="Arial"/>
          <w:sz w:val="22"/>
          <w:szCs w:val="22"/>
          <w:color w:val="auto"/>
        </w:rPr>
        <w:t>Such Eligible Comcast Employee’s Account in the Restricted Stock Plan to the extent such Account is credited to the Income Fund;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is less than the High-Water Mark.</w:t>
      </w:r>
    </w:p>
    <w:p>
      <w:pPr>
        <w:spacing w:after="0" w:line="220" w:lineRule="exact"/>
        <w:rPr>
          <w:sz w:val="20"/>
          <w:szCs w:val="20"/>
          <w:color w:val="auto"/>
        </w:rPr>
      </w:pPr>
    </w:p>
    <w:p>
      <w:pPr>
        <w:ind w:firstLine="1952"/>
        <w:spacing w:after="0" w:line="343" w:lineRule="auto"/>
        <w:tabs>
          <w:tab w:leader="none" w:pos="2522"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amount credited pursuant to Subsequent Elections filed after December 31, 2013 and before January 1, 2021 that are attributable to any portion of an Eligible Comcast Employee’s Account described in Section 2.54(a)-(d).</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Sections 2.53(a)-(d), except as otherwise provided by the Administrator, the Protected Account Balance of an Eligible Comcast Employee who is re-employed by a Participating Company following an employment termination date that occurs after December 31, 2013 shall be zero.</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2.55.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Restricted Stock Plan</w:t>
      </w:r>
      <w:r>
        <w:rPr>
          <w:rFonts w:ascii="Arial" w:cs="Arial" w:eastAsia="Arial" w:hAnsi="Arial"/>
          <w:sz w:val="19"/>
          <w:szCs w:val="19"/>
          <w:color w:val="auto"/>
        </w:rPr>
        <w:t>” means the Comcast Corporation 2002 Restricted Stock Plan (or any successor plan).</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2.56.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Retired Participant</w:t>
      </w:r>
      <w:r>
        <w:rPr>
          <w:rFonts w:ascii="Arial" w:cs="Arial" w:eastAsia="Arial" w:hAnsi="Arial"/>
          <w:sz w:val="19"/>
          <w:szCs w:val="19"/>
          <w:color w:val="auto"/>
        </w:rPr>
        <w:t>” means a Participant who has terminated service pursuant to a Normal Retirement.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2.57. “</w:t>
      </w:r>
      <w:r>
        <w:rPr>
          <w:rFonts w:ascii="Arial" w:cs="Arial" w:eastAsia="Arial" w:hAnsi="Arial"/>
          <w:sz w:val="22"/>
          <w:szCs w:val="22"/>
          <w:u w:val="single" w:color="auto"/>
          <w:color w:val="auto"/>
        </w:rPr>
        <w:t>Section 16 Officer</w:t>
      </w:r>
      <w:r>
        <w:rPr>
          <w:rFonts w:ascii="Arial" w:cs="Arial" w:eastAsia="Arial" w:hAnsi="Arial"/>
          <w:sz w:val="22"/>
          <w:szCs w:val="22"/>
          <w:color w:val="auto"/>
        </w:rPr>
        <w:t>” means an “officer” of the Company, as defined pursuant to Rule 16a-1(f) under the Securities Exchange Act of 1934, as amended.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2.58. “</w:t>
      </w:r>
      <w:r>
        <w:rPr>
          <w:rFonts w:ascii="Arial" w:cs="Arial" w:eastAsia="Arial" w:hAnsi="Arial"/>
          <w:sz w:val="22"/>
          <w:szCs w:val="22"/>
          <w:u w:val="single" w:color="auto"/>
          <w:color w:val="auto"/>
        </w:rPr>
        <w:t>Severance Pay</w:t>
      </w:r>
      <w:r>
        <w:rPr>
          <w:rFonts w:ascii="Arial" w:cs="Arial" w:eastAsia="Arial" w:hAnsi="Arial"/>
          <w:sz w:val="22"/>
          <w:szCs w:val="22"/>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2.59. “</w:t>
      </w:r>
      <w:r>
        <w:rPr>
          <w:rFonts w:ascii="Arial" w:cs="Arial" w:eastAsia="Arial" w:hAnsi="Arial"/>
          <w:sz w:val="22"/>
          <w:szCs w:val="22"/>
          <w:u w:val="single" w:color="auto"/>
          <w:color w:val="auto"/>
        </w:rPr>
        <w:t>Signing Bonus</w:t>
      </w:r>
      <w:r>
        <w:rPr>
          <w:rFonts w:ascii="Arial" w:cs="Arial" w:eastAsia="Arial" w:hAnsi="Arial"/>
          <w:sz w:val="22"/>
          <w:szCs w:val="22"/>
          <w:color w:val="auto"/>
        </w:rPr>
        <w:t>” 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117" w:name="page118"/>
    <w:bookmarkEnd w:id="117"/>
    <w:p>
      <w:pPr>
        <w:jc w:val="both"/>
        <w:ind w:firstLine="648"/>
        <w:spacing w:after="0" w:line="250" w:lineRule="auto"/>
        <w:rPr>
          <w:sz w:val="20"/>
          <w:szCs w:val="20"/>
          <w:color w:val="auto"/>
        </w:rPr>
      </w:pPr>
      <w:r>
        <w:rPr>
          <w:rFonts w:ascii="Arial" w:cs="Arial" w:eastAsia="Arial" w:hAnsi="Arial"/>
          <w:sz w:val="22"/>
          <w:szCs w:val="22"/>
          <w:color w:val="auto"/>
        </w:rPr>
        <w:t>2.60. “</w:t>
      </w:r>
      <w:r>
        <w:rPr>
          <w:rFonts w:ascii="Arial" w:cs="Arial" w:eastAsia="Arial" w:hAnsi="Arial"/>
          <w:sz w:val="22"/>
          <w:szCs w:val="22"/>
          <w:u w:val="single" w:color="auto"/>
          <w:color w:val="auto"/>
        </w:rPr>
        <w:t>Subsequent Election</w:t>
      </w:r>
      <w:r>
        <w:rPr>
          <w:rFonts w:ascii="Arial" w:cs="Arial" w:eastAsia="Arial" w:hAnsi="Arial"/>
          <w:sz w:val="22"/>
          <w:szCs w:val="22"/>
          <w:color w:val="auto"/>
        </w:rPr>
        <w:t>” means one or more written elections on a form provided by the Administrator, filed with the Administrator in accordance with Article 3, pursuant to which a Participant or Beneficiary may elect to defer the time of payment of amounts previously deferred in accordance with the terms of a previously filed Initial Election or Subsequent Election.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2.61. “</w:t>
      </w:r>
      <w:r>
        <w:rPr>
          <w:rFonts w:ascii="Arial" w:cs="Arial" w:eastAsia="Arial" w:hAnsi="Arial"/>
          <w:sz w:val="22"/>
          <w:szCs w:val="22"/>
          <w:u w:val="single" w:color="auto"/>
          <w:color w:val="auto"/>
        </w:rPr>
        <w:t>Surviving Spouse</w:t>
      </w:r>
      <w:r>
        <w:rPr>
          <w:rFonts w:ascii="Arial" w:cs="Arial" w:eastAsia="Arial" w:hAnsi="Arial"/>
          <w:sz w:val="22"/>
          <w:szCs w:val="22"/>
          <w:color w:val="auto"/>
        </w:rPr>
        <w:t>” means the widow or widower, as the case may be, of a Deceased Participant or a Deceased Beneficiary (as applicable).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2.62. “</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together with such Person’s Affiliates, provided that the term “Third Party” shall not include the Company or an Affiliate of the Company.</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2.63.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Total Compensation</w:t>
      </w:r>
      <w:r>
        <w:rPr>
          <w:rFonts w:ascii="Arial" w:cs="Arial" w:eastAsia="Arial" w:hAnsi="Arial"/>
          <w:sz w:val="19"/>
          <w:szCs w:val="19"/>
          <w:color w:val="auto"/>
        </w:rPr>
        <w:t>” means:</w:t>
      </w:r>
    </w:p>
    <w:p>
      <w:pPr>
        <w:spacing w:after="0" w:line="220" w:lineRule="exact"/>
        <w:rPr>
          <w:sz w:val="20"/>
          <w:szCs w:val="20"/>
          <w:color w:val="auto"/>
        </w:rPr>
      </w:pPr>
    </w:p>
    <w:p>
      <w:pPr>
        <w:jc w:val="both"/>
        <w:ind w:firstLine="1952"/>
        <w:spacing w:after="0" w:line="302" w:lineRule="auto"/>
        <w:tabs>
          <w:tab w:leader="none" w:pos="2436"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sum of an Eligible Employee’s Annual Rate of Pay, plus Company Credits described in Section 3.8, plus any target bonus amount under a cash bonus award that is includible as “Compensation” under Section 2.16, plus the grant date value of any annual long-term incentive award granted in the immediately preceding Plan Year, all as determined by the Administrator in its sole discretion, as of the September 30th immediately preceding the Plan Year.</w:t>
      </w:r>
    </w:p>
    <w:p>
      <w:pPr>
        <w:spacing w:after="0" w:line="142" w:lineRule="exact"/>
        <w:rPr>
          <w:rFonts w:ascii="Arial" w:cs="Arial" w:eastAsia="Arial" w:hAnsi="Arial"/>
          <w:sz w:val="19"/>
          <w:szCs w:val="19"/>
          <w:color w:val="auto"/>
        </w:rPr>
      </w:pPr>
    </w:p>
    <w:p>
      <w:pPr>
        <w:jc w:val="both"/>
        <w:ind w:firstLine="1952"/>
        <w:spacing w:after="0" w:line="250" w:lineRule="auto"/>
        <w:tabs>
          <w:tab w:leader="none" w:pos="2514" w:val="left"/>
        </w:tabs>
        <w:numPr>
          <w:ilvl w:val="0"/>
          <w:numId w:val="200"/>
        </w:numPr>
        <w:rPr>
          <w:rFonts w:ascii="Arial" w:cs="Arial" w:eastAsia="Arial" w:hAnsi="Arial"/>
          <w:sz w:val="22"/>
          <w:szCs w:val="22"/>
          <w:color w:val="auto"/>
        </w:rPr>
      </w:pPr>
      <w:r>
        <w:rPr>
          <w:rFonts w:ascii="Arial" w:cs="Arial" w:eastAsia="Arial" w:hAnsi="Arial"/>
          <w:sz w:val="22"/>
          <w:szCs w:val="22"/>
          <w:color w:val="auto"/>
        </w:rPr>
        <w:t>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 INITIAL AND SUBSEQUENT ELECTIONS</w:t>
      </w:r>
    </w:p>
    <w:p>
      <w:pPr>
        <w:spacing w:after="0" w:line="22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Elections</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87" w:lineRule="auto"/>
        <w:tabs>
          <w:tab w:leader="none" w:pos="2400"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Initial Elections</w:t>
      </w:r>
      <w:r>
        <w:rPr>
          <w:rFonts w:ascii="Arial" w:cs="Arial" w:eastAsia="Arial" w:hAnsi="Arial"/>
          <w:sz w:val="19"/>
          <w:szCs w:val="19"/>
          <w:color w:val="auto"/>
        </w:rPr>
        <w:t>. Subject to any applicable limitations or restrictions on Initial Elections, each Outside Director, Director Emeritus and Eligible Employee shall have the right to defer Compensation by filing an Initial Election with respect to Compensation that he would otherwise be entitled to receive for a calendar year or other Performance Period at the time and in the manner described in this Article 3. Notwithstanding the foregoing, an individual who is expected to become a New Key Employee on a specific date shall be treated as an “Eligible Employee” for purposes of this Section 3.1(a) and may file an Initial Election before the date on which such individual becomes a New Key Employee. The Compensation of such Outside Director, Director Emeritus or Eligible Employee for a calendar year or other Performance Period shall be reduced in an amount equal to the portion of the Compensation deferred by such Outside Director, Director Emeritus or Eligible Employee for such period of time pursuant to such Outside Director’s, Director Emeritus’s or Eligible Employee’s Initial Election. Such reduction shall be effected on a pro rata basis from each periodic installment payment of such Outside Director’s, Director Emeritus’s or Eligible Employee’s Compensation for such period of time (in accordance with the general pay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118" w:name="page119"/>
    <w:bookmarkEnd w:id="118"/>
    <w:p>
      <w:pPr>
        <w:jc w:val="both"/>
        <w:spacing w:after="0" w:line="250" w:lineRule="auto"/>
        <w:rPr>
          <w:sz w:val="20"/>
          <w:szCs w:val="20"/>
          <w:color w:val="auto"/>
        </w:rPr>
      </w:pPr>
      <w:r>
        <w:rPr>
          <w:rFonts w:ascii="Arial" w:cs="Arial" w:eastAsia="Arial" w:hAnsi="Arial"/>
          <w:sz w:val="22"/>
          <w:szCs w:val="22"/>
          <w:color w:val="auto"/>
        </w:rPr>
        <w:t>of the Participating Company), and credited, as a bookkeeping entry, to such Outside Director’s, Director Emeritus’s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88" w:lineRule="exact"/>
        <w:rPr>
          <w:sz w:val="20"/>
          <w:szCs w:val="20"/>
          <w:color w:val="auto"/>
        </w:rPr>
      </w:pPr>
    </w:p>
    <w:p>
      <w:pPr>
        <w:jc w:val="both"/>
        <w:ind w:firstLine="1952"/>
        <w:spacing w:after="0" w:line="250" w:lineRule="auto"/>
        <w:tabs>
          <w:tab w:leader="none" w:pos="2412"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Subsequent Elections</w:t>
      </w:r>
      <w:r>
        <w:rPr>
          <w:rFonts w:ascii="Arial" w:cs="Arial" w:eastAsia="Arial" w:hAnsi="Arial"/>
          <w:sz w:val="22"/>
          <w:szCs w:val="22"/>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Filing of Initial Election: General</w:t>
      </w:r>
      <w:r>
        <w:rPr>
          <w:rFonts w:ascii="Arial" w:cs="Arial" w:eastAsia="Arial" w:hAnsi="Arial"/>
          <w:sz w:val="22"/>
          <w:szCs w:val="22"/>
          <w:color w:val="auto"/>
        </w:rPr>
        <w:t>. An Initial Election shall be filed on the form provided by the Administrator for this purpose. Except as provided in Section 3.3:</w:t>
      </w:r>
    </w:p>
    <w:p>
      <w:pPr>
        <w:spacing w:after="0" w:line="175" w:lineRule="exact"/>
        <w:rPr>
          <w:sz w:val="20"/>
          <w:szCs w:val="20"/>
          <w:color w:val="auto"/>
        </w:rPr>
      </w:pPr>
    </w:p>
    <w:p>
      <w:pPr>
        <w:jc w:val="both"/>
        <w:ind w:right="20" w:firstLine="1952"/>
        <w:spacing w:after="0" w:line="253" w:lineRule="auto"/>
        <w:tabs>
          <w:tab w:leader="none" w:pos="2439" w:val="left"/>
        </w:tabs>
        <w:numPr>
          <w:ilvl w:val="0"/>
          <w:numId w:val="203"/>
        </w:numPr>
        <w:rPr>
          <w:rFonts w:ascii="Arial" w:cs="Arial" w:eastAsia="Arial" w:hAnsi="Arial"/>
          <w:sz w:val="22"/>
          <w:szCs w:val="22"/>
          <w:color w:val="auto"/>
        </w:rPr>
      </w:pPr>
      <w:r>
        <w:rPr>
          <w:rFonts w:ascii="Arial" w:cs="Arial" w:eastAsia="Arial" w:hAnsi="Arial"/>
          <w:sz w:val="22"/>
          <w:szCs w:val="22"/>
          <w:color w:val="auto"/>
        </w:rPr>
        <w:t>No such Initial Election shall be effective with respect to Compensation other than Signing Bonuses or Performance-Based Compensation unless it is filed with the Administrator on or before December 31 of the calendar year preceding the calendar year to which the Initial Election applies.</w:t>
      </w:r>
    </w:p>
    <w:p>
      <w:pPr>
        <w:spacing w:after="0" w:line="185" w:lineRule="exact"/>
        <w:rPr>
          <w:rFonts w:ascii="Arial" w:cs="Arial" w:eastAsia="Arial" w:hAnsi="Arial"/>
          <w:sz w:val="22"/>
          <w:szCs w:val="22"/>
          <w:color w:val="auto"/>
        </w:rPr>
      </w:pPr>
    </w:p>
    <w:p>
      <w:pPr>
        <w:jc w:val="both"/>
        <w:ind w:firstLine="1952"/>
        <w:spacing w:after="0" w:line="253" w:lineRule="auto"/>
        <w:tabs>
          <w:tab w:leader="none" w:pos="2431" w:val="left"/>
        </w:tabs>
        <w:numPr>
          <w:ilvl w:val="0"/>
          <w:numId w:val="203"/>
        </w:numPr>
        <w:rPr>
          <w:rFonts w:ascii="Arial" w:cs="Arial" w:eastAsia="Arial" w:hAnsi="Arial"/>
          <w:sz w:val="22"/>
          <w:szCs w:val="22"/>
          <w:color w:val="auto"/>
        </w:rPr>
      </w:pPr>
      <w:r>
        <w:rPr>
          <w:rFonts w:ascii="Arial" w:cs="Arial" w:eastAsia="Arial" w:hAnsi="Arial"/>
          <w:sz w:val="22"/>
          <w:szCs w:val="22"/>
          <w:color w:val="auto"/>
        </w:rPr>
        <w:t>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85" w:lineRule="exact"/>
        <w:rPr>
          <w:rFonts w:ascii="Arial" w:cs="Arial" w:eastAsia="Arial" w:hAnsi="Arial"/>
          <w:sz w:val="22"/>
          <w:szCs w:val="22"/>
          <w:color w:val="auto"/>
        </w:rPr>
      </w:pPr>
    </w:p>
    <w:p>
      <w:pPr>
        <w:jc w:val="both"/>
        <w:ind w:firstLine="1952"/>
        <w:spacing w:after="0" w:line="235" w:lineRule="auto"/>
        <w:tabs>
          <w:tab w:leader="none" w:pos="244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No such Initial Election shall be effective with respect to a Signing Bonus for an Eligible Employee other than a New Key Employee unless (i) such Signing Bonus is forfeitable if the Participant fails to continue in service to a specified date (other than as the result of the Participant’s termination of employment because of death, Disability or Company-initiated termination without cause, as determined by the Administrator), and (ii) the Initial Election is filed with the Administrator on or before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the date of grant of such Signing Bonus and at least one year before such specified date.</w:t>
      </w:r>
    </w:p>
    <w:p>
      <w:pPr>
        <w:spacing w:after="0" w:line="20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Filing of Initial Election by New Key Employees and New Outside Directors</w:t>
      </w:r>
      <w:r>
        <w:rPr>
          <w:rFonts w:ascii="Arial" w:cs="Arial" w:eastAsia="Arial" w:hAnsi="Arial"/>
          <w:sz w:val="19"/>
          <w:szCs w:val="19"/>
          <w:color w:val="auto"/>
        </w:rPr>
        <w:t>.</w:t>
      </w:r>
    </w:p>
    <w:p>
      <w:pPr>
        <w:spacing w:after="0" w:line="220" w:lineRule="exact"/>
        <w:rPr>
          <w:sz w:val="20"/>
          <w:szCs w:val="20"/>
          <w:color w:val="auto"/>
        </w:rPr>
      </w:pPr>
    </w:p>
    <w:p>
      <w:pPr>
        <w:ind w:left="2460" w:hanging="508"/>
        <w:spacing w:after="0"/>
        <w:tabs>
          <w:tab w:leader="none" w:pos="2460"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New Key Employees</w:t>
      </w:r>
      <w:r>
        <w:rPr>
          <w:rFonts w:ascii="Arial" w:cs="Arial" w:eastAsia="Arial" w:hAnsi="Arial"/>
          <w:sz w:val="19"/>
          <w:szCs w:val="19"/>
          <w:color w:val="auto"/>
        </w:rPr>
        <w:t>. Notwithstanding Section 3.1 and Section 3.2, a New Key Employee may file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 Initial Election:</w:t>
      </w:r>
    </w:p>
    <w:p>
      <w:pPr>
        <w:spacing w:after="0" w:line="202" w:lineRule="exact"/>
        <w:rPr>
          <w:sz w:val="20"/>
          <w:szCs w:val="20"/>
          <w:color w:val="auto"/>
        </w:rPr>
      </w:pPr>
    </w:p>
    <w:p>
      <w:pPr>
        <w:jc w:val="both"/>
        <w:ind w:firstLine="2600"/>
        <w:spacing w:after="0" w:line="250" w:lineRule="auto"/>
        <w:tabs>
          <w:tab w:leader="none" w:pos="3128"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To defer Compensation payable for services to be performed after the date of such Initial Election. An Initial Election to defer Compensation payable for services to be performed after the date of such Initial Election must be filed with the Administrator within 30 days of the date such New Key Employee first becomes eligible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119" w:name="page120"/>
    <w:bookmarkEnd w:id="119"/>
    <w:p>
      <w:pPr>
        <w:jc w:val="both"/>
        <w:ind w:firstLine="2600"/>
        <w:spacing w:after="0" w:line="253" w:lineRule="auto"/>
        <w:tabs>
          <w:tab w:leader="none" w:pos="3383"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To defer Compensation payable as a Signing Bonus. An Initial Election to defer Compensation payable as a Signing Bonus must be filed with the Administrator before such New Key Employee commences service as an Eligible Employee.</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 Initial Election by such New Key Employee for succeeding calendar years or applicable Performance Periods shall be made in accordance with Section 3.1 and Section 3.2.</w:t>
      </w:r>
    </w:p>
    <w:p>
      <w:pPr>
        <w:spacing w:after="0" w:line="175" w:lineRule="exact"/>
        <w:rPr>
          <w:sz w:val="20"/>
          <w:szCs w:val="20"/>
          <w:color w:val="auto"/>
        </w:rPr>
      </w:pPr>
    </w:p>
    <w:p>
      <w:pPr>
        <w:jc w:val="both"/>
        <w:ind w:firstLine="1952"/>
        <w:spacing w:after="0" w:line="246" w:lineRule="auto"/>
        <w:tabs>
          <w:tab w:leader="none" w:pos="2439"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New Outside Directors</w:t>
      </w:r>
      <w:r>
        <w:rPr>
          <w:rFonts w:ascii="Arial" w:cs="Arial" w:eastAsia="Arial" w:hAnsi="Arial"/>
          <w:sz w:val="22"/>
          <w:szCs w:val="22"/>
          <w:color w:val="auto"/>
        </w:rPr>
        <w:t>. Notwithstanding Section 3.1 and Section 3.2, an Outside Director may elect to defer Compensation by filing an Initial Election with respect to his Compensation attributable to services provided as an Outside Director in the calendar year in which an Outside Director’s election as a member of the Board becomes effective (provided that such Outside Director is not a member of the Board immediately preceding such effective date), beginning with Compensation earned following the filing of an Initial Election with the Administrator and before the close of such calendar year. Such Initial Election must be filed with the Administrator within 30 days of the effective date of such Outside Director’s election. Any Initial Election by such Outside Director for succeeding calendar years shall be made in accordance with Section 3.1 and Section 3.2</w:t>
      </w:r>
    </w:p>
    <w:p>
      <w:pPr>
        <w:spacing w:after="0" w:line="19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Years to which Initial Election May Apply</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61" w:lineRule="auto"/>
        <w:tabs>
          <w:tab w:leader="none" w:pos="2535"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Separate Initial Elections for Each Calendar Year or Applicable Performance Period</w:t>
      </w:r>
      <w:r>
        <w:rPr>
          <w:rFonts w:ascii="Arial" w:cs="Arial" w:eastAsia="Arial" w:hAnsi="Arial"/>
          <w:sz w:val="21"/>
          <w:szCs w:val="21"/>
          <w:color w:val="auto"/>
        </w:rPr>
        <w:t>. A separate Initial Election may be filed for each calendar year or other applicable Performance Period as to which an Outside Director, Director Emeritus or Eligible Employee desires to defer such Outside Director’s, Director Emeritus’s or Eligible Employee’s Compensation. The failure of an Outside Director, Director Emeritus or Eligible Employee to make an Initial Election for any calendar year or other applicable Performance Period shall not affect such Outside Director’s or Eligible Employee’s right to make an Initial Election for any other calendar year or other applicable Performance Period.</w:t>
      </w:r>
    </w:p>
    <w:p>
      <w:pPr>
        <w:spacing w:after="0" w:line="179" w:lineRule="exact"/>
        <w:rPr>
          <w:rFonts w:ascii="Arial" w:cs="Arial" w:eastAsia="Arial" w:hAnsi="Arial"/>
          <w:sz w:val="21"/>
          <w:szCs w:val="21"/>
          <w:color w:val="auto"/>
        </w:rPr>
      </w:pPr>
    </w:p>
    <w:p>
      <w:pPr>
        <w:jc w:val="both"/>
        <w:ind w:firstLine="1952"/>
        <w:spacing w:after="0" w:line="263" w:lineRule="auto"/>
        <w:tabs>
          <w:tab w:leader="none" w:pos="2439"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Initial Election of Distribution Date</w:t>
      </w:r>
      <w:r>
        <w:rPr>
          <w:rFonts w:ascii="Arial" w:cs="Arial" w:eastAsia="Arial" w:hAnsi="Arial"/>
          <w:sz w:val="21"/>
          <w:szCs w:val="21"/>
          <w:color w:val="auto"/>
        </w:rPr>
        <w:t>. Each Outside Director, Director Emeritus or Eligible Employee shall, contemporaneously with an Initial Election, also elect the time of payment of the amount of the deferred Compensation to which such Initial Election relates; provided, however, that, except as otherwise specifically provided by the Plan, no distribution may commence earlier than January 2nd of the second calendar year beginning after the date the compensation subject to the Initial Election would be paid but for the Initial Election, nor later than:</w:t>
      </w:r>
    </w:p>
    <w:p>
      <w:pPr>
        <w:spacing w:after="0" w:line="175" w:lineRule="exact"/>
        <w:rPr>
          <w:rFonts w:ascii="Arial" w:cs="Arial" w:eastAsia="Arial" w:hAnsi="Arial"/>
          <w:sz w:val="21"/>
          <w:szCs w:val="21"/>
          <w:color w:val="auto"/>
        </w:rPr>
      </w:pPr>
    </w:p>
    <w:p>
      <w:pPr>
        <w:ind w:firstLine="2600"/>
        <w:spacing w:after="0" w:line="343" w:lineRule="auto"/>
        <w:tabs>
          <w:tab w:leader="none" w:pos="3063" w:val="left"/>
        </w:tabs>
        <w:numPr>
          <w:ilvl w:val="1"/>
          <w:numId w:val="208"/>
        </w:numPr>
        <w:rPr>
          <w:rFonts w:ascii="Arial" w:cs="Arial" w:eastAsia="Arial" w:hAnsi="Arial"/>
          <w:sz w:val="19"/>
          <w:szCs w:val="19"/>
          <w:color w:val="auto"/>
        </w:rPr>
      </w:pPr>
      <w:r>
        <w:rPr>
          <w:rFonts w:ascii="Arial" w:cs="Arial" w:eastAsia="Arial" w:hAnsi="Arial"/>
          <w:sz w:val="19"/>
          <w:szCs w:val="19"/>
          <w:color w:val="auto"/>
        </w:rPr>
        <w:t>for Initial Elections filed on or before December 31, 2020, January 2nd of the tenth calendar year beginning after the date the compensation subject to the Initial Election would be paid but for the Initial Election; and</w:t>
      </w:r>
    </w:p>
    <w:p>
      <w:pPr>
        <w:spacing w:after="0" w:line="104" w:lineRule="exact"/>
        <w:rPr>
          <w:rFonts w:ascii="Arial" w:cs="Arial" w:eastAsia="Arial" w:hAnsi="Arial"/>
          <w:sz w:val="19"/>
          <w:szCs w:val="19"/>
          <w:color w:val="auto"/>
        </w:rPr>
      </w:pPr>
    </w:p>
    <w:p>
      <w:pPr>
        <w:ind w:firstLine="2600"/>
        <w:spacing w:after="0" w:line="287" w:lineRule="auto"/>
        <w:tabs>
          <w:tab w:leader="none" w:pos="3114" w:val="left"/>
        </w:tabs>
        <w:numPr>
          <w:ilvl w:val="1"/>
          <w:numId w:val="208"/>
        </w:numPr>
        <w:rPr>
          <w:rFonts w:ascii="Arial" w:cs="Arial" w:eastAsia="Arial" w:hAnsi="Arial"/>
          <w:sz w:val="21"/>
          <w:szCs w:val="21"/>
          <w:color w:val="auto"/>
        </w:rPr>
      </w:pPr>
      <w:r>
        <w:rPr>
          <w:rFonts w:ascii="Arial" w:cs="Arial" w:eastAsia="Arial" w:hAnsi="Arial"/>
          <w:sz w:val="21"/>
          <w:szCs w:val="21"/>
          <w:color w:val="auto"/>
        </w:rPr>
        <w:t>for Initial Elections filed after December 31, 2020, January 2nd of the seventh calendar year beginning after the date the compensation subject to the Initial Election would be paid but for the Initial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120" w:name="page121"/>
    <w:bookmarkEnd w:id="120"/>
    <w:p>
      <w:pPr>
        <w:ind w:right="20"/>
        <w:spacing w:after="0" w:line="263" w:lineRule="auto"/>
        <w:rPr>
          <w:sz w:val="20"/>
          <w:szCs w:val="20"/>
          <w:color w:val="auto"/>
        </w:rPr>
      </w:pPr>
      <w:r>
        <w:rPr>
          <w:rFonts w:ascii="Arial" w:cs="Arial" w:eastAsia="Arial" w:hAnsi="Arial"/>
          <w:sz w:val="22"/>
          <w:szCs w:val="22"/>
          <w:color w:val="auto"/>
        </w:rPr>
        <w:t>Further, each Outside Director, Director Emeritus or Eligible Employee may select with each Initial Election the manner of distribution in accordance with Article 4.</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Subsequent Elections</w:t>
      </w:r>
      <w:r>
        <w:rPr>
          <w:rFonts w:ascii="Arial" w:cs="Arial" w:eastAsia="Arial" w:hAnsi="Arial"/>
          <w:sz w:val="22"/>
          <w:szCs w:val="22"/>
          <w:color w:val="auto"/>
        </w:rPr>
        <w:t>. No Subsequent Election shall be effective until 12 months after the date on which such Subsequent Election is filed.</w:t>
      </w:r>
    </w:p>
    <w:p>
      <w:pPr>
        <w:spacing w:after="0" w:line="175" w:lineRule="exact"/>
        <w:rPr>
          <w:sz w:val="20"/>
          <w:szCs w:val="20"/>
          <w:color w:val="auto"/>
        </w:rPr>
      </w:pPr>
    </w:p>
    <w:p>
      <w:pPr>
        <w:jc w:val="both"/>
        <w:ind w:firstLine="1952"/>
        <w:spacing w:after="0" w:line="302" w:lineRule="auto"/>
        <w:tabs>
          <w:tab w:leader="none" w:pos="2481" w:val="left"/>
        </w:tabs>
        <w:numPr>
          <w:ilvl w:val="1"/>
          <w:numId w:val="209"/>
        </w:numPr>
        <w:rPr>
          <w:rFonts w:ascii="Arial" w:cs="Arial" w:eastAsia="Arial" w:hAnsi="Arial"/>
          <w:sz w:val="19"/>
          <w:szCs w:val="19"/>
          <w:color w:val="auto"/>
        </w:rPr>
      </w:pPr>
      <w:r>
        <w:rPr>
          <w:rFonts w:ascii="Arial" w:cs="Arial" w:eastAsia="Arial" w:hAnsi="Arial"/>
          <w:sz w:val="19"/>
          <w:szCs w:val="19"/>
          <w:u w:val="single" w:color="auto"/>
          <w:color w:val="auto"/>
        </w:rPr>
        <w:t>Active Participants, Outside Directors, and Section 16 Officers</w:t>
      </w:r>
      <w:r>
        <w:rPr>
          <w:rFonts w:ascii="Arial" w:cs="Arial" w:eastAsia="Arial" w:hAnsi="Arial"/>
          <w:sz w:val="19"/>
          <w:szCs w:val="19"/>
          <w:color w:val="auto"/>
        </w:rPr>
        <w:t>. Each Active Participant, and each Participant designated by the Administrator who has served as an Outside Director or Section 16 Officer at any time on or after January 1, 2019 (whether or not such individual is an Active Participant), who has filed an Initial Election, or who has filed a Subsequent Election, may elect to defer the time of payment of any part or all of such Participant’s Account--</w:t>
      </w:r>
    </w:p>
    <w:p>
      <w:pPr>
        <w:spacing w:after="0" w:line="142" w:lineRule="exact"/>
        <w:rPr>
          <w:rFonts w:ascii="Arial" w:cs="Arial" w:eastAsia="Arial" w:hAnsi="Arial"/>
          <w:sz w:val="19"/>
          <w:szCs w:val="19"/>
          <w:color w:val="auto"/>
        </w:rPr>
      </w:pPr>
    </w:p>
    <w:p>
      <w:pPr>
        <w:ind w:firstLine="2600"/>
        <w:spacing w:after="0" w:line="263" w:lineRule="auto"/>
        <w:tabs>
          <w:tab w:leader="none" w:pos="3019" w:val="left"/>
        </w:tabs>
        <w:numPr>
          <w:ilvl w:val="2"/>
          <w:numId w:val="209"/>
        </w:numPr>
        <w:rPr>
          <w:rFonts w:ascii="Arial" w:cs="Arial" w:eastAsia="Arial" w:hAnsi="Arial"/>
          <w:sz w:val="22"/>
          <w:szCs w:val="22"/>
          <w:color w:val="auto"/>
        </w:rPr>
      </w:pPr>
      <w:r>
        <w:rPr>
          <w:rFonts w:ascii="Arial" w:cs="Arial" w:eastAsia="Arial" w:hAnsi="Arial"/>
          <w:sz w:val="22"/>
          <w:szCs w:val="22"/>
          <w:color w:val="auto"/>
        </w:rPr>
        <w:t>With respect to Subsequent Elections filed on or before December 31, 2020, for a minimum of five (5) and a maximum of ten (10) additional years from the previously-elected payment date;</w:t>
      </w:r>
    </w:p>
    <w:p>
      <w:pPr>
        <w:spacing w:after="0" w:line="174" w:lineRule="exact"/>
        <w:rPr>
          <w:rFonts w:ascii="Arial" w:cs="Arial" w:eastAsia="Arial" w:hAnsi="Arial"/>
          <w:sz w:val="22"/>
          <w:szCs w:val="22"/>
          <w:color w:val="auto"/>
        </w:rPr>
      </w:pPr>
    </w:p>
    <w:p>
      <w:pPr>
        <w:ind w:left="3140" w:hanging="540"/>
        <w:spacing w:after="0"/>
        <w:tabs>
          <w:tab w:leader="none" w:pos="3140" w:val="left"/>
        </w:tabs>
        <w:numPr>
          <w:ilvl w:val="2"/>
          <w:numId w:val="209"/>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for a minimum of five</w:t>
      </w:r>
    </w:p>
    <w:p>
      <w:pPr>
        <w:spacing w:after="0" w:line="55" w:lineRule="exact"/>
        <w:rPr>
          <w:rFonts w:ascii="Arial" w:cs="Arial" w:eastAsia="Arial" w:hAnsi="Arial"/>
          <w:sz w:val="19"/>
          <w:szCs w:val="19"/>
          <w:color w:val="auto"/>
        </w:rPr>
      </w:pPr>
    </w:p>
    <w:p>
      <w:pPr>
        <w:ind w:left="320" w:hanging="312"/>
        <w:spacing w:after="0"/>
        <w:tabs>
          <w:tab w:leader="none" w:pos="32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and a maximum of seven (7) additional years from the previously-elected payment date;</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filing a Subsequent Election with the Administrator at least 12 months before the lump-sum distribution or initial installment payment would otherwise be made. The number of Subsequent Elections under this Section 3.5(a) shall not be limited. The Administrator may designate the specific Other Investment Fund or Funds to which the Account of any individual who has terminated service to the Company shall be deemed invested.</w:t>
      </w:r>
    </w:p>
    <w:p>
      <w:pPr>
        <w:spacing w:after="0" w:line="188" w:lineRule="exact"/>
        <w:rPr>
          <w:sz w:val="20"/>
          <w:szCs w:val="20"/>
          <w:color w:val="auto"/>
        </w:rPr>
      </w:pPr>
    </w:p>
    <w:p>
      <w:pPr>
        <w:jc w:val="both"/>
        <w:ind w:firstLine="1952"/>
        <w:spacing w:after="0" w:line="253" w:lineRule="auto"/>
        <w:tabs>
          <w:tab w:leader="none" w:pos="2439" w:val="left"/>
        </w:tabs>
        <w:numPr>
          <w:ilvl w:val="1"/>
          <w:numId w:val="211"/>
        </w:numPr>
        <w:rPr>
          <w:rFonts w:ascii="Arial" w:cs="Arial" w:eastAsia="Arial" w:hAnsi="Arial"/>
          <w:sz w:val="22"/>
          <w:szCs w:val="22"/>
          <w:color w:val="auto"/>
        </w:rPr>
      </w:pPr>
      <w:r>
        <w:rPr>
          <w:rFonts w:ascii="Arial" w:cs="Arial" w:eastAsia="Arial" w:hAnsi="Arial"/>
          <w:sz w:val="22"/>
          <w:szCs w:val="22"/>
          <w:u w:val="single" w:color="auto"/>
          <w:color w:val="auto"/>
        </w:rPr>
        <w:t>Inactive Participants</w:t>
      </w:r>
      <w:r>
        <w:rPr>
          <w:rFonts w:ascii="Arial" w:cs="Arial" w:eastAsia="Arial" w:hAnsi="Arial"/>
          <w:sz w:val="22"/>
          <w:szCs w:val="22"/>
          <w:color w:val="auto"/>
        </w:rPr>
        <w:t>. Except as otherwise provided in Section 3.5(a), the Committee may, in its sole and absolute discretion, permit an Inactive Participant to make a Subsequent Election defer the time of payment of any part or all of such Inactive Participant’s Account—</w:t>
      </w:r>
    </w:p>
    <w:p>
      <w:pPr>
        <w:spacing w:after="0" w:line="185" w:lineRule="exact"/>
        <w:rPr>
          <w:rFonts w:ascii="Arial" w:cs="Arial" w:eastAsia="Arial" w:hAnsi="Arial"/>
          <w:sz w:val="22"/>
          <w:szCs w:val="22"/>
          <w:color w:val="auto"/>
        </w:rPr>
      </w:pPr>
    </w:p>
    <w:p>
      <w:pPr>
        <w:ind w:firstLine="2600"/>
        <w:spacing w:after="0" w:line="287" w:lineRule="auto"/>
        <w:tabs>
          <w:tab w:leader="none" w:pos="3019" w:val="left"/>
        </w:tabs>
        <w:numPr>
          <w:ilvl w:val="2"/>
          <w:numId w:val="211"/>
        </w:numPr>
        <w:rPr>
          <w:rFonts w:ascii="Arial" w:cs="Arial" w:eastAsia="Arial" w:hAnsi="Arial"/>
          <w:sz w:val="21"/>
          <w:szCs w:val="21"/>
          <w:color w:val="auto"/>
        </w:rPr>
      </w:pPr>
      <w:r>
        <w:rPr>
          <w:rFonts w:ascii="Arial" w:cs="Arial" w:eastAsia="Arial" w:hAnsi="Arial"/>
          <w:sz w:val="21"/>
          <w:szCs w:val="21"/>
          <w:color w:val="auto"/>
        </w:rPr>
        <w:t>With respect to Subsequent Elections filed on or before December 31, 2020, for a minimum of five (5) years and a maximum of ten (10) additional years from the previously-elected payment date; and</w:t>
      </w:r>
    </w:p>
    <w:p>
      <w:pPr>
        <w:spacing w:after="0" w:line="151" w:lineRule="exact"/>
        <w:rPr>
          <w:rFonts w:ascii="Arial" w:cs="Arial" w:eastAsia="Arial" w:hAnsi="Arial"/>
          <w:sz w:val="21"/>
          <w:szCs w:val="21"/>
          <w:color w:val="auto"/>
        </w:rPr>
      </w:pPr>
    </w:p>
    <w:p>
      <w:pPr>
        <w:ind w:left="3140" w:hanging="540"/>
        <w:spacing w:after="0"/>
        <w:tabs>
          <w:tab w:leader="none" w:pos="3140" w:val="left"/>
        </w:tabs>
        <w:numPr>
          <w:ilvl w:val="2"/>
          <w:numId w:val="211"/>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for a minimum of five</w:t>
      </w:r>
    </w:p>
    <w:p>
      <w:pPr>
        <w:spacing w:after="0" w:line="55" w:lineRule="exact"/>
        <w:rPr>
          <w:rFonts w:ascii="Arial" w:cs="Arial" w:eastAsia="Arial" w:hAnsi="Arial"/>
          <w:sz w:val="19"/>
          <w:szCs w:val="19"/>
          <w:color w:val="auto"/>
        </w:rPr>
      </w:pPr>
    </w:p>
    <w:p>
      <w:pPr>
        <w:ind w:left="320" w:hanging="312"/>
        <w:spacing w:after="0"/>
        <w:tabs>
          <w:tab w:leader="none" w:pos="32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years and a maximum of seven (7) additional years from the previously-elected payment date,</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121" w:name="page122"/>
    <w:bookmarkEnd w:id="121"/>
    <w:p>
      <w:pPr>
        <w:jc w:val="both"/>
        <w:ind w:firstLine="1952"/>
        <w:spacing w:after="0" w:line="302" w:lineRule="auto"/>
        <w:tabs>
          <w:tab w:leader="none" w:pos="2548" w:val="left"/>
        </w:tabs>
        <w:numPr>
          <w:ilvl w:val="1"/>
          <w:numId w:val="213"/>
        </w:numPr>
        <w:rPr>
          <w:rFonts w:ascii="Arial" w:cs="Arial" w:eastAsia="Arial" w:hAnsi="Arial"/>
          <w:sz w:val="19"/>
          <w:szCs w:val="19"/>
          <w:color w:val="auto"/>
        </w:rPr>
      </w:pPr>
      <w:r>
        <w:rPr>
          <w:rFonts w:ascii="Arial" w:cs="Arial" w:eastAsia="Arial" w:hAnsi="Arial"/>
          <w:sz w:val="19"/>
          <w:szCs w:val="19"/>
          <w:u w:val="single" w:color="auto"/>
          <w:color w:val="auto"/>
        </w:rPr>
        <w:t>Surviving Spouses – Subsequent Election</w:t>
      </w:r>
      <w:r>
        <w:rPr>
          <w:rFonts w:ascii="Arial" w:cs="Arial" w:eastAsia="Arial" w:hAnsi="Arial"/>
          <w:sz w:val="19"/>
          <w:szCs w:val="19"/>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w:t>
      </w:r>
    </w:p>
    <w:p>
      <w:pPr>
        <w:spacing w:after="0" w:line="142" w:lineRule="exact"/>
        <w:rPr>
          <w:rFonts w:ascii="Arial" w:cs="Arial" w:eastAsia="Arial" w:hAnsi="Arial"/>
          <w:sz w:val="19"/>
          <w:szCs w:val="19"/>
          <w:color w:val="auto"/>
        </w:rPr>
      </w:pPr>
    </w:p>
    <w:p>
      <w:pPr>
        <w:ind w:firstLine="2600"/>
        <w:spacing w:after="0" w:line="263" w:lineRule="auto"/>
        <w:tabs>
          <w:tab w:leader="none" w:pos="3065" w:val="left"/>
        </w:tabs>
        <w:numPr>
          <w:ilvl w:val="2"/>
          <w:numId w:val="213"/>
        </w:numPr>
        <w:rPr>
          <w:rFonts w:ascii="Arial" w:cs="Arial" w:eastAsia="Arial" w:hAnsi="Arial"/>
          <w:sz w:val="22"/>
          <w:szCs w:val="22"/>
          <w:color w:val="auto"/>
        </w:rPr>
      </w:pPr>
      <w:r>
        <w:rPr>
          <w:rFonts w:ascii="Arial" w:cs="Arial" w:eastAsia="Arial" w:hAnsi="Arial"/>
          <w:sz w:val="22"/>
          <w:szCs w:val="22"/>
          <w:color w:val="auto"/>
        </w:rPr>
        <w:t>With respect to Subsequent Elections filed on or before December 31, 2020, shall be no less than five (5) years nor more than ten (10) years from the previously-elected payment date;</w:t>
      </w:r>
    </w:p>
    <w:p>
      <w:pPr>
        <w:spacing w:after="0" w:line="174" w:lineRule="exact"/>
        <w:rPr>
          <w:rFonts w:ascii="Arial" w:cs="Arial" w:eastAsia="Arial" w:hAnsi="Arial"/>
          <w:sz w:val="22"/>
          <w:szCs w:val="22"/>
          <w:color w:val="auto"/>
        </w:rPr>
      </w:pPr>
    </w:p>
    <w:p>
      <w:pPr>
        <w:ind w:left="3080" w:hanging="480"/>
        <w:spacing w:after="0"/>
        <w:tabs>
          <w:tab w:leader="none" w:pos="3080" w:val="left"/>
        </w:tabs>
        <w:numPr>
          <w:ilvl w:val="2"/>
          <w:numId w:val="213"/>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shall be no less than five</w:t>
      </w:r>
    </w:p>
    <w:p>
      <w:pPr>
        <w:spacing w:after="0" w:line="55" w:lineRule="exact"/>
        <w:rPr>
          <w:rFonts w:ascii="Arial" w:cs="Arial" w:eastAsia="Arial" w:hAnsi="Arial"/>
          <w:sz w:val="19"/>
          <w:szCs w:val="19"/>
          <w:color w:val="auto"/>
        </w:rPr>
      </w:pPr>
    </w:p>
    <w:p>
      <w:pPr>
        <w:ind w:left="320" w:hanging="312"/>
        <w:spacing w:after="0"/>
        <w:tabs>
          <w:tab w:leader="none" w:pos="32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years nor more than seven (7) years from the previously-elected payment date; or</w:t>
      </w:r>
    </w:p>
    <w:p>
      <w:pPr>
        <w:spacing w:after="0" w:line="201" w:lineRule="exact"/>
        <w:rPr>
          <w:rFonts w:ascii="Arial" w:cs="Arial" w:eastAsia="Arial" w:hAnsi="Arial"/>
          <w:sz w:val="22"/>
          <w:szCs w:val="22"/>
          <w:color w:val="auto"/>
        </w:rPr>
      </w:pPr>
    </w:p>
    <w:p>
      <w:pPr>
        <w:ind w:firstLine="2600"/>
        <w:spacing w:after="0" w:line="263" w:lineRule="auto"/>
        <w:tabs>
          <w:tab w:leader="none" w:pos="3166" w:val="left"/>
        </w:tabs>
        <w:numPr>
          <w:ilvl w:val="2"/>
          <w:numId w:val="214"/>
        </w:numPr>
        <w:rPr>
          <w:rFonts w:ascii="Arial" w:cs="Arial" w:eastAsia="Arial" w:hAnsi="Arial"/>
          <w:sz w:val="22"/>
          <w:szCs w:val="22"/>
          <w:color w:val="auto"/>
        </w:rPr>
      </w:pPr>
      <w:r>
        <w:rPr>
          <w:rFonts w:ascii="Arial" w:cs="Arial" w:eastAsia="Arial" w:hAnsi="Arial"/>
          <w:sz w:val="22"/>
          <w:szCs w:val="22"/>
          <w:color w:val="auto"/>
        </w:rPr>
        <w:t>With respect to Subsequent Elections filed on or before December 31, 2020, such Surviving Spouse may elect to defer payment until such Surviving Spouse’s death.</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 Surviving Spouse may make a total of two (2) Subsequent Elections under this Section 3.5(c), with respect to all or any part of the Deceased Participant’s Account. Subsequent Elections pursuant to this Section 3.5(c) may specify different changes with respect to different parts of the Deceased Participant’s Account.</w:t>
      </w:r>
    </w:p>
    <w:p>
      <w:pPr>
        <w:spacing w:after="0" w:line="185" w:lineRule="exact"/>
        <w:rPr>
          <w:sz w:val="20"/>
          <w:szCs w:val="20"/>
          <w:color w:val="auto"/>
        </w:rPr>
      </w:pPr>
    </w:p>
    <w:p>
      <w:pPr>
        <w:jc w:val="both"/>
        <w:ind w:firstLine="1952"/>
        <w:spacing w:after="0" w:line="248" w:lineRule="auto"/>
        <w:tabs>
          <w:tab w:leader="none" w:pos="2533" w:val="left"/>
        </w:tabs>
        <w:numPr>
          <w:ilvl w:val="1"/>
          <w:numId w:val="215"/>
        </w:numPr>
        <w:rPr>
          <w:rFonts w:ascii="Arial" w:cs="Arial" w:eastAsia="Arial" w:hAnsi="Arial"/>
          <w:sz w:val="22"/>
          <w:szCs w:val="22"/>
          <w:color w:val="auto"/>
        </w:rPr>
      </w:pPr>
      <w:r>
        <w:rPr>
          <w:rFonts w:ascii="Arial" w:cs="Arial" w:eastAsia="Arial" w:hAnsi="Arial"/>
          <w:sz w:val="22"/>
          <w:szCs w:val="22"/>
          <w:u w:val="single" w:color="auto"/>
          <w:color w:val="auto"/>
        </w:rPr>
        <w:t>Beneficiary of a Deceased Participant Other Than a Surviving Spouse – Subsequent Election</w:t>
      </w:r>
      <w:r>
        <w:rPr>
          <w:rFonts w:ascii="Arial" w:cs="Arial" w:eastAsia="Arial" w:hAnsi="Arial"/>
          <w:sz w:val="22"/>
          <w:szCs w:val="22"/>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w:t>
      </w:r>
    </w:p>
    <w:p>
      <w:pPr>
        <w:spacing w:after="0" w:line="191" w:lineRule="exact"/>
        <w:rPr>
          <w:rFonts w:ascii="Arial" w:cs="Arial" w:eastAsia="Arial" w:hAnsi="Arial"/>
          <w:sz w:val="22"/>
          <w:szCs w:val="22"/>
          <w:color w:val="auto"/>
        </w:rPr>
      </w:pPr>
    </w:p>
    <w:p>
      <w:pPr>
        <w:ind w:left="3080" w:hanging="480"/>
        <w:spacing w:after="0"/>
        <w:tabs>
          <w:tab w:leader="none" w:pos="3080" w:val="left"/>
        </w:tabs>
        <w:numPr>
          <w:ilvl w:val="2"/>
          <w:numId w:val="215"/>
        </w:numPr>
        <w:rPr>
          <w:rFonts w:ascii="Arial" w:cs="Arial" w:eastAsia="Arial" w:hAnsi="Arial"/>
          <w:sz w:val="19"/>
          <w:szCs w:val="19"/>
          <w:color w:val="auto"/>
        </w:rPr>
      </w:pPr>
      <w:r>
        <w:rPr>
          <w:rFonts w:ascii="Arial" w:cs="Arial" w:eastAsia="Arial" w:hAnsi="Arial"/>
          <w:sz w:val="19"/>
          <w:szCs w:val="19"/>
          <w:color w:val="auto"/>
        </w:rPr>
        <w:t>With respect to Subsequent Elections filed on or before December 31, 2020 shall be no less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than five (5) years nor more than ten (10) years from the previously-elected payment date; and</w:t>
      </w:r>
    </w:p>
    <w:p>
      <w:pPr>
        <w:spacing w:after="0" w:line="201" w:lineRule="exact"/>
        <w:rPr>
          <w:rFonts w:ascii="Arial" w:cs="Arial" w:eastAsia="Arial" w:hAnsi="Arial"/>
          <w:sz w:val="19"/>
          <w:szCs w:val="19"/>
          <w:color w:val="auto"/>
        </w:rPr>
      </w:pPr>
    </w:p>
    <w:p>
      <w:pPr>
        <w:ind w:left="3100" w:hanging="500"/>
        <w:spacing w:after="0"/>
        <w:tabs>
          <w:tab w:leader="none" w:pos="3100" w:val="left"/>
        </w:tabs>
        <w:numPr>
          <w:ilvl w:val="2"/>
          <w:numId w:val="215"/>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shall be no less than five</w:t>
      </w:r>
    </w:p>
    <w:p>
      <w:pPr>
        <w:spacing w:after="0" w:line="55" w:lineRule="exact"/>
        <w:rPr>
          <w:rFonts w:ascii="Arial" w:cs="Arial" w:eastAsia="Arial" w:hAnsi="Arial"/>
          <w:sz w:val="19"/>
          <w:szCs w:val="19"/>
          <w:color w:val="auto"/>
        </w:rPr>
      </w:pPr>
    </w:p>
    <w:p>
      <w:pPr>
        <w:ind w:left="320" w:hanging="312"/>
        <w:spacing w:after="0"/>
        <w:tabs>
          <w:tab w:leader="none" w:pos="32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years nor more than seven (7) years from the previously-elected payment date.</w:t>
      </w:r>
    </w:p>
    <w:p>
      <w:pPr>
        <w:spacing w:after="0" w:line="202"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A Beneficiary may make one (1) Subsequent Election under this Section 3.5(d), with respect to all or any part of the Deceased Participant’s Account. Subsequent Elections pursuant to this Section 3.5(d) may specify different changes with respect to different parts of the Deceased Participant’s Account.</w:t>
      </w:r>
    </w:p>
    <w:p>
      <w:pPr>
        <w:spacing w:after="0" w:line="185" w:lineRule="exact"/>
        <w:rPr>
          <w:sz w:val="20"/>
          <w:szCs w:val="20"/>
          <w:color w:val="auto"/>
        </w:rPr>
      </w:pPr>
    </w:p>
    <w:p>
      <w:pPr>
        <w:ind w:right="20" w:firstLine="1952"/>
        <w:spacing w:after="0" w:line="263" w:lineRule="auto"/>
        <w:tabs>
          <w:tab w:leader="none" w:pos="2616" w:val="left"/>
        </w:tabs>
        <w:numPr>
          <w:ilvl w:val="0"/>
          <w:numId w:val="217"/>
        </w:numPr>
        <w:rPr>
          <w:rFonts w:ascii="Arial" w:cs="Arial" w:eastAsia="Arial" w:hAnsi="Arial"/>
          <w:sz w:val="22"/>
          <w:szCs w:val="22"/>
          <w:color w:val="auto"/>
        </w:rPr>
      </w:pPr>
      <w:r>
        <w:rPr>
          <w:rFonts w:ascii="Arial" w:cs="Arial" w:eastAsia="Arial" w:hAnsi="Arial"/>
          <w:sz w:val="22"/>
          <w:szCs w:val="22"/>
          <w:u w:val="single" w:color="auto"/>
          <w:color w:val="auto"/>
        </w:rPr>
        <w:t>Retired Participants and Disabled Participants</w:t>
      </w:r>
      <w:r>
        <w:rPr>
          <w:rFonts w:ascii="Arial" w:cs="Arial" w:eastAsia="Arial" w:hAnsi="Arial"/>
          <w:sz w:val="22"/>
          <w:szCs w:val="22"/>
          <w:color w:val="auto"/>
        </w:rPr>
        <w:t>. The Committee may, in its sole and absolute discretion, permit a Retired Participant or a Disabled Participant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122" w:name="page123"/>
    <w:bookmarkEnd w:id="122"/>
    <w:p>
      <w:pPr>
        <w:spacing w:after="0" w:line="263" w:lineRule="auto"/>
        <w:rPr>
          <w:sz w:val="20"/>
          <w:szCs w:val="20"/>
          <w:color w:val="auto"/>
        </w:rPr>
      </w:pPr>
      <w:r>
        <w:rPr>
          <w:rFonts w:ascii="Arial" w:cs="Arial" w:eastAsia="Arial" w:hAnsi="Arial"/>
          <w:sz w:val="22"/>
          <w:szCs w:val="22"/>
          <w:color w:val="auto"/>
        </w:rPr>
        <w:t>make a Subsequent Election to defer the time of payment of any part or all of such Retired or Disabled Participant’s Account that would not otherwise become payable within twelve (12) months of such Subsequent Election—</w:t>
      </w:r>
    </w:p>
    <w:p>
      <w:pPr>
        <w:spacing w:after="0" w:line="175" w:lineRule="exact"/>
        <w:rPr>
          <w:sz w:val="20"/>
          <w:szCs w:val="20"/>
          <w:color w:val="auto"/>
        </w:rPr>
      </w:pPr>
    </w:p>
    <w:p>
      <w:pPr>
        <w:ind w:firstLine="2600"/>
        <w:spacing w:after="0" w:line="287" w:lineRule="auto"/>
        <w:tabs>
          <w:tab w:leader="none" w:pos="3019" w:val="left"/>
        </w:tabs>
        <w:numPr>
          <w:ilvl w:val="1"/>
          <w:numId w:val="218"/>
        </w:numPr>
        <w:rPr>
          <w:rFonts w:ascii="Arial" w:cs="Arial" w:eastAsia="Arial" w:hAnsi="Arial"/>
          <w:sz w:val="21"/>
          <w:szCs w:val="21"/>
          <w:color w:val="auto"/>
        </w:rPr>
      </w:pPr>
      <w:r>
        <w:rPr>
          <w:rFonts w:ascii="Arial" w:cs="Arial" w:eastAsia="Arial" w:hAnsi="Arial"/>
          <w:sz w:val="21"/>
          <w:szCs w:val="21"/>
          <w:color w:val="auto"/>
        </w:rPr>
        <w:t>With respect to Subsequent Elections filed on or before December 31, 2020, for a minimum of five (5) years and a maximum of ten (10) additional years from the previously-elected payment date; and</w:t>
      </w:r>
    </w:p>
    <w:p>
      <w:pPr>
        <w:spacing w:after="0" w:line="151" w:lineRule="exact"/>
        <w:rPr>
          <w:rFonts w:ascii="Arial" w:cs="Arial" w:eastAsia="Arial" w:hAnsi="Arial"/>
          <w:sz w:val="21"/>
          <w:szCs w:val="21"/>
          <w:color w:val="auto"/>
        </w:rPr>
      </w:pPr>
    </w:p>
    <w:p>
      <w:pPr>
        <w:ind w:left="3140" w:hanging="540"/>
        <w:spacing w:after="0"/>
        <w:tabs>
          <w:tab w:leader="none" w:pos="3140" w:val="left"/>
        </w:tabs>
        <w:numPr>
          <w:ilvl w:val="1"/>
          <w:numId w:val="218"/>
        </w:numPr>
        <w:rPr>
          <w:rFonts w:ascii="Arial" w:cs="Arial" w:eastAsia="Arial" w:hAnsi="Arial"/>
          <w:sz w:val="19"/>
          <w:szCs w:val="19"/>
          <w:color w:val="auto"/>
        </w:rPr>
      </w:pPr>
      <w:r>
        <w:rPr>
          <w:rFonts w:ascii="Arial" w:cs="Arial" w:eastAsia="Arial" w:hAnsi="Arial"/>
          <w:sz w:val="19"/>
          <w:szCs w:val="19"/>
          <w:color w:val="auto"/>
        </w:rPr>
        <w:t>With respect to Subsequent Elections filed after December 31, 2020, for a minimum of five</w:t>
      </w:r>
    </w:p>
    <w:p>
      <w:pPr>
        <w:spacing w:after="0" w:line="55" w:lineRule="exact"/>
        <w:rPr>
          <w:rFonts w:ascii="Arial" w:cs="Arial" w:eastAsia="Arial" w:hAnsi="Arial"/>
          <w:sz w:val="19"/>
          <w:szCs w:val="19"/>
          <w:color w:val="auto"/>
        </w:rPr>
      </w:pPr>
    </w:p>
    <w:p>
      <w:pPr>
        <w:ind w:left="320" w:hanging="312"/>
        <w:spacing w:after="0"/>
        <w:tabs>
          <w:tab w:leader="none" w:pos="32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years and a maximum of seven (7) additional years from the previously-elected payment date</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33" w:lineRule="exact"/>
        <w:rPr>
          <w:sz w:val="20"/>
          <w:szCs w:val="20"/>
          <w:color w:val="auto"/>
        </w:rPr>
      </w:pPr>
    </w:p>
    <w:p>
      <w:pPr>
        <w:jc w:val="both"/>
        <w:ind w:firstLine="1952"/>
        <w:spacing w:after="0" w:line="250" w:lineRule="auto"/>
        <w:tabs>
          <w:tab w:leader="none" w:pos="2578" w:val="left"/>
        </w:tabs>
        <w:numPr>
          <w:ilvl w:val="0"/>
          <w:numId w:val="220"/>
        </w:numPr>
        <w:rPr>
          <w:rFonts w:ascii="Arial" w:cs="Arial" w:eastAsia="Arial" w:hAnsi="Arial"/>
          <w:sz w:val="22"/>
          <w:szCs w:val="22"/>
          <w:color w:val="auto"/>
        </w:rPr>
      </w:pPr>
      <w:r>
        <w:rPr>
          <w:rFonts w:ascii="Arial" w:cs="Arial" w:eastAsia="Arial" w:hAnsi="Arial"/>
          <w:sz w:val="22"/>
          <w:szCs w:val="22"/>
          <w:u w:val="single" w:color="auto"/>
          <w:color w:val="auto"/>
        </w:rPr>
        <w:t>Most Recently Filed Initial Election or Subsequent Election Controlling</w:t>
      </w:r>
      <w:r>
        <w:rPr>
          <w:rFonts w:ascii="Arial" w:cs="Arial" w:eastAsia="Arial" w:hAnsi="Arial"/>
          <w:sz w:val="22"/>
          <w:szCs w:val="22"/>
          <w:color w:val="auto"/>
        </w:rPr>
        <w:t>. Except as otherwise specifically provided by the Plan, no distribution of the amounts deferred by a Participant shall be made before the earlier of the Participant’s death or the payment date designated by the Participant or Beneficiary on the most recently filed Initial Election or Subsequent Election with respect to each deferred amount.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Discretion to Provide for Distribution in Full Upon or Following a Change of Control</w:t>
      </w:r>
      <w:r>
        <w:rPr>
          <w:rFonts w:ascii="Arial" w:cs="Arial" w:eastAsia="Arial" w:hAnsi="Arial"/>
          <w:sz w:val="21"/>
          <w:szCs w:val="21"/>
          <w:color w:val="auto"/>
        </w:rPr>
        <w:t>. To the extent permitted by Section 409A,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17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u w:val="single" w:color="auto"/>
          <w:color w:val="auto"/>
        </w:rPr>
        <w:t>Withholding and Payment of Death Taxes</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48" w:lineRule="auto"/>
        <w:tabs>
          <w:tab w:leader="none" w:pos="2494" w:val="left"/>
        </w:tabs>
        <w:numPr>
          <w:ilvl w:val="0"/>
          <w:numId w:val="221"/>
        </w:numPr>
        <w:rPr>
          <w:rFonts w:ascii="Arial" w:cs="Arial" w:eastAsia="Arial" w:hAnsi="Arial"/>
          <w:sz w:val="22"/>
          <w:szCs w:val="22"/>
          <w:color w:val="auto"/>
        </w:rPr>
      </w:pPr>
      <w:r>
        <w:rPr>
          <w:rFonts w:ascii="Arial" w:cs="Arial" w:eastAsia="Arial" w:hAnsi="Arial"/>
          <w:sz w:val="22"/>
          <w:szCs w:val="22"/>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Section 409A, the Administrator shall apply the terms of Section 3.7(b) to the Decedent’s Account unless the Decedent affirmatively has elected, in writing, filed with the Administrator, to waive the application of Section 3.7(b).</w:t>
      </w:r>
    </w:p>
    <w:p>
      <w:pPr>
        <w:spacing w:after="0" w:line="191" w:lineRule="exact"/>
        <w:rPr>
          <w:rFonts w:ascii="Arial" w:cs="Arial" w:eastAsia="Arial" w:hAnsi="Arial"/>
          <w:sz w:val="22"/>
          <w:szCs w:val="22"/>
          <w:color w:val="auto"/>
        </w:rPr>
      </w:pPr>
    </w:p>
    <w:p>
      <w:pPr>
        <w:ind w:firstLine="1952"/>
        <w:spacing w:after="0" w:line="263" w:lineRule="auto"/>
        <w:tabs>
          <w:tab w:leader="none" w:pos="2553" w:val="left"/>
        </w:tabs>
        <w:numPr>
          <w:ilvl w:val="0"/>
          <w:numId w:val="221"/>
        </w:numPr>
        <w:rPr>
          <w:rFonts w:ascii="Arial" w:cs="Arial" w:eastAsia="Arial" w:hAnsi="Arial"/>
          <w:sz w:val="22"/>
          <w:szCs w:val="22"/>
          <w:color w:val="auto"/>
        </w:rPr>
      </w:pPr>
      <w:r>
        <w:rPr>
          <w:rFonts w:ascii="Arial" w:cs="Arial" w:eastAsia="Arial" w:hAnsi="Arial"/>
          <w:sz w:val="22"/>
          <w:szCs w:val="22"/>
          <w:color w:val="auto"/>
        </w:rPr>
        <w:t>Unless the Decedent affirmatively has elected, pursuant to Section 3.7(a), that the terms of this Section 3.7(b) not apply, but only to the extent permitted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123" w:name="page124"/>
    <w:bookmarkEnd w:id="123"/>
    <w:p>
      <w:pPr>
        <w:jc w:val="both"/>
        <w:ind w:firstLine="2600"/>
        <w:spacing w:after="0" w:line="253" w:lineRule="auto"/>
        <w:tabs>
          <w:tab w:leader="none" w:pos="3032"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85" w:lineRule="exact"/>
        <w:rPr>
          <w:rFonts w:ascii="Arial" w:cs="Arial" w:eastAsia="Arial" w:hAnsi="Arial"/>
          <w:sz w:val="22"/>
          <w:szCs w:val="22"/>
          <w:color w:val="auto"/>
        </w:rPr>
      </w:pPr>
    </w:p>
    <w:p>
      <w:pPr>
        <w:ind w:firstLine="2600"/>
        <w:spacing w:after="0" w:line="287" w:lineRule="auto"/>
        <w:tabs>
          <w:tab w:leader="none" w:pos="3095" w:val="left"/>
        </w:tabs>
        <w:numPr>
          <w:ilvl w:val="0"/>
          <w:numId w:val="222"/>
        </w:numPr>
        <w:rPr>
          <w:rFonts w:ascii="Arial" w:cs="Arial" w:eastAsia="Arial" w:hAnsi="Arial"/>
          <w:sz w:val="21"/>
          <w:szCs w:val="21"/>
          <w:color w:val="auto"/>
        </w:rPr>
      </w:pPr>
      <w:r>
        <w:rPr>
          <w:rFonts w:ascii="Arial" w:cs="Arial" w:eastAsia="Arial" w:hAnsi="Arial"/>
          <w:sz w:val="21"/>
          <w:szCs w:val="21"/>
          <w:color w:val="auto"/>
        </w:rPr>
        <w:t>The Administrator shall defer payment of the Decedent’s Account until the later of the Death Tax Clearance Date and the payment date designated in the Decedent’s Initial Election or Subsequent Election;</w:t>
      </w:r>
    </w:p>
    <w:p>
      <w:pPr>
        <w:spacing w:after="0" w:line="151" w:lineRule="exact"/>
        <w:rPr>
          <w:rFonts w:ascii="Arial" w:cs="Arial" w:eastAsia="Arial" w:hAnsi="Arial"/>
          <w:sz w:val="21"/>
          <w:szCs w:val="21"/>
          <w:color w:val="auto"/>
        </w:rPr>
      </w:pPr>
    </w:p>
    <w:p>
      <w:pPr>
        <w:jc w:val="both"/>
        <w:ind w:firstLine="2600"/>
        <w:spacing w:after="0" w:line="297" w:lineRule="auto"/>
        <w:tabs>
          <w:tab w:leader="none" w:pos="3168" w:val="left"/>
        </w:tabs>
        <w:numPr>
          <w:ilvl w:val="0"/>
          <w:numId w:val="222"/>
        </w:numPr>
        <w:rPr>
          <w:rFonts w:ascii="Arial" w:cs="Arial" w:eastAsia="Arial" w:hAnsi="Arial"/>
          <w:sz w:val="19"/>
          <w:szCs w:val="19"/>
          <w:color w:val="auto"/>
        </w:rPr>
      </w:pPr>
      <w:r>
        <w:rPr>
          <w:rFonts w:ascii="Arial" w:cs="Arial" w:eastAsia="Arial" w:hAnsi="Arial"/>
          <w:sz w:val="19"/>
          <w:szCs w:val="19"/>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46" w:lineRule="exact"/>
        <w:rPr>
          <w:rFonts w:ascii="Arial" w:cs="Arial" w:eastAsia="Arial" w:hAnsi="Arial"/>
          <w:sz w:val="19"/>
          <w:szCs w:val="19"/>
          <w:color w:val="auto"/>
        </w:rPr>
      </w:pPr>
    </w:p>
    <w:p>
      <w:pPr>
        <w:jc w:val="both"/>
        <w:ind w:firstLine="2600"/>
        <w:spacing w:after="0" w:line="292" w:lineRule="auto"/>
        <w:tabs>
          <w:tab w:leader="none" w:pos="3139" w:val="left"/>
        </w:tabs>
        <w:numPr>
          <w:ilvl w:val="0"/>
          <w:numId w:val="222"/>
        </w:numPr>
        <w:rPr>
          <w:rFonts w:ascii="Arial" w:cs="Arial" w:eastAsia="Arial" w:hAnsi="Arial"/>
          <w:sz w:val="19"/>
          <w:szCs w:val="19"/>
          <w:color w:val="auto"/>
        </w:rPr>
      </w:pPr>
      <w:r>
        <w:rPr>
          <w:rFonts w:ascii="Arial" w:cs="Arial" w:eastAsia="Arial" w:hAnsi="Arial"/>
          <w:sz w:val="19"/>
          <w:szCs w:val="19"/>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50" w:lineRule="exact"/>
        <w:rPr>
          <w:rFonts w:ascii="Arial" w:cs="Arial" w:eastAsia="Arial" w:hAnsi="Arial"/>
          <w:sz w:val="19"/>
          <w:szCs w:val="19"/>
          <w:color w:val="auto"/>
        </w:rPr>
      </w:pPr>
    </w:p>
    <w:p>
      <w:pPr>
        <w:jc w:val="both"/>
        <w:ind w:firstLine="2600"/>
        <w:spacing w:after="0" w:line="253" w:lineRule="auto"/>
        <w:tabs>
          <w:tab w:leader="none" w:pos="3091" w:val="left"/>
        </w:tabs>
        <w:numPr>
          <w:ilvl w:val="0"/>
          <w:numId w:val="222"/>
        </w:numPr>
        <w:rPr>
          <w:rFonts w:ascii="Arial" w:cs="Arial" w:eastAsia="Arial" w:hAnsi="Arial"/>
          <w:sz w:val="22"/>
          <w:szCs w:val="22"/>
          <w:color w:val="auto"/>
        </w:rPr>
      </w:pPr>
      <w:r>
        <w:rPr>
          <w:rFonts w:ascii="Arial" w:cs="Arial" w:eastAsia="Arial" w:hAnsi="Arial"/>
          <w:sz w:val="22"/>
          <w:szCs w:val="22"/>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85" w:lineRule="exact"/>
        <w:rPr>
          <w:rFonts w:ascii="Arial" w:cs="Arial" w:eastAsia="Arial" w:hAnsi="Arial"/>
          <w:sz w:val="22"/>
          <w:szCs w:val="22"/>
          <w:color w:val="auto"/>
        </w:rPr>
      </w:pPr>
    </w:p>
    <w:p>
      <w:pPr>
        <w:jc w:val="both"/>
        <w:ind w:firstLine="2600"/>
        <w:spacing w:after="0" w:line="253" w:lineRule="auto"/>
        <w:tabs>
          <w:tab w:leader="none" w:pos="317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Within 30 days after the Death Tax Clearance Date or upon the payment date designated in the Decedent’s Initial Election or Subsequent Election, if later, the Administrator shall pay the Decedent’s Account to the Beneficiary.</w:t>
      </w:r>
    </w:p>
    <w:p>
      <w:pPr>
        <w:spacing w:after="0" w:line="18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u w:val="single" w:color="auto"/>
          <w:color w:val="auto"/>
        </w:rPr>
        <w:t>Company Credits</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47" w:lineRule="auto"/>
        <w:tabs>
          <w:tab w:leader="none" w:pos="2472" w:val="left"/>
        </w:tabs>
        <w:numPr>
          <w:ilvl w:val="0"/>
          <w:numId w:val="223"/>
        </w:numPr>
        <w:rPr>
          <w:rFonts w:ascii="Arial" w:cs="Arial" w:eastAsia="Arial" w:hAnsi="Arial"/>
          <w:sz w:val="22"/>
          <w:szCs w:val="22"/>
          <w:color w:val="auto"/>
        </w:rPr>
      </w:pPr>
      <w:r>
        <w:rPr>
          <w:rFonts w:ascii="Arial" w:cs="Arial" w:eastAsia="Arial" w:hAnsi="Arial"/>
          <w:sz w:val="22"/>
          <w:szCs w:val="22"/>
          <w:color w:val="auto"/>
        </w:rPr>
        <w:t>Except as provided in Section 3.8(b),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 Company Credits designated with respect to an Eligible Employee’s Account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124" w:name="page125"/>
    <w:bookmarkEnd w:id="124"/>
    <w:p>
      <w:pPr>
        <w:jc w:val="both"/>
        <w:spacing w:after="0" w:line="251" w:lineRule="auto"/>
        <w:rPr>
          <w:sz w:val="20"/>
          <w:szCs w:val="20"/>
          <w:color w:val="auto"/>
        </w:rPr>
      </w:pPr>
      <w:r>
        <w:rPr>
          <w:rFonts w:ascii="Arial" w:cs="Arial" w:eastAsia="Arial" w:hAnsi="Arial"/>
          <w:sz w:val="21"/>
          <w:szCs w:val="21"/>
          <w:color w:val="auto"/>
        </w:rPr>
        <w:t>Plan Year shall be credited to such Eligible Employee’s Account as of the time or times designated by the Administrator, as a bookkeeping entry to such Eligible Employee’s Account in accordance with Section 5.1. From and after the date Company Credits are allocated as designated by the Administrator, Company Credits shall be credited to the Income Fund.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27"/>
          <w:szCs w:val="27"/>
          <w:color w:val="auto"/>
          <w:vertAlign w:val="superscript"/>
        </w:rPr>
        <w:t>nd</w:t>
      </w:r>
      <w:r>
        <w:rPr>
          <w:rFonts w:ascii="Arial" w:cs="Arial" w:eastAsia="Arial" w:hAnsi="Arial"/>
          <w:sz w:val="21"/>
          <w:szCs w:val="21"/>
          <w:color w:val="auto"/>
        </w:rPr>
        <w:t xml:space="preserve"> of the third calendar year beginning after the later of Plan Year with respect to which the Company Credits were authorized or the Plan Year in which such Company Credits are free of a substantial risk of forfeiture, unless the Participant timely designates a later time and form of payment that is a permissible time and form of payment for amounts subject to an Initial Election under Section 3.4(b)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87" w:lineRule="exact"/>
        <w:rPr>
          <w:sz w:val="20"/>
          <w:szCs w:val="20"/>
          <w:color w:val="auto"/>
        </w:rPr>
      </w:pPr>
    </w:p>
    <w:p>
      <w:pPr>
        <w:ind w:firstLine="1952"/>
        <w:spacing w:after="0" w:line="263" w:lineRule="auto"/>
        <w:tabs>
          <w:tab w:leader="none" w:pos="2503" w:val="left"/>
        </w:tabs>
        <w:numPr>
          <w:ilvl w:val="0"/>
          <w:numId w:val="224"/>
        </w:numPr>
        <w:rPr>
          <w:rFonts w:ascii="Arial" w:cs="Arial" w:eastAsia="Arial" w:hAnsi="Arial"/>
          <w:sz w:val="22"/>
          <w:szCs w:val="22"/>
          <w:color w:val="auto"/>
        </w:rPr>
      </w:pPr>
      <w:r>
        <w:rPr>
          <w:rFonts w:ascii="Arial" w:cs="Arial" w:eastAsia="Arial" w:hAnsi="Arial"/>
          <w:sz w:val="22"/>
          <w:szCs w:val="22"/>
          <w:color w:val="auto"/>
        </w:rPr>
        <w:t>Except for Company Credits approved on or before March 1, 2021, no Company Credits shall be authorized or credited after such date.</w:t>
      </w:r>
    </w:p>
    <w:p>
      <w:pPr>
        <w:spacing w:after="0" w:line="17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w:t>
      </w:r>
    </w:p>
    <w:p>
      <w:pPr>
        <w:spacing w:after="0" w:line="220" w:lineRule="exact"/>
        <w:rPr>
          <w:sz w:val="20"/>
          <w:szCs w:val="20"/>
          <w:color w:val="auto"/>
        </w:rPr>
      </w:pPr>
    </w:p>
    <w:p>
      <w:pPr>
        <w:jc w:val="both"/>
        <w:ind w:firstLine="1952"/>
        <w:spacing w:after="0" w:line="297" w:lineRule="auto"/>
        <w:tabs>
          <w:tab w:leader="none" w:pos="2508" w:val="left"/>
        </w:tabs>
        <w:numPr>
          <w:ilvl w:val="0"/>
          <w:numId w:val="225"/>
        </w:numPr>
        <w:rPr>
          <w:rFonts w:ascii="Arial" w:cs="Arial" w:eastAsia="Arial" w:hAnsi="Arial"/>
          <w:sz w:val="19"/>
          <w:szCs w:val="19"/>
          <w:color w:val="auto"/>
        </w:rPr>
      </w:pPr>
      <w:r>
        <w:rPr>
          <w:rFonts w:ascii="Arial" w:cs="Arial" w:eastAsia="Arial" w:hAnsi="Arial"/>
          <w:sz w:val="19"/>
          <w:szCs w:val="19"/>
          <w:u w:val="single" w:color="auto"/>
          <w:color w:val="auto"/>
        </w:rPr>
        <w:t>Required Suspension of Payment of Benefits</w:t>
      </w:r>
      <w:r>
        <w:rPr>
          <w:rFonts w:ascii="Arial" w:cs="Arial" w:eastAsia="Arial" w:hAnsi="Arial"/>
          <w:sz w:val="19"/>
          <w:szCs w:val="19"/>
          <w:color w:val="auto"/>
        </w:rPr>
        <w:t>. To the extent compliance with the requirements of Treas. Reg. § 1.409A-3(i)(2) (or any successor provision) is necessary to avoid the application of an additional tax under Section 409A to payments due to a Participant upon or following his separation from service, then notwithstanding any other provision of this Plan, any such payments that are otherwise due within six months following the Participant’s separation from service will be deferred and paid to the Participant in a lump sum immediately following that six-month period.</w:t>
      </w:r>
    </w:p>
    <w:p>
      <w:pPr>
        <w:spacing w:after="0" w:line="146" w:lineRule="exact"/>
        <w:rPr>
          <w:rFonts w:ascii="Arial" w:cs="Arial" w:eastAsia="Arial" w:hAnsi="Arial"/>
          <w:sz w:val="19"/>
          <w:szCs w:val="19"/>
          <w:color w:val="auto"/>
        </w:rPr>
      </w:pPr>
    </w:p>
    <w:p>
      <w:pPr>
        <w:jc w:val="both"/>
        <w:ind w:firstLine="1952"/>
        <w:spacing w:after="0" w:line="247" w:lineRule="auto"/>
        <w:tabs>
          <w:tab w:leader="none" w:pos="2560"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For purposes of the Plan, a transfer of an employee between two employers, each of which is the Company or an Affiliate, shall not be deemed a termination of employment. A Participant who is an Outside Director shall be treated as having terminated employment on the Participant’s termination of service as an Outside Director, provided that if such a Participant is designated as a Director Emeritus upon termination of service as an Outside Director, such Participant shall not be treated as having terminated employment until the Participant’s termination of service as a Director Emeritus.</w:t>
      </w:r>
    </w:p>
    <w:p>
      <w:pPr>
        <w:spacing w:after="0" w:line="187" w:lineRule="exact"/>
        <w:rPr>
          <w:sz w:val="20"/>
          <w:szCs w:val="20"/>
          <w:color w:val="auto"/>
        </w:rPr>
      </w:pPr>
    </w:p>
    <w:p>
      <w:pPr>
        <w:ind w:left="1300" w:right="3480" w:firstLine="2182"/>
        <w:spacing w:after="0" w:line="451" w:lineRule="auto"/>
        <w:rPr>
          <w:sz w:val="20"/>
          <w:szCs w:val="20"/>
          <w:color w:val="auto"/>
        </w:rPr>
      </w:pPr>
      <w:r>
        <w:rPr>
          <w:rFonts w:ascii="Arial" w:cs="Arial" w:eastAsia="Arial" w:hAnsi="Arial"/>
          <w:sz w:val="22"/>
          <w:szCs w:val="22"/>
          <w:b w:val="1"/>
          <w:bCs w:val="1"/>
          <w:color w:val="auto"/>
        </w:rPr>
        <w:t xml:space="preserve">ARTICLE 4– MANNER OF DISTRIBUTION </w:t>
      </w:r>
      <w:r>
        <w:rPr>
          <w:rFonts w:ascii="Arial" w:cs="Arial" w:eastAsia="Arial" w:hAnsi="Arial"/>
          <w:sz w:val="22"/>
          <w:szCs w:val="22"/>
          <w:color w:val="auto"/>
        </w:rPr>
        <w:t xml:space="preserve">4.1 </w:t>
      </w:r>
      <w:r>
        <w:rPr>
          <w:rFonts w:ascii="Arial" w:cs="Arial" w:eastAsia="Arial" w:hAnsi="Arial"/>
          <w:sz w:val="22"/>
          <w:szCs w:val="22"/>
          <w:u w:val="single" w:color="auto"/>
          <w:color w:val="auto"/>
        </w:rPr>
        <w:t>Manner of Distribution</w:t>
      </w:r>
      <w:r>
        <w:rPr>
          <w:rFonts w:ascii="Arial" w:cs="Arial" w:eastAsia="Arial" w:hAnsi="Arial"/>
          <w:sz w:val="22"/>
          <w:szCs w:val="22"/>
          <w:color w:val="auto"/>
        </w:rPr>
        <w:t>.</w:t>
      </w:r>
    </w:p>
    <w:p>
      <w:pPr>
        <w:ind w:left="2480" w:hanging="528"/>
        <w:spacing w:after="0"/>
        <w:tabs>
          <w:tab w:leader="none" w:pos="248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Amounts credited to an Account shall be distributed, pursuant to an Initial Election or Subsequent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Election in either</w:t>
      </w:r>
    </w:p>
    <w:p>
      <w:pPr>
        <w:spacing w:after="0" w:line="202" w:lineRule="exact"/>
        <w:rPr>
          <w:sz w:val="20"/>
          <w:szCs w:val="20"/>
          <w:color w:val="auto"/>
        </w:rPr>
      </w:pPr>
    </w:p>
    <w:p>
      <w:pPr>
        <w:ind w:left="3020" w:hanging="420"/>
        <w:spacing w:after="0"/>
        <w:tabs>
          <w:tab w:leader="none" w:pos="302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 lump sum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125" w:name="page126"/>
    <w:bookmarkEnd w:id="125"/>
    <w:p>
      <w:pPr>
        <w:ind w:firstLine="2600"/>
        <w:spacing w:after="0" w:line="287" w:lineRule="auto"/>
        <w:tabs>
          <w:tab w:leader="none" w:pos="3144" w:val="left"/>
        </w:tabs>
        <w:numPr>
          <w:ilvl w:val="0"/>
          <w:numId w:val="228"/>
        </w:numPr>
        <w:rPr>
          <w:rFonts w:ascii="Arial" w:cs="Arial" w:eastAsia="Arial" w:hAnsi="Arial"/>
          <w:sz w:val="21"/>
          <w:szCs w:val="21"/>
          <w:color w:val="auto"/>
        </w:rPr>
      </w:pPr>
      <w:r>
        <w:rPr>
          <w:rFonts w:ascii="Arial" w:cs="Arial" w:eastAsia="Arial" w:hAnsi="Arial"/>
          <w:sz w:val="21"/>
          <w:szCs w:val="21"/>
          <w:color w:val="auto"/>
        </w:rPr>
        <w:t>With respect to Initial Elections and Subsequent Elections filed on or before December 31, 2020, substantially equal monthly or annual installments over a five- (5), ten- (10) or fifteen- (15) year period; or</w:t>
      </w:r>
    </w:p>
    <w:p>
      <w:pPr>
        <w:spacing w:after="0" w:line="151" w:lineRule="exact"/>
        <w:rPr>
          <w:rFonts w:ascii="Arial" w:cs="Arial" w:eastAsia="Arial" w:hAnsi="Arial"/>
          <w:sz w:val="21"/>
          <w:szCs w:val="21"/>
          <w:color w:val="auto"/>
        </w:rPr>
      </w:pPr>
    </w:p>
    <w:p>
      <w:pPr>
        <w:ind w:firstLine="2600"/>
        <w:spacing w:after="0" w:line="263" w:lineRule="auto"/>
        <w:tabs>
          <w:tab w:leader="none" w:pos="3222" w:val="left"/>
        </w:tabs>
        <w:numPr>
          <w:ilvl w:val="0"/>
          <w:numId w:val="228"/>
        </w:numPr>
        <w:rPr>
          <w:rFonts w:ascii="Arial" w:cs="Arial" w:eastAsia="Arial" w:hAnsi="Arial"/>
          <w:sz w:val="22"/>
          <w:szCs w:val="22"/>
          <w:color w:val="auto"/>
        </w:rPr>
      </w:pPr>
      <w:r>
        <w:rPr>
          <w:rFonts w:ascii="Arial" w:cs="Arial" w:eastAsia="Arial" w:hAnsi="Arial"/>
          <w:sz w:val="22"/>
          <w:szCs w:val="22"/>
          <w:color w:val="auto"/>
        </w:rPr>
        <w:t>With respect to Initial Elections and Subsequent Elections filed after December 31, 2020, substantially equal monthly or annual installments over a five- (5) or ten- (10) year period.</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Installment distributions payable in the form of shares of Company Stock shall be rounded to the next lower whole share. Except for amounts described in Section 5.2(c), all distributions shall be made in cash.</w:t>
      </w:r>
    </w:p>
    <w:p>
      <w:pPr>
        <w:spacing w:after="0" w:line="175" w:lineRule="exact"/>
        <w:rPr>
          <w:sz w:val="20"/>
          <w:szCs w:val="20"/>
          <w:color w:val="auto"/>
        </w:rPr>
      </w:pPr>
    </w:p>
    <w:p>
      <w:pPr>
        <w:ind w:firstLine="1952"/>
        <w:spacing w:after="0" w:line="263" w:lineRule="auto"/>
        <w:tabs>
          <w:tab w:leader="none" w:pos="2462" w:val="left"/>
        </w:tabs>
        <w:numPr>
          <w:ilvl w:val="0"/>
          <w:numId w:val="229"/>
        </w:numPr>
        <w:rPr>
          <w:rFonts w:ascii="Arial" w:cs="Arial" w:eastAsia="Arial" w:hAnsi="Arial"/>
          <w:sz w:val="22"/>
          <w:szCs w:val="22"/>
          <w:color w:val="auto"/>
        </w:rPr>
      </w:pPr>
      <w:r>
        <w:rPr>
          <w:rFonts w:ascii="Arial" w:cs="Arial" w:eastAsia="Arial" w:hAnsi="Arial"/>
          <w:sz w:val="22"/>
          <w:szCs w:val="22"/>
          <w:color w:val="auto"/>
        </w:rPr>
        <w:t>To the extent permitted by Section 409A, notwithstanding any Initial Election, Subsequent Election or any other provision of the Plan to the contrary:</w:t>
      </w:r>
    </w:p>
    <w:p>
      <w:pPr>
        <w:spacing w:after="0" w:line="174" w:lineRule="exact"/>
        <w:rPr>
          <w:rFonts w:ascii="Arial" w:cs="Arial" w:eastAsia="Arial" w:hAnsi="Arial"/>
          <w:sz w:val="22"/>
          <w:szCs w:val="22"/>
          <w:color w:val="auto"/>
        </w:rPr>
      </w:pPr>
    </w:p>
    <w:p>
      <w:pPr>
        <w:jc w:val="both"/>
        <w:ind w:firstLine="2600"/>
        <w:spacing w:after="0" w:line="253" w:lineRule="auto"/>
        <w:tabs>
          <w:tab w:leader="none" w:pos="3063" w:val="left"/>
        </w:tabs>
        <w:numPr>
          <w:ilvl w:val="1"/>
          <w:numId w:val="229"/>
        </w:numPr>
        <w:rPr>
          <w:rFonts w:ascii="Arial" w:cs="Arial" w:eastAsia="Arial" w:hAnsi="Arial"/>
          <w:sz w:val="22"/>
          <w:szCs w:val="22"/>
          <w:color w:val="auto"/>
        </w:rPr>
      </w:pPr>
      <w:r>
        <w:rPr>
          <w:rFonts w:ascii="Arial" w:cs="Arial" w:eastAsia="Arial" w:hAnsi="Arial"/>
          <w:sz w:val="22"/>
          <w:szCs w:val="22"/>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85" w:lineRule="exact"/>
        <w:rPr>
          <w:rFonts w:ascii="Arial" w:cs="Arial" w:eastAsia="Arial" w:hAnsi="Arial"/>
          <w:sz w:val="22"/>
          <w:szCs w:val="22"/>
          <w:color w:val="auto"/>
        </w:rPr>
      </w:pPr>
    </w:p>
    <w:p>
      <w:pPr>
        <w:jc w:val="both"/>
        <w:ind w:firstLine="2600"/>
        <w:spacing w:after="0" w:line="263" w:lineRule="auto"/>
        <w:tabs>
          <w:tab w:leader="none" w:pos="3094" w:val="left"/>
        </w:tabs>
        <w:numPr>
          <w:ilvl w:val="1"/>
          <w:numId w:val="229"/>
        </w:numPr>
        <w:rPr>
          <w:rFonts w:ascii="Arial" w:cs="Arial" w:eastAsia="Arial" w:hAnsi="Arial"/>
          <w:sz w:val="21"/>
          <w:szCs w:val="21"/>
          <w:color w:val="auto"/>
        </w:rPr>
      </w:pPr>
      <w:r>
        <w:rPr>
          <w:rFonts w:ascii="Arial" w:cs="Arial" w:eastAsia="Arial" w:hAnsi="Arial"/>
          <w:sz w:val="21"/>
          <w:szCs w:val="21"/>
          <w:color w:val="auto"/>
        </w:rPr>
        <w:t>following a Participant’s termination of employment for any reason, if the amount credited to the Participant’s Account has a value of $10,000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Determination of Account Balances for Purposes of Distribution</w:t>
      </w:r>
      <w:r>
        <w:rPr>
          <w:rFonts w:ascii="Arial" w:cs="Arial" w:eastAsia="Arial" w:hAnsi="Arial"/>
          <w:sz w:val="19"/>
          <w:szCs w:val="19"/>
          <w:color w:val="auto"/>
        </w:rPr>
        <w:t>.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provided 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Other Investment Fund and Income Fund, as applicable, through the date immediately preceding the date on which the distribution request is transmitted from the recordkeeper.</w:t>
      </w:r>
    </w:p>
    <w:p>
      <w:pPr>
        <w:spacing w:after="0" w:line="15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Plan-to-Plan Transfers; Change in Time and Form of Election Pursuant to Special Section 409A Transition Rules</w:t>
      </w:r>
      <w:r>
        <w:rPr>
          <w:rFonts w:ascii="Arial" w:cs="Arial" w:eastAsia="Arial" w:hAnsi="Arial"/>
          <w:sz w:val="21"/>
          <w:szCs w:val="21"/>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67" w:lineRule="exact"/>
        <w:rPr>
          <w:sz w:val="20"/>
          <w:szCs w:val="20"/>
          <w:color w:val="auto"/>
        </w:rPr>
      </w:pPr>
    </w:p>
    <w:p>
      <w:pPr>
        <w:jc w:val="both"/>
        <w:ind w:firstLine="1952"/>
        <w:spacing w:after="0" w:line="253" w:lineRule="auto"/>
        <w:tabs>
          <w:tab w:leader="none" w:pos="2567"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The Administrator may, with a Participant’s consent, make such arrangements as it may deem appropriate to transfer the Company’s obligation to pay benefits with respect to such Participant which have not become payable under this Plan, to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126" w:name="page127"/>
    <w:bookmarkEnd w:id="126"/>
    <w:p>
      <w:pPr>
        <w:jc w:val="both"/>
        <w:ind w:right="20"/>
        <w:spacing w:after="0" w:line="250" w:lineRule="auto"/>
        <w:rPr>
          <w:sz w:val="20"/>
          <w:szCs w:val="20"/>
          <w:color w:val="auto"/>
        </w:rPr>
      </w:pPr>
      <w:r>
        <w:rPr>
          <w:rFonts w:ascii="Arial" w:cs="Arial" w:eastAsia="Arial" w:hAnsi="Arial"/>
          <w:sz w:val="22"/>
          <w:szCs w:val="22"/>
          <w:color w:val="auto"/>
        </w:rPr>
        <w:t>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88" w:lineRule="exact"/>
        <w:rPr>
          <w:sz w:val="20"/>
          <w:szCs w:val="20"/>
          <w:color w:val="auto"/>
        </w:rPr>
      </w:pPr>
    </w:p>
    <w:p>
      <w:pPr>
        <w:jc w:val="both"/>
        <w:ind w:firstLine="1952"/>
        <w:spacing w:after="0" w:line="246" w:lineRule="auto"/>
        <w:tabs>
          <w:tab w:leader="none" w:pos="2576" w:val="left"/>
        </w:tabs>
        <w:numPr>
          <w:ilvl w:val="0"/>
          <w:numId w:val="231"/>
        </w:numPr>
        <w:rPr>
          <w:rFonts w:ascii="Arial" w:cs="Arial" w:eastAsia="Arial" w:hAnsi="Arial"/>
          <w:sz w:val="22"/>
          <w:szCs w:val="22"/>
          <w:color w:val="auto"/>
        </w:rPr>
      </w:pPr>
      <w:r>
        <w:rPr>
          <w:rFonts w:ascii="Arial" w:cs="Arial" w:eastAsia="Arial" w:hAnsi="Arial"/>
          <w:sz w:val="22"/>
          <w:szCs w:val="22"/>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 BOOK ACCOUNTS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Deferred Compensation Account</w:t>
      </w:r>
      <w:r>
        <w:rPr>
          <w:rFonts w:ascii="Arial" w:cs="Arial" w:eastAsia="Arial" w:hAnsi="Arial"/>
          <w:sz w:val="22"/>
          <w:szCs w:val="22"/>
          <w:color w:val="auto"/>
        </w:rPr>
        <w:t>. A Deferred Compensation Account shall be established for each Outside Director, Director Emeritus and Eligible Employee when such Outside Director, Director Emeritus or Eligible Employee becomes a Participant. Compensation deferred pursuant to the Plan shall be credited to the Account on the date such Compensation would otherwise have been payable to the Participant.</w:t>
      </w:r>
    </w:p>
    <w:p>
      <w:pPr>
        <w:spacing w:after="0" w:line="18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Crediting of Income, Gains, and Losses on Accounts</w:t>
      </w:r>
      <w:r>
        <w:rPr>
          <w:rFonts w:ascii="Arial" w:cs="Arial" w:eastAsia="Arial" w:hAnsi="Arial"/>
          <w:sz w:val="19"/>
          <w:szCs w:val="19"/>
          <w:color w:val="auto"/>
        </w:rPr>
        <w:t>.</w:t>
      </w:r>
    </w:p>
    <w:p>
      <w:pPr>
        <w:spacing w:after="0" w:line="220" w:lineRule="exact"/>
        <w:rPr>
          <w:sz w:val="20"/>
          <w:szCs w:val="20"/>
          <w:color w:val="auto"/>
        </w:rPr>
      </w:pPr>
    </w:p>
    <w:p>
      <w:pPr>
        <w:ind w:left="2400" w:hanging="448"/>
        <w:spacing w:after="0"/>
        <w:tabs>
          <w:tab w:leader="none" w:pos="2400"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Except for amounts credited to the Accounts of Participants who are:</w:t>
      </w:r>
    </w:p>
    <w:p>
      <w:pPr>
        <w:spacing w:after="0" w:line="219" w:lineRule="exact"/>
        <w:rPr>
          <w:rFonts w:ascii="Arial" w:cs="Arial" w:eastAsia="Arial" w:hAnsi="Arial"/>
          <w:sz w:val="22"/>
          <w:szCs w:val="22"/>
          <w:color w:val="auto"/>
        </w:rPr>
      </w:pPr>
    </w:p>
    <w:p>
      <w:pPr>
        <w:ind w:left="3060" w:hanging="460"/>
        <w:spacing w:after="0"/>
        <w:tabs>
          <w:tab w:leader="none" w:pos="3060" w:val="left"/>
        </w:tabs>
        <w:numPr>
          <w:ilvl w:val="1"/>
          <w:numId w:val="232"/>
        </w:numPr>
        <w:rPr>
          <w:rFonts w:ascii="Arial" w:cs="Arial" w:eastAsia="Arial" w:hAnsi="Arial"/>
          <w:sz w:val="19"/>
          <w:szCs w:val="19"/>
          <w:color w:val="auto"/>
        </w:rPr>
      </w:pPr>
      <w:r>
        <w:rPr>
          <w:rFonts w:ascii="Arial" w:cs="Arial" w:eastAsia="Arial" w:hAnsi="Arial"/>
          <w:sz w:val="19"/>
          <w:szCs w:val="19"/>
          <w:color w:val="auto"/>
        </w:rPr>
        <w:t>Outside Directors who have elected to defer the receipt of Compensation payable in the form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 Company Stock,</w:t>
      </w:r>
    </w:p>
    <w:p>
      <w:pPr>
        <w:spacing w:after="0" w:line="202" w:lineRule="exact"/>
        <w:rPr>
          <w:sz w:val="20"/>
          <w:szCs w:val="20"/>
          <w:color w:val="auto"/>
        </w:rPr>
      </w:pPr>
    </w:p>
    <w:p>
      <w:pPr>
        <w:ind w:left="3100" w:hanging="500"/>
        <w:spacing w:after="0"/>
        <w:tabs>
          <w:tab w:leader="none" w:pos="310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Outside Directors whose Account has been credited to an Other Investment Fund pursuant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5.2(b)(1)(B)(3);</w:t>
      </w:r>
    </w:p>
    <w:p>
      <w:pPr>
        <w:spacing w:after="0" w:line="202" w:lineRule="exact"/>
        <w:rPr>
          <w:sz w:val="20"/>
          <w:szCs w:val="20"/>
          <w:color w:val="auto"/>
        </w:rPr>
      </w:pPr>
    </w:p>
    <w:p>
      <w:pPr>
        <w:ind w:left="3140" w:hanging="540"/>
        <w:spacing w:after="0"/>
        <w:tabs>
          <w:tab w:leader="none" w:pos="3140" w:val="left"/>
        </w:tabs>
        <w:numPr>
          <w:ilvl w:val="0"/>
          <w:numId w:val="234"/>
        </w:numPr>
        <w:rPr>
          <w:rFonts w:ascii="Arial" w:cs="Arial" w:eastAsia="Arial" w:hAnsi="Arial"/>
          <w:sz w:val="19"/>
          <w:szCs w:val="19"/>
          <w:color w:val="auto"/>
        </w:rPr>
      </w:pPr>
      <w:r>
        <w:rPr>
          <w:rFonts w:ascii="Arial" w:cs="Arial" w:eastAsia="Arial" w:hAnsi="Arial"/>
          <w:sz w:val="19"/>
          <w:szCs w:val="19"/>
          <w:color w:val="auto"/>
        </w:rPr>
        <w:t>Covered Participants whose Account has been credited to an Other Investment Fund pursuant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to Section 5.2(b)(1)(B)(4);</w:t>
      </w:r>
    </w:p>
    <w:p>
      <w:pPr>
        <w:spacing w:after="0" w:line="202" w:lineRule="exact"/>
        <w:rPr>
          <w:sz w:val="20"/>
          <w:szCs w:val="20"/>
          <w:color w:val="auto"/>
        </w:rPr>
      </w:pPr>
    </w:p>
    <w:p>
      <w:pPr>
        <w:ind w:left="3120" w:hanging="520"/>
        <w:spacing w:after="0"/>
        <w:tabs>
          <w:tab w:leader="none" w:pos="312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Participants subject to the Income Fund Limit; and</w:t>
      </w:r>
    </w:p>
    <w:p>
      <w:pPr>
        <w:spacing w:after="0" w:line="219" w:lineRule="exact"/>
        <w:rPr>
          <w:rFonts w:ascii="Arial" w:cs="Arial" w:eastAsia="Arial" w:hAnsi="Arial"/>
          <w:sz w:val="22"/>
          <w:szCs w:val="22"/>
          <w:color w:val="auto"/>
        </w:rPr>
      </w:pPr>
    </w:p>
    <w:p>
      <w:pPr>
        <w:jc w:val="both"/>
        <w:ind w:firstLine="2600"/>
        <w:spacing w:after="0" w:line="253" w:lineRule="auto"/>
        <w:tabs>
          <w:tab w:leader="none" w:pos="3136" w:val="left"/>
        </w:tabs>
        <w:numPr>
          <w:ilvl w:val="0"/>
          <w:numId w:val="235"/>
        </w:numPr>
        <w:rPr>
          <w:rFonts w:ascii="Arial" w:cs="Arial" w:eastAsia="Arial" w:hAnsi="Arial"/>
          <w:sz w:val="22"/>
          <w:szCs w:val="22"/>
          <w:color w:val="auto"/>
        </w:rPr>
      </w:pPr>
      <w:r>
        <w:rPr>
          <w:rFonts w:ascii="Arial" w:cs="Arial" w:eastAsia="Arial" w:hAnsi="Arial"/>
          <w:sz w:val="22"/>
          <w:szCs w:val="22"/>
          <w:color w:val="auto"/>
        </w:rPr>
        <w:t>Section 16 Officers who, pursuant to rules established by the Administrator or its delegate, have elected to transfer amounts credited to their Accounts that are deemed to be invested in the Income Fund to an Other Investment Fund; and</w:t>
      </w:r>
    </w:p>
    <w:p>
      <w:pPr>
        <w:spacing w:after="0" w:line="185" w:lineRule="exact"/>
        <w:rPr>
          <w:rFonts w:ascii="Arial" w:cs="Arial" w:eastAsia="Arial" w:hAnsi="Arial"/>
          <w:sz w:val="22"/>
          <w:szCs w:val="22"/>
          <w:color w:val="auto"/>
        </w:rPr>
      </w:pPr>
    </w:p>
    <w:p>
      <w:pPr>
        <w:ind w:firstLine="2600"/>
        <w:spacing w:after="0" w:line="263" w:lineRule="auto"/>
        <w:tabs>
          <w:tab w:leader="none" w:pos="3214" w:val="left"/>
        </w:tabs>
        <w:numPr>
          <w:ilvl w:val="0"/>
          <w:numId w:val="235"/>
        </w:numPr>
        <w:rPr>
          <w:rFonts w:ascii="Arial" w:cs="Arial" w:eastAsia="Arial" w:hAnsi="Arial"/>
          <w:sz w:val="22"/>
          <w:szCs w:val="22"/>
          <w:color w:val="auto"/>
        </w:rPr>
      </w:pPr>
      <w:r>
        <w:rPr>
          <w:rFonts w:ascii="Arial" w:cs="Arial" w:eastAsia="Arial" w:hAnsi="Arial"/>
          <w:sz w:val="22"/>
          <w:szCs w:val="22"/>
          <w:color w:val="auto"/>
        </w:rPr>
        <w:t>Outside Directors and Section 16 Officers, with respect to amounts subject to Subsequent Elections permitted to be made after their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127" w:name="page128"/>
    <w:bookmarkEnd w:id="127"/>
    <w:p>
      <w:pPr>
        <w:spacing w:after="0" w:line="263" w:lineRule="auto"/>
        <w:rPr>
          <w:sz w:val="20"/>
          <w:szCs w:val="20"/>
          <w:color w:val="auto"/>
        </w:rPr>
      </w:pPr>
      <w:r>
        <w:rPr>
          <w:rFonts w:ascii="Arial" w:cs="Arial" w:eastAsia="Arial" w:hAnsi="Arial"/>
          <w:sz w:val="22"/>
          <w:szCs w:val="22"/>
          <w:color w:val="auto"/>
        </w:rPr>
        <w:t>all amounts credited to Participants’ Accounts shall be credited with income, gains and losses as if they were invested in the Income Fund.</w:t>
      </w:r>
    </w:p>
    <w:p>
      <w:pPr>
        <w:spacing w:after="0" w:line="175" w:lineRule="exact"/>
        <w:rPr>
          <w:sz w:val="20"/>
          <w:szCs w:val="20"/>
          <w:color w:val="auto"/>
        </w:rPr>
      </w:pPr>
    </w:p>
    <w:p>
      <w:pPr>
        <w:ind w:left="2420" w:hanging="468"/>
        <w:spacing w:after="0"/>
        <w:tabs>
          <w:tab w:leader="none" w:pos="2420"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Crediting of Income, Gains, and Losses on Accounts Subject to Investment Restrictions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3020" w:hanging="420"/>
        <w:spacing w:after="0"/>
        <w:tabs>
          <w:tab w:leader="none" w:pos="3020" w:val="left"/>
        </w:tabs>
        <w:numPr>
          <w:ilvl w:val="1"/>
          <w:numId w:val="236"/>
        </w:numPr>
        <w:rPr>
          <w:rFonts w:ascii="Arial" w:cs="Arial" w:eastAsia="Arial" w:hAnsi="Arial"/>
          <w:sz w:val="22"/>
          <w:szCs w:val="22"/>
          <w:color w:val="auto"/>
        </w:rPr>
      </w:pPr>
      <w:r>
        <w:rPr>
          <w:rFonts w:ascii="Arial" w:cs="Arial" w:eastAsia="Arial" w:hAnsi="Arial"/>
          <w:sz w:val="22"/>
          <w:szCs w:val="22"/>
          <w:u w:val="single" w:color="auto"/>
          <w:color w:val="auto"/>
        </w:rPr>
        <w:t>Credits to Other Investment Funds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3896"/>
        <w:spacing w:after="0" w:line="253" w:lineRule="auto"/>
        <w:tabs>
          <w:tab w:leader="none" w:pos="4404" w:val="left"/>
        </w:tabs>
        <w:numPr>
          <w:ilvl w:val="2"/>
          <w:numId w:val="236"/>
        </w:numPr>
        <w:rPr>
          <w:rFonts w:ascii="Arial" w:cs="Arial" w:eastAsia="Arial" w:hAnsi="Arial"/>
          <w:sz w:val="22"/>
          <w:szCs w:val="22"/>
          <w:color w:val="auto"/>
        </w:rPr>
      </w:pPr>
      <w:r>
        <w:rPr>
          <w:rFonts w:ascii="Arial" w:cs="Arial" w:eastAsia="Arial" w:hAnsi="Arial"/>
          <w:sz w:val="22"/>
          <w:szCs w:val="22"/>
          <w:u w:val="single" w:color="auto"/>
          <w:color w:val="auto"/>
        </w:rPr>
        <w:t>Post-Termination Elections</w:t>
      </w:r>
      <w:r>
        <w:rPr>
          <w:rFonts w:ascii="Arial" w:cs="Arial" w:eastAsia="Arial" w:hAnsi="Arial"/>
          <w:sz w:val="22"/>
          <w:szCs w:val="22"/>
          <w:color w:val="auto"/>
        </w:rPr>
        <w:t>. The Accounts of Outside Directors and Section 16 Officers whose Subsequent Elections are made after their termination of service in accordance with Section 3.5(a) shall be credited to an Other Investment Fund.</w:t>
      </w:r>
    </w:p>
    <w:p>
      <w:pPr>
        <w:spacing w:after="0" w:line="185" w:lineRule="exact"/>
        <w:rPr>
          <w:rFonts w:ascii="Arial" w:cs="Arial" w:eastAsia="Arial" w:hAnsi="Arial"/>
          <w:sz w:val="22"/>
          <w:szCs w:val="22"/>
          <w:color w:val="auto"/>
        </w:rPr>
      </w:pPr>
    </w:p>
    <w:p>
      <w:pPr>
        <w:ind w:left="4400" w:hanging="504"/>
        <w:spacing w:after="0"/>
        <w:tabs>
          <w:tab w:leader="none" w:pos="4400" w:val="left"/>
        </w:tabs>
        <w:numPr>
          <w:ilvl w:val="2"/>
          <w:numId w:val="236"/>
        </w:numPr>
        <w:rPr>
          <w:rFonts w:ascii="Arial" w:cs="Arial" w:eastAsia="Arial" w:hAnsi="Arial"/>
          <w:sz w:val="22"/>
          <w:szCs w:val="22"/>
          <w:color w:val="auto"/>
        </w:rPr>
      </w:pPr>
      <w:r>
        <w:rPr>
          <w:rFonts w:ascii="Arial" w:cs="Arial" w:eastAsia="Arial" w:hAnsi="Arial"/>
          <w:sz w:val="22"/>
          <w:szCs w:val="22"/>
          <w:u w:val="single" w:color="auto"/>
          <w:color w:val="auto"/>
        </w:rPr>
        <w:t>Participants Whose Income Fund Exceeds the Income Fund Limit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4544"/>
        <w:spacing w:after="0" w:line="253" w:lineRule="auto"/>
        <w:tabs>
          <w:tab w:leader="none" w:pos="5098" w:val="left"/>
        </w:tabs>
        <w:numPr>
          <w:ilvl w:val="3"/>
          <w:numId w:val="236"/>
        </w:numPr>
        <w:rPr>
          <w:rFonts w:ascii="Arial" w:cs="Arial" w:eastAsia="Arial" w:hAnsi="Arial"/>
          <w:sz w:val="22"/>
          <w:szCs w:val="22"/>
          <w:color w:val="auto"/>
        </w:rPr>
      </w:pPr>
      <w:r>
        <w:rPr>
          <w:rFonts w:ascii="Arial" w:cs="Arial" w:eastAsia="Arial" w:hAnsi="Arial"/>
          <w:sz w:val="22"/>
          <w:szCs w:val="22"/>
          <w:u w:val="single" w:color="auto"/>
          <w:color w:val="auto"/>
        </w:rPr>
        <w:t>Subsequent Election</w:t>
      </w:r>
      <w:r>
        <w:rPr>
          <w:rFonts w:ascii="Arial" w:cs="Arial" w:eastAsia="Arial" w:hAnsi="Arial"/>
          <w:sz w:val="22"/>
          <w:szCs w:val="22"/>
          <w:color w:val="auto"/>
        </w:rPr>
        <w:t>. Amounts subject to a Subsequent Election that takes effect when the amount credited to the Income Fund with respect to a Participant exceeds $100 million shall be deemed invested in an Other Investment Fund.</w:t>
      </w:r>
    </w:p>
    <w:p>
      <w:pPr>
        <w:spacing w:after="0" w:line="185" w:lineRule="exact"/>
        <w:rPr>
          <w:rFonts w:ascii="Arial" w:cs="Arial" w:eastAsia="Arial" w:hAnsi="Arial"/>
          <w:sz w:val="22"/>
          <w:szCs w:val="22"/>
          <w:color w:val="auto"/>
        </w:rPr>
      </w:pPr>
    </w:p>
    <w:p>
      <w:pPr>
        <w:jc w:val="both"/>
        <w:ind w:firstLine="4544"/>
        <w:spacing w:after="0" w:line="247" w:lineRule="auto"/>
        <w:tabs>
          <w:tab w:leader="none" w:pos="5139" w:val="left"/>
        </w:tabs>
        <w:numPr>
          <w:ilvl w:val="3"/>
          <w:numId w:val="236"/>
        </w:numPr>
        <w:rPr>
          <w:rFonts w:ascii="Arial" w:cs="Arial" w:eastAsia="Arial" w:hAnsi="Arial"/>
          <w:sz w:val="22"/>
          <w:szCs w:val="22"/>
          <w:color w:val="auto"/>
        </w:rPr>
      </w:pPr>
      <w:r>
        <w:rPr>
          <w:rFonts w:ascii="Arial" w:cs="Arial" w:eastAsia="Arial" w:hAnsi="Arial"/>
          <w:sz w:val="22"/>
          <w:szCs w:val="22"/>
          <w:u w:val="single" w:color="auto"/>
          <w:color w:val="auto"/>
        </w:rPr>
        <w:t>Year-End Adjustments</w:t>
      </w:r>
      <w:r>
        <w:rPr>
          <w:rFonts w:ascii="Arial" w:cs="Arial" w:eastAsia="Arial" w:hAnsi="Arial"/>
          <w:sz w:val="22"/>
          <w:szCs w:val="22"/>
          <w:color w:val="auto"/>
        </w:rPr>
        <w:t>. Except with respect to Participants who are subject to Section 5.2(b)(i)(B)(3) or Section 5.2(b)(i)(B)(4), if the amount credited to the Income Fund with respect to a Participant exceeds $100 million as of the last day of a Plan Year, the lesser of (x) the amount credited to the Income Fund with respect to such Participant for such Plan Year or (y) the excess of (I) the amount credited to the Income Fund with respect to such Participant as of the last day of such Plan Year over (II) $100 million shall be transferred to an Other Investment Fund as of such last day.</w:t>
      </w:r>
    </w:p>
    <w:p>
      <w:pPr>
        <w:spacing w:after="0" w:line="192" w:lineRule="exact"/>
        <w:rPr>
          <w:rFonts w:ascii="Arial" w:cs="Arial" w:eastAsia="Arial" w:hAnsi="Arial"/>
          <w:sz w:val="22"/>
          <w:szCs w:val="22"/>
          <w:color w:val="auto"/>
        </w:rPr>
      </w:pPr>
    </w:p>
    <w:p>
      <w:pPr>
        <w:jc w:val="both"/>
        <w:ind w:firstLine="4544"/>
        <w:spacing w:after="0" w:line="286" w:lineRule="auto"/>
        <w:tabs>
          <w:tab w:leader="none" w:pos="5085" w:val="left"/>
        </w:tabs>
        <w:numPr>
          <w:ilvl w:val="3"/>
          <w:numId w:val="236"/>
        </w:numPr>
        <w:rPr>
          <w:rFonts w:ascii="Arial" w:cs="Arial" w:eastAsia="Arial" w:hAnsi="Arial"/>
          <w:sz w:val="19"/>
          <w:szCs w:val="19"/>
          <w:color w:val="auto"/>
        </w:rPr>
      </w:pPr>
      <w:r>
        <w:rPr>
          <w:rFonts w:ascii="Arial" w:cs="Arial" w:eastAsia="Arial" w:hAnsi="Arial"/>
          <w:sz w:val="19"/>
          <w:szCs w:val="19"/>
          <w:u w:val="single" w:color="auto"/>
          <w:color w:val="auto"/>
        </w:rPr>
        <w:t>Outside Directors</w:t>
      </w:r>
      <w:r>
        <w:rPr>
          <w:rFonts w:ascii="Arial" w:cs="Arial" w:eastAsia="Arial" w:hAnsi="Arial"/>
          <w:sz w:val="19"/>
          <w:szCs w:val="19"/>
          <w:color w:val="auto"/>
        </w:rPr>
        <w:t>. If an Outside Director’s Income Fund exceeds the Income Fund Limit as of July 31, 2020 and such Outside Director has consented to waive his or her rights with respect to (i) the Applicable Interest Rate applicable to such Outside Director’s Account (including the Protected Account Balance) for purposes of any current or future Initial Elections and Subsequent Elections while such individual is an Outside Director and (ii) the application of Section 10.2 to such Outside Director’s Account, the amount credited to the Outside Director’s Income Fund shall be transferred to an Other Investment Fund as of August 1, 2020, and all amounts credited to the Outside Director’s Account on and after August 1, 2020 shall be deemed invested in an Other Investment Fund. The amount credited to the Income Fund with respect to an individual who has an Account under the Plan and who becomes an Outside Director after August 1, 2020 shall be transferred to an Other Investment Fund as of the first day of the month next following the date such individual becomes an Outside Director, and all amounts credited to the Outside Director’s Account on and after such date shall be deemed invested in an Other Investment Fund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Outside Director has consented to waive his or her rights with respect to (i) the Applicable Interest Rate applicable to such Outside Director’s Account (including the Protected Account Balance) for purposes of any current or future Initial Elections and Subsequent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128" w:name="page129"/>
    <w:bookmarkEnd w:id="128"/>
    <w:p>
      <w:pPr>
        <w:spacing w:after="0" w:line="263" w:lineRule="auto"/>
        <w:rPr>
          <w:sz w:val="20"/>
          <w:szCs w:val="20"/>
          <w:color w:val="auto"/>
        </w:rPr>
      </w:pPr>
      <w:r>
        <w:rPr>
          <w:rFonts w:ascii="Arial" w:cs="Arial" w:eastAsia="Arial" w:hAnsi="Arial"/>
          <w:sz w:val="22"/>
          <w:szCs w:val="22"/>
          <w:color w:val="auto"/>
        </w:rPr>
        <w:t>Elections while such individual is an Outside Director and (ii) the application of Section 10.2 to such Outside Director’s Account).</w:t>
      </w:r>
    </w:p>
    <w:p>
      <w:pPr>
        <w:spacing w:after="0" w:line="175" w:lineRule="exact"/>
        <w:rPr>
          <w:sz w:val="20"/>
          <w:szCs w:val="20"/>
          <w:color w:val="auto"/>
        </w:rPr>
      </w:pPr>
    </w:p>
    <w:p>
      <w:pPr>
        <w:jc w:val="both"/>
        <w:ind w:firstLine="4544"/>
        <w:spacing w:after="0" w:line="257" w:lineRule="auto"/>
        <w:tabs>
          <w:tab w:leader="none" w:pos="5058" w:val="left"/>
        </w:tabs>
        <w:numPr>
          <w:ilvl w:val="2"/>
          <w:numId w:val="237"/>
        </w:numPr>
        <w:rPr>
          <w:rFonts w:ascii="Arial" w:cs="Arial" w:eastAsia="Arial" w:hAnsi="Arial"/>
          <w:sz w:val="21"/>
          <w:szCs w:val="21"/>
          <w:color w:val="auto"/>
        </w:rPr>
      </w:pPr>
      <w:r>
        <w:rPr>
          <w:rFonts w:ascii="Arial" w:cs="Arial" w:eastAsia="Arial" w:hAnsi="Arial"/>
          <w:sz w:val="21"/>
          <w:szCs w:val="21"/>
          <w:u w:val="single" w:color="auto"/>
          <w:color w:val="auto"/>
        </w:rPr>
        <w:t>Covered Participants</w:t>
      </w:r>
      <w:r>
        <w:rPr>
          <w:rFonts w:ascii="Arial" w:cs="Arial" w:eastAsia="Arial" w:hAnsi="Arial"/>
          <w:sz w:val="21"/>
          <w:szCs w:val="21"/>
          <w:color w:val="auto"/>
        </w:rPr>
        <w:t>. If a Covered Participant’s Income Fund exceeds the Income Fund Limit as of February 28, 2021 and such Covered Participant has consented to waive his or her rights with respect to (i) the Applicable Interest Rate applicable to such Covered Participant’s Account (including the Protected Account Balance) for purposes of any current or future Initial Elections and Subsequent Elections while such individual is a Covered Participant and (ii) the application of Section 10.2 to such Covered Participant’s Account, the amount credited to the Covered Participant’s Income Fund shall be transferred to an Other Investment Fund as of March 1, 2021, and all amounts credited to the Covered Participant’s Account on and after March 1, 2021 shall be deemed invested in an Other Investment Fund. The amount credited to the Income Fund with respect to an individual who has an Account under the Plan and who becomes a Covered Participant after February 28, 2021 shall be transferred to an Other Investment Fund as of the first day of the month next following the date such individual becomes a Covered Participant, and all amounts credited to the Covered Participant’s Account on and after such date shall be deemed invested in an Other Investment Fund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Covered Participant has consented to waive his or her rights with respect to (i) the Applicable Interest Rate applicable to such Covered Participant’s Account (including the Protected Account Balance) for purposes of any current or future Initial Elections and Subsequent Elections while such individual is a Covered Participant and (ii) the application of Section 10.2 to such Covered Participant’s Account).</w:t>
      </w:r>
    </w:p>
    <w:p>
      <w:pPr>
        <w:spacing w:after="0" w:line="184" w:lineRule="exact"/>
        <w:rPr>
          <w:rFonts w:ascii="Arial" w:cs="Arial" w:eastAsia="Arial" w:hAnsi="Arial"/>
          <w:sz w:val="21"/>
          <w:szCs w:val="21"/>
          <w:color w:val="auto"/>
        </w:rPr>
      </w:pPr>
    </w:p>
    <w:p>
      <w:pPr>
        <w:jc w:val="both"/>
        <w:ind w:firstLine="3896"/>
        <w:spacing w:after="0" w:line="263" w:lineRule="auto"/>
        <w:tabs>
          <w:tab w:leader="none" w:pos="4446" w:val="left"/>
        </w:tabs>
        <w:numPr>
          <w:ilvl w:val="1"/>
          <w:numId w:val="238"/>
        </w:numPr>
        <w:rPr>
          <w:rFonts w:ascii="Arial" w:cs="Arial" w:eastAsia="Arial" w:hAnsi="Arial"/>
          <w:sz w:val="21"/>
          <w:szCs w:val="21"/>
          <w:color w:val="auto"/>
        </w:rPr>
      </w:pPr>
      <w:r>
        <w:rPr>
          <w:rFonts w:ascii="Arial" w:cs="Arial" w:eastAsia="Arial" w:hAnsi="Arial"/>
          <w:sz w:val="21"/>
          <w:szCs w:val="21"/>
          <w:u w:val="single" w:color="auto"/>
          <w:color w:val="auto"/>
        </w:rPr>
        <w:t>Section 16 Officers</w:t>
      </w:r>
      <w:r>
        <w:rPr>
          <w:rFonts w:ascii="Arial" w:cs="Arial" w:eastAsia="Arial" w:hAnsi="Arial"/>
          <w:sz w:val="21"/>
          <w:szCs w:val="21"/>
          <w:color w:val="auto"/>
        </w:rPr>
        <w:t>. Pursuant to rules established by the Administrator or its delegate, a Section 16 Officer may elect to (x) transfer amounts credited to their Account that are deemed to be invested in the Income Fund to an Other Investment Fund, or (y) transfer amounts credited to their Account that are deemed to be invested in an Other Investment Fund to the Income Fund to the extent that immediately after such transfer, the amount credited to such Section 16 Officer’s Income Fund does not exceed the Income Fund Limit.</w:t>
      </w:r>
    </w:p>
    <w:p>
      <w:pPr>
        <w:spacing w:after="0" w:line="175" w:lineRule="exact"/>
        <w:rPr>
          <w:rFonts w:ascii="Arial" w:cs="Arial" w:eastAsia="Arial" w:hAnsi="Arial"/>
          <w:sz w:val="21"/>
          <w:szCs w:val="21"/>
          <w:color w:val="auto"/>
        </w:rPr>
      </w:pPr>
    </w:p>
    <w:p>
      <w:pPr>
        <w:jc w:val="both"/>
        <w:ind w:firstLine="2600"/>
        <w:spacing w:after="0" w:line="258" w:lineRule="auto"/>
        <w:tabs>
          <w:tab w:leader="none" w:pos="3180" w:val="left"/>
        </w:tabs>
        <w:numPr>
          <w:ilvl w:val="0"/>
          <w:numId w:val="239"/>
        </w:numPr>
        <w:rPr>
          <w:rFonts w:ascii="Arial" w:cs="Arial" w:eastAsia="Arial" w:hAnsi="Arial"/>
          <w:sz w:val="21"/>
          <w:szCs w:val="21"/>
          <w:color w:val="auto"/>
        </w:rPr>
      </w:pPr>
      <w:r>
        <w:rPr>
          <w:rFonts w:ascii="Arial" w:cs="Arial" w:eastAsia="Arial" w:hAnsi="Arial"/>
          <w:sz w:val="21"/>
          <w:szCs w:val="21"/>
          <w:u w:val="single" w:color="auto"/>
          <w:color w:val="auto"/>
        </w:rPr>
        <w:t>Protocol for Deemed Transfers between Income Fund and an Other Investment Fund</w:t>
      </w:r>
      <w:r>
        <w:rPr>
          <w:rFonts w:ascii="Arial" w:cs="Arial" w:eastAsia="Arial" w:hAnsi="Arial"/>
          <w:sz w:val="21"/>
          <w:szCs w:val="21"/>
          <w:color w:val="auto"/>
        </w:rPr>
        <w:t>. As provided in Article III, the timing of distributions of amounts credited to a Participant’s Account is established pursuant to Initial Elections and Subsequent Elections, and a Participant may elect various distribution dates for amounts subject to Initial Elections and Subsequent Elections. Amounts deemed transferred from the Income Fund to Other Investment Funds as a result of the application of the Income Fund Limit or pursuant to elective transfers described in Section 5.2(b)(i)(C), and amounts deemed transferred from an Other Investment Fund to the Income Fund pursuant to elective transfers described in Section 5.2(b)(i)(C) shall be sourced and allocated on a uniform and consistent basis as determined by the Administrator, provided 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129" w:name="page130"/>
    <w:bookmarkEnd w:id="129"/>
    <w:p>
      <w:pPr>
        <w:jc w:val="both"/>
        <w:ind w:firstLine="1952"/>
        <w:spacing w:after="0" w:line="246" w:lineRule="auto"/>
        <w:tabs>
          <w:tab w:leader="none" w:pos="2467"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Stock Fund Credits</w:t>
      </w:r>
      <w:r>
        <w:rPr>
          <w:rFonts w:ascii="Arial" w:cs="Arial" w:eastAsia="Arial" w:hAnsi="Arial"/>
          <w:sz w:val="22"/>
          <w:szCs w:val="22"/>
          <w:color w:val="auto"/>
        </w:rPr>
        <w:t>. Amounts credited to the Accounts of Outside Directors, Covered Participants, and High Balance Participants in the form of Company Stock shall be credited with income, gains, and losses as if they were invested in the Company Stock Fund. Except as otherwise provided with respect to Section 16 Officers pursuant to Section 5.2(b) (i)(C) or by the Administrator with respect to Participants who are not Section 16 Officers, no portion of such Participant’s Account may be deemed transferred from the Company Stock Fund to the Income Fund or to an Other Investment Fund. Amounts credited in the form of Company Stock at the time of distribution to the Accounts of (i) Outside Directors and (ii) Participants under circumstances described in Section 5.2(a)(v) shall be distributed in the form of Company Stock, rounded to the nearest lower whole share.</w:t>
      </w:r>
    </w:p>
    <w:p>
      <w:pPr>
        <w:spacing w:after="0" w:line="193" w:lineRule="exact"/>
        <w:rPr>
          <w:rFonts w:ascii="Arial" w:cs="Arial" w:eastAsia="Arial" w:hAnsi="Arial"/>
          <w:sz w:val="22"/>
          <w:szCs w:val="22"/>
          <w:color w:val="auto"/>
        </w:rPr>
      </w:pPr>
    </w:p>
    <w:p>
      <w:pPr>
        <w:jc w:val="both"/>
        <w:ind w:firstLine="1952"/>
        <w:spacing w:after="0" w:line="258" w:lineRule="auto"/>
        <w:tabs>
          <w:tab w:leader="none" w:pos="2425" w:val="left"/>
        </w:tabs>
        <w:numPr>
          <w:ilvl w:val="0"/>
          <w:numId w:val="240"/>
        </w:numPr>
        <w:rPr>
          <w:rFonts w:ascii="Arial" w:cs="Arial" w:eastAsia="Arial" w:hAnsi="Arial"/>
          <w:sz w:val="21"/>
          <w:szCs w:val="21"/>
          <w:color w:val="auto"/>
        </w:rPr>
      </w:pPr>
      <w:r>
        <w:rPr>
          <w:rFonts w:ascii="Arial" w:cs="Arial" w:eastAsia="Arial" w:hAnsi="Arial"/>
          <w:sz w:val="21"/>
          <w:szCs w:val="21"/>
          <w:u w:val="single" w:color="auto"/>
          <w:color w:val="auto"/>
        </w:rPr>
        <w:t>Timing of Credits</w:t>
      </w:r>
      <w:r>
        <w:rPr>
          <w:rFonts w:ascii="Arial" w:cs="Arial" w:eastAsia="Arial" w:hAnsi="Arial"/>
          <w:sz w:val="21"/>
          <w:szCs w:val="21"/>
          <w:color w:val="auto"/>
        </w:rPr>
        <w:t>. Except as otherwise provided in this Section 5.2, Compensation deferred pursuant to the Plan shall be deemed invested in the Income Fund on the date such Compensation would otherwise have been payable to the Participant, provided that if (i) Compensation would otherwise have been payable to a Participant on a Company payroll date that falls within five (5)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an Other Investment Fund shall be based on hypothetical purchases and sales of such Other Investment Fund at Fair Market Value as of the effective date of the applicable investment election.</w:t>
      </w:r>
    </w:p>
    <w:p>
      <w:pPr>
        <w:spacing w:after="0" w:line="18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Status of Deferred Amounts</w:t>
      </w:r>
      <w:r>
        <w:rPr>
          <w:rFonts w:ascii="Arial" w:cs="Arial" w:eastAsia="Arial" w:hAnsi="Arial"/>
          <w:sz w:val="21"/>
          <w:szCs w:val="21"/>
          <w:color w:val="auto"/>
        </w:rPr>
        <w:t>. Regardless of whether or not the Company is a Participant’s employer, all Compensation deferred under this Plan shall continue for all purposes to be a part of the general funds of the Company.</w:t>
      </w:r>
    </w:p>
    <w:p>
      <w:pPr>
        <w:spacing w:after="0" w:line="15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Participants’ Status as General Creditors</w:t>
      </w:r>
      <w:r>
        <w:rPr>
          <w:rFonts w:ascii="Arial" w:cs="Arial" w:eastAsia="Arial" w:hAnsi="Arial"/>
          <w:sz w:val="22"/>
          <w:szCs w:val="22"/>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 NO ALIENATION OF BENEFITS; PAYEE DESIGNATION</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Non-Alienation</w:t>
      </w:r>
      <w:r>
        <w:rPr>
          <w:rFonts w:ascii="Arial" w:cs="Arial" w:eastAsia="Arial" w:hAnsi="Arial"/>
          <w:sz w:val="19"/>
          <w:szCs w:val="19"/>
          <w:color w:val="auto"/>
        </w:rPr>
        <w:t>.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130" w:name="page131"/>
    <w:bookmarkEnd w:id="130"/>
    <w:p>
      <w:pPr>
        <w:jc w:val="both"/>
        <w:spacing w:after="0" w:line="263" w:lineRule="auto"/>
        <w:rPr>
          <w:sz w:val="20"/>
          <w:szCs w:val="20"/>
          <w:color w:val="auto"/>
        </w:rPr>
      </w:pPr>
      <w:r>
        <w:rPr>
          <w:rFonts w:ascii="Arial" w:cs="Arial" w:eastAsia="Arial" w:hAnsi="Arial"/>
          <w:sz w:val="22"/>
          <w:szCs w:val="22"/>
          <w:color w:val="auto"/>
        </w:rPr>
        <w:t>voluntary or involuntary act of any Participant or any Participant’s Beneficiary or by operation of law, nor shall such payment, right, or interest be subject to any other legal or equitable process.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Domestic Relations Orders</w:t>
      </w:r>
      <w:r>
        <w:rPr>
          <w:rFonts w:ascii="Arial" w:cs="Arial" w:eastAsia="Arial" w:hAnsi="Arial"/>
          <w:sz w:val="22"/>
          <w:szCs w:val="22"/>
          <w:color w:val="auto"/>
        </w:rPr>
        <w:t>. Notwithstanding any other provision of the Plan or the terms of any Initial Election or Subsequent Election, the Plan shall honor the terms of a Domestic Relations Order if the Administrator determines that it satisfies the requirements of the Plan’s policies relating to Domestic Relations Orders as in effect from time to time, provided 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Payee Designation</w:t>
      </w:r>
      <w:r>
        <w:rPr>
          <w:rFonts w:ascii="Arial" w:cs="Arial" w:eastAsia="Arial" w:hAnsi="Arial"/>
          <w:sz w:val="21"/>
          <w:szCs w:val="21"/>
          <w:color w:val="auto"/>
        </w:rPr>
        <w:t>.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 DEATH OF PARTICIPANT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Death of Participant</w:t>
      </w:r>
      <w:r>
        <w:rPr>
          <w:rFonts w:ascii="Arial" w:cs="Arial" w:eastAsia="Arial" w:hAnsi="Arial"/>
          <w:sz w:val="22"/>
          <w:szCs w:val="22"/>
          <w:color w:val="auto"/>
        </w:rPr>
        <w:t>. Except as otherwise provided in Section 3.5, a Deceased Participant’s Account shall be distributed in accordance with the last Initial Election or Subsequent Election made by the Deceased Participant before the Deceased Participant’s death.</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Designation of Beneficiaries</w:t>
      </w:r>
      <w:r>
        <w:rPr>
          <w:rFonts w:ascii="Arial" w:cs="Arial" w:eastAsia="Arial" w:hAnsi="Arial"/>
          <w:sz w:val="21"/>
          <w:szCs w:val="21"/>
          <w:color w:val="auto"/>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 HARDSHIP AND OTHER ACCELERATION EVENTS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Hardship</w:t>
      </w:r>
      <w:r>
        <w:rPr>
          <w:rFonts w:ascii="Arial" w:cs="Arial" w:eastAsia="Arial" w:hAnsi="Arial"/>
          <w:sz w:val="22"/>
          <w:szCs w:val="22"/>
          <w:color w:val="auto"/>
        </w:rPr>
        <w:t>. Notwithstanding the terms of an Initial Election or Subsequent Election, if, at the Participant’s request, the Committee determines that the Participant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131" w:name="page132"/>
    <w:bookmarkEnd w:id="131"/>
    <w:p>
      <w:pPr>
        <w:ind w:right="20"/>
        <w:spacing w:after="0" w:line="263" w:lineRule="auto"/>
        <w:rPr>
          <w:sz w:val="20"/>
          <w:szCs w:val="20"/>
          <w:color w:val="auto"/>
        </w:rPr>
      </w:pPr>
      <w:r>
        <w:rPr>
          <w:rFonts w:ascii="Arial" w:cs="Arial" w:eastAsia="Arial" w:hAnsi="Arial"/>
          <w:sz w:val="22"/>
          <w:szCs w:val="22"/>
          <w:color w:val="auto"/>
        </w:rPr>
        <w:t>incurred a Hardship, the Board may, in its discretion, authorize the immediate distribution of all or any portion of the Participant’s Account.</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Other Acceleration Events</w:t>
      </w:r>
      <w:r>
        <w:rPr>
          <w:rFonts w:ascii="Arial" w:cs="Arial" w:eastAsia="Arial" w:hAnsi="Arial"/>
          <w:sz w:val="22"/>
          <w:szCs w:val="22"/>
          <w:color w:val="auto"/>
        </w:rPr>
        <w:t>. To the extent permitted by Section 409A, notwithstanding the terms of an Initial Election or Subsequent Election, distribution of all or part of a Participant’s Account may be made:</w:t>
      </w:r>
    </w:p>
    <w:p>
      <w:pPr>
        <w:spacing w:after="0" w:line="175" w:lineRule="exact"/>
        <w:rPr>
          <w:sz w:val="20"/>
          <w:szCs w:val="20"/>
          <w:color w:val="auto"/>
        </w:rPr>
      </w:pPr>
    </w:p>
    <w:p>
      <w:pPr>
        <w:ind w:firstLine="1952"/>
        <w:spacing w:after="0" w:line="263" w:lineRule="auto"/>
        <w:tabs>
          <w:tab w:leader="none" w:pos="2485"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To fulfill a domestic relations order (as defined in section 414(p)(1)(B) of the Code) to the extent permitted by Treasury Regulations section 1.409A-3(j)(4)(ii) or any successor provision of law).</w:t>
      </w:r>
    </w:p>
    <w:p>
      <w:pPr>
        <w:spacing w:after="0" w:line="174" w:lineRule="exact"/>
        <w:rPr>
          <w:rFonts w:ascii="Arial" w:cs="Arial" w:eastAsia="Arial" w:hAnsi="Arial"/>
          <w:sz w:val="22"/>
          <w:szCs w:val="22"/>
          <w:color w:val="auto"/>
        </w:rPr>
      </w:pPr>
    </w:p>
    <w:p>
      <w:pPr>
        <w:ind w:firstLine="1952"/>
        <w:spacing w:after="0" w:line="263" w:lineRule="auto"/>
        <w:tabs>
          <w:tab w:leader="none" w:pos="2419"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To the extent necessary to comply with laws relating to avoidance of conflicts of interest, as provided in Treasury Regulation section 1.409A-3(j)(4)(iii) (or any successor provision of law).</w:t>
      </w:r>
    </w:p>
    <w:p>
      <w:pPr>
        <w:spacing w:after="0" w:line="174" w:lineRule="exact"/>
        <w:rPr>
          <w:rFonts w:ascii="Arial" w:cs="Arial" w:eastAsia="Arial" w:hAnsi="Arial"/>
          <w:sz w:val="22"/>
          <w:szCs w:val="22"/>
          <w:color w:val="auto"/>
        </w:rPr>
      </w:pPr>
    </w:p>
    <w:p>
      <w:pPr>
        <w:ind w:right="20" w:firstLine="1952"/>
        <w:spacing w:after="0" w:line="263" w:lineRule="auto"/>
        <w:tabs>
          <w:tab w:leader="none" w:pos="2446" w:val="left"/>
        </w:tabs>
        <w:numPr>
          <w:ilvl w:val="0"/>
          <w:numId w:val="241"/>
        </w:numPr>
        <w:rPr>
          <w:rFonts w:ascii="Arial" w:cs="Arial" w:eastAsia="Arial" w:hAnsi="Arial"/>
          <w:sz w:val="22"/>
          <w:szCs w:val="22"/>
          <w:color w:val="auto"/>
        </w:rPr>
      </w:pPr>
      <w:r>
        <w:rPr>
          <w:rFonts w:ascii="Arial" w:cs="Arial" w:eastAsia="Arial" w:hAnsi="Arial"/>
          <w:sz w:val="22"/>
          <w:szCs w:val="22"/>
          <w:color w:val="auto"/>
        </w:rPr>
        <w:t>To pay employment taxes to the extent permitted by Treasury Regulation section 1.409A-3(j)(4)(vi) (or any successor provision of law).</w:t>
      </w:r>
    </w:p>
    <w:p>
      <w:pPr>
        <w:spacing w:after="0" w:line="174" w:lineRule="exact"/>
        <w:rPr>
          <w:rFonts w:ascii="Arial" w:cs="Arial" w:eastAsia="Arial" w:hAnsi="Arial"/>
          <w:sz w:val="22"/>
          <w:szCs w:val="22"/>
          <w:color w:val="auto"/>
        </w:rPr>
      </w:pPr>
    </w:p>
    <w:p>
      <w:pPr>
        <w:ind w:firstLine="1952"/>
        <w:spacing w:after="0" w:line="287" w:lineRule="auto"/>
        <w:tabs>
          <w:tab w:leader="none" w:pos="2445" w:val="left"/>
        </w:tabs>
        <w:numPr>
          <w:ilvl w:val="0"/>
          <w:numId w:val="241"/>
        </w:numPr>
        <w:rPr>
          <w:rFonts w:ascii="Arial" w:cs="Arial" w:eastAsia="Arial" w:hAnsi="Arial"/>
          <w:sz w:val="21"/>
          <w:szCs w:val="21"/>
          <w:color w:val="auto"/>
        </w:rPr>
      </w:pPr>
      <w:r>
        <w:rPr>
          <w:rFonts w:ascii="Arial" w:cs="Arial" w:eastAsia="Arial" w:hAnsi="Arial"/>
          <w:sz w:val="21"/>
          <w:szCs w:val="21"/>
          <w:color w:val="auto"/>
        </w:rPr>
        <w:t>In connection with the recognition of income as the result of a failure to comply with Section 409A, to the extent permitted by Treasury Regulation section 1.409A-3(j)(4)(vii) (or any successor provision of law).</w:t>
      </w:r>
    </w:p>
    <w:p>
      <w:pPr>
        <w:spacing w:after="0" w:line="151" w:lineRule="exact"/>
        <w:rPr>
          <w:rFonts w:ascii="Arial" w:cs="Arial" w:eastAsia="Arial" w:hAnsi="Arial"/>
          <w:sz w:val="21"/>
          <w:szCs w:val="21"/>
          <w:color w:val="auto"/>
        </w:rPr>
      </w:pPr>
    </w:p>
    <w:p>
      <w:pPr>
        <w:ind w:left="2400" w:hanging="448"/>
        <w:spacing w:after="0"/>
        <w:tabs>
          <w:tab w:leader="none" w:pos="240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To pay state, local or foreign taxes to the extent permitted by Treasury Regulation section 1.409A-3(j)</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(4)(xi) (or any successor provision of law).</w:t>
      </w:r>
    </w:p>
    <w:p>
      <w:pPr>
        <w:spacing w:after="0" w:line="201" w:lineRule="exact"/>
        <w:rPr>
          <w:rFonts w:ascii="Arial" w:cs="Arial" w:eastAsia="Arial" w:hAnsi="Arial"/>
          <w:sz w:val="19"/>
          <w:szCs w:val="19"/>
          <w:color w:val="auto"/>
        </w:rPr>
      </w:pPr>
    </w:p>
    <w:p>
      <w:pPr>
        <w:jc w:val="both"/>
        <w:ind w:firstLine="1952"/>
        <w:spacing w:after="0" w:line="253" w:lineRule="auto"/>
        <w:tabs>
          <w:tab w:leader="none" w:pos="2386" w:val="left"/>
        </w:tabs>
        <w:numPr>
          <w:ilvl w:val="0"/>
          <w:numId w:val="241"/>
        </w:numPr>
        <w:rPr>
          <w:rFonts w:ascii="Arial" w:cs="Arial" w:eastAsia="Arial" w:hAnsi="Arial"/>
          <w:sz w:val="22"/>
          <w:szCs w:val="22"/>
          <w:color w:val="auto"/>
        </w:rPr>
      </w:pPr>
      <w:r>
        <w:rPr>
          <w:rFonts w:ascii="Arial" w:cs="Arial" w:eastAsia="Arial" w:hAnsi="Arial"/>
          <w:sz w:val="22"/>
          <w:szCs w:val="22"/>
          <w:color w:val="auto"/>
        </w:rPr>
        <w:t>In satisfaction of a debt of a Participant to a Participating Company where such debt is incurred in the ordinary course of the service relationship between the Participant and the Participating Company, to the extent permitted by Treasury Regulation section 1.409A-3(j)(4)(xiii) (or any successor provision of law).</w:t>
      </w:r>
    </w:p>
    <w:p>
      <w:pPr>
        <w:spacing w:after="0" w:line="185" w:lineRule="exact"/>
        <w:rPr>
          <w:rFonts w:ascii="Arial" w:cs="Arial" w:eastAsia="Arial" w:hAnsi="Arial"/>
          <w:sz w:val="22"/>
          <w:szCs w:val="22"/>
          <w:color w:val="auto"/>
        </w:rPr>
      </w:pPr>
    </w:p>
    <w:p>
      <w:pPr>
        <w:ind w:firstLine="1952"/>
        <w:spacing w:after="0" w:line="263" w:lineRule="auto"/>
        <w:tabs>
          <w:tab w:leader="none" w:pos="2456" w:val="left"/>
        </w:tabs>
        <w:numPr>
          <w:ilvl w:val="0"/>
          <w:numId w:val="241"/>
        </w:numPr>
        <w:rPr>
          <w:rFonts w:ascii="Arial" w:cs="Arial" w:eastAsia="Arial" w:hAnsi="Arial"/>
          <w:sz w:val="22"/>
          <w:szCs w:val="22"/>
          <w:color w:val="auto"/>
        </w:rPr>
      </w:pPr>
      <w:r>
        <w:rPr>
          <w:rFonts w:ascii="Arial" w:cs="Arial" w:eastAsia="Arial" w:hAnsi="Arial"/>
          <w:sz w:val="22"/>
          <w:szCs w:val="22"/>
          <w:color w:val="auto"/>
        </w:rPr>
        <w:t>In connection with a bona fide dispute as to a Participant’s right to payment, to the extent permitted by Treasury Regulation section 1.409A-3(j)(4)(xiv) (or any successor provision of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 INTERPRETATION</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Authority of Committee</w:t>
      </w:r>
      <w:r>
        <w:rPr>
          <w:rFonts w:ascii="Arial" w:cs="Arial" w:eastAsia="Arial" w:hAnsi="Arial"/>
          <w:sz w:val="22"/>
          <w:szCs w:val="22"/>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85"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Claims Procedure</w:t>
      </w:r>
      <w:r>
        <w:rPr>
          <w:rFonts w:ascii="Arial" w:cs="Arial" w:eastAsia="Arial" w:hAnsi="Arial"/>
          <w:sz w:val="21"/>
          <w:szCs w:val="21"/>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132" w:name="page133"/>
    <w:bookmarkEnd w:id="132"/>
    <w:p>
      <w:pPr>
        <w:ind w:left="1300"/>
        <w:spacing w:after="0"/>
        <w:rPr>
          <w:sz w:val="20"/>
          <w:szCs w:val="20"/>
          <w:color w:val="auto"/>
        </w:rPr>
      </w:pPr>
      <w:r>
        <w:rPr>
          <w:rFonts w:ascii="Arial" w:cs="Arial" w:eastAsia="Arial" w:hAnsi="Arial"/>
          <w:sz w:val="19"/>
          <w:szCs w:val="19"/>
          <w:color w:val="auto"/>
        </w:rPr>
        <w:t>An Applicant may file a claim for benefits with the Administrator on a form supplied by the Administrator. If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Administrator wholly or partially denies a claim, the Administrator shall provide the Applicant with a written notice stating:</w:t>
      </w:r>
    </w:p>
    <w:p>
      <w:pPr>
        <w:spacing w:after="0" w:line="213" w:lineRule="exact"/>
        <w:rPr>
          <w:sz w:val="20"/>
          <w:szCs w:val="20"/>
          <w:color w:val="auto"/>
        </w:rPr>
      </w:pPr>
    </w:p>
    <w:p>
      <w:pPr>
        <w:ind w:left="2400" w:hanging="448"/>
        <w:spacing w:after="0"/>
        <w:tabs>
          <w:tab w:leader="none" w:pos="240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The specific reason or reasons for the denial;</w:t>
      </w:r>
    </w:p>
    <w:p>
      <w:pPr>
        <w:spacing w:after="0" w:line="219" w:lineRule="exact"/>
        <w:rPr>
          <w:rFonts w:ascii="Arial" w:cs="Arial" w:eastAsia="Arial" w:hAnsi="Arial"/>
          <w:sz w:val="22"/>
          <w:szCs w:val="22"/>
          <w:color w:val="auto"/>
        </w:rPr>
      </w:pPr>
    </w:p>
    <w:p>
      <w:pPr>
        <w:ind w:left="2420" w:hanging="468"/>
        <w:spacing w:after="0"/>
        <w:tabs>
          <w:tab w:leader="none" w:pos="242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Specific reference to pertinent Plan provisions on which the denial is based;</w:t>
      </w:r>
    </w:p>
    <w:p>
      <w:pPr>
        <w:spacing w:after="0" w:line="219" w:lineRule="exact"/>
        <w:rPr>
          <w:rFonts w:ascii="Arial" w:cs="Arial" w:eastAsia="Arial" w:hAnsi="Arial"/>
          <w:sz w:val="22"/>
          <w:szCs w:val="22"/>
          <w:color w:val="auto"/>
        </w:rPr>
      </w:pPr>
    </w:p>
    <w:p>
      <w:pPr>
        <w:ind w:right="20" w:firstLine="1952"/>
        <w:spacing w:after="0" w:line="263" w:lineRule="auto"/>
        <w:tabs>
          <w:tab w:leader="none" w:pos="249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Applicant to perfect the claim and an explanation of why such material or information is necessary; and</w:t>
      </w:r>
    </w:p>
    <w:p>
      <w:pPr>
        <w:spacing w:after="0" w:line="174" w:lineRule="exact"/>
        <w:rPr>
          <w:rFonts w:ascii="Arial" w:cs="Arial" w:eastAsia="Arial" w:hAnsi="Arial"/>
          <w:sz w:val="22"/>
          <w:szCs w:val="22"/>
          <w:color w:val="auto"/>
        </w:rPr>
      </w:pPr>
    </w:p>
    <w:p>
      <w:pPr>
        <w:ind w:left="2400" w:hanging="448"/>
        <w:spacing w:after="0"/>
        <w:tabs>
          <w:tab w:leader="none" w:pos="240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Appropriate information as to the steps to be taken in order to submit a claim for review.</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8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8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It is intended that the claims procedures of this Plan be administered in accordance with the claims procedure regulations of the Department of Labor set forth in 29 CFR § 2560.503-1.</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Claims for benefits under the Plan must be filed with the Administrator at the following address: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Comcast Corporation</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Comcast Center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1701 John F. Kennedy Boulevard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Philadelphia, PA 19103</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7"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22"/>
          <w:szCs w:val="22"/>
          <w:b w:val="1"/>
          <w:bCs w:val="1"/>
          <w:color w:val="auto"/>
        </w:rPr>
        <w:t>ARTICLE 10– AMENDMENT OR TERMINATION</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Amendment or Termination</w:t>
      </w:r>
      <w:r>
        <w:rPr>
          <w:rFonts w:ascii="Arial" w:cs="Arial" w:eastAsia="Arial" w:hAnsi="Arial"/>
          <w:sz w:val="22"/>
          <w:szCs w:val="22"/>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Amendment of Rate of Credited Earnings</w:t>
      </w:r>
      <w:r>
        <w:rPr>
          <w:rFonts w:ascii="Arial" w:cs="Arial" w:eastAsia="Arial" w:hAnsi="Arial"/>
          <w:sz w:val="19"/>
          <w:szCs w:val="19"/>
          <w:color w:val="auto"/>
        </w:rPr>
        <w:t>. No amendment shall change the Applicable Interest Rate with respect to the portion of a Participant’s Account that is attributable to an Initial Election or Subsequent Election made with respect to Compensation and filed with the Administrator before the date of adoption of such amendment by the Board or the Committee without the consent of the Participant.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 WITHHOLDING OF TAXES</w:t>
      </w:r>
    </w:p>
    <w:p>
      <w:pPr>
        <w:spacing w:after="0" w:line="22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 MISCELLANEOUS PROVISIONS</w:t>
      </w:r>
    </w:p>
    <w:p>
      <w:pPr>
        <w:spacing w:after="0" w:line="22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Nothing contained herein shall be construed as conferring upon any Participant the right to remain in service as an Outside Director or Director Emeritus or in the employment of a Participating Company as an executive or in any other capacity.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Expenses of Plan</w:t>
      </w:r>
      <w:r>
        <w:rPr>
          <w:rFonts w:ascii="Arial" w:cs="Arial" w:eastAsia="Arial" w:hAnsi="Arial"/>
          <w:sz w:val="19"/>
          <w:szCs w:val="19"/>
          <w:color w:val="auto"/>
        </w:rPr>
        <w:t>. All expenses of the Plan shall be paid by the Participating Companies.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Gender and Number</w:t>
      </w:r>
      <w:r>
        <w:rPr>
          <w:rFonts w:ascii="Arial" w:cs="Arial" w:eastAsia="Arial" w:hAnsi="Arial"/>
          <w:sz w:val="22"/>
          <w:szCs w:val="22"/>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22"/>
          <w:szCs w:val="22"/>
          <w:i w:val="1"/>
          <w:iCs w:val="1"/>
          <w:color w:val="auto"/>
        </w:rPr>
        <w:t>vice versa</w:t>
      </w:r>
      <w:r>
        <w:rPr>
          <w:rFonts w:ascii="Arial" w:cs="Arial" w:eastAsia="Arial" w:hAnsi="Arial"/>
          <w:sz w:val="22"/>
          <w:szCs w:val="22"/>
          <w:color w:val="auto"/>
        </w:rPr>
        <w:t>, as the context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1" w:right="339" w:bottom="1440" w:gutter="0" w:footer="0" w:header="0"/>
        </w:sectPr>
      </w:pPr>
    </w:p>
    <w:bookmarkStart w:id="134" w:name="page135"/>
    <w:bookmarkEnd w:id="134"/>
    <w:p>
      <w:pPr>
        <w:jc w:val="both"/>
        <w:ind w:firstLine="648"/>
        <w:spacing w:after="0" w:line="271" w:lineRule="auto"/>
        <w:rPr>
          <w:sz w:val="20"/>
          <w:szCs w:val="20"/>
          <w:color w:val="auto"/>
        </w:rPr>
      </w:pPr>
      <w:r>
        <w:rPr>
          <w:rFonts w:ascii="Arial" w:cs="Arial" w:eastAsia="Arial" w:hAnsi="Arial"/>
          <w:sz w:val="21"/>
          <w:szCs w:val="21"/>
          <w:color w:val="auto"/>
        </w:rPr>
        <w:t xml:space="preserve">12.4. </w:t>
      </w:r>
      <w:r>
        <w:rPr>
          <w:rFonts w:ascii="Arial" w:cs="Arial" w:eastAsia="Arial" w:hAnsi="Arial"/>
          <w:sz w:val="21"/>
          <w:szCs w:val="21"/>
          <w:u w:val="single" w:color="auto"/>
          <w:color w:val="auto"/>
        </w:rPr>
        <w:t>Law Governing Construction</w:t>
      </w:r>
      <w:r>
        <w:rPr>
          <w:rFonts w:ascii="Arial" w:cs="Arial" w:eastAsia="Arial" w:hAnsi="Arial"/>
          <w:sz w:val="21"/>
          <w:szCs w:val="21"/>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Headings Not a Part Hereof</w:t>
      </w:r>
      <w:r>
        <w:rPr>
          <w:rFonts w:ascii="Arial" w:cs="Arial" w:eastAsia="Arial" w:hAnsi="Arial"/>
          <w:sz w:val="22"/>
          <w:szCs w:val="22"/>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Severability of Provisions</w:t>
      </w:r>
      <w:r>
        <w:rPr>
          <w:rFonts w:ascii="Arial" w:cs="Arial" w:eastAsia="Arial" w:hAnsi="Arial"/>
          <w:sz w:val="22"/>
          <w:szCs w:val="22"/>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 EFFECTIVE DATE</w:t>
      </w:r>
    </w:p>
    <w:p>
      <w:pPr>
        <w:spacing w:after="0" w:line="22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original effective date of the Plan is January 1, 2005. The amended and restated Plan document approved and adopted on March 1, 2021 shall be effective March 1, 2021.</w:t>
      </w:r>
    </w:p>
    <w:p>
      <w:pPr>
        <w:spacing w:after="0" w:line="175" w:lineRule="exact"/>
        <w:rPr>
          <w:sz w:val="20"/>
          <w:szCs w:val="20"/>
          <w:color w:val="auto"/>
        </w:rPr>
      </w:pPr>
    </w:p>
    <w:p>
      <w:pPr>
        <w:jc w:val="both"/>
        <w:ind w:right="20" w:firstLine="1296"/>
        <w:spacing w:after="0" w:line="270" w:lineRule="auto"/>
        <w:rPr>
          <w:sz w:val="20"/>
          <w:szCs w:val="20"/>
          <w:color w:val="auto"/>
        </w:rPr>
      </w:pPr>
      <w:r>
        <w:rPr>
          <w:rFonts w:ascii="Arial" w:cs="Arial" w:eastAsia="Arial" w:hAnsi="Arial"/>
          <w:sz w:val="22"/>
          <w:szCs w:val="22"/>
          <w:color w:val="auto"/>
        </w:rPr>
        <w:t>IN WITNESS WHEREOF, COMCAST CORPORATION has caused this Plan to be executed by its officers thereunto duly authorized, and its corporate seal to be affixed hereto, on the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day of March, 2021.</w:t>
      </w:r>
    </w:p>
    <w:p>
      <w:pPr>
        <w:spacing w:after="0" w:line="82" w:lineRule="exact"/>
        <w:rPr>
          <w:sz w:val="20"/>
          <w:szCs w:val="20"/>
          <w:color w:val="auto"/>
        </w:rPr>
      </w:pPr>
    </w:p>
    <w:p>
      <w:pPr>
        <w:jc w:val="center"/>
        <w:ind w:left="440"/>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-17780</wp:posOffset>
            </wp:positionV>
            <wp:extent cx="14325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32560" cy="8890"/>
                    </a:xfrm>
                    <a:prstGeom prst="rect">
                      <a:avLst/>
                    </a:prstGeom>
                    <a:noFill/>
                  </pic:spPr>
                </pic:pic>
              </a:graphicData>
            </a:graphic>
          </wp:anchor>
        </w:drawing>
      </w:r>
    </w:p>
    <w:p>
      <w:pPr>
        <w:spacing w:after="0" w:line="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Thomas J. Reid</w:t>
      </w:r>
    </w:p>
    <w:p>
      <w:pPr>
        <w:spacing w:after="0" w:line="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Chief Legal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7"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291" w:val="left"/>
        </w:tabs>
        <w:numPr>
          <w:ilvl w:val="1"/>
          <w:numId w:val="2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60" w:hanging="644"/>
        <w:spacing w:after="0" w:line="263" w:lineRule="auto"/>
        <w:tabs>
          <w:tab w:leader="none" w:pos="1288"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644"/>
        <w:spacing w:after="0" w:line="342" w:lineRule="auto"/>
        <w:tabs>
          <w:tab w:leader="none" w:pos="1291" w:val="left"/>
        </w:tabs>
        <w:numPr>
          <w:ilvl w:val="1"/>
          <w:numId w:val="2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14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Name: Brian L. Roberts</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364"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I, Michael J. Cavanagh, certify that:</w:t>
      </w:r>
    </w:p>
    <w:p>
      <w:pPr>
        <w:spacing w:after="0" w:line="63"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291" w:val="left"/>
        </w:tabs>
        <w:numPr>
          <w:ilvl w:val="1"/>
          <w:numId w:val="2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60" w:hanging="644"/>
        <w:spacing w:after="0" w:line="263" w:lineRule="auto"/>
        <w:tabs>
          <w:tab w:leader="none" w:pos="128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644"/>
        <w:spacing w:after="0" w:line="342" w:lineRule="auto"/>
        <w:tabs>
          <w:tab w:leader="none" w:pos="1291" w:val="left"/>
        </w:tabs>
        <w:numPr>
          <w:ilvl w:val="1"/>
          <w:numId w:val="2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19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715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Name: Michael J. Cavanagh</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138"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ind w:left="10180"/>
        <w:spacing w:after="0"/>
        <w:rPr>
          <w:sz w:val="20"/>
          <w:szCs w:val="20"/>
          <w:color w:val="auto"/>
        </w:rPr>
      </w:pPr>
      <w:r>
        <w:rPr>
          <w:rFonts w:ascii="Arial" w:cs="Arial" w:eastAsia="Arial" w:hAnsi="Arial"/>
          <w:sz w:val="17"/>
          <w:szCs w:val="17"/>
          <w:color w:val="auto"/>
        </w:rPr>
        <w:t>April 29,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62" w:lineRule="exact"/>
        <w:rPr>
          <w:sz w:val="20"/>
          <w:szCs w:val="20"/>
          <w:color w:val="auto"/>
        </w:rPr>
      </w:pPr>
    </w:p>
    <w:p>
      <w:pPr>
        <w:ind w:left="660" w:hanging="652"/>
        <w:spacing w:after="0"/>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660" w:right="520" w:hanging="652"/>
        <w:spacing w:after="0" w:line="277" w:lineRule="auto"/>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10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Name: Brian L. Roberts</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9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3471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Name: Michael J. Cavanagh</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5DFCF0"/>
    <w:multiLevelType w:val="hybridMultilevel"/>
    <w:lvl w:ilvl="0">
      <w:lvlJc w:val="left"/>
      <w:lvlText w:val="☒"/>
      <w:numFmt w:val="bullet"/>
      <w:start w:val="1"/>
    </w:lvl>
  </w:abstractNum>
  <w:abstractNum w:abstractNumId="1">
    <w:nsid w:val="4F97E3E4"/>
    <w:multiLevelType w:val="hybridMultilevel"/>
    <w:lvl w:ilvl="0">
      <w:lvlJc w:val="left"/>
      <w:lvlText w:val="☐"/>
      <w:numFmt w:val="bullet"/>
      <w:start w:val="1"/>
    </w:lvl>
  </w:abstractNum>
  <w:abstractNum w:abstractNumId="2">
    <w:nsid w:val="53B0A9E"/>
    <w:multiLevelType w:val="hybridMultilevel"/>
    <w:lvl w:ilvl="0">
      <w:lvlJc w:val="left"/>
      <w:lvlText w:val="•"/>
      <w:numFmt w:val="bullet"/>
      <w:start w:val="1"/>
    </w:lvl>
  </w:abstractNum>
  <w:abstractNum w:abstractNumId="3">
    <w:nsid w:val="34FD6B4F"/>
    <w:multiLevelType w:val="hybridMultilevel"/>
    <w:lvl w:ilvl="0">
      <w:lvlJc w:val="left"/>
      <w:lvlText w:val="(%1)"/>
      <w:numFmt w:val="decimal"/>
      <w:start w:val="1"/>
    </w:lvl>
  </w:abstractNum>
  <w:abstractNum w:abstractNumId="4">
    <w:nsid w:val="5915FF32"/>
    <w:multiLevelType w:val="hybridMultilevel"/>
    <w:lvl w:ilvl="0">
      <w:lvlJc w:val="left"/>
      <w:lvlText w:val="(%1)"/>
      <w:numFmt w:val="lowerLetter"/>
      <w:start w:val="1"/>
    </w:lvl>
  </w:abstractNum>
  <w:abstractNum w:abstractNumId="5">
    <w:nsid w:val="56438D15"/>
    <w:multiLevelType w:val="hybridMultilevel"/>
    <w:lvl w:ilvl="0">
      <w:lvlJc w:val="left"/>
      <w:lvlText w:val="(%1)"/>
      <w:numFmt w:val="lowerLetter"/>
      <w:start w:val="2"/>
    </w:lvl>
  </w:abstractNum>
  <w:abstractNum w:abstractNumId="6">
    <w:nsid w:val="519E3149"/>
    <w:multiLevelType w:val="hybridMultilevel"/>
    <w:lvl w:ilvl="0">
      <w:lvlJc w:val="left"/>
      <w:lvlText w:val="(%1)"/>
      <w:numFmt w:val="lowerLetter"/>
      <w:start w:val="1"/>
    </w:lvl>
  </w:abstractNum>
  <w:abstractNum w:abstractNumId="7">
    <w:nsid w:val="2C6E4AFD"/>
    <w:multiLevelType w:val="hybridMultilevel"/>
    <w:lvl w:ilvl="0">
      <w:lvlJc w:val="left"/>
      <w:lvlText w:val="(%1)"/>
      <w:numFmt w:val="lowerLetter"/>
      <w:start w:val="1"/>
    </w:lvl>
  </w:abstractNum>
  <w:abstractNum w:abstractNumId="8">
    <w:nsid w:val="17A1B582"/>
    <w:multiLevelType w:val="hybridMultilevel"/>
    <w:lvl w:ilvl="0">
      <w:lvlJc w:val="left"/>
      <w:lvlText w:val="•"/>
      <w:numFmt w:val="bullet"/>
      <w:start w:val="1"/>
    </w:lvl>
  </w:abstractNum>
  <w:abstractNum w:abstractNumId="9">
    <w:nsid w:val="4DF72E4E"/>
    <w:multiLevelType w:val="hybridMultilevel"/>
    <w:lvl w:ilvl="0">
      <w:lvlJc w:val="left"/>
      <w:lvlText w:val="•"/>
      <w:numFmt w:val="bullet"/>
      <w:start w:val="1"/>
    </w:lvl>
  </w:abstractNum>
  <w:abstractNum w:abstractNumId="10">
    <w:nsid w:val="5046B5A9"/>
    <w:multiLevelType w:val="hybridMultilevel"/>
    <w:lvl w:ilvl="0">
      <w:lvlJc w:val="left"/>
      <w:lvlText w:val="•"/>
      <w:numFmt w:val="bullet"/>
      <w:start w:val="1"/>
    </w:lvl>
  </w:abstractNum>
  <w:abstractNum w:abstractNumId="11">
    <w:nsid w:val="5D888A08"/>
    <w:multiLevelType w:val="hybridMultilevel"/>
    <w:lvl w:ilvl="0">
      <w:lvlJc w:val="left"/>
      <w:lvlText w:val="•"/>
      <w:numFmt w:val="bullet"/>
      <w:start w:val="1"/>
    </w:lvl>
  </w:abstractNum>
  <w:abstractNum w:abstractNumId="12">
    <w:nsid w:val="2A082C70"/>
    <w:multiLevelType w:val="hybridMultilevel"/>
    <w:lvl w:ilvl="0">
      <w:lvlJc w:val="left"/>
      <w:lvlText w:val="•"/>
      <w:numFmt w:val="bullet"/>
      <w:start w:val="1"/>
    </w:lvl>
  </w:abstractNum>
  <w:abstractNum w:abstractNumId="13">
    <w:nsid w:val="5EC6AFD4"/>
    <w:multiLevelType w:val="hybridMultilevel"/>
    <w:lvl w:ilvl="0">
      <w:lvlJc w:val="left"/>
      <w:lvlText w:val="(%1)"/>
      <w:numFmt w:val="lowerLetter"/>
      <w:start w:val="1"/>
    </w:lvl>
  </w:abstractNum>
  <w:abstractNum w:abstractNumId="14">
    <w:nsid w:val="19E21BB2"/>
    <w:multiLevelType w:val="hybridMultilevel"/>
    <w:lvl w:ilvl="0">
      <w:lvlJc w:val="left"/>
      <w:lvlText w:val="(%1)"/>
      <w:numFmt w:val="lowerLetter"/>
      <w:start w:val="1"/>
    </w:lvl>
  </w:abstractNum>
  <w:abstractNum w:abstractNumId="15">
    <w:nsid w:val="75E0858A"/>
    <w:multiLevelType w:val="hybridMultilevel"/>
    <w:lvl w:ilvl="0">
      <w:lvlJc w:val="left"/>
      <w:lvlText w:val="(%1)"/>
      <w:numFmt w:val="lowerLetter"/>
      <w:start w:val="1"/>
    </w:lvl>
  </w:abstractNum>
  <w:abstractNum w:abstractNumId="16">
    <w:nsid w:val="57A61A29"/>
    <w:multiLevelType w:val="hybridMultilevel"/>
    <w:lvl w:ilvl="0">
      <w:lvlJc w:val="left"/>
      <w:lvlText w:val="(%1)"/>
      <w:numFmt w:val="lowerLetter"/>
      <w:start w:val="1"/>
    </w:lvl>
  </w:abstractNum>
  <w:abstractNum w:abstractNumId="17">
    <w:nsid w:val="5399C654"/>
    <w:multiLevelType w:val="hybridMultilevel"/>
    <w:lvl w:ilvl="0">
      <w:lvlJc w:val="left"/>
      <w:lvlText w:val="%1"/>
      <w:numFmt w:val="decimal"/>
      <w:start w:val="22"/>
    </w:lvl>
  </w:abstractNum>
  <w:abstractNum w:abstractNumId="18">
    <w:nsid w:val="20EE1348"/>
    <w:multiLevelType w:val="hybridMultilevel"/>
    <w:lvl w:ilvl="0">
      <w:lvlJc w:val="left"/>
      <w:lvlText w:val="%1"/>
      <w:numFmt w:val="decimal"/>
      <w:start w:val="31"/>
    </w:lvl>
  </w:abstractNum>
  <w:abstractNum w:abstractNumId="19">
    <w:nsid w:val="4427069A"/>
    <w:multiLevelType w:val="hybridMultilevel"/>
    <w:lvl w:ilvl="0">
      <w:lvlJc w:val="left"/>
      <w:lvlText w:val="%1"/>
      <w:numFmt w:val="decimal"/>
      <w:start w:val="101"/>
    </w:lvl>
    <w:lvl w:ilvl="1">
      <w:lvlJc w:val="left"/>
      <w:lvlText w:val="(%2)"/>
      <w:numFmt w:val="lowerRoman"/>
      <w:start w:val="1"/>
    </w:lvl>
  </w:abstractNum>
  <w:abstractNum w:abstractNumId="20">
    <w:nsid w:val="B37E80A"/>
    <w:multiLevelType w:val="hybridMultilevel"/>
    <w:lvl w:ilvl="0">
      <w:lvlJc w:val="left"/>
      <w:lvlText w:val="*"/>
      <w:numFmt w:val="bullet"/>
      <w:start w:val="1"/>
    </w:lvl>
  </w:abstractNum>
  <w:abstractNum w:abstractNumId="21">
    <w:nsid w:val="2157F6BC"/>
    <w:multiLevelType w:val="hybridMultilevel"/>
    <w:lvl w:ilvl="0">
      <w:lvlJc w:val="left"/>
      <w:lvlText w:val="%1."/>
      <w:numFmt w:val="decimal"/>
      <w:start w:val="1"/>
    </w:lvl>
    <w:lvl w:ilvl="1">
      <w:lvlJc w:val="left"/>
      <w:lvlText w:val="(%2)"/>
      <w:numFmt w:val="lowerLetter"/>
      <w:start w:val="1"/>
    </w:lvl>
  </w:abstractNum>
  <w:abstractNum w:abstractNumId="22">
    <w:nsid w:val="704E1DD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23">
    <w:nsid w:val="57D2F10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4">
    <w:nsid w:val="BFFAE18"/>
    <w:multiLevelType w:val="hybridMultilevel"/>
    <w:lvl w:ilvl="0">
      <w:lvlJc w:val="left"/>
      <w:lvlText w:val="(%1)"/>
      <w:numFmt w:val="upperLetter"/>
      <w:start w:val="2"/>
    </w:lvl>
    <w:lvl w:ilvl="1">
      <w:lvlJc w:val="left"/>
      <w:lvlText w:val="(%2)"/>
      <w:numFmt w:val="decimal"/>
      <w:start w:val="1"/>
    </w:lvl>
  </w:abstractNum>
  <w:abstractNum w:abstractNumId="25">
    <w:nsid w:val="E3E47A8"/>
    <w:multiLevelType w:val="hybridMultilevel"/>
    <w:lvl w:ilvl="0">
      <w:lvlJc w:val="left"/>
      <w:lvlText w:val="(%1)"/>
      <w:numFmt w:val="upperLetter"/>
      <w:start w:val="3"/>
    </w:lvl>
    <w:lvl w:ilvl="1">
      <w:lvlJc w:val="left"/>
      <w:lvlText w:val="(%2)"/>
      <w:numFmt w:val="decimal"/>
      <w:start w:val="1"/>
    </w:lvl>
  </w:abstractNum>
  <w:abstractNum w:abstractNumId="26">
    <w:nsid w:val="2E48F044"/>
    <w:multiLevelType w:val="hybridMultilevel"/>
    <w:lvl w:ilvl="0">
      <w:lvlJc w:val="left"/>
      <w:lvlText w:val="%1"/>
      <w:numFmt w:val="lowerLetter"/>
      <w:start w:val="1"/>
    </w:lvl>
    <w:lvl w:ilvl="1">
      <w:lvlJc w:val="left"/>
      <w:lvlText w:val="(%2)"/>
      <w:numFmt w:val="lowerLetter"/>
      <w:start w:val="35"/>
    </w:lvl>
  </w:abstractNum>
  <w:abstractNum w:abstractNumId="27">
    <w:nsid w:val="49D0FEAC"/>
    <w:multiLevelType w:val="hybridMultilevel"/>
    <w:lvl w:ilvl="0">
      <w:lvlJc w:val="left"/>
      <w:lvlText w:val="(%1)"/>
      <w:numFmt w:val="lowerLetter"/>
      <w:start w:val="7"/>
    </w:lvl>
    <w:lvl w:ilvl="1">
      <w:lvlJc w:val="left"/>
      <w:lvlText w:val="%2"/>
      <w:numFmt w:val="lowerLetter"/>
      <w:start w:val="1"/>
    </w:lvl>
  </w:abstractNum>
  <w:abstractNum w:abstractNumId="28">
    <w:nsid w:val="4BEE5A5B"/>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29">
    <w:nsid w:val="5551B9F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4"/>
    </w:lvl>
  </w:abstractNum>
  <w:abstractNum w:abstractNumId="30">
    <w:nsid w:val="24F6AB8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31">
    <w:nsid w:val="634C574C"/>
    <w:multiLevelType w:val="hybridMultilevel"/>
    <w:lvl w:ilvl="0">
      <w:lvlJc w:val="left"/>
      <w:lvlText w:val="%1"/>
      <w:numFmt w:val="lowerLetter"/>
      <w:start w:val="1"/>
    </w:lvl>
    <w:lvl w:ilvl="1">
      <w:lvlJc w:val="left"/>
      <w:lvlText w:val="(%2)"/>
      <w:numFmt w:val="lowerLetter"/>
      <w:start w:val="11"/>
    </w:lvl>
    <w:lvl w:ilvl="2">
      <w:lvlJc w:val="left"/>
      <w:lvlText w:val="%3"/>
      <w:numFmt w:val="lowerLetter"/>
      <w:start w:val="1"/>
    </w:lvl>
    <w:lvl w:ilvl="3">
      <w:lvlJc w:val="left"/>
      <w:lvlText w:val="%4"/>
      <w:numFmt w:val="upperLetter"/>
      <w:start w:val="1"/>
    </w:lvl>
  </w:abstractNum>
  <w:abstractNum w:abstractNumId="32">
    <w:nsid w:val="24E99DD7"/>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33">
    <w:nsid w:val="2A31B62D"/>
    <w:multiLevelType w:val="hybridMultilevel"/>
    <w:lvl w:ilvl="0">
      <w:lvlJc w:val="left"/>
      <w:lvlText w:val="(%1)"/>
      <w:numFmt w:val="lowerLetter"/>
      <w:start w:val="17"/>
    </w:lvl>
    <w:lvl w:ilvl="1">
      <w:lvlJc w:val="left"/>
      <w:lvlText w:val="(%2)"/>
      <w:numFmt w:val="lowerRoman"/>
      <w:start w:val="1"/>
    </w:lvl>
    <w:lvl w:ilvl="2">
      <w:lvlJc w:val="left"/>
      <w:lvlText w:val="(%3)"/>
      <w:numFmt w:val="upperLetter"/>
      <w:start w:val="1"/>
    </w:lvl>
  </w:abstractNum>
  <w:abstractNum w:abstractNumId="34">
    <w:nsid w:val="1849C29B"/>
    <w:multiLevelType w:val="hybridMultilevel"/>
    <w:lvl w:ilvl="0">
      <w:lvlJc w:val="left"/>
      <w:lvlText w:val="%1"/>
      <w:numFmt w:val="lowerRoman"/>
      <w:start w:val="1"/>
    </w:lvl>
    <w:lvl w:ilvl="1">
      <w:lvlJc w:val="left"/>
      <w:lvlText w:val="(%2)"/>
      <w:numFmt w:val="upperLetter"/>
      <w:start w:val="3"/>
    </w:lvl>
  </w:abstractNum>
  <w:abstractNum w:abstractNumId="35">
    <w:nsid w:val="7DFF9D09"/>
    <w:multiLevelType w:val="hybridMultilevel"/>
    <w:lvl w:ilvl="0">
      <w:lvlJc w:val="left"/>
      <w:lvlText w:val="(%1)"/>
      <w:numFmt w:val="lowerRoman"/>
      <w:start w:val="2"/>
    </w:lvl>
    <w:lvl w:ilvl="1">
      <w:lvlJc w:val="left"/>
      <w:lvlText w:val="(%2)"/>
      <w:numFmt w:val="upperLetter"/>
      <w:start w:val="1"/>
    </w:lvl>
  </w:abstractNum>
  <w:abstractNum w:abstractNumId="36">
    <w:nsid w:val="754342"/>
    <w:multiLevelType w:val="hybridMultilevel"/>
    <w:lvl w:ilvl="0">
      <w:lvlJc w:val="left"/>
      <w:lvlText w:val="(%1)"/>
      <w:numFmt w:val="lowerLetter"/>
      <w:start w:val="21"/>
    </w:lvl>
    <w:lvl w:ilvl="1">
      <w:lvlJc w:val="left"/>
      <w:lvlText w:val="(%2)"/>
      <w:numFmt w:val="lowerRoman"/>
      <w:start w:val="1"/>
    </w:lvl>
  </w:abstractNum>
  <w:abstractNum w:abstractNumId="37">
    <w:nsid w:val="69E7F3E5"/>
    <w:multiLevelType w:val="hybridMultilevel"/>
    <w:lvl w:ilvl="0">
      <w:lvlJc w:val="left"/>
      <w:lvlText w:val="%1"/>
      <w:numFmt w:val="lowerLetter"/>
      <w:start w:val="1"/>
    </w:lvl>
    <w:lvl w:ilvl="1">
      <w:lvlJc w:val="left"/>
      <w:lvlText w:val="(%2)"/>
      <w:numFmt w:val="lowerRoman"/>
      <w:start w:val="2"/>
    </w:lvl>
  </w:abstractNum>
  <w:abstractNum w:abstractNumId="38">
    <w:nsid w:val="2A6DE806"/>
    <w:multiLevelType w:val="hybridMultilevel"/>
    <w:lvl w:ilvl="0">
      <w:lvlJc w:val="left"/>
      <w:lvlText w:val="(%1)"/>
      <w:numFmt w:val="lowerLetter"/>
      <w:start w:val="24"/>
    </w:lvl>
    <w:lvl w:ilvl="1">
      <w:lvlJc w:val="left"/>
      <w:lvlText w:val="%2"/>
      <w:numFmt w:val="lowerRoman"/>
      <w:start w:val="1"/>
    </w:lvl>
  </w:abstractNum>
  <w:abstractNum w:abstractNumId="39">
    <w:nsid w:val="1816F8C4"/>
    <w:multiLevelType w:val="hybridMultilevel"/>
    <w:lvl w:ilvl="0">
      <w:lvlJc w:val="left"/>
      <w:lvlText w:val="(%1)"/>
      <w:numFmt w:val="lowerLetter"/>
      <w:start w:val="27"/>
    </w:lvl>
    <w:lvl w:ilvl="1">
      <w:lvlJc w:val="left"/>
      <w:lvlText w:val="(%2)"/>
      <w:numFmt w:val="lowerRoman"/>
      <w:start w:val="1"/>
    </w:lvl>
  </w:abstractNum>
  <w:abstractNum w:abstractNumId="40">
    <w:nsid w:val="37DF2233"/>
    <w:multiLevelType w:val="hybridMultilevel"/>
    <w:lvl w:ilvl="0">
      <w:lvlJc w:val="left"/>
      <w:lvlText w:val="(%1)"/>
      <w:numFmt w:val="lowerLetter"/>
      <w:start w:val="31"/>
    </w:lvl>
    <w:lvl w:ilvl="1">
      <w:lvlJc w:val="left"/>
      <w:lvlText w:val="(%2)"/>
      <w:numFmt w:val="lowerRoman"/>
      <w:start w:val="1"/>
    </w:lvl>
    <w:lvl w:ilvl="2">
      <w:lvlJc w:val="left"/>
      <w:lvlText w:val="(%3)"/>
      <w:numFmt w:val="upperLetter"/>
      <w:start w:val="1"/>
    </w:lvl>
  </w:abstractNum>
  <w:abstractNum w:abstractNumId="41">
    <w:nsid w:val="7AB49D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2">
    <w:nsid w:val="759F82CD"/>
    <w:multiLevelType w:val="hybridMultilevel"/>
    <w:lvl w:ilvl="0">
      <w:lvlJc w:val="left"/>
      <w:lvlText w:val="(%1)"/>
      <w:numFmt w:val="lowerLetter"/>
      <w:start w:val="34"/>
    </w:lvl>
    <w:lvl w:ilvl="1">
      <w:lvlJc w:val="left"/>
      <w:lvlText w:val="(%2)"/>
      <w:numFmt w:val="lowerLetter"/>
      <w:start w:val="9"/>
    </w:lvl>
    <w:lvl w:ilvl="2">
      <w:lvlJc w:val="left"/>
      <w:lvlText w:val="%3"/>
      <w:numFmt w:val="upperLetter"/>
      <w:start w:val="1"/>
    </w:lvl>
  </w:abstractNum>
  <w:abstractNum w:abstractNumId="43">
    <w:nsid w:val="61E74EA3"/>
    <w:multiLevelType w:val="hybridMultilevel"/>
    <w:lvl w:ilvl="0">
      <w:lvlJc w:val="left"/>
      <w:lvlText w:val="(%1)"/>
      <w:numFmt w:val="lowerRoman"/>
      <w:start w:val="2"/>
    </w:lvl>
  </w:abstractNum>
  <w:abstractNum w:abstractNumId="44">
    <w:nsid w:val="597B4D84"/>
    <w:multiLevelType w:val="hybridMultilevel"/>
    <w:lvl w:ilvl="0">
      <w:lvlJc w:val="left"/>
      <w:lvlText w:val="(%1)"/>
      <w:numFmt w:val="lowerLetter"/>
      <w:start w:val="36"/>
    </w:lvl>
    <w:lvl w:ilvl="1">
      <w:lvlJc w:val="left"/>
      <w:lvlText w:val="(%2)"/>
      <w:numFmt w:val="lowerRoman"/>
      <w:start w:val="1"/>
    </w:lvl>
    <w:lvl w:ilvl="2">
      <w:lvlJc w:val="left"/>
      <w:lvlText w:val="(%3)"/>
      <w:numFmt w:val="upperLetter"/>
      <w:start w:val="1"/>
    </w:lvl>
  </w:abstractNum>
  <w:abstractNum w:abstractNumId="45">
    <w:nsid w:val="F819E7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46">
    <w:nsid w:val="57C7D42D"/>
    <w:multiLevelType w:val="hybridMultilevel"/>
    <w:lvl w:ilvl="0">
      <w:lvlJc w:val="left"/>
      <w:lvlText w:val="(%1)"/>
      <w:numFmt w:val="lowerLetter"/>
      <w:start w:val="38"/>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47">
    <w:nsid w:val="312167AD"/>
    <w:multiLevelType w:val="hybridMultilevel"/>
    <w:lvl w:ilvl="0">
      <w:lvlJc w:val="left"/>
      <w:lvlText w:val="(%1)"/>
      <w:numFmt w:val="decimal"/>
      <w:start w:val="4"/>
    </w:lvl>
  </w:abstractNum>
  <w:abstractNum w:abstractNumId="48">
    <w:nsid w:val="631B64D4"/>
    <w:multiLevelType w:val="hybridMultilevel"/>
    <w:lvl w:ilvl="0">
      <w:lvlJc w:val="left"/>
      <w:lvlText w:val="(%1)"/>
      <w:numFmt w:val="lowerLetter"/>
      <w:start w:val="41"/>
    </w:lvl>
  </w:abstractNum>
  <w:abstractNum w:abstractNumId="49">
    <w:nsid w:val="78B5E776"/>
    <w:multiLevelType w:val="hybridMultilevel"/>
    <w:lvl w:ilvl="0">
      <w:lvlJc w:val="left"/>
      <w:lvlText w:val="(%1)"/>
      <w:numFmt w:val="lowerLetter"/>
      <w:start w:val="49"/>
    </w:lvl>
  </w:abstractNum>
  <w:abstractNum w:abstractNumId="50">
    <w:nsid w:val="75486E47"/>
    <w:multiLevelType w:val="hybridMultilevel"/>
    <w:lvl w:ilvl="0">
      <w:lvlJc w:val="left"/>
      <w:lvlText w:val="(%1)"/>
      <w:numFmt w:val="lowerLetter"/>
      <w:start w:val="53"/>
    </w:lvl>
  </w:abstractNum>
  <w:abstractNum w:abstractNumId="51">
    <w:nsid w:val="6E534CDE"/>
    <w:multiLevelType w:val="hybridMultilevel"/>
    <w:lvl w:ilvl="0">
      <w:lvlJc w:val="left"/>
      <w:lvlText w:val="%1"/>
      <w:numFmt w:val="decimal"/>
      <w:start w:val="1"/>
    </w:lvl>
    <w:lvl w:ilvl="1">
      <w:lvlJc w:val="left"/>
      <w:lvlText w:val="(%2)"/>
      <w:numFmt w:val="lowerLetter"/>
      <w:start w:val="60"/>
    </w:lvl>
  </w:abstractNum>
  <w:abstractNum w:abstractNumId="52">
    <w:nsid w:val="1A0DDE32"/>
    <w:multiLevelType w:val="hybridMultilevel"/>
    <w:lvl w:ilvl="0">
      <w:lvlJc w:val="left"/>
      <w:lvlText w:val="%1."/>
      <w:numFmt w:val="decimal"/>
      <w:start w:val="3"/>
    </w:lvl>
    <w:lvl w:ilvl="1">
      <w:lvlJc w:val="left"/>
      <w:lvlText w:val="(%2)"/>
      <w:numFmt w:val="lowerLetter"/>
      <w:start w:val="1"/>
    </w:lvl>
  </w:abstractNum>
  <w:abstractNum w:abstractNumId="53">
    <w:nsid w:val="65968C1C"/>
    <w:multiLevelType w:val="hybridMultilevel"/>
    <w:lvl w:ilvl="0">
      <w:lvlJc w:val="left"/>
      <w:lvlText w:val="%1."/>
      <w:numFmt w:val="decimal"/>
      <w:start w:val="5"/>
    </w:lvl>
    <w:lvl w:ilvl="1">
      <w:lvlJc w:val="left"/>
      <w:lvlText w:val="(%2)"/>
      <w:numFmt w:val="lowerLetter"/>
      <w:start w:val="1"/>
    </w:lvl>
  </w:abstractNum>
  <w:abstractNum w:abstractNumId="54">
    <w:nsid w:val="46263DEC"/>
    <w:multiLevelType w:val="hybridMultilevel"/>
    <w:lvl w:ilvl="0">
      <w:lvlJc w:val="left"/>
      <w:lvlText w:val="%1"/>
      <w:numFmt w:val="decimal"/>
      <w:start w:val="1"/>
    </w:lvl>
    <w:lvl w:ilvl="1">
      <w:lvlJc w:val="left"/>
      <w:lvlText w:val="(%2)"/>
      <w:numFmt w:val="lowerRoman"/>
      <w:start w:val="1"/>
    </w:lvl>
  </w:abstractNum>
  <w:abstractNum w:abstractNumId="55">
    <w:nsid w:val="260D8C4A"/>
    <w:multiLevelType w:val="hybridMultilevel"/>
    <w:lvl w:ilvl="0">
      <w:lvlJc w:val="left"/>
      <w:lvlText w:val="%1."/>
      <w:numFmt w:val="decimal"/>
      <w:start w:val="6"/>
    </w:lvl>
    <w:lvl w:ilvl="1">
      <w:lvlJc w:val="left"/>
      <w:lvlText w:val="%2"/>
      <w:numFmt w:val="lowerRoman"/>
      <w:start w:val="1"/>
    </w:lvl>
  </w:abstractNum>
  <w:abstractNum w:abstractNumId="56">
    <w:nsid w:val="73D4D3C4"/>
    <w:multiLevelType w:val="hybridMultilevel"/>
    <w:lvl w:ilvl="0">
      <w:lvlJc w:val="left"/>
      <w:lvlText w:val="(%1)"/>
      <w:numFmt w:val="lowerLetter"/>
      <w:start w:val="1"/>
    </w:lvl>
  </w:abstractNum>
  <w:abstractNum w:abstractNumId="57">
    <w:nsid w:val="746F2E30"/>
    <w:multiLevelType w:val="hybridMultilevel"/>
    <w:lvl w:ilvl="0">
      <w:lvlJc w:val="left"/>
      <w:lvlText w:val="(%1)"/>
      <w:numFmt w:val="lowerLetter"/>
      <w:start w:val="6"/>
    </w:lvl>
  </w:abstractNum>
  <w:abstractNum w:abstractNumId="58">
    <w:nsid w:val="6FDE8AF6"/>
    <w:multiLevelType w:val="hybridMultilevel"/>
    <w:lvl w:ilvl="0">
      <w:lvlJc w:val="left"/>
      <w:lvlText w:val="%1."/>
      <w:numFmt w:val="decimal"/>
      <w:start w:val="8"/>
    </w:lvl>
  </w:abstractNum>
  <w:abstractNum w:abstractNumId="59">
    <w:nsid w:val="3FC32E2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0">
    <w:nsid w:val="49C0E8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1">
    <w:nsid w:val="14D53685"/>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62">
    <w:nsid w:val="230F856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63">
    <w:nsid w:val="6EAA85FB"/>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64">
    <w:nsid w:val="3F06ECB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5">
    <w:nsid w:val="3B59480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6">
    <w:nsid w:val="6CAA2304"/>
    <w:multiLevelType w:val="hybridMultilevel"/>
    <w:lvl w:ilvl="0">
      <w:lvlJc w:val="left"/>
      <w:lvlText w:val="(%1)"/>
      <w:numFmt w:val="upperLetter"/>
      <w:start w:val="3"/>
    </w:lvl>
  </w:abstractNum>
  <w:abstractNum w:abstractNumId="67">
    <w:nsid w:val="3F7C2FF4"/>
    <w:multiLevelType w:val="hybridMultilevel"/>
    <w:lvl w:ilvl="0">
      <w:lvlJc w:val="left"/>
      <w:lvlText w:val="%1"/>
      <w:numFmt w:val="lowerLetter"/>
      <w:start w:val="1"/>
    </w:lvl>
    <w:lvl w:ilvl="1">
      <w:lvlJc w:val="left"/>
      <w:lvlText w:val="(%2)"/>
      <w:numFmt w:val="lowerLetter"/>
      <w:start w:val="35"/>
    </w:lvl>
  </w:abstractNum>
  <w:abstractNum w:abstractNumId="68">
    <w:nsid w:val="25413BEC"/>
    <w:multiLevelType w:val="hybridMultilevel"/>
    <w:lvl w:ilvl="0">
      <w:lvlJc w:val="left"/>
      <w:lvlText w:val="(%1)"/>
      <w:numFmt w:val="lowerLetter"/>
      <w:start w:val="6"/>
    </w:lvl>
    <w:lvl w:ilvl="1">
      <w:lvlJc w:val="left"/>
      <w:lvlText w:val="(%2)"/>
      <w:numFmt w:val="lowerLetter"/>
      <w:start w:val="9"/>
    </w:lvl>
  </w:abstractNum>
  <w:abstractNum w:abstractNumId="69">
    <w:nsid w:val="17180B0B"/>
    <w:multiLevelType w:val="hybridMultilevel"/>
    <w:lvl w:ilvl="0">
      <w:lvlJc w:val="left"/>
      <w:lvlText w:val="(%1)"/>
      <w:numFmt w:val="lowerRoman"/>
      <w:start w:val="2"/>
    </w:lvl>
  </w:abstractNum>
  <w:abstractNum w:abstractNumId="70">
    <w:nsid w:val="579328B9"/>
    <w:multiLevelType w:val="hybridMultilevel"/>
    <w:lvl w:ilvl="0">
      <w:lvlJc w:val="left"/>
      <w:lvlText w:val="%1"/>
      <w:numFmt w:val="lowerLetter"/>
      <w:start w:val="1"/>
    </w:lvl>
    <w:lvl w:ilvl="1">
      <w:lvlJc w:val="left"/>
      <w:lvlText w:val="(%2)"/>
      <w:numFmt w:val="lowerRoman"/>
      <w:start w:val="3"/>
    </w:lvl>
  </w:abstractNum>
  <w:abstractNum w:abstractNumId="71">
    <w:nsid w:val="5D205E20"/>
    <w:multiLevelType w:val="hybridMultilevel"/>
    <w:lvl w:ilvl="0">
      <w:lvlJc w:val="left"/>
      <w:lvlText w:val="(%1)"/>
      <w:numFmt w:val="lowerLetter"/>
      <w:start w:val="8"/>
    </w:lvl>
    <w:lvl w:ilvl="1">
      <w:lvlJc w:val="left"/>
      <w:lvlText w:val="(%2)"/>
      <w:numFmt w:val="lowerRoman"/>
      <w:start w:val="1"/>
    </w:lvl>
  </w:abstractNum>
  <w:abstractNum w:abstractNumId="72">
    <w:nsid w:val="11CCA8BA"/>
    <w:multiLevelType w:val="hybridMultilevel"/>
    <w:lvl w:ilvl="0">
      <w:lvlJc w:val="left"/>
      <w:lvlText w:val="%1"/>
      <w:numFmt w:val="lowerLetter"/>
      <w:start w:val="1"/>
    </w:lvl>
    <w:lvl w:ilvl="1">
      <w:lvlJc w:val="left"/>
      <w:lvlText w:val="(%2)"/>
      <w:numFmt w:val="lowerLetter"/>
      <w:start w:val="35"/>
    </w:lvl>
  </w:abstractNum>
  <w:abstractNum w:abstractNumId="73">
    <w:nsid w:val="4D32AB86"/>
    <w:multiLevelType w:val="hybridMultilevel"/>
    <w:lvl w:ilvl="0">
      <w:lvlJc w:val="left"/>
      <w:lvlText w:val="(%1)"/>
      <w:numFmt w:val="lowerLetter"/>
      <w:start w:val="10"/>
    </w:lvl>
    <w:lvl w:ilvl="1">
      <w:lvlJc w:val="left"/>
      <w:lvlText w:val="(%2)"/>
      <w:numFmt w:val="lowerLetter"/>
      <w:start w:val="9"/>
    </w:lvl>
  </w:abstractNum>
  <w:abstractNum w:abstractNumId="74">
    <w:nsid w:val="3F07ACC3"/>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75">
    <w:nsid w:val="6B47F63E"/>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76">
    <w:nsid w:val="5CB44A05"/>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77">
    <w:nsid w:val="16CF80F1"/>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78">
    <w:nsid w:val="1C695D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79">
    <w:nsid w:val="3FCFAED9"/>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80">
    <w:nsid w:val="F856867"/>
    <w:multiLevelType w:val="hybridMultilevel"/>
    <w:lvl w:ilvl="0">
      <w:lvlJc w:val="left"/>
      <w:lvlText w:val="%1"/>
      <w:numFmt w:val="lowerLetter"/>
      <w:start w:val="1"/>
    </w:lvl>
    <w:lvl w:ilvl="1">
      <w:lvlJc w:val="left"/>
      <w:lvlText w:val="(%2)"/>
      <w:numFmt w:val="lowerRoman"/>
      <w:start w:val="4"/>
    </w:lvl>
  </w:abstractNum>
  <w:abstractNum w:abstractNumId="81">
    <w:nsid w:val="11B1CC33"/>
    <w:multiLevelType w:val="hybridMultilevel"/>
    <w:lvl w:ilvl="0">
      <w:lvlJc w:val="left"/>
      <w:lvlText w:val="(%1)"/>
      <w:numFmt w:val="lowerLetter"/>
      <w:start w:val="12"/>
    </w:lvl>
    <w:lvl w:ilvl="1">
      <w:lvlJc w:val="left"/>
      <w:lvlText w:val="%2"/>
      <w:numFmt w:val="lowerRoman"/>
      <w:start w:val="1"/>
    </w:lvl>
  </w:abstractNum>
  <w:abstractNum w:abstractNumId="82">
    <w:nsid w:val="2E22FBB7"/>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83">
    <w:nsid w:val="2993469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4">
    <w:nsid w:val="77485850"/>
    <w:multiLevelType w:val="hybridMultilevel"/>
    <w:lvl w:ilvl="0">
      <w:lvlJc w:val="left"/>
      <w:lvlText w:val="(%1)"/>
      <w:numFmt w:val="lowerRoman"/>
      <w:start w:val="2"/>
    </w:lvl>
    <w:lvl w:ilvl="1">
      <w:lvlJc w:val="left"/>
      <w:lvlText w:val="(%2)"/>
      <w:numFmt w:val="upperLetter"/>
      <w:start w:val="1"/>
    </w:lvl>
  </w:abstractNum>
  <w:abstractNum w:abstractNumId="85">
    <w:nsid w:val="744939A3"/>
    <w:multiLevelType w:val="hybridMultilevel"/>
    <w:lvl w:ilvl="0">
      <w:lvlJc w:val="left"/>
      <w:lvlText w:val="(%1)"/>
      <w:numFmt w:val="upperLetter"/>
      <w:start w:val="3"/>
    </w:lvl>
  </w:abstractNum>
  <w:abstractNum w:abstractNumId="86">
    <w:nsid w:val="4FA0D2E3"/>
    <w:multiLevelType w:val="hybridMultilevel"/>
    <w:lvl w:ilvl="0">
      <w:lvlJc w:val="left"/>
      <w:lvlText w:val="(%1)"/>
      <w:numFmt w:val="lowerRoman"/>
      <w:start w:val="3"/>
    </w:lvl>
  </w:abstractNum>
  <w:abstractNum w:abstractNumId="87">
    <w:nsid w:val="6B1D2C14"/>
    <w:multiLevelType w:val="hybridMultilevel"/>
    <w:lvl w:ilvl="0">
      <w:lvlJc w:val="left"/>
      <w:lvlText w:val="%1."/>
      <w:numFmt w:val="decimal"/>
      <w:start w:val="10"/>
    </w:lvl>
  </w:abstractNum>
  <w:abstractNum w:abstractNumId="88">
    <w:nsid w:val="68B867D3"/>
    <w:multiLevelType w:val="hybridMultilevel"/>
    <w:lvl w:ilvl="0">
      <w:lvlJc w:val="left"/>
      <w:lvlText w:val="%1."/>
      <w:numFmt w:val="decimal"/>
      <w:start w:val="11"/>
    </w:lvl>
    <w:lvl w:ilvl="1">
      <w:lvlJc w:val="left"/>
      <w:lvlText w:val="(%2)"/>
      <w:numFmt w:val="lowerLetter"/>
      <w:start w:val="1"/>
    </w:lvl>
  </w:abstractNum>
  <w:abstractNum w:abstractNumId="89">
    <w:nsid w:val="3F7F5DD9"/>
    <w:multiLevelType w:val="hybridMultilevel"/>
    <w:lvl w:ilvl="0">
      <w:lvlJc w:val="left"/>
      <w:lvlText w:val="%1."/>
      <w:numFmt w:val="decimal"/>
      <w:start w:val="12"/>
    </w:lvl>
  </w:abstractNum>
  <w:abstractNum w:abstractNumId="90">
    <w:nsid w:val="2AE05A34"/>
    <w:multiLevelType w:val="hybridMultilevel"/>
    <w:lvl w:ilvl="0">
      <w:lvlJc w:val="left"/>
      <w:lvlText w:val="(%1)"/>
      <w:numFmt w:val="lowerLetter"/>
      <w:start w:val="1"/>
    </w:lvl>
  </w:abstractNum>
  <w:abstractNum w:abstractNumId="91">
    <w:nsid w:val="32794FF7"/>
    <w:multiLevelType w:val="hybridMultilevel"/>
    <w:lvl w:ilvl="0">
      <w:lvlJc w:val="left"/>
      <w:lvlText w:val="%1."/>
      <w:numFmt w:val="decimal"/>
      <w:start w:val="13"/>
    </w:lvl>
  </w:abstractNum>
  <w:abstractNum w:abstractNumId="92">
    <w:nsid w:val="5454945E"/>
    <w:multiLevelType w:val="hybridMultilevel"/>
    <w:lvl w:ilvl="0">
      <w:lvlJc w:val="left"/>
      <w:lvlText w:val="(%1)"/>
      <w:numFmt w:val="lowerRoman"/>
      <w:start w:val="2"/>
    </w:lvl>
  </w:abstractNum>
  <w:abstractNum w:abstractNumId="93">
    <w:nsid w:val="4DEFDFA0"/>
    <w:multiLevelType w:val="hybridMultilevel"/>
    <w:lvl w:ilvl="0">
      <w:lvlJc w:val="left"/>
      <w:lvlText w:val="%1."/>
      <w:numFmt w:val="decimal"/>
      <w:start w:val="14"/>
    </w:lvl>
  </w:abstractNum>
  <w:abstractNum w:abstractNumId="94">
    <w:nsid w:val="2123D5F2"/>
    <w:multiLevelType w:val="hybridMultilevel"/>
    <w:lvl w:ilvl="0">
      <w:lvlJc w:val="left"/>
      <w:lvlText w:val="%1."/>
      <w:numFmt w:val="decimal"/>
      <w:start w:val="15"/>
    </w:lvl>
  </w:abstractNum>
  <w:abstractNum w:abstractNumId="95">
    <w:nsid w:val="135B8110"/>
    <w:multiLevelType w:val="hybridMultilevel"/>
    <w:lvl w:ilvl="0">
      <w:lvlJc w:val="left"/>
      <w:lvlText w:val="%1."/>
      <w:numFmt w:val="decimal"/>
      <w:start w:val="16"/>
    </w:lvl>
  </w:abstractNum>
  <w:abstractNum w:abstractNumId="96">
    <w:nsid w:val="94927A8"/>
    <w:multiLevelType w:val="hybridMultilevel"/>
    <w:lvl w:ilvl="0">
      <w:lvlJc w:val="left"/>
      <w:lvlText w:val="%1."/>
      <w:numFmt w:val="decimal"/>
      <w:start w:val="17"/>
    </w:lvl>
  </w:abstractNum>
  <w:abstractNum w:abstractNumId="97">
    <w:nsid w:val="DCDF8F6"/>
    <w:multiLevelType w:val="hybridMultilevel"/>
    <w:lvl w:ilvl="0">
      <w:lvlJc w:val="left"/>
      <w:lvlText w:val="(%1)"/>
      <w:numFmt w:val="lowerLetter"/>
      <w:start w:val="1"/>
    </w:lvl>
  </w:abstractNum>
  <w:abstractNum w:abstractNumId="98">
    <w:nsid w:val="52D7B105"/>
    <w:multiLevelType w:val="hybridMultilevel"/>
    <w:lvl w:ilvl="0">
      <w:lvlJc w:val="left"/>
      <w:lvlText w:val="(%1)"/>
      <w:numFmt w:val="lowerLetter"/>
      <w:start w:val="4"/>
    </w:lvl>
  </w:abstractNum>
  <w:abstractNum w:abstractNumId="99">
    <w:nsid w:val="2E8A6394"/>
    <w:multiLevelType w:val="hybridMultilevel"/>
    <w:lvl w:ilvl="0">
      <w:lvlJc w:val="left"/>
      <w:lvlText w:val="(%1)"/>
      <w:numFmt w:val="lowerLetter"/>
      <w:start w:val="1"/>
    </w:lvl>
  </w:abstractNum>
  <w:abstractNum w:abstractNumId="100">
    <w:nsid w:val="24E60401"/>
    <w:multiLevelType w:val="hybridMultilevel"/>
    <w:lvl w:ilvl="0">
      <w:lvlJc w:val="left"/>
      <w:lvlText w:val="(%1)"/>
      <w:numFmt w:val="lowerLetter"/>
      <w:start w:val="1"/>
    </w:lvl>
    <w:lvl w:ilvl="1">
      <w:lvlJc w:val="left"/>
      <w:lvlText w:val="(%2)"/>
      <w:numFmt w:val="lowerRoman"/>
      <w:start w:val="1"/>
    </w:lvl>
  </w:abstractNum>
  <w:abstractNum w:abstractNumId="101">
    <w:nsid w:val="2A6AD9BE"/>
    <w:multiLevelType w:val="hybridMultilevel"/>
    <w:lvl w:ilvl="0">
      <w:lvlJc w:val="left"/>
      <w:lvlText w:val="(%1)"/>
      <w:numFmt w:val="lowerLetter"/>
      <w:start w:val="3"/>
    </w:lvl>
  </w:abstractNum>
  <w:abstractNum w:abstractNumId="102">
    <w:nsid w:val="BAAC1B4"/>
    <w:multiLevelType w:val="hybridMultilevel"/>
    <w:lvl w:ilvl="0">
      <w:lvlJc w:val="left"/>
      <w:lvlText w:val="(%1)"/>
      <w:numFmt w:val="lowerLetter"/>
      <w:start w:val="1"/>
    </w:lvl>
  </w:abstractNum>
  <w:abstractNum w:abstractNumId="103">
    <w:nsid w:val="36B2ACBC"/>
    <w:multiLevelType w:val="hybridMultilevel"/>
    <w:lvl w:ilvl="0">
      <w:lvlJc w:val="left"/>
      <w:lvlText w:val="(%1)"/>
      <w:numFmt w:val="lowerLetter"/>
      <w:start w:val="1"/>
    </w:lvl>
  </w:abstractNum>
  <w:abstractNum w:abstractNumId="104">
    <w:nsid w:val="779D8544"/>
    <w:multiLevelType w:val="hybridMultilevel"/>
    <w:lvl w:ilvl="0">
      <w:lvlJc w:val="left"/>
      <w:lvlText w:val="(%1)"/>
      <w:numFmt w:val="lowerLetter"/>
      <w:start w:val="1"/>
    </w:lvl>
  </w:abstractNum>
  <w:abstractNum w:abstractNumId="105">
    <w:nsid w:val="4AB26E78"/>
    <w:multiLevelType w:val="hybridMultilevel"/>
    <w:lvl w:ilvl="0">
      <w:lvlJc w:val="left"/>
      <w:lvlText w:val="(%1)"/>
      <w:numFmt w:val="lowerLetter"/>
      <w:start w:val="2"/>
    </w:lvl>
  </w:abstractNum>
  <w:abstractNum w:abstractNumId="106">
    <w:nsid w:val="21FAA2FA"/>
    <w:multiLevelType w:val="hybridMultilevel"/>
    <w:lvl w:ilvl="0">
      <w:lvlJc w:val="left"/>
      <w:lvlText w:val="%1"/>
      <w:numFmt w:val="lowerLetter"/>
      <w:start w:val="1"/>
    </w:lvl>
    <w:lvl w:ilvl="1">
      <w:lvlJc w:val="left"/>
      <w:lvlText w:val="(%2)"/>
      <w:numFmt w:val="lowerLetter"/>
      <w:start w:val="4"/>
    </w:lvl>
  </w:abstractNum>
  <w:abstractNum w:abstractNumId="107">
    <w:nsid w:val="5451CF49"/>
    <w:multiLevelType w:val="hybridMultilevel"/>
    <w:lvl w:ilvl="0">
      <w:lvlJc w:val="left"/>
      <w:lvlText w:val="(%1)"/>
      <w:numFmt w:val="lowerLetter"/>
      <w:start w:val="9"/>
    </w:lvl>
    <w:lvl w:ilvl="1">
      <w:lvlJc w:val="left"/>
      <w:lvlText w:val="(%2)"/>
      <w:numFmt w:val="lowerLetter"/>
      <w:start w:val="5"/>
    </w:lvl>
  </w:abstractNum>
  <w:abstractNum w:abstractNumId="108">
    <w:nsid w:val="6181EF69"/>
    <w:multiLevelType w:val="hybridMultilevel"/>
    <w:lvl w:ilvl="0">
      <w:lvlJc w:val="left"/>
      <w:lvlText w:val="(%1)"/>
      <w:numFmt w:val="lowerLetter"/>
      <w:start w:val="1"/>
    </w:lvl>
  </w:abstractNum>
  <w:abstractNum w:abstractNumId="109">
    <w:nsid w:val="3E6400E6"/>
    <w:multiLevelType w:val="hybridMultilevel"/>
    <w:lvl w:ilvl="0">
      <w:lvlJc w:val="left"/>
      <w:lvlText w:val="(%1)"/>
      <w:numFmt w:val="lowerLetter"/>
      <w:start w:val="1"/>
    </w:lvl>
  </w:abstractNum>
  <w:abstractNum w:abstractNumId="110">
    <w:nsid w:val="14217E23"/>
    <w:multiLevelType w:val="hybridMultilevel"/>
    <w:lvl w:ilvl="0">
      <w:lvlJc w:val="left"/>
      <w:lvlText w:val="(%1)"/>
      <w:numFmt w:val="lowerLetter"/>
      <w:start w:val="1"/>
    </w:lvl>
  </w:abstractNum>
  <w:abstractNum w:abstractNumId="111">
    <w:nsid w:val="710757D0"/>
    <w:multiLevelType w:val="hybridMultilevel"/>
    <w:lvl w:ilvl="0">
      <w:lvlJc w:val="left"/>
      <w:lvlText w:val="(%1)"/>
      <w:numFmt w:val="lowerLetter"/>
      <w:start w:val="1"/>
    </w:lvl>
  </w:abstractNum>
  <w:abstractNum w:abstractNumId="112">
    <w:nsid w:val="5015CD1A"/>
    <w:multiLevelType w:val="hybridMultilevel"/>
    <w:lvl w:ilvl="0">
      <w:lvlJc w:val="left"/>
      <w:lvlText w:val="(%1)"/>
      <w:numFmt w:val="lowerLetter"/>
      <w:start w:val="1"/>
    </w:lvl>
  </w:abstractNum>
  <w:abstractNum w:abstractNumId="113">
    <w:nsid w:val="424479DA"/>
    <w:multiLevelType w:val="hybridMultilevel"/>
    <w:lvl w:ilvl="0">
      <w:lvlJc w:val="left"/>
      <w:lvlText w:val="(%1)"/>
      <w:numFmt w:val="lowerLetter"/>
      <w:start w:val="1"/>
    </w:lvl>
  </w:abstractNum>
  <w:abstractNum w:abstractNumId="114">
    <w:nsid w:val="1A9A9E69"/>
    <w:multiLevelType w:val="hybridMultilevel"/>
    <w:lvl w:ilvl="0">
      <w:lvlJc w:val="left"/>
      <w:lvlText w:val="(%1)"/>
      <w:numFmt w:val="lowerLetter"/>
      <w:start w:val="1"/>
    </w:lvl>
  </w:abstractNum>
  <w:abstractNum w:abstractNumId="115">
    <w:nsid w:val="475E256A"/>
    <w:multiLevelType w:val="hybridMultilevel"/>
    <w:lvl w:ilvl="0">
      <w:lvlJc w:val="left"/>
      <w:lvlText w:val="(%1)"/>
      <w:numFmt w:val="lowerLetter"/>
      <w:start w:val="7"/>
    </w:lvl>
  </w:abstractNum>
  <w:abstractNum w:abstractNumId="116">
    <w:nsid w:val="368DB37E"/>
    <w:multiLevelType w:val="hybridMultilevel"/>
    <w:lvl w:ilvl="0">
      <w:lvlJc w:val="left"/>
      <w:lvlText w:val="(%1)"/>
      <w:numFmt w:val="lowerLetter"/>
      <w:start w:val="1"/>
    </w:lvl>
  </w:abstractNum>
  <w:abstractNum w:abstractNumId="117">
    <w:nsid w:val="6A3B714C"/>
    <w:multiLevelType w:val="hybridMultilevel"/>
    <w:lvl w:ilvl="0">
      <w:lvlJc w:val="left"/>
      <w:lvlText w:val="(%1)"/>
      <w:numFmt w:val="lowerLetter"/>
      <w:start w:val="1"/>
    </w:lvl>
  </w:abstractNum>
  <w:abstractNum w:abstractNumId="118">
    <w:nsid w:val="327B517E"/>
    <w:multiLevelType w:val="hybridMultilevel"/>
    <w:lvl w:ilvl="0">
      <w:lvlJc w:val="left"/>
      <w:lvlText w:val="(%1)"/>
      <w:numFmt w:val="lowerLetter"/>
      <w:start w:val="1"/>
    </w:lvl>
  </w:abstractNum>
  <w:abstractNum w:abstractNumId="119">
    <w:nsid w:val="1F461B51"/>
    <w:multiLevelType w:val="hybridMultilevel"/>
    <w:lvl w:ilvl="0">
      <w:lvlJc w:val="left"/>
      <w:lvlText w:val="(%1)"/>
      <w:numFmt w:val="lowerLetter"/>
      <w:start w:val="1"/>
    </w:lvl>
  </w:abstractNum>
  <w:abstractNum w:abstractNumId="120">
    <w:nsid w:val="29BACF25"/>
    <w:multiLevelType w:val="hybridMultilevel"/>
    <w:lvl w:ilvl="0">
      <w:lvlJc w:val="left"/>
      <w:lvlText w:val="(%1)"/>
      <w:numFmt w:val="lowerLetter"/>
      <w:start w:val="1"/>
    </w:lvl>
  </w:abstractNum>
  <w:abstractNum w:abstractNumId="121">
    <w:nsid w:val="5D5BABB3"/>
    <w:multiLevelType w:val="hybridMultilevel"/>
    <w:lvl w:ilvl="0">
      <w:lvlJc w:val="left"/>
      <w:lvlText w:val="%1"/>
      <w:numFmt w:val="decimal"/>
      <w:start w:val="1"/>
    </w:lvl>
    <w:lvl w:ilvl="1">
      <w:lvlJc w:val="left"/>
      <w:lvlText w:val="(%2)"/>
      <w:numFmt w:val="lowerRoman"/>
      <w:start w:val="1"/>
    </w:lvl>
  </w:abstractNum>
  <w:abstractNum w:abstractNumId="122">
    <w:nsid w:val="51BF6B48"/>
    <w:multiLevelType w:val="hybridMultilevel"/>
    <w:lvl w:ilvl="0">
      <w:lvlJc w:val="left"/>
      <w:lvlText w:val="(%1)"/>
      <w:numFmt w:val="decimal"/>
      <w:start w:val="2"/>
    </w:lvl>
    <w:lvl w:ilvl="1">
      <w:lvlJc w:val="left"/>
      <w:lvlText w:val="%2"/>
      <w:numFmt w:val="lowerRoman"/>
      <w:start w:val="1"/>
    </w:lvl>
  </w:abstractNum>
  <w:abstractNum w:abstractNumId="123">
    <w:nsid w:val="7E0F638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4">
    <w:nsid w:val="2B4B8B5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5">
    <w:nsid w:val="72E3413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6">
    <w:nsid w:val="116AE494"/>
    <w:multiLevelType w:val="hybridMultilevel"/>
    <w:lvl w:ilvl="0">
      <w:lvlJc w:val="left"/>
      <w:lvlText w:val="(%1)"/>
      <w:numFmt w:val="upperLetter"/>
      <w:start w:val="2"/>
    </w:lvl>
  </w:abstractNum>
  <w:abstractNum w:abstractNumId="127">
    <w:nsid w:val="3494B2FB"/>
    <w:multiLevelType w:val="hybridMultilevel"/>
    <w:lvl w:ilvl="0">
      <w:lvlJc w:val="left"/>
      <w:lvlText w:val="(%1)"/>
      <w:numFmt w:val="lowerRoman"/>
      <w:start w:val="2"/>
    </w:lvl>
    <w:lvl w:ilvl="1">
      <w:lvlJc w:val="left"/>
      <w:lvlText w:val="(%2)"/>
      <w:numFmt w:val="upperLetter"/>
      <w:start w:val="1"/>
    </w:lvl>
  </w:abstractNum>
  <w:abstractNum w:abstractNumId="128">
    <w:nsid w:val="B13A31"/>
    <w:multiLevelType w:val="hybridMultilevel"/>
    <w:lvl w:ilvl="0">
      <w:lvlJc w:val="left"/>
      <w:lvlText w:val="(%1)"/>
      <w:numFmt w:val="lowerLetter"/>
      <w:start w:val="4"/>
    </w:lvl>
    <w:lvl w:ilvl="1">
      <w:lvlJc w:val="left"/>
      <w:lvlText w:val="(%2)"/>
      <w:numFmt w:val="lowerLetter"/>
      <w:start w:val="9"/>
    </w:lvl>
  </w:abstractNum>
  <w:abstractNum w:abstractNumId="129">
    <w:nsid w:val="64429599"/>
    <w:multiLevelType w:val="hybridMultilevel"/>
    <w:lvl w:ilvl="0">
      <w:lvlJc w:val="left"/>
      <w:lvlText w:val="(%1)"/>
      <w:numFmt w:val="lowerRoman"/>
      <w:start w:val="2"/>
    </w:lvl>
    <w:lvl w:ilvl="1">
      <w:lvlJc w:val="left"/>
      <w:lvlText w:val="(%2)"/>
      <w:numFmt w:val="upperLetter"/>
      <w:start w:val="1"/>
    </w:lvl>
  </w:abstractNum>
  <w:abstractNum w:abstractNumId="130">
    <w:nsid w:val="631F1690"/>
    <w:multiLevelType w:val="hybridMultilevel"/>
    <w:lvl w:ilvl="0">
      <w:lvlJc w:val="left"/>
      <w:lvlText w:val="(%1)"/>
      <w:numFmt w:val="lowerLetter"/>
      <w:start w:val="5"/>
    </w:lvl>
    <w:lvl w:ilvl="1">
      <w:lvlJc w:val="left"/>
      <w:lvlText w:val="(%2)"/>
      <w:numFmt w:val="lowerRoman"/>
      <w:start w:val="1"/>
    </w:lvl>
  </w:abstractNum>
  <w:abstractNum w:abstractNumId="131">
    <w:nsid w:val="25973E32"/>
    <w:multiLevelType w:val="hybridMultilevel"/>
    <w:lvl w:ilvl="0">
      <w:lvlJc w:val="left"/>
      <w:lvlText w:val="(%1)"/>
      <w:numFmt w:val="lowerLetter"/>
      <w:start w:val="6"/>
    </w:lvl>
  </w:abstractNum>
  <w:abstractNum w:abstractNumId="132">
    <w:nsid w:val="EAD6F57"/>
    <w:multiLevelType w:val="hybridMultilevel"/>
    <w:lvl w:ilvl="0">
      <w:lvlJc w:val="left"/>
      <w:lvlText w:val="%1"/>
      <w:numFmt w:val="decimal"/>
      <w:start w:val="1"/>
    </w:lvl>
    <w:lvl w:ilvl="1">
      <w:lvlJc w:val="left"/>
      <w:lvlText w:val="(%2)"/>
      <w:numFmt w:val="lowerRoman"/>
      <w:start w:val="1"/>
    </w:lvl>
  </w:abstractNum>
  <w:abstractNum w:abstractNumId="133">
    <w:nsid w:val="6EC9D844"/>
    <w:multiLevelType w:val="hybridMultilevel"/>
    <w:lvl w:ilvl="0">
      <w:lvlJc w:val="left"/>
      <w:lvlText w:val="(%1)"/>
      <w:numFmt w:val="decimal"/>
      <w:start w:val="2"/>
    </w:lvl>
    <w:lvl w:ilvl="1">
      <w:lvlJc w:val="left"/>
      <w:lvlText w:val="%2"/>
      <w:numFmt w:val="lowerRoman"/>
      <w:start w:val="1"/>
    </w:lvl>
  </w:abstractNum>
  <w:abstractNum w:abstractNumId="134">
    <w:nsid w:val="5C49EAEE"/>
    <w:multiLevelType w:val="hybridMultilevel"/>
    <w:lvl w:ilvl="0">
      <w:lvlJc w:val="left"/>
      <w:lvlText w:val="(%1)"/>
      <w:numFmt w:val="lowerRoman"/>
      <w:start w:val="1"/>
    </w:lvl>
  </w:abstractNum>
  <w:abstractNum w:abstractNumId="135">
    <w:nsid w:val="64AF49B"/>
    <w:multiLevelType w:val="hybridMultilevel"/>
    <w:lvl w:ilvl="0">
      <w:lvlJc w:val="left"/>
      <w:lvlText w:val="(%1)"/>
      <w:numFmt w:val="lowerLetter"/>
      <w:start w:val="1"/>
    </w:lvl>
    <w:lvl w:ilvl="1">
      <w:lvlJc w:val="left"/>
      <w:lvlText w:val="(%2)"/>
      <w:numFmt w:val="lowerLetter"/>
      <w:start w:val="9"/>
    </w:lvl>
  </w:abstractNum>
  <w:abstractNum w:abstractNumId="136">
    <w:nsid w:val="397C46BC"/>
    <w:multiLevelType w:val="hybridMultilevel"/>
    <w:lvl w:ilvl="0">
      <w:lvlJc w:val="left"/>
      <w:lvlText w:val="(%1)"/>
      <w:numFmt w:val="lowerRoman"/>
      <w:start w:val="2"/>
    </w:lvl>
  </w:abstractNum>
  <w:abstractNum w:abstractNumId="137">
    <w:nsid w:val="7E448DE9"/>
    <w:multiLevelType w:val="hybridMultilevel"/>
    <w:lvl w:ilvl="0">
      <w:lvlJc w:val="left"/>
      <w:lvlText w:val="(%1)"/>
      <w:numFmt w:val="lowerLetter"/>
      <w:start w:val="1"/>
    </w:lvl>
    <w:lvl w:ilvl="1">
      <w:lvlJc w:val="left"/>
      <w:lvlText w:val="(%2)"/>
      <w:numFmt w:val="lowerRoman"/>
      <w:start w:val="1"/>
    </w:lvl>
  </w:abstractNum>
  <w:abstractNum w:abstractNumId="138">
    <w:nsid w:val="5A9CC3E5"/>
    <w:multiLevelType w:val="hybridMultilevel"/>
    <w:lvl w:ilvl="0">
      <w:lvlJc w:val="left"/>
      <w:lvlText w:val="(%1)"/>
      <w:numFmt w:val="lowerLetter"/>
      <w:start w:val="2"/>
    </w:lvl>
  </w:abstractNum>
  <w:abstractNum w:abstractNumId="139">
    <w:nsid w:val="1AFE3625"/>
    <w:multiLevelType w:val="hybridMultilevel"/>
    <w:lvl w:ilvl="0">
      <w:lvlJc w:val="left"/>
      <w:lvlText w:val="%1"/>
      <w:numFmt w:val="lowerRoman"/>
      <w:start w:val="1"/>
    </w:lvl>
    <w:lvl w:ilvl="1">
      <w:lvlJc w:val="left"/>
      <w:lvlText w:val="(%2)"/>
      <w:numFmt w:val="lowerRoman"/>
      <w:start w:val="1"/>
    </w:lvl>
  </w:abstractNum>
  <w:abstractNum w:abstractNumId="140">
    <w:nsid w:val="3CA88ECF"/>
    <w:multiLevelType w:val="hybridMultilevel"/>
    <w:lvl w:ilvl="0">
      <w:lvlJc w:val="left"/>
      <w:lvlText w:val="(%1)"/>
      <w:numFmt w:val="lowerRoman"/>
      <w:start w:val="2"/>
    </w:lvl>
    <w:lvl w:ilvl="1">
      <w:lvlJc w:val="left"/>
      <w:lvlText w:val="%2"/>
      <w:numFmt w:val="lowerRoman"/>
      <w:start w:val="1"/>
    </w:lvl>
  </w:abstractNum>
  <w:abstractNum w:abstractNumId="141">
    <w:nsid w:val="6EBE4208"/>
    <w:multiLevelType w:val="hybridMultilevel"/>
    <w:lvl w:ilvl="0">
      <w:lvlJc w:val="left"/>
      <w:lvlText w:val="(%1)"/>
      <w:numFmt w:val="lowerLetter"/>
      <w:start w:val="1"/>
    </w:lvl>
  </w:abstractNum>
  <w:abstractNum w:abstractNumId="142">
    <w:nsid w:val="C058DF5"/>
    <w:multiLevelType w:val="hybridMultilevel"/>
    <w:lvl w:ilvl="0">
      <w:lvlJc w:val="left"/>
      <w:lvlText w:val="(%1)"/>
      <w:numFmt w:val="lowerLetter"/>
      <w:start w:val="1"/>
    </w:lvl>
  </w:abstractNum>
  <w:abstractNum w:abstractNumId="143">
    <w:nsid w:val="CBE5BE9"/>
    <w:multiLevelType w:val="hybridMultilevel"/>
    <w:lvl w:ilvl="0">
      <w:lvlJc w:val="left"/>
      <w:lvlText w:val="(%1)"/>
      <w:numFmt w:val="lowerLetter"/>
      <w:start w:val="1"/>
    </w:lvl>
    <w:lvl w:ilvl="1">
      <w:lvlJc w:val="left"/>
      <w:lvlText w:val="(%2)"/>
      <w:numFmt w:val="lowerLetter"/>
      <w:start w:val="9"/>
    </w:lvl>
  </w:abstractNum>
  <w:abstractNum w:abstractNumId="144">
    <w:nsid w:val="3102BBE2"/>
    <w:multiLevelType w:val="hybridMultilevel"/>
    <w:lvl w:ilvl="0">
      <w:lvlJc w:val="left"/>
      <w:lvlText w:val="(%1)"/>
      <w:numFmt w:val="lowerRoman"/>
      <w:start w:val="2"/>
    </w:lvl>
  </w:abstractNum>
  <w:abstractNum w:abstractNumId="145">
    <w:nsid w:val="26A02C5E"/>
    <w:multiLevelType w:val="hybridMultilevel"/>
    <w:lvl w:ilvl="0">
      <w:lvlJc w:val="left"/>
      <w:lvlText w:val="(%1)"/>
      <w:numFmt w:val="lowerRoman"/>
      <w:start w:val="3"/>
    </w:lvl>
  </w:abstractNum>
  <w:abstractNum w:abstractNumId="146">
    <w:nsid w:val="541C8153"/>
    <w:multiLevelType w:val="hybridMultilevel"/>
    <w:lvl w:ilvl="0">
      <w:lvlJc w:val="left"/>
      <w:lvlText w:val="(%1)"/>
      <w:numFmt w:val="lowerRoman"/>
      <w:start w:val="4"/>
    </w:lvl>
  </w:abstractNum>
  <w:abstractNum w:abstractNumId="147">
    <w:nsid w:val="67906F6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48">
    <w:nsid w:val="10DB9DAA"/>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149">
    <w:nsid w:val="697D2D2"/>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150">
    <w:nsid w:val="6D68AB2"/>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51">
    <w:nsid w:val="3A966CD0"/>
    <w:multiLevelType w:val="hybridMultilevel"/>
    <w:lvl w:ilvl="0">
      <w:lvlJc w:val="left"/>
      <w:lvlText w:val="(%1)"/>
      <w:numFmt w:val="lowerLetter"/>
      <w:start w:val="3"/>
    </w:lvl>
  </w:abstractNum>
  <w:abstractNum w:abstractNumId="152">
    <w:nsid w:val="63F37E85"/>
    <w:multiLevelType w:val="hybridMultilevel"/>
    <w:lvl w:ilvl="0">
      <w:lvlJc w:val="left"/>
      <w:lvlText w:val="(%1)"/>
      <w:numFmt w:val="lowerLetter"/>
      <w:start w:val="1"/>
    </w:lvl>
  </w:abstractNum>
  <w:abstractNum w:abstractNumId="153">
    <w:nsid w:val="5895F5FA"/>
    <w:multiLevelType w:val="hybridMultilevel"/>
    <w:lvl w:ilvl="0">
      <w:lvlJc w:val="left"/>
      <w:lvlText w:val="(%1)"/>
      <w:numFmt w:val="lowerLetter"/>
      <w:start w:val="1"/>
    </w:lvl>
  </w:abstractNum>
  <w:abstractNum w:abstractNumId="154">
    <w:nsid w:val="38A5D054"/>
    <w:multiLevelType w:val="hybridMultilevel"/>
    <w:lvl w:ilvl="0">
      <w:lvlJc w:val="left"/>
      <w:lvlText w:val="(%1)"/>
      <w:numFmt w:val="lowerLetter"/>
      <w:start w:val="1"/>
    </w:lvl>
    <w:lvl w:ilvl="1">
      <w:lvlJc w:val="left"/>
      <w:lvlText w:val="(%2)"/>
      <w:numFmt w:val="lowerRoman"/>
      <w:start w:val="1"/>
    </w:lvl>
  </w:abstractNum>
  <w:abstractNum w:abstractNumId="155">
    <w:nsid w:val="F3F09D8"/>
    <w:multiLevelType w:val="hybridMultilevel"/>
    <w:lvl w:ilvl="0">
      <w:lvlJc w:val="left"/>
      <w:lvlText w:val="(%1)"/>
      <w:numFmt w:val="lowerLetter"/>
      <w:start w:val="2"/>
    </w:lvl>
  </w:abstractNum>
  <w:abstractNum w:abstractNumId="156">
    <w:nsid w:val="4B793735"/>
    <w:multiLevelType w:val="hybridMultilevel"/>
    <w:lvl w:ilvl="0">
      <w:lvlJc w:val="left"/>
      <w:lvlText w:val="(%1)"/>
      <w:numFmt w:val="lowerLetter"/>
      <w:start w:val="1"/>
    </w:lvl>
  </w:abstractNum>
  <w:abstractNum w:abstractNumId="157">
    <w:nsid w:val="4A10B4E8"/>
    <w:multiLevelType w:val="hybridMultilevel"/>
    <w:lvl w:ilvl="0">
      <w:lvlJc w:val="left"/>
      <w:lvlText w:val="(%1)"/>
      <w:numFmt w:val="lowerLetter"/>
      <w:start w:val="3"/>
    </w:lvl>
  </w:abstractNum>
  <w:abstractNum w:abstractNumId="158">
    <w:nsid w:val="43D3BCD4"/>
    <w:multiLevelType w:val="hybridMultilevel"/>
    <w:lvl w:ilvl="0">
      <w:lvlJc w:val="left"/>
      <w:lvlText w:val="(%1)"/>
      <w:numFmt w:val="lowerLetter"/>
      <w:start w:val="1"/>
    </w:lvl>
  </w:abstractNum>
  <w:abstractNum w:abstractNumId="159">
    <w:nsid w:val="4C2A7166"/>
    <w:multiLevelType w:val="hybridMultilevel"/>
    <w:lvl w:ilvl="0">
      <w:lvlJc w:val="left"/>
      <w:lvlText w:val="(%1)"/>
      <w:numFmt w:val="lowerLetter"/>
      <w:start w:val="2"/>
    </w:lvl>
  </w:abstractNum>
  <w:abstractNum w:abstractNumId="160">
    <w:nsid w:val="2E534A82"/>
    <w:multiLevelType w:val="hybridMultilevel"/>
    <w:lvl w:ilvl="0">
      <w:lvlJc w:val="left"/>
      <w:lvlText w:val="(%1)"/>
      <w:numFmt w:val="lowerLetter"/>
      <w:start w:val="1"/>
    </w:lvl>
  </w:abstractNum>
  <w:abstractNum w:abstractNumId="161">
    <w:nsid w:val="26F2D364"/>
    <w:multiLevelType w:val="hybridMultilevel"/>
    <w:lvl w:ilvl="0">
      <w:lvlJc w:val="left"/>
      <w:lvlText w:val="(%1)"/>
      <w:numFmt w:val="lowerLetter"/>
      <w:start w:val="1"/>
    </w:lvl>
  </w:abstractNum>
  <w:abstractNum w:abstractNumId="162">
    <w:nsid w:val="71C1AF98"/>
    <w:multiLevelType w:val="hybridMultilevel"/>
    <w:lvl w:ilvl="0">
      <w:lvlJc w:val="left"/>
      <w:lvlText w:val="(%1)"/>
      <w:numFmt w:val="lowerLetter"/>
      <w:start w:val="1"/>
    </w:lvl>
  </w:abstractNum>
  <w:abstractNum w:abstractNumId="163">
    <w:nsid w:val="3D00B9D9"/>
    <w:multiLevelType w:val="hybridMultilevel"/>
    <w:lvl w:ilvl="0">
      <w:lvlJc w:val="left"/>
      <w:lvlText w:val="%1"/>
      <w:numFmt w:val="lowerLetter"/>
      <w:start w:val="1"/>
    </w:lvl>
    <w:lvl w:ilvl="1">
      <w:lvlJc w:val="left"/>
      <w:lvlText w:val="(%2)"/>
      <w:numFmt w:val="lowerLetter"/>
      <w:start w:val="1"/>
    </w:lvl>
  </w:abstractNum>
  <w:abstractNum w:abstractNumId="164">
    <w:nsid w:val="15BCABA8"/>
    <w:multiLevelType w:val="hybridMultilevel"/>
    <w:lvl w:ilvl="0">
      <w:lvlJc w:val="left"/>
      <w:lvlText w:val="(%1)"/>
      <w:numFmt w:val="lowerLetter"/>
      <w:start w:val="35"/>
    </w:lvl>
    <w:lvl w:ilvl="1">
      <w:lvlJc w:val="left"/>
      <w:lvlText w:val="%2"/>
      <w:numFmt w:val="lowerLetter"/>
      <w:start w:val="1"/>
    </w:lvl>
  </w:abstractNum>
  <w:abstractNum w:abstractNumId="165">
    <w:nsid w:val="4E0B9A87"/>
    <w:multiLevelType w:val="hybridMultilevel"/>
    <w:lvl w:ilvl="0">
      <w:lvlJc w:val="left"/>
      <w:lvlText w:val="(%1)"/>
      <w:numFmt w:val="lowerLetter"/>
      <w:start w:val="3"/>
    </w:lvl>
  </w:abstractNum>
  <w:abstractNum w:abstractNumId="166">
    <w:nsid w:val="434BAE75"/>
    <w:multiLevelType w:val="hybridMultilevel"/>
    <w:lvl w:ilvl="0">
      <w:lvlJc w:val="left"/>
      <w:lvlText w:val="(%1)"/>
      <w:numFmt w:val="lowerLetter"/>
      <w:start w:val="1"/>
    </w:lvl>
  </w:abstractNum>
  <w:abstractNum w:abstractNumId="167">
    <w:nsid w:val="4F38F265"/>
    <w:multiLevelType w:val="hybridMultilevel"/>
    <w:lvl w:ilvl="0">
      <w:lvlJc w:val="left"/>
      <w:lvlText w:val="(%1)"/>
      <w:numFmt w:val="lowerLetter"/>
      <w:start w:val="1"/>
    </w:lvl>
  </w:abstractNum>
  <w:abstractNum w:abstractNumId="168">
    <w:nsid w:val="4C502870"/>
    <w:multiLevelType w:val="hybridMultilevel"/>
    <w:lvl w:ilvl="0">
      <w:lvlJc w:val="left"/>
      <w:lvlText w:val="(%1)"/>
      <w:numFmt w:val="lowerLetter"/>
      <w:start w:val="1"/>
    </w:lvl>
  </w:abstractNum>
  <w:abstractNum w:abstractNumId="169">
    <w:nsid w:val="1DE8725A"/>
    <w:multiLevelType w:val="hybridMultilevel"/>
    <w:lvl w:ilvl="0">
      <w:lvlJc w:val="left"/>
      <w:lvlText w:val="(%1)"/>
      <w:numFmt w:val="lowerRoman"/>
      <w:start w:val="1"/>
    </w:lvl>
    <w:lvl w:ilvl="1">
      <w:lvlJc w:val="left"/>
      <w:lvlText w:val="(%2)"/>
      <w:numFmt w:val="upperLetter"/>
      <w:start w:val="1"/>
    </w:lvl>
  </w:abstractNum>
  <w:abstractNum w:abstractNumId="170">
    <w:nsid w:val="6A37288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71">
    <w:nsid w:val="8F8B73F"/>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72">
    <w:nsid w:val="CA6B46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3">
    <w:nsid w:val="763CB680"/>
    <w:multiLevelType w:val="hybridMultilevel"/>
    <w:lvl w:ilvl="0">
      <w:lvlJc w:val="left"/>
      <w:lvlText w:val="(%1)"/>
      <w:numFmt w:val="lowerLetter"/>
      <w:start w:val="1"/>
    </w:lvl>
  </w:abstractNum>
  <w:abstractNum w:abstractNumId="174">
    <w:nsid w:val="15B71329"/>
    <w:multiLevelType w:val="hybridMultilevel"/>
    <w:lvl w:ilvl="0">
      <w:lvlJc w:val="left"/>
      <w:lvlText w:val="(%1)"/>
      <w:numFmt w:val="lowerLetter"/>
      <w:start w:val="1"/>
    </w:lvl>
    <w:lvl w:ilvl="1">
      <w:lvlJc w:val="left"/>
      <w:lvlText w:val="(%2)"/>
      <w:numFmt w:val="lowerLetter"/>
      <w:start w:val="9"/>
    </w:lvl>
  </w:abstractNum>
  <w:abstractNum w:abstractNumId="175">
    <w:nsid w:val="3DA9704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76">
    <w:nsid w:val="1CDCE2D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77">
    <w:nsid w:val="69D394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78">
    <w:nsid w:val="2539DFA5"/>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79">
    <w:nsid w:val="2DB88089"/>
    <w:multiLevelType w:val="hybridMultilevel"/>
    <w:lvl w:ilvl="0">
      <w:lvlJc w:val="left"/>
      <w:lvlText w:val="(%1)"/>
      <w:numFmt w:val="lowerRoman"/>
      <w:start w:val="2"/>
    </w:lvl>
  </w:abstractNum>
  <w:abstractNum w:abstractNumId="180">
    <w:nsid w:val="706B674E"/>
    <w:multiLevelType w:val="hybridMultilevel"/>
    <w:lvl w:ilvl="0">
      <w:lvlJc w:val="left"/>
      <w:lvlText w:val="(%1)"/>
      <w:numFmt w:val="lowerLetter"/>
      <w:start w:val="1"/>
    </w:lvl>
  </w:abstractNum>
  <w:abstractNum w:abstractNumId="181">
    <w:nsid w:val="2C106A57"/>
    <w:multiLevelType w:val="hybridMultilevel"/>
    <w:lvl w:ilvl="0">
      <w:lvlJc w:val="left"/>
      <w:lvlText w:val="(%1)"/>
      <w:numFmt w:val="lowerLetter"/>
      <w:start w:val="1"/>
    </w:lvl>
    <w:lvl w:ilvl="1">
      <w:lvlJc w:val="left"/>
      <w:lvlText w:val="(%2)"/>
      <w:numFmt w:val="lowerRoman"/>
      <w:start w:val="1"/>
    </w:lvl>
  </w:abstractNum>
  <w:abstractNum w:abstractNumId="182">
    <w:nsid w:val="684EED59"/>
    <w:multiLevelType w:val="hybridMultilevel"/>
    <w:lvl w:ilvl="0">
      <w:lvlJc w:val="left"/>
      <w:lvlText w:val="(%1)"/>
      <w:numFmt w:val="lowerLetter"/>
      <w:start w:val="2"/>
    </w:lvl>
    <w:lvl w:ilvl="1">
      <w:lvlJc w:val="left"/>
      <w:lvlText w:val="(%2)"/>
      <w:numFmt w:val="lowerRoman"/>
      <w:start w:val="1"/>
    </w:lvl>
  </w:abstractNum>
  <w:abstractNum w:abstractNumId="183">
    <w:nsid w:val="545EE5D3"/>
    <w:multiLevelType w:val="hybridMultilevel"/>
    <w:lvl w:ilvl="0">
      <w:lvlJc w:val="left"/>
      <w:lvlText w:val="(%1)"/>
      <w:numFmt w:val="lowerLetter"/>
      <w:start w:val="1"/>
    </w:lvl>
  </w:abstractNum>
  <w:abstractNum w:abstractNumId="184">
    <w:nsid w:val="4A66051"/>
    <w:multiLevelType w:val="hybridMultilevel"/>
    <w:lvl w:ilvl="0">
      <w:lvlJc w:val="left"/>
      <w:lvlText w:val="(%1)"/>
      <w:numFmt w:val="lowerLetter"/>
      <w:start w:val="3"/>
    </w:lvl>
  </w:abstractNum>
  <w:abstractNum w:abstractNumId="185">
    <w:nsid w:val="20F4BDA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6">
    <w:nsid w:val="639DEFAC"/>
    <w:multiLevelType w:val="hybridMultilevel"/>
    <w:lvl w:ilvl="0">
      <w:lvlJc w:val="left"/>
      <w:lvlText w:val="%1"/>
      <w:numFmt w:val="upperLetter"/>
      <w:start w:val="1"/>
    </w:lvl>
    <w:lvl w:ilvl="1">
      <w:lvlJc w:val="left"/>
      <w:lvlText w:val="(%2)"/>
      <w:numFmt w:val="decimal"/>
      <w:start w:val="1"/>
    </w:lvl>
  </w:abstractNum>
  <w:abstractNum w:abstractNumId="187">
    <w:nsid w:val="501F9786"/>
    <w:multiLevelType w:val="hybridMultilevel"/>
    <w:lvl w:ilvl="0">
      <w:lvlJc w:val="left"/>
      <w:lvlText w:val="(%1)"/>
      <w:numFmt w:val="upperLetter"/>
      <w:start w:val="2"/>
    </w:lvl>
    <w:lvl w:ilvl="1">
      <w:lvlJc w:val="left"/>
      <w:lvlText w:val="%2"/>
      <w:numFmt w:val="decimal"/>
      <w:start w:val="1"/>
    </w:lvl>
  </w:abstractNum>
  <w:abstractNum w:abstractNumId="188">
    <w:nsid w:val="6B05729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189">
    <w:nsid w:val="2771AC80"/>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90">
    <w:nsid w:val="1C4A08E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191">
    <w:nsid w:val="1958BD17"/>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92">
    <w:nsid w:val="4E647FE4"/>
    <w:multiLevelType w:val="hybridMultilevel"/>
    <w:lvl w:ilvl="0">
      <w:lvlJc w:val="left"/>
      <w:lvlText w:val="(%1)"/>
      <w:numFmt w:val="lowerLetter"/>
      <w:start w:val="1"/>
    </w:lvl>
  </w:abstractNum>
  <w:abstractNum w:abstractNumId="193">
    <w:nsid w:val="E0BB885"/>
    <w:multiLevelType w:val="hybridMultilevel"/>
    <w:lvl w:ilvl="0">
      <w:lvlJc w:val="left"/>
      <w:lvlText w:val="(%1)"/>
      <w:numFmt w:val="lowerLetter"/>
      <w:start w:val="1"/>
    </w:lvl>
    <w:lvl w:ilvl="1">
      <w:lvlJc w:val="left"/>
      <w:lvlText w:val="(%2)"/>
      <w:numFmt w:val="lowerRoman"/>
      <w:start w:val="1"/>
    </w:lvl>
  </w:abstractNum>
  <w:abstractNum w:abstractNumId="194">
    <w:nsid w:val="565976F1"/>
    <w:multiLevelType w:val="hybridMultilevel"/>
    <w:lvl w:ilvl="0">
      <w:lvlJc w:val="left"/>
      <w:lvlText w:val="(%1)"/>
      <w:numFmt w:val="lowerLetter"/>
      <w:start w:val="2"/>
    </w:lvl>
    <w:lvl w:ilvl="1">
      <w:lvlJc w:val="left"/>
      <w:lvlText w:val="(%2)"/>
      <w:numFmt w:val="lowerRoman"/>
      <w:start w:val="1"/>
    </w:lvl>
  </w:abstractNum>
  <w:abstractNum w:abstractNumId="195">
    <w:nsid w:val="64212B8C"/>
    <w:multiLevelType w:val="hybridMultilevel"/>
    <w:lvl w:ilvl="0">
      <w:lvlJc w:val="left"/>
      <w:lvlText w:val="(%1)"/>
      <w:numFmt w:val="lowerLetter"/>
      <w:start w:val="3"/>
    </w:lvl>
    <w:lvl w:ilvl="1">
      <w:lvlJc w:val="left"/>
      <w:lvlText w:val="(%2)"/>
      <w:numFmt w:val="lowerLetter"/>
      <w:start w:val="9"/>
    </w:lvl>
  </w:abstractNum>
  <w:abstractNum w:abstractNumId="196">
    <w:nsid w:val="5C17530C"/>
    <w:multiLevelType w:val="hybridMultilevel"/>
    <w:lvl w:ilvl="0">
      <w:lvlJc w:val="left"/>
      <w:lvlText w:val="(%1)"/>
      <w:numFmt w:val="lowerRoman"/>
      <w:start w:val="2"/>
    </w:lvl>
  </w:abstractNum>
  <w:abstractNum w:abstractNumId="197">
    <w:nsid w:val="19A52566"/>
    <w:multiLevelType w:val="hybridMultilevel"/>
    <w:lvl w:ilvl="0">
      <w:lvlJc w:val="left"/>
      <w:lvlText w:val="(%1)"/>
      <w:numFmt w:val="lowerRoman"/>
      <w:start w:val="3"/>
    </w:lvl>
  </w:abstractNum>
  <w:abstractNum w:abstractNumId="198">
    <w:nsid w:val="335A1DF1"/>
    <w:multiLevelType w:val="hybridMultilevel"/>
    <w:lvl w:ilvl="0">
      <w:lvlJc w:val="left"/>
      <w:lvlText w:val="(%1)"/>
      <w:numFmt w:val="lowerLetter"/>
      <w:start w:val="4"/>
    </w:lvl>
  </w:abstractNum>
  <w:abstractNum w:abstractNumId="199">
    <w:nsid w:val="28677B7C"/>
    <w:multiLevelType w:val="hybridMultilevel"/>
    <w:lvl w:ilvl="0">
      <w:lvlJc w:val="left"/>
      <w:lvlText w:val="(%1)"/>
      <w:numFmt w:val="lowerLetter"/>
      <w:start w:val="1"/>
    </w:lvl>
  </w:abstractNum>
  <w:abstractNum w:abstractNumId="200">
    <w:nsid w:val="378D97C0"/>
    <w:multiLevelType w:val="hybridMultilevel"/>
    <w:lvl w:ilvl="0">
      <w:lvlJc w:val="left"/>
      <w:lvlText w:val="(%1)"/>
      <w:numFmt w:val="lowerLetter"/>
      <w:start w:val="1"/>
    </w:lvl>
  </w:abstractNum>
  <w:abstractNum w:abstractNumId="201">
    <w:nsid w:val="1D91467C"/>
    <w:multiLevelType w:val="hybridMultilevel"/>
    <w:lvl w:ilvl="0">
      <w:lvlJc w:val="left"/>
      <w:lvlText w:val="(%1)"/>
      <w:numFmt w:val="lowerLetter"/>
      <w:start w:val="2"/>
    </w:lvl>
  </w:abstractNum>
  <w:abstractNum w:abstractNumId="202">
    <w:nsid w:val="316032BB"/>
    <w:multiLevelType w:val="hybridMultilevel"/>
    <w:lvl w:ilvl="0">
      <w:lvlJc w:val="left"/>
      <w:lvlText w:val="(%1)"/>
      <w:numFmt w:val="lowerLetter"/>
      <w:start w:val="1"/>
    </w:lvl>
  </w:abstractNum>
  <w:abstractNum w:abstractNumId="203">
    <w:nsid w:val="44344C22"/>
    <w:multiLevelType w:val="hybridMultilevel"/>
    <w:lvl w:ilvl="0">
      <w:lvlJc w:val="left"/>
      <w:lvlText w:val="(%1)"/>
      <w:numFmt w:val="lowerLetter"/>
      <w:start w:val="1"/>
    </w:lvl>
  </w:abstractNum>
  <w:abstractNum w:abstractNumId="204">
    <w:nsid w:val="13CDFCFC"/>
    <w:multiLevelType w:val="hybridMultilevel"/>
    <w:lvl w:ilvl="0">
      <w:lvlJc w:val="left"/>
      <w:lvlText w:val="(%1)"/>
      <w:numFmt w:val="lowerRoman"/>
      <w:start w:val="1"/>
    </w:lvl>
  </w:abstractNum>
  <w:abstractNum w:abstractNumId="205">
    <w:nsid w:val="471745E4"/>
    <w:multiLevelType w:val="hybridMultilevel"/>
    <w:lvl w:ilvl="0">
      <w:lvlJc w:val="left"/>
      <w:lvlText w:val="(%1)"/>
      <w:numFmt w:val="lowerRoman"/>
      <w:start w:val="2"/>
    </w:lvl>
  </w:abstractNum>
  <w:abstractNum w:abstractNumId="206">
    <w:nsid w:val="1DDBC66"/>
    <w:multiLevelType w:val="hybridMultilevel"/>
    <w:lvl w:ilvl="0">
      <w:lvlJc w:val="left"/>
      <w:lvlText w:val="(%1)"/>
      <w:numFmt w:val="lowerLetter"/>
      <w:start w:val="2"/>
    </w:lvl>
  </w:abstractNum>
  <w:abstractNum w:abstractNumId="207">
    <w:nsid w:val="30AADFDA"/>
    <w:multiLevelType w:val="hybridMultilevel"/>
    <w:lvl w:ilvl="0">
      <w:lvlJc w:val="left"/>
      <w:lvlText w:val="(%1)"/>
      <w:numFmt w:val="lowerLetter"/>
      <w:start w:val="1"/>
    </w:lvl>
    <w:lvl w:ilvl="1">
      <w:lvlJc w:val="left"/>
      <w:lvlText w:val="(%2)"/>
      <w:numFmt w:val="lowerRoman"/>
      <w:start w:val="1"/>
    </w:lvl>
  </w:abstractNum>
  <w:abstractNum w:abstractNumId="208">
    <w:nsid w:val="30EADA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9">
    <w:nsid w:val="27179C0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0">
    <w:nsid w:val="5E63606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1">
    <w:nsid w:val="215641A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2">
    <w:nsid w:val="5328066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13">
    <w:nsid w:val="46B24DB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3"/>
    </w:lvl>
  </w:abstractNum>
  <w:abstractNum w:abstractNumId="214">
    <w:nsid w:val="75B5278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15">
    <w:nsid w:val="57CE66B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6">
    <w:nsid w:val="67A70B69"/>
    <w:multiLevelType w:val="hybridMultilevel"/>
    <w:lvl w:ilvl="0">
      <w:lvlJc w:val="left"/>
      <w:lvlText w:val="(%1)"/>
      <w:numFmt w:val="lowerLetter"/>
      <w:start w:val="5"/>
    </w:lvl>
  </w:abstractNum>
  <w:abstractNum w:abstractNumId="217">
    <w:nsid w:val="5953172F"/>
    <w:multiLevelType w:val="hybridMultilevel"/>
    <w:lvl w:ilvl="0">
      <w:lvlJc w:val="left"/>
      <w:lvlText w:val="%1"/>
      <w:numFmt w:val="decimal"/>
      <w:start w:val="1"/>
    </w:lvl>
    <w:lvl w:ilvl="1">
      <w:lvlJc w:val="left"/>
      <w:lvlText w:val="(%2)"/>
      <w:numFmt w:val="lowerRoman"/>
      <w:start w:val="1"/>
    </w:lvl>
  </w:abstractNum>
  <w:abstractNum w:abstractNumId="218">
    <w:nsid w:val="27EDFE3A"/>
    <w:multiLevelType w:val="hybridMultilevel"/>
    <w:lvl w:ilvl="0">
      <w:lvlJc w:val="left"/>
      <w:lvlText w:val="(%1)"/>
      <w:numFmt w:val="decimal"/>
      <w:start w:val="5"/>
    </w:lvl>
    <w:lvl w:ilvl="1">
      <w:lvlJc w:val="left"/>
      <w:lvlText w:val="%2"/>
      <w:numFmt w:val="lowerRoman"/>
      <w:start w:val="1"/>
    </w:lvl>
  </w:abstractNum>
  <w:abstractNum w:abstractNumId="219">
    <w:nsid w:val="52AC7DFF"/>
    <w:multiLevelType w:val="hybridMultilevel"/>
    <w:lvl w:ilvl="0">
      <w:lvlJc w:val="left"/>
      <w:lvlText w:val="(%1)"/>
      <w:numFmt w:val="lowerLetter"/>
      <w:start w:val="6"/>
    </w:lvl>
  </w:abstractNum>
  <w:abstractNum w:abstractNumId="220">
    <w:nsid w:val="C4C3AF"/>
    <w:multiLevelType w:val="hybridMultilevel"/>
    <w:lvl w:ilvl="0">
      <w:lvlJc w:val="left"/>
      <w:lvlText w:val="(%1)"/>
      <w:numFmt w:val="lowerLetter"/>
      <w:start w:val="1"/>
    </w:lvl>
  </w:abstractNum>
  <w:abstractNum w:abstractNumId="221">
    <w:nsid w:val="44380727"/>
    <w:multiLevelType w:val="hybridMultilevel"/>
    <w:lvl w:ilvl="0">
      <w:lvlJc w:val="left"/>
      <w:lvlText w:val="(%1)"/>
      <w:numFmt w:val="lowerRoman"/>
      <w:start w:val="1"/>
    </w:lvl>
  </w:abstractNum>
  <w:abstractNum w:abstractNumId="222">
    <w:nsid w:val="6C053B16"/>
    <w:multiLevelType w:val="hybridMultilevel"/>
    <w:lvl w:ilvl="0">
      <w:lvlJc w:val="left"/>
      <w:lvlText w:val="(%1)"/>
      <w:numFmt w:val="lowerLetter"/>
      <w:start w:val="1"/>
    </w:lvl>
  </w:abstractNum>
  <w:abstractNum w:abstractNumId="223">
    <w:nsid w:val="4F294393"/>
    <w:multiLevelType w:val="hybridMultilevel"/>
    <w:lvl w:ilvl="0">
      <w:lvlJc w:val="left"/>
      <w:lvlText w:val="(%1)"/>
      <w:numFmt w:val="lowerLetter"/>
      <w:start w:val="2"/>
    </w:lvl>
  </w:abstractNum>
  <w:abstractNum w:abstractNumId="224">
    <w:nsid w:val="5243BFAC"/>
    <w:multiLevelType w:val="hybridMultilevel"/>
    <w:lvl w:ilvl="0">
      <w:lvlJc w:val="left"/>
      <w:lvlText w:val="(%1)"/>
      <w:numFmt w:val="lowerLetter"/>
      <w:start w:val="1"/>
    </w:lvl>
  </w:abstractNum>
  <w:abstractNum w:abstractNumId="225">
    <w:nsid w:val="425EB207"/>
    <w:multiLevelType w:val="hybridMultilevel"/>
    <w:lvl w:ilvl="0">
      <w:lvlJc w:val="left"/>
      <w:lvlText w:val="(%1)"/>
      <w:numFmt w:val="lowerLetter"/>
      <w:start w:val="1"/>
    </w:lvl>
  </w:abstractNum>
  <w:abstractNum w:abstractNumId="226">
    <w:nsid w:val="334A6F1F"/>
    <w:multiLevelType w:val="hybridMultilevel"/>
    <w:lvl w:ilvl="0">
      <w:lvlJc w:val="left"/>
      <w:lvlText w:val="(%1)"/>
      <w:numFmt w:val="lowerRoman"/>
      <w:start w:val="1"/>
    </w:lvl>
  </w:abstractNum>
  <w:abstractNum w:abstractNumId="227">
    <w:nsid w:val="2E5B12B8"/>
    <w:multiLevelType w:val="hybridMultilevel"/>
    <w:lvl w:ilvl="0">
      <w:lvlJc w:val="left"/>
      <w:lvlText w:val="(%1)"/>
      <w:numFmt w:val="lowerRoman"/>
      <w:start w:val="2"/>
    </w:lvl>
  </w:abstractNum>
  <w:abstractNum w:abstractNumId="228">
    <w:nsid w:val="5C03D76D"/>
    <w:multiLevelType w:val="hybridMultilevel"/>
    <w:lvl w:ilvl="0">
      <w:lvlJc w:val="left"/>
      <w:lvlText w:val="(%1)"/>
      <w:numFmt w:val="lowerLetter"/>
      <w:start w:val="2"/>
    </w:lvl>
    <w:lvl w:ilvl="1">
      <w:lvlJc w:val="left"/>
      <w:lvlText w:val="(%2)"/>
      <w:numFmt w:val="lowerRoman"/>
      <w:start w:val="1"/>
    </w:lvl>
  </w:abstractNum>
  <w:abstractNum w:abstractNumId="229">
    <w:nsid w:val="66A48D11"/>
    <w:multiLevelType w:val="hybridMultilevel"/>
    <w:lvl w:ilvl="0">
      <w:lvlJc w:val="left"/>
      <w:lvlText w:val="(%1)"/>
      <w:numFmt w:val="lowerLetter"/>
      <w:start w:val="1"/>
    </w:lvl>
  </w:abstractNum>
  <w:abstractNum w:abstractNumId="230">
    <w:nsid w:val="56C28E34"/>
    <w:multiLevelType w:val="hybridMultilevel"/>
    <w:lvl w:ilvl="0">
      <w:lvlJc w:val="left"/>
      <w:lvlText w:val="(%1)"/>
      <w:numFmt w:val="lowerLetter"/>
      <w:start w:val="2"/>
    </w:lvl>
  </w:abstractNum>
  <w:abstractNum w:abstractNumId="231">
    <w:nsid w:val="13916F2D"/>
    <w:multiLevelType w:val="hybridMultilevel"/>
    <w:lvl w:ilvl="0">
      <w:lvlJc w:val="left"/>
      <w:lvlText w:val="(%1)"/>
      <w:numFmt w:val="lowerLetter"/>
      <w:start w:val="1"/>
    </w:lvl>
    <w:lvl w:ilvl="1">
      <w:lvlJc w:val="left"/>
      <w:lvlText w:val="(%2)"/>
      <w:numFmt w:val="lowerLetter"/>
      <w:start w:val="9"/>
    </w:lvl>
  </w:abstractNum>
  <w:abstractNum w:abstractNumId="232">
    <w:nsid w:val="435D38D"/>
    <w:multiLevelType w:val="hybridMultilevel"/>
    <w:lvl w:ilvl="0">
      <w:lvlJc w:val="left"/>
      <w:lvlText w:val="(%1)"/>
      <w:numFmt w:val="lowerRoman"/>
      <w:start w:val="2"/>
    </w:lvl>
  </w:abstractNum>
  <w:abstractNum w:abstractNumId="233">
    <w:nsid w:val="822C0EF"/>
    <w:multiLevelType w:val="hybridMultilevel"/>
    <w:lvl w:ilvl="0">
      <w:lvlJc w:val="left"/>
      <w:lvlText w:val="(%1)"/>
      <w:numFmt w:val="lowerRoman"/>
      <w:start w:val="3"/>
    </w:lvl>
  </w:abstractNum>
  <w:abstractNum w:abstractNumId="234">
    <w:nsid w:val="57C5BB4F"/>
    <w:multiLevelType w:val="hybridMultilevel"/>
    <w:lvl w:ilvl="0">
      <w:lvlJc w:val="left"/>
      <w:lvlText w:val="(%1)"/>
      <w:numFmt w:val="lowerRoman"/>
      <w:start w:val="4"/>
    </w:lvl>
  </w:abstractNum>
  <w:abstractNum w:abstractNumId="235">
    <w:nsid w:val="1803D08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36">
    <w:nsid w:val="4F3A06D4"/>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237">
    <w:nsid w:val="59A377B6"/>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238">
    <w:nsid w:val="48AEB063"/>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39">
    <w:nsid w:val="24E135"/>
    <w:multiLevelType w:val="hybridMultilevel"/>
    <w:lvl w:ilvl="0">
      <w:lvlJc w:val="left"/>
      <w:lvlText w:val="(%1)"/>
      <w:numFmt w:val="lowerLetter"/>
      <w:start w:val="3"/>
    </w:lvl>
  </w:abstractNum>
  <w:abstractNum w:abstractNumId="240">
    <w:nsid w:val="BB13C1"/>
    <w:multiLevelType w:val="hybridMultilevel"/>
    <w:lvl w:ilvl="0">
      <w:lvlJc w:val="left"/>
      <w:lvlText w:val="(%1)"/>
      <w:numFmt w:val="lowerLetter"/>
      <w:start w:val="1"/>
    </w:lvl>
  </w:abstractNum>
  <w:abstractNum w:abstractNumId="241">
    <w:nsid w:val="271210C7"/>
    <w:multiLevelType w:val="hybridMultilevel"/>
    <w:lvl w:ilvl="0">
      <w:lvlJc w:val="left"/>
      <w:lvlText w:val="(%1)"/>
      <w:numFmt w:val="lowerLetter"/>
      <w:start w:val="1"/>
    </w:lvl>
  </w:abstractNum>
  <w:abstractNum w:abstractNumId="242">
    <w:nsid w:val="217B22E4"/>
    <w:multiLevelType w:val="hybridMultilevel"/>
    <w:lvl w:ilvl="0">
      <w:lvlJc w:val="left"/>
      <w:lvlText w:val="%1."/>
      <w:numFmt w:val="decimal"/>
      <w:start w:val="1"/>
    </w:lvl>
    <w:lvl w:ilvl="1">
      <w:lvlJc w:val="left"/>
      <w:lvlText w:val="%2)"/>
      <w:numFmt w:val="lowerLetter"/>
      <w:start w:val="1"/>
    </w:lvl>
  </w:abstractNum>
  <w:abstractNum w:abstractNumId="243">
    <w:nsid w:val="53E31A24"/>
    <w:multiLevelType w:val="hybridMultilevel"/>
    <w:lvl w:ilvl="0">
      <w:lvlJc w:val="left"/>
      <w:lvlText w:val="%1."/>
      <w:numFmt w:val="decimal"/>
      <w:start w:val="1"/>
    </w:lvl>
    <w:lvl w:ilvl="1">
      <w:lvlJc w:val="left"/>
      <w:lvlText w:val="%2)"/>
      <w:numFmt w:val="lowerLetter"/>
      <w:start w:val="1"/>
    </w:lvl>
  </w:abstractNum>
  <w:abstractNum w:abstractNumId="244">
    <w:nsid w:val="6DC45E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49" Type="http://schemas.openxmlformats.org/officeDocument/2006/relationships/hyperlink" Target="http://www.sec.gov/Archives/edgar/data/1166691/000095010321005001/dp148717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2021-04-29T15:20:09Z</dcterms:created>
  <dcterms:modified xsi:type="dcterms:W3CDTF">2021-04-29T15:20:09Z</dcterms:modified>
</cp:coreProperties>
</file>