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December 31, 2000</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w:t>
      </w:r>
    </w:p>
    <w:p>
      <w:pPr>
        <w:ind w:left="640"/>
        <w:spacing w:after="0"/>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ectPr>
          <w:pgSz w:w="11900" w:h="16838" w:orient="portrait"/>
          <w:cols w:equalWidth="0" w:num="3">
            <w:col w:w="2660" w:space="720"/>
            <w:col w:w="2860" w:space="720"/>
            <w:col w:w="3259"/>
          </w:cols>
          <w:pgMar w:left="240" w:top="447" w:right="1440" w:bottom="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jc w:val="both"/>
        <w:ind w:left="1280" w:right="3039" w:firstLine="105"/>
        <w:spacing w:after="0" w:line="236" w:lineRule="auto"/>
        <w:rPr>
          <w:sz w:val="20"/>
          <w:szCs w:val="20"/>
          <w:color w:val="auto"/>
        </w:rPr>
      </w:pPr>
      <w:r>
        <w:rPr>
          <w:rFonts w:ascii="Courier New" w:cs="Courier New" w:eastAsia="Courier New" w:hAnsi="Courier New"/>
          <w:sz w:val="18"/>
          <w:szCs w:val="18"/>
          <w:color w:val="auto"/>
        </w:rPr>
        <w:t>1500 Market Street, Philadelphia, PA 19102-2148 -------------------------------------------------------- (Address of principal executive offices) (Zip Code)</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37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Comcast Cable Communications, Inc. ("Comcast Cable" or the "Company"), an indirect wholly owned subsidiary of Comcast Corporation ("Comcast"), completed its previously announced cable system exchanges with AT&amp;T Corp. ("AT&amp;T") and Adelphia Communications ("Adelphia") on December 31, 2000 and January 1, 2001, respectively. The two separate transactions with AT&amp;T and Adelphia involved the exchange of cable systems serving an aggregate of approximately 2.4 million subscribers. These cable system exchanges will enable Comcast Cable to increase its geographic coverage by establishing larger regional clusters that strategically support the growth of the Company, as well as its ability to provide new products to its subscribers.</w:t>
      </w:r>
    </w:p>
    <w:p>
      <w:pPr>
        <w:spacing w:after="0" w:line="215"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 the AT&amp;T transaction, Comcast Cable received cable systems serving approximately 770,000 subscribers in Washington, D.C., as well as in parts of Pennsylvania, New Jersey, western Florida and Michigan. In exchange, AT&amp;T received cable systems from Comcast Cable serving approximately 700,000 subscribers in Sacramento, Colorado, Chicago, eastern Florida, Georgia and Westmoreland, Pennsylvania. In a separate transaction, which is expected to close in the first half of 2001 subject to the receipt of customary closing conditions and regulatory approvals, Comcast will acquire cable systems from AT&amp;T serving approximately 700,000 subscribers in New Mexico, Maryland, Pennsylvania, New Jersey and Tennessee in exchange for AT&amp;T common stock that Comcast currently owns or may acquire.</w:t>
      </w:r>
    </w:p>
    <w:p>
      <w:pPr>
        <w:spacing w:after="0" w:line="216" w:lineRule="exact"/>
        <w:rPr>
          <w:sz w:val="24"/>
          <w:szCs w:val="24"/>
          <w:color w:val="auto"/>
        </w:rPr>
      </w:pPr>
    </w:p>
    <w:p>
      <w:pPr>
        <w:jc w:val="both"/>
        <w:ind w:right="1779" w:firstLine="948"/>
        <w:spacing w:after="0" w:line="273" w:lineRule="auto"/>
        <w:rPr>
          <w:sz w:val="20"/>
          <w:szCs w:val="20"/>
          <w:color w:val="auto"/>
        </w:rPr>
      </w:pPr>
      <w:r>
        <w:rPr>
          <w:rFonts w:ascii="Courier New" w:cs="Courier New" w:eastAsia="Courier New" w:hAnsi="Courier New"/>
          <w:sz w:val="16"/>
          <w:szCs w:val="16"/>
          <w:color w:val="auto"/>
        </w:rPr>
        <w:t>In the Adelphia transaction, Comcast Cable received cable systems serving approximately 460,000 subscribers in New Jersey, eastern Pennsylvania, Michigan, Indiana, New Mexico and western Florida. In exchange, Adelphia received cable systems from Comcast Cable serving approximately 440,000 subscribers in the greater Los Angeles area, as well as in Palm Beach, Florida.</w:t>
      </w:r>
    </w:p>
    <w:p>
      <w:pPr>
        <w:spacing w:after="0" w:line="185" w:lineRule="exact"/>
        <w:rPr>
          <w:sz w:val="24"/>
          <w:szCs w:val="24"/>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Certain of the subscribers and locations indicated above make minimum corrections to those contained in the Company's press release of January 2, 2001.</w:t>
      </w:r>
    </w:p>
    <w:p>
      <w:pPr>
        <w:sectPr>
          <w:pgSz w:w="11900" w:h="16838" w:orient="portrait"/>
          <w:cols w:equalWidth="0" w:num="1">
            <w:col w:w="10219"/>
          </w:cols>
          <w:pgMar w:left="240" w:top="447" w:right="1440" w:bottom="0" w:gutter="0" w:footer="0" w:header="0"/>
          <w:type w:val="continuous"/>
        </w:sectPr>
      </w:pPr>
    </w:p>
    <w:bookmarkStart w:id="1" w:name="page2"/>
    <w:bookmarkEnd w:id="1"/>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344"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4, 2001</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3">
            <w:col w:w="640" w:space="220"/>
            <w:col w:w="3160" w:space="720"/>
            <w:col w:w="5479"/>
          </w:cols>
          <w:pgMar w:left="240" w:top="717" w:right="1440" w:bottom="1440" w:gutter="0" w:footer="0" w:header="0"/>
          <w:type w:val="continuous"/>
        </w:sectPr>
      </w:pPr>
    </w:p>
    <w:p>
      <w:pPr>
        <w:spacing w:after="0" w:line="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 /s/ William E. Dordelman</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William E. Dordelman</w:t>
      </w:r>
    </w:p>
    <w:p>
      <w:pPr>
        <w:ind w:left="516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2019-12-12T23:13:50Z</dcterms:created>
  <dcterms:modified xsi:type="dcterms:W3CDTF">2019-12-12T23:13:50Z</dcterms:modified>
</cp:coreProperties>
</file>