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300" w:type="dxa"/>
            <w:vAlign w:val="bottom"/>
          </w:tcPr>
          <w:p>
            <w:pPr>
              <w:spacing w:after="0"/>
              <w:rPr>
                <w:sz w:val="24"/>
                <w:szCs w:val="24"/>
                <w:color w:val="auto"/>
              </w:rPr>
            </w:pPr>
          </w:p>
        </w:tc>
        <w:tc>
          <w:tcPr>
            <w:tcW w:w="7920" w:type="dxa"/>
            <w:vAlign w:val="bottom"/>
          </w:tcPr>
          <w:p>
            <w:pPr>
              <w:jc w:val="center"/>
              <w:ind w:left="2817"/>
              <w:spacing w:after="0"/>
              <w:rPr>
                <w:sz w:val="20"/>
                <w:szCs w:val="20"/>
                <w:color w:val="auto"/>
              </w:rPr>
            </w:pPr>
            <w:r>
              <w:rPr>
                <w:rFonts w:ascii="Arial" w:cs="Arial" w:eastAsia="Arial" w:hAnsi="Arial"/>
                <w:sz w:val="32"/>
                <w:szCs w:val="32"/>
                <w:b w:val="1"/>
                <w:bCs w:val="1"/>
                <w:color w:val="auto"/>
              </w:rPr>
              <w:t>FORM 8-K</w:t>
            </w:r>
          </w:p>
        </w:tc>
        <w:tc>
          <w:tcPr>
            <w:tcW w:w="3200" w:type="dxa"/>
            <w:vAlign w:val="bottom"/>
          </w:tcPr>
          <w:p>
            <w:pPr>
              <w:spacing w:after="0"/>
              <w:rPr>
                <w:sz w:val="24"/>
                <w:szCs w:val="24"/>
                <w:color w:val="auto"/>
              </w:rPr>
            </w:pPr>
          </w:p>
        </w:tc>
      </w:tr>
      <w:tr>
        <w:trPr>
          <w:trHeight w:val="601"/>
        </w:trPr>
        <w:tc>
          <w:tcPr>
            <w:tcW w:w="300" w:type="dxa"/>
            <w:vAlign w:val="bottom"/>
          </w:tcPr>
          <w:p>
            <w:pPr>
              <w:spacing w:after="0"/>
              <w:rPr>
                <w:sz w:val="24"/>
                <w:szCs w:val="24"/>
                <w:color w:val="auto"/>
              </w:rPr>
            </w:pPr>
          </w:p>
        </w:tc>
        <w:tc>
          <w:tcPr>
            <w:tcW w:w="7920" w:type="dxa"/>
            <w:vAlign w:val="bottom"/>
          </w:tcPr>
          <w:p>
            <w:pPr>
              <w:jc w:val="center"/>
              <w:ind w:left="2817"/>
              <w:spacing w:after="0"/>
              <w:rPr>
                <w:sz w:val="20"/>
                <w:szCs w:val="20"/>
                <w:color w:val="auto"/>
              </w:rPr>
            </w:pPr>
            <w:r>
              <w:rPr>
                <w:rFonts w:ascii="Arial" w:cs="Arial" w:eastAsia="Arial" w:hAnsi="Arial"/>
                <w:sz w:val="29"/>
                <w:szCs w:val="29"/>
                <w:b w:val="1"/>
                <w:bCs w:val="1"/>
                <w:color w:val="auto"/>
                <w:w w:val="99"/>
              </w:rPr>
              <w:t>CURRENT REPORT</w:t>
            </w:r>
          </w:p>
        </w:tc>
        <w:tc>
          <w:tcPr>
            <w:tcW w:w="320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7920" w:type="dxa"/>
            <w:vAlign w:val="bottom"/>
          </w:tcPr>
          <w:p>
            <w:pPr>
              <w:jc w:val="center"/>
              <w:ind w:left="2797"/>
              <w:spacing w:after="0"/>
              <w:rPr>
                <w:sz w:val="20"/>
                <w:szCs w:val="20"/>
                <w:color w:val="auto"/>
              </w:rPr>
            </w:pPr>
            <w:r>
              <w:rPr>
                <w:rFonts w:ascii="Arial" w:cs="Arial" w:eastAsia="Arial" w:hAnsi="Arial"/>
                <w:sz w:val="29"/>
                <w:szCs w:val="29"/>
                <w:b w:val="1"/>
                <w:bCs w:val="1"/>
                <w:color w:val="auto"/>
                <w:w w:val="90"/>
              </w:rPr>
              <w:t>Pursuant To Section 13 Or 15(d) of</w:t>
            </w:r>
          </w:p>
        </w:tc>
        <w:tc>
          <w:tcPr>
            <w:tcW w:w="3200" w:type="dxa"/>
            <w:vAlign w:val="bottom"/>
          </w:tcPr>
          <w:p>
            <w:pPr>
              <w:spacing w:after="0"/>
              <w:rPr>
                <w:sz w:val="24"/>
                <w:szCs w:val="24"/>
                <w:color w:val="auto"/>
              </w:rPr>
            </w:pPr>
          </w:p>
        </w:tc>
      </w:tr>
      <w:tr>
        <w:trPr>
          <w:trHeight w:val="375"/>
        </w:trPr>
        <w:tc>
          <w:tcPr>
            <w:tcW w:w="300" w:type="dxa"/>
            <w:vAlign w:val="bottom"/>
          </w:tcPr>
          <w:p>
            <w:pPr>
              <w:spacing w:after="0"/>
              <w:rPr>
                <w:sz w:val="24"/>
                <w:szCs w:val="24"/>
                <w:color w:val="auto"/>
              </w:rPr>
            </w:pPr>
          </w:p>
        </w:tc>
        <w:tc>
          <w:tcPr>
            <w:tcW w:w="7920" w:type="dxa"/>
            <w:vAlign w:val="bottom"/>
          </w:tcPr>
          <w:p>
            <w:pPr>
              <w:jc w:val="center"/>
              <w:ind w:left="2817"/>
              <w:spacing w:after="0"/>
              <w:rPr>
                <w:sz w:val="20"/>
                <w:szCs w:val="20"/>
                <w:color w:val="auto"/>
              </w:rPr>
            </w:pPr>
            <w:r>
              <w:rPr>
                <w:rFonts w:ascii="Arial" w:cs="Arial" w:eastAsia="Arial" w:hAnsi="Arial"/>
                <w:sz w:val="29"/>
                <w:szCs w:val="29"/>
                <w:b w:val="1"/>
                <w:bCs w:val="1"/>
                <w:color w:val="auto"/>
                <w:w w:val="88"/>
              </w:rPr>
              <w:t>The Securities Exchange Act of 1934</w:t>
            </w:r>
          </w:p>
        </w:tc>
        <w:tc>
          <w:tcPr>
            <w:tcW w:w="3200" w:type="dxa"/>
            <w:vAlign w:val="bottom"/>
          </w:tcPr>
          <w:p>
            <w:pPr>
              <w:spacing w:after="0"/>
              <w:rPr>
                <w:sz w:val="24"/>
                <w:szCs w:val="24"/>
                <w:color w:val="auto"/>
              </w:rPr>
            </w:pPr>
          </w:p>
        </w:tc>
      </w:tr>
      <w:tr>
        <w:trPr>
          <w:trHeight w:val="481"/>
        </w:trPr>
        <w:tc>
          <w:tcPr>
            <w:tcW w:w="300" w:type="dxa"/>
            <w:vAlign w:val="bottom"/>
          </w:tcPr>
          <w:p>
            <w:pPr>
              <w:spacing w:after="0"/>
              <w:rPr>
                <w:sz w:val="24"/>
                <w:szCs w:val="24"/>
                <w:color w:val="auto"/>
              </w:rPr>
            </w:pPr>
          </w:p>
        </w:tc>
        <w:tc>
          <w:tcPr>
            <w:tcW w:w="7920" w:type="dxa"/>
            <w:vAlign w:val="bottom"/>
          </w:tcPr>
          <w:p>
            <w:pPr>
              <w:jc w:val="center"/>
              <w:ind w:left="2797"/>
              <w:spacing w:after="0"/>
              <w:rPr>
                <w:sz w:val="20"/>
                <w:szCs w:val="20"/>
                <w:color w:val="auto"/>
              </w:rPr>
            </w:pPr>
            <w:r>
              <w:rPr>
                <w:rFonts w:ascii="Arial" w:cs="Arial" w:eastAsia="Arial" w:hAnsi="Arial"/>
                <w:sz w:val="18"/>
                <w:szCs w:val="18"/>
                <w:color w:val="auto"/>
                <w:w w:val="90"/>
              </w:rPr>
              <w:t>Date of report (Date of earliest event reported): March 11, 2005</w:t>
            </w:r>
          </w:p>
        </w:tc>
        <w:tc>
          <w:tcPr>
            <w:tcW w:w="3200" w:type="dxa"/>
            <w:vAlign w:val="bottom"/>
          </w:tcPr>
          <w:p>
            <w:pPr>
              <w:spacing w:after="0"/>
              <w:rPr>
                <w:sz w:val="24"/>
                <w:szCs w:val="24"/>
                <w:color w:val="auto"/>
              </w:rPr>
            </w:pPr>
          </w:p>
        </w:tc>
      </w:tr>
      <w:tr>
        <w:trPr>
          <w:trHeight w:val="580"/>
        </w:trPr>
        <w:tc>
          <w:tcPr>
            <w:tcW w:w="300" w:type="dxa"/>
            <w:vAlign w:val="bottom"/>
          </w:tcPr>
          <w:p>
            <w:pPr>
              <w:spacing w:after="0"/>
              <w:rPr>
                <w:sz w:val="24"/>
                <w:szCs w:val="24"/>
                <w:color w:val="auto"/>
              </w:rPr>
            </w:pPr>
          </w:p>
        </w:tc>
        <w:tc>
          <w:tcPr>
            <w:tcW w:w="7920" w:type="dxa"/>
            <w:vAlign w:val="bottom"/>
          </w:tcPr>
          <w:p>
            <w:pPr>
              <w:jc w:val="center"/>
              <w:ind w:left="2817"/>
              <w:spacing w:after="0"/>
              <w:rPr>
                <w:sz w:val="20"/>
                <w:szCs w:val="20"/>
                <w:color w:val="auto"/>
              </w:rPr>
            </w:pPr>
            <w:r>
              <w:rPr>
                <w:rFonts w:ascii="Arial" w:cs="Arial" w:eastAsia="Arial" w:hAnsi="Arial"/>
                <w:sz w:val="29"/>
                <w:szCs w:val="29"/>
                <w:b w:val="1"/>
                <w:bCs w:val="1"/>
                <w:color w:val="auto"/>
                <w:w w:val="99"/>
              </w:rPr>
              <w:t>COMCAST CORPORATION</w:t>
            </w:r>
          </w:p>
        </w:tc>
        <w:tc>
          <w:tcPr>
            <w:tcW w:w="32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7920" w:type="dxa"/>
            <w:vAlign w:val="bottom"/>
          </w:tcPr>
          <w:p>
            <w:pPr>
              <w:jc w:val="center"/>
              <w:ind w:left="2817"/>
              <w:spacing w:after="0"/>
              <w:rPr>
                <w:sz w:val="20"/>
                <w:szCs w:val="20"/>
                <w:color w:val="auto"/>
              </w:rPr>
            </w:pPr>
            <w:r>
              <w:rPr>
                <w:rFonts w:ascii="Arial" w:cs="Arial" w:eastAsia="Arial" w:hAnsi="Arial"/>
                <w:sz w:val="18"/>
                <w:szCs w:val="18"/>
                <w:color w:val="auto"/>
                <w:w w:val="90"/>
              </w:rPr>
              <w:t>(Exact Name of Registrant</w:t>
            </w:r>
          </w:p>
        </w:tc>
        <w:tc>
          <w:tcPr>
            <w:tcW w:w="32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7920" w:type="dxa"/>
            <w:vAlign w:val="bottom"/>
          </w:tcPr>
          <w:p>
            <w:pPr>
              <w:jc w:val="center"/>
              <w:ind w:left="2797"/>
              <w:spacing w:after="0"/>
              <w:rPr>
                <w:sz w:val="20"/>
                <w:szCs w:val="20"/>
                <w:color w:val="auto"/>
              </w:rPr>
            </w:pPr>
            <w:r>
              <w:rPr>
                <w:rFonts w:ascii="Arial" w:cs="Arial" w:eastAsia="Arial" w:hAnsi="Arial"/>
                <w:sz w:val="18"/>
                <w:szCs w:val="18"/>
                <w:color w:val="auto"/>
                <w:w w:val="90"/>
              </w:rPr>
              <w:t>as Specified in Charter)</w:t>
            </w:r>
          </w:p>
        </w:tc>
        <w:tc>
          <w:tcPr>
            <w:tcW w:w="3200" w:type="dxa"/>
            <w:vAlign w:val="bottom"/>
          </w:tcPr>
          <w:p>
            <w:pPr>
              <w:spacing w:after="0"/>
              <w:rPr>
                <w:sz w:val="20"/>
                <w:szCs w:val="20"/>
                <w:color w:val="auto"/>
              </w:rPr>
            </w:pPr>
          </w:p>
        </w:tc>
      </w:tr>
      <w:tr>
        <w:trPr>
          <w:trHeight w:val="459"/>
        </w:trPr>
        <w:tc>
          <w:tcPr>
            <w:tcW w:w="300" w:type="dxa"/>
            <w:vAlign w:val="bottom"/>
          </w:tcPr>
          <w:p>
            <w:pPr>
              <w:spacing w:after="0"/>
              <w:rPr>
                <w:sz w:val="24"/>
                <w:szCs w:val="24"/>
                <w:color w:val="auto"/>
              </w:rPr>
            </w:pPr>
          </w:p>
        </w:tc>
        <w:tc>
          <w:tcPr>
            <w:tcW w:w="7920" w:type="dxa"/>
            <w:vAlign w:val="bottom"/>
          </w:tcPr>
          <w:p>
            <w:pPr>
              <w:ind w:left="4840"/>
              <w:spacing w:after="0"/>
              <w:rPr>
                <w:sz w:val="20"/>
                <w:szCs w:val="20"/>
                <w:color w:val="auto"/>
              </w:rPr>
            </w:pPr>
            <w:r>
              <w:rPr>
                <w:rFonts w:ascii="Arial" w:cs="Arial" w:eastAsia="Arial" w:hAnsi="Arial"/>
                <w:sz w:val="18"/>
                <w:szCs w:val="18"/>
                <w:b w:val="1"/>
                <w:bCs w:val="1"/>
                <w:color w:val="auto"/>
              </w:rPr>
              <w:t>Pennsylvania</w:t>
            </w:r>
          </w:p>
        </w:tc>
        <w:tc>
          <w:tcPr>
            <w:tcW w:w="32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920" w:type="dxa"/>
            <w:vAlign w:val="bottom"/>
          </w:tcPr>
          <w:p>
            <w:pPr>
              <w:ind w:left="3720"/>
              <w:spacing w:after="0"/>
              <w:rPr>
                <w:sz w:val="20"/>
                <w:szCs w:val="20"/>
                <w:color w:val="auto"/>
              </w:rPr>
            </w:pPr>
            <w:r>
              <w:rPr>
                <w:rFonts w:ascii="Arial" w:cs="Arial" w:eastAsia="Arial" w:hAnsi="Arial"/>
                <w:sz w:val="18"/>
                <w:szCs w:val="18"/>
                <w:color w:val="auto"/>
              </w:rPr>
              <w:t>(State or Other Jurisdiction of Incorporation)</w:t>
            </w:r>
          </w:p>
        </w:tc>
        <w:tc>
          <w:tcPr>
            <w:tcW w:w="3200" w:type="dxa"/>
            <w:vAlign w:val="bottom"/>
          </w:tcPr>
          <w:p>
            <w:pPr>
              <w:spacing w:after="0"/>
              <w:rPr>
                <w:sz w:val="21"/>
                <w:szCs w:val="21"/>
                <w:color w:val="auto"/>
              </w:rPr>
            </w:pPr>
          </w:p>
        </w:tc>
      </w:tr>
      <w:tr>
        <w:trPr>
          <w:trHeight w:val="486"/>
        </w:trPr>
        <w:tc>
          <w:tcPr>
            <w:tcW w:w="300" w:type="dxa"/>
            <w:vAlign w:val="bottom"/>
          </w:tcPr>
          <w:p>
            <w:pPr>
              <w:spacing w:after="0"/>
              <w:rPr>
                <w:sz w:val="24"/>
                <w:szCs w:val="24"/>
                <w:color w:val="auto"/>
              </w:rPr>
            </w:pPr>
          </w:p>
        </w:tc>
        <w:tc>
          <w:tcPr>
            <w:tcW w:w="7920" w:type="dxa"/>
            <w:vAlign w:val="bottom"/>
          </w:tcPr>
          <w:p>
            <w:pPr>
              <w:jc w:val="center"/>
              <w:ind w:right="4677"/>
              <w:spacing w:after="0"/>
              <w:rPr>
                <w:sz w:val="20"/>
                <w:szCs w:val="20"/>
                <w:color w:val="auto"/>
              </w:rPr>
            </w:pPr>
            <w:r>
              <w:rPr>
                <w:rFonts w:ascii="Arial" w:cs="Arial" w:eastAsia="Arial" w:hAnsi="Arial"/>
                <w:sz w:val="18"/>
                <w:szCs w:val="18"/>
                <w:b w:val="1"/>
                <w:bCs w:val="1"/>
                <w:color w:val="auto"/>
                <w:w w:val="90"/>
              </w:rPr>
              <w:t>000-50093</w:t>
            </w:r>
          </w:p>
        </w:tc>
        <w:tc>
          <w:tcPr>
            <w:tcW w:w="3200" w:type="dxa"/>
            <w:vAlign w:val="bottom"/>
          </w:tcPr>
          <w:p>
            <w:pPr>
              <w:jc w:val="right"/>
              <w:ind w:right="1390"/>
              <w:spacing w:after="0"/>
              <w:rPr>
                <w:sz w:val="20"/>
                <w:szCs w:val="20"/>
                <w:color w:val="auto"/>
              </w:rPr>
            </w:pPr>
            <w:r>
              <w:rPr>
                <w:rFonts w:ascii="Arial" w:cs="Arial" w:eastAsia="Arial" w:hAnsi="Arial"/>
                <w:sz w:val="18"/>
                <w:szCs w:val="18"/>
                <w:b w:val="1"/>
                <w:bCs w:val="1"/>
                <w:color w:val="auto"/>
              </w:rPr>
              <w:t>27-0000798</w:t>
            </w:r>
          </w:p>
        </w:tc>
      </w:tr>
      <w:tr>
        <w:trPr>
          <w:trHeight w:val="243"/>
        </w:trPr>
        <w:tc>
          <w:tcPr>
            <w:tcW w:w="300" w:type="dxa"/>
            <w:vAlign w:val="bottom"/>
          </w:tcPr>
          <w:p>
            <w:pPr>
              <w:spacing w:after="0"/>
              <w:rPr>
                <w:sz w:val="21"/>
                <w:szCs w:val="21"/>
                <w:color w:val="auto"/>
              </w:rPr>
            </w:pPr>
          </w:p>
        </w:tc>
        <w:tc>
          <w:tcPr>
            <w:tcW w:w="7920" w:type="dxa"/>
            <w:vAlign w:val="bottom"/>
          </w:tcPr>
          <w:p>
            <w:pPr>
              <w:jc w:val="center"/>
              <w:ind w:right="4677"/>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right="550"/>
              <w:spacing w:after="0"/>
              <w:rPr>
                <w:sz w:val="20"/>
                <w:szCs w:val="20"/>
                <w:color w:val="auto"/>
              </w:rPr>
            </w:pPr>
            <w:r>
              <w:rPr>
                <w:rFonts w:ascii="Arial" w:cs="Arial" w:eastAsia="Arial" w:hAnsi="Arial"/>
                <w:sz w:val="18"/>
                <w:szCs w:val="18"/>
                <w:color w:val="auto"/>
                <w:w w:val="94"/>
              </w:rPr>
              <w:t>(IRS Employer Identification No.)</w:t>
            </w:r>
          </w:p>
        </w:tc>
      </w:tr>
      <w:tr>
        <w:trPr>
          <w:trHeight w:val="468"/>
        </w:trPr>
        <w:tc>
          <w:tcPr>
            <w:tcW w:w="300" w:type="dxa"/>
            <w:vAlign w:val="bottom"/>
          </w:tcPr>
          <w:p>
            <w:pPr>
              <w:spacing w:after="0"/>
              <w:rPr>
                <w:sz w:val="24"/>
                <w:szCs w:val="24"/>
                <w:color w:val="auto"/>
              </w:rPr>
            </w:pPr>
          </w:p>
        </w:tc>
        <w:tc>
          <w:tcPr>
            <w:tcW w:w="7920" w:type="dxa"/>
            <w:vAlign w:val="bottom"/>
          </w:tcPr>
          <w:p>
            <w:pPr>
              <w:jc w:val="center"/>
              <w:ind w:right="4697"/>
              <w:spacing w:after="0"/>
              <w:rPr>
                <w:sz w:val="20"/>
                <w:szCs w:val="20"/>
                <w:color w:val="auto"/>
              </w:rPr>
            </w:pPr>
            <w:r>
              <w:rPr>
                <w:rFonts w:ascii="Arial" w:cs="Arial" w:eastAsia="Arial" w:hAnsi="Arial"/>
                <w:sz w:val="18"/>
                <w:szCs w:val="18"/>
                <w:b w:val="1"/>
                <w:bCs w:val="1"/>
                <w:color w:val="auto"/>
                <w:w w:val="93"/>
              </w:rPr>
              <w:t>1500 Market Street</w:t>
            </w:r>
          </w:p>
        </w:tc>
        <w:tc>
          <w:tcPr>
            <w:tcW w:w="3200" w:type="dxa"/>
            <w:vAlign w:val="bottom"/>
          </w:tcPr>
          <w:p>
            <w:pPr>
              <w:spacing w:after="0"/>
              <w:rPr>
                <w:sz w:val="24"/>
                <w:szCs w:val="24"/>
                <w:color w:val="auto"/>
              </w:rPr>
            </w:pPr>
          </w:p>
        </w:tc>
      </w:tr>
      <w:tr>
        <w:trPr>
          <w:trHeight w:val="220"/>
        </w:trPr>
        <w:tc>
          <w:tcPr>
            <w:tcW w:w="300" w:type="dxa"/>
            <w:vAlign w:val="bottom"/>
          </w:tcPr>
          <w:p>
            <w:pPr>
              <w:spacing w:after="0"/>
              <w:rPr>
                <w:sz w:val="19"/>
                <w:szCs w:val="19"/>
                <w:color w:val="auto"/>
              </w:rPr>
            </w:pPr>
          </w:p>
        </w:tc>
        <w:tc>
          <w:tcPr>
            <w:tcW w:w="7920" w:type="dxa"/>
            <w:vAlign w:val="bottom"/>
          </w:tcPr>
          <w:p>
            <w:pPr>
              <w:jc w:val="center"/>
              <w:ind w:right="4697"/>
              <w:spacing w:after="0"/>
              <w:rPr>
                <w:sz w:val="20"/>
                <w:szCs w:val="20"/>
                <w:color w:val="auto"/>
              </w:rPr>
            </w:pPr>
            <w:r>
              <w:rPr>
                <w:rFonts w:ascii="Arial" w:cs="Arial" w:eastAsia="Arial" w:hAnsi="Arial"/>
                <w:sz w:val="18"/>
                <w:szCs w:val="18"/>
                <w:b w:val="1"/>
                <w:bCs w:val="1"/>
                <w:color w:val="auto"/>
                <w:w w:val="90"/>
              </w:rPr>
              <w:t>Philadelphia, PA</w:t>
            </w:r>
          </w:p>
        </w:tc>
        <w:tc>
          <w:tcPr>
            <w:tcW w:w="3200" w:type="dxa"/>
            <w:vAlign w:val="bottom"/>
          </w:tcPr>
          <w:p>
            <w:pPr>
              <w:jc w:val="right"/>
              <w:ind w:right="1610"/>
              <w:spacing w:after="0"/>
              <w:rPr>
                <w:sz w:val="20"/>
                <w:szCs w:val="20"/>
                <w:color w:val="auto"/>
              </w:rPr>
            </w:pPr>
            <w:r>
              <w:rPr>
                <w:rFonts w:ascii="Arial" w:cs="Arial" w:eastAsia="Arial" w:hAnsi="Arial"/>
                <w:sz w:val="18"/>
                <w:szCs w:val="18"/>
                <w:b w:val="1"/>
                <w:bCs w:val="1"/>
                <w:color w:val="auto"/>
              </w:rPr>
              <w:t>19102</w:t>
            </w:r>
          </w:p>
        </w:tc>
      </w:tr>
      <w:tr>
        <w:trPr>
          <w:trHeight w:val="230"/>
        </w:trPr>
        <w:tc>
          <w:tcPr>
            <w:tcW w:w="300" w:type="dxa"/>
            <w:vAlign w:val="bottom"/>
          </w:tcPr>
          <w:p>
            <w:pPr>
              <w:spacing w:after="0"/>
              <w:rPr>
                <w:sz w:val="20"/>
                <w:szCs w:val="20"/>
                <w:color w:val="auto"/>
              </w:rPr>
            </w:pPr>
          </w:p>
        </w:tc>
        <w:tc>
          <w:tcPr>
            <w:tcW w:w="7920" w:type="dxa"/>
            <w:vAlign w:val="bottom"/>
          </w:tcPr>
          <w:p>
            <w:pPr>
              <w:jc w:val="center"/>
              <w:ind w:right="4677"/>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jc w:val="center"/>
              <w:ind w:right="550"/>
              <w:spacing w:after="0"/>
              <w:rPr>
                <w:sz w:val="20"/>
                <w:szCs w:val="20"/>
                <w:color w:val="auto"/>
              </w:rPr>
            </w:pPr>
            <w:r>
              <w:rPr>
                <w:rFonts w:ascii="Arial" w:cs="Arial" w:eastAsia="Arial" w:hAnsi="Arial"/>
                <w:sz w:val="18"/>
                <w:szCs w:val="18"/>
                <w:color w:val="auto"/>
                <w:w w:val="94"/>
              </w:rPr>
              <w:t>(Zip Code)</w:t>
            </w:r>
          </w:p>
        </w:tc>
      </w:tr>
      <w:tr>
        <w:trPr>
          <w:trHeight w:val="729"/>
        </w:trPr>
        <w:tc>
          <w:tcPr>
            <w:tcW w:w="300" w:type="dxa"/>
            <w:vAlign w:val="bottom"/>
          </w:tcPr>
          <w:p>
            <w:pPr>
              <w:spacing w:after="0"/>
              <w:rPr>
                <w:sz w:val="24"/>
                <w:szCs w:val="24"/>
                <w:color w:val="auto"/>
              </w:rPr>
            </w:pPr>
          </w:p>
        </w:tc>
        <w:tc>
          <w:tcPr>
            <w:tcW w:w="7920" w:type="dxa"/>
            <w:vAlign w:val="bottom"/>
          </w:tcPr>
          <w:p>
            <w:pPr>
              <w:jc w:val="center"/>
              <w:ind w:left="2797"/>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665-1700</w:t>
            </w:r>
          </w:p>
        </w:tc>
        <w:tc>
          <w:tcPr>
            <w:tcW w:w="3200" w:type="dxa"/>
            <w:vAlign w:val="bottom"/>
          </w:tcPr>
          <w:p>
            <w:pPr>
              <w:spacing w:after="0"/>
              <w:rPr>
                <w:sz w:val="24"/>
                <w:szCs w:val="24"/>
                <w:color w:val="auto"/>
              </w:rPr>
            </w:pPr>
          </w:p>
        </w:tc>
      </w:tr>
      <w:tr>
        <w:trPr>
          <w:trHeight w:val="445"/>
        </w:trPr>
        <w:tc>
          <w:tcPr>
            <w:tcW w:w="300" w:type="dxa"/>
            <w:vAlign w:val="bottom"/>
          </w:tcPr>
          <w:p>
            <w:pPr>
              <w:spacing w:after="0"/>
              <w:rPr>
                <w:sz w:val="24"/>
                <w:szCs w:val="24"/>
                <w:color w:val="auto"/>
              </w:rPr>
            </w:pPr>
          </w:p>
        </w:tc>
        <w:tc>
          <w:tcPr>
            <w:tcW w:w="7920" w:type="dxa"/>
            <w:vAlign w:val="bottom"/>
          </w:tcPr>
          <w:p>
            <w:pPr>
              <w:jc w:val="center"/>
              <w:ind w:left="2817"/>
              <w:spacing w:after="0"/>
              <w:rPr>
                <w:sz w:val="20"/>
                <w:szCs w:val="20"/>
                <w:color w:val="auto"/>
              </w:rPr>
            </w:pPr>
            <w:r>
              <w:rPr>
                <w:rFonts w:ascii="Arial" w:cs="Arial" w:eastAsia="Arial" w:hAnsi="Arial"/>
                <w:sz w:val="18"/>
                <w:szCs w:val="18"/>
                <w:b w:val="1"/>
                <w:bCs w:val="1"/>
                <w:color w:val="auto"/>
                <w:w w:val="92"/>
              </w:rPr>
              <w:t>Not Applicable</w:t>
            </w:r>
          </w:p>
        </w:tc>
        <w:tc>
          <w:tcPr>
            <w:tcW w:w="3200" w:type="dxa"/>
            <w:vAlign w:val="bottom"/>
          </w:tcPr>
          <w:p>
            <w:pPr>
              <w:spacing w:after="0"/>
              <w:rPr>
                <w:sz w:val="24"/>
                <w:szCs w:val="24"/>
                <w:color w:val="auto"/>
              </w:rPr>
            </w:pPr>
          </w:p>
        </w:tc>
      </w:tr>
      <w:tr>
        <w:trPr>
          <w:trHeight w:val="230"/>
        </w:trPr>
        <w:tc>
          <w:tcPr>
            <w:tcW w:w="300" w:type="dxa"/>
            <w:vAlign w:val="bottom"/>
          </w:tcPr>
          <w:p>
            <w:pPr>
              <w:spacing w:after="0"/>
              <w:rPr>
                <w:sz w:val="20"/>
                <w:szCs w:val="20"/>
                <w:color w:val="auto"/>
              </w:rPr>
            </w:pPr>
          </w:p>
        </w:tc>
        <w:tc>
          <w:tcPr>
            <w:tcW w:w="7920" w:type="dxa"/>
            <w:vAlign w:val="bottom"/>
          </w:tcPr>
          <w:p>
            <w:pPr>
              <w:jc w:val="center"/>
              <w:ind w:left="2797"/>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3200" w:type="dxa"/>
            <w:vAlign w:val="bottom"/>
          </w:tcPr>
          <w:p>
            <w:pPr>
              <w:spacing w:after="0"/>
              <w:rPr>
                <w:sz w:val="20"/>
                <w:szCs w:val="20"/>
                <w:color w:val="auto"/>
              </w:rPr>
            </w:pPr>
          </w:p>
        </w:tc>
      </w:tr>
      <w:tr>
        <w:trPr>
          <w:trHeight w:val="688"/>
        </w:trPr>
        <w:tc>
          <w:tcPr>
            <w:tcW w:w="300" w:type="dxa"/>
            <w:vAlign w:val="bottom"/>
          </w:tcPr>
          <w:p>
            <w:pPr>
              <w:spacing w:after="0"/>
              <w:rPr>
                <w:sz w:val="24"/>
                <w:szCs w:val="24"/>
                <w:color w:val="auto"/>
              </w:rPr>
            </w:pPr>
          </w:p>
        </w:tc>
        <w:tc>
          <w:tcPr>
            <w:tcW w:w="11120" w:type="dxa"/>
            <w:vAlign w:val="bottom"/>
            <w:gridSpan w:val="2"/>
          </w:tcPr>
          <w:p>
            <w:pPr>
              <w:ind w:left="40"/>
              <w:spacing w:after="0"/>
              <w:rPr>
                <w:sz w:val="20"/>
                <w:szCs w:val="20"/>
                <w:color w:val="auto"/>
              </w:rPr>
            </w:pPr>
            <w:r>
              <w:rPr>
                <w:rFonts w:ascii="Arial" w:cs="Arial" w:eastAsia="Arial" w:hAnsi="Arial"/>
                <w:sz w:val="18"/>
                <w:szCs w:val="18"/>
                <w:color w:val="auto"/>
                <w:w w:val="96"/>
              </w:rPr>
              <w:t>Check the appropriate box below if the Form 8-K filing is intended to simultaneously satisfy the filing obligation of the registrant under any of the</w:t>
            </w: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following provisions (see General Instruction A.2. below):</w:t>
            </w:r>
          </w:p>
        </w:tc>
        <w:tc>
          <w:tcPr>
            <w:tcW w:w="3200" w:type="dxa"/>
            <w:vAlign w:val="bottom"/>
          </w:tcPr>
          <w:p>
            <w:pPr>
              <w:spacing w:after="0"/>
              <w:rPr>
                <w:sz w:val="20"/>
                <w:szCs w:val="20"/>
                <w:color w:val="auto"/>
              </w:rPr>
            </w:pPr>
          </w:p>
        </w:tc>
      </w:tr>
      <w:tr>
        <w:trPr>
          <w:trHeight w:val="537"/>
        </w:trPr>
        <w:tc>
          <w:tcPr>
            <w:tcW w:w="300" w:type="dxa"/>
            <w:vAlign w:val="bottom"/>
          </w:tcPr>
          <w:p>
            <w:pPr>
              <w:jc w:val="right"/>
              <w:spacing w:after="0"/>
              <w:rPr>
                <w:sz w:val="20"/>
                <w:szCs w:val="20"/>
                <w:color w:val="auto"/>
              </w:rPr>
            </w:pPr>
            <w:r>
              <w:rPr>
                <w:rFonts w:ascii="Arial" w:cs="Arial" w:eastAsia="Arial" w:hAnsi="Arial"/>
                <w:sz w:val="22"/>
                <w:szCs w:val="22"/>
                <w:color w:val="auto"/>
              </w:rPr>
              <w:t>[ ]</w:t>
            </w:r>
          </w:p>
        </w:tc>
        <w:tc>
          <w:tcPr>
            <w:tcW w:w="7920" w:type="dxa"/>
            <w:vAlign w:val="bottom"/>
          </w:tcPr>
          <w:p>
            <w:pPr>
              <w:ind w:left="3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c>
          <w:tcPr>
            <w:tcW w:w="3200" w:type="dxa"/>
            <w:vAlign w:val="bottom"/>
          </w:tcPr>
          <w:p>
            <w:pPr>
              <w:spacing w:after="0"/>
              <w:rPr>
                <w:sz w:val="24"/>
                <w:szCs w:val="24"/>
                <w:color w:val="auto"/>
              </w:rPr>
            </w:pPr>
          </w:p>
        </w:tc>
      </w:tr>
      <w:tr>
        <w:trPr>
          <w:trHeight w:val="540"/>
        </w:trPr>
        <w:tc>
          <w:tcPr>
            <w:tcW w:w="300" w:type="dxa"/>
            <w:vAlign w:val="bottom"/>
          </w:tcPr>
          <w:p>
            <w:pPr>
              <w:jc w:val="right"/>
              <w:spacing w:after="0"/>
              <w:rPr>
                <w:sz w:val="20"/>
                <w:szCs w:val="20"/>
                <w:color w:val="auto"/>
              </w:rPr>
            </w:pPr>
            <w:r>
              <w:rPr>
                <w:rFonts w:ascii="Arial" w:cs="Arial" w:eastAsia="Arial" w:hAnsi="Arial"/>
                <w:sz w:val="22"/>
                <w:szCs w:val="22"/>
                <w:color w:val="auto"/>
              </w:rPr>
              <w:t>[ ]</w:t>
            </w:r>
          </w:p>
        </w:tc>
        <w:tc>
          <w:tcPr>
            <w:tcW w:w="7920" w:type="dxa"/>
            <w:vAlign w:val="bottom"/>
          </w:tcPr>
          <w:p>
            <w:pPr>
              <w:ind w:left="3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c>
          <w:tcPr>
            <w:tcW w:w="3200" w:type="dxa"/>
            <w:vAlign w:val="bottom"/>
          </w:tcPr>
          <w:p>
            <w:pPr>
              <w:spacing w:after="0"/>
              <w:rPr>
                <w:sz w:val="24"/>
                <w:szCs w:val="24"/>
                <w:color w:val="auto"/>
              </w:rPr>
            </w:pPr>
          </w:p>
        </w:tc>
      </w:tr>
      <w:tr>
        <w:trPr>
          <w:trHeight w:val="540"/>
        </w:trPr>
        <w:tc>
          <w:tcPr>
            <w:tcW w:w="300" w:type="dxa"/>
            <w:vAlign w:val="bottom"/>
          </w:tcPr>
          <w:p>
            <w:pPr>
              <w:jc w:val="right"/>
              <w:spacing w:after="0"/>
              <w:rPr>
                <w:sz w:val="20"/>
                <w:szCs w:val="20"/>
                <w:color w:val="auto"/>
              </w:rPr>
            </w:pPr>
            <w:r>
              <w:rPr>
                <w:rFonts w:ascii="Arial" w:cs="Arial" w:eastAsia="Arial" w:hAnsi="Arial"/>
                <w:sz w:val="22"/>
                <w:szCs w:val="22"/>
                <w:color w:val="auto"/>
              </w:rPr>
              <w:t>[ ]</w:t>
            </w:r>
          </w:p>
        </w:tc>
        <w:tc>
          <w:tcPr>
            <w:tcW w:w="11120" w:type="dxa"/>
            <w:vAlign w:val="bottom"/>
            <w:gridSpan w:val="2"/>
          </w:tcPr>
          <w:p>
            <w:pPr>
              <w:ind w:left="3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540"/>
        </w:trPr>
        <w:tc>
          <w:tcPr>
            <w:tcW w:w="300" w:type="dxa"/>
            <w:vAlign w:val="bottom"/>
          </w:tcPr>
          <w:p>
            <w:pPr>
              <w:jc w:val="right"/>
              <w:spacing w:after="0"/>
              <w:rPr>
                <w:sz w:val="20"/>
                <w:szCs w:val="20"/>
                <w:color w:val="auto"/>
              </w:rPr>
            </w:pPr>
            <w:r>
              <w:rPr>
                <w:rFonts w:ascii="Arial" w:cs="Arial" w:eastAsia="Arial" w:hAnsi="Arial"/>
                <w:sz w:val="22"/>
                <w:szCs w:val="22"/>
                <w:color w:val="auto"/>
              </w:rPr>
              <w:t>[ ]</w:t>
            </w:r>
          </w:p>
        </w:tc>
        <w:tc>
          <w:tcPr>
            <w:tcW w:w="11120" w:type="dxa"/>
            <w:vAlign w:val="bottom"/>
            <w:gridSpan w:val="2"/>
          </w:tcPr>
          <w:p>
            <w:pPr>
              <w:ind w:left="3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175"/>
        </w:trPr>
        <w:tc>
          <w:tcPr>
            <w:tcW w:w="3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hereby files the following forms of grant document which will be used to evidence a stock option or restricted stock grant made to a named executive officer under the specified Company plan. These forms of grant document are attached as Exhibits to this Current Report on Form 8-K and are incorporated herein by reference. These forms of grant document contain all of the material terms and conditions of any stock option or restricted stock unit grant under the applicable plan, other than the name of the grantee, the date of grant, the number of shares or units subject to the grant, the vesting schedule and (in the case of a stock option grant) the exercise price per share. Options evidenced by the form of grant document under the Company’s 2002 Stock Option Plan or 2003 Stock Option Plan are in all cases subject to the terms and conditions of the applicable option plan and restricted stock units evidenced by the form of grant document under the Company’s 2002 Restricted Stock Plan are in all cases subject to the terms and conditions of the restricted stock plan.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 Document under 2002 Stock Option Plan: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Non-Qualified Option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 Document under 2003 Stock Option Plan: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Non-Qualified Option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 Document under 2002 Restricted Stock Plan: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Award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Exhibit No.</w:t>
            </w:r>
          </w:p>
        </w:tc>
        <w:tc>
          <w:tcPr>
            <w:tcW w:w="4780" w:type="dxa"/>
            <w:vAlign w:val="bottom"/>
          </w:tcPr>
          <w:p>
            <w:pPr>
              <w:ind w:left="300"/>
              <w:spacing w:after="0"/>
              <w:rPr>
                <w:sz w:val="20"/>
                <w:szCs w:val="20"/>
                <w:color w:val="auto"/>
              </w:rPr>
            </w:pPr>
            <w:r>
              <w:rPr>
                <w:rFonts w:ascii="Arial" w:cs="Arial" w:eastAsia="Arial" w:hAnsi="Arial"/>
                <w:sz w:val="18"/>
                <w:szCs w:val="18"/>
                <w:color w:val="auto"/>
              </w:rPr>
              <w:t>Description</w:t>
            </w:r>
          </w:p>
        </w:tc>
        <w:tc>
          <w:tcPr>
            <w:tcW w:w="4200" w:type="dxa"/>
            <w:vAlign w:val="bottom"/>
          </w:tcPr>
          <w:p>
            <w:pPr>
              <w:spacing w:after="0"/>
              <w:rPr>
                <w:sz w:val="20"/>
                <w:szCs w:val="20"/>
                <w:color w:val="auto"/>
              </w:rPr>
            </w:pPr>
          </w:p>
        </w:tc>
      </w:tr>
      <w:tr>
        <w:trPr>
          <w:trHeight w:val="270"/>
        </w:trPr>
        <w:tc>
          <w:tcPr>
            <w:tcW w:w="13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4780" w:type="dxa"/>
            <w:vAlign w:val="bottom"/>
            <w:tcBorders>
              <w:bottom w:val="single" w:sz="8" w:color="auto"/>
            </w:tcBorders>
          </w:tcPr>
          <w:p>
            <w:pPr>
              <w:spacing w:after="0"/>
              <w:rPr>
                <w:sz w:val="23"/>
                <w:szCs w:val="23"/>
                <w:color w:val="auto"/>
              </w:rPr>
            </w:pPr>
          </w:p>
        </w:tc>
        <w:tc>
          <w:tcPr>
            <w:tcW w:w="4200" w:type="dxa"/>
            <w:vAlign w:val="bottom"/>
            <w:tcBorders>
              <w:bottom w:val="single" w:sz="8" w:color="auto"/>
            </w:tcBorders>
          </w:tcPr>
          <w:p>
            <w:pPr>
              <w:spacing w:after="0"/>
              <w:rPr>
                <w:sz w:val="23"/>
                <w:szCs w:val="23"/>
                <w:color w:val="auto"/>
              </w:rPr>
            </w:pPr>
          </w:p>
        </w:tc>
      </w:tr>
      <w:tr>
        <w:trPr>
          <w:trHeight w:val="480"/>
        </w:trPr>
        <w:tc>
          <w:tcPr>
            <w:tcW w:w="13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Form of grant document under the Comcast Corporation 2002</w:t>
            </w:r>
          </w:p>
        </w:tc>
        <w:tc>
          <w:tcPr>
            <w:tcW w:w="4200" w:type="dxa"/>
            <w:vAlign w:val="bottom"/>
          </w:tcPr>
          <w:p>
            <w:pPr>
              <w:ind w:left="40"/>
              <w:spacing w:after="0"/>
              <w:rPr>
                <w:sz w:val="20"/>
                <w:szCs w:val="20"/>
                <w:color w:val="auto"/>
              </w:rPr>
            </w:pPr>
            <w:r>
              <w:rPr>
                <w:rFonts w:ascii="Arial" w:cs="Arial" w:eastAsia="Arial" w:hAnsi="Arial"/>
                <w:sz w:val="18"/>
                <w:szCs w:val="18"/>
                <w:color w:val="auto"/>
              </w:rPr>
              <w:t>Stock Option Plan.</w:t>
            </w:r>
          </w:p>
        </w:tc>
      </w:tr>
      <w:tr>
        <w:trPr>
          <w:trHeight w:val="756"/>
        </w:trPr>
        <w:tc>
          <w:tcPr>
            <w:tcW w:w="13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Form of grant document under the Comcast Corporation 2003</w:t>
            </w:r>
          </w:p>
        </w:tc>
        <w:tc>
          <w:tcPr>
            <w:tcW w:w="4200" w:type="dxa"/>
            <w:vAlign w:val="bottom"/>
          </w:tcPr>
          <w:p>
            <w:pPr>
              <w:ind w:left="40"/>
              <w:spacing w:after="0"/>
              <w:rPr>
                <w:sz w:val="20"/>
                <w:szCs w:val="20"/>
                <w:color w:val="auto"/>
              </w:rPr>
            </w:pPr>
            <w:r>
              <w:rPr>
                <w:rFonts w:ascii="Arial" w:cs="Arial" w:eastAsia="Arial" w:hAnsi="Arial"/>
                <w:sz w:val="18"/>
                <w:szCs w:val="18"/>
                <w:color w:val="auto"/>
              </w:rPr>
              <w:t>Stock Option Plan.</w:t>
            </w:r>
          </w:p>
        </w:tc>
      </w:tr>
      <w:tr>
        <w:trPr>
          <w:trHeight w:val="756"/>
        </w:trPr>
        <w:tc>
          <w:tcPr>
            <w:tcW w:w="13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Form of grant document under the Comcast Corporation 2002</w:t>
            </w:r>
          </w:p>
        </w:tc>
        <w:tc>
          <w:tcPr>
            <w:tcW w:w="4200" w:type="dxa"/>
            <w:vAlign w:val="bottom"/>
          </w:tcPr>
          <w:p>
            <w:pPr>
              <w:ind w:left="40"/>
              <w:spacing w:after="0"/>
              <w:rPr>
                <w:sz w:val="20"/>
                <w:szCs w:val="20"/>
                <w:color w:val="auto"/>
              </w:rPr>
            </w:pPr>
            <w:r>
              <w:rPr>
                <w:rFonts w:ascii="Arial" w:cs="Arial" w:eastAsia="Arial" w:hAnsi="Arial"/>
                <w:sz w:val="18"/>
                <w:szCs w:val="18"/>
                <w:color w:val="auto"/>
              </w:rPr>
              <w:t>Restricted Stock Plan.</w:t>
            </w:r>
          </w:p>
        </w:tc>
      </w:tr>
      <w:tr>
        <w:trPr>
          <w:trHeight w:val="1172"/>
        </w:trPr>
        <w:tc>
          <w:tcPr>
            <w:tcW w:w="1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line="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spacing w:after="0"/>
        <w:tabs>
          <w:tab w:leader="none" w:pos="720" w:val="left"/>
          <w:tab w:leader="none" w:pos="568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36"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8"/>
          <w:szCs w:val="18"/>
          <w:color w:val="auto"/>
        </w:rPr>
        <w:t>Name:</w:t>
        <w:tab/>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-130175</wp:posOffset>
            </wp:positionV>
            <wp:extent cx="6783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Senior Vice President, General Counsel and Secretary</w:t>
      </w:r>
    </w:p>
    <w:p>
      <w:pPr>
        <w:sectPr>
          <w:pgSz w:w="11900" w:h="16838" w:orient="portrait"/>
          <w:cols w:equalWidth="0" w:num="1">
            <w:col w:w="10880"/>
          </w:cols>
          <w:pgMar w:left="240" w:top="1440"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is a Non-Qualified Stock Option Award dated ________________, 200_ (“Award”) from Comcast Corporation (the “Sponsor”)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 (the “Optionee”).</w:t>
      </w:r>
    </w:p>
    <w:p>
      <w:pPr>
        <w:spacing w:after="0" w:line="305" w:lineRule="exact"/>
        <w:rPr>
          <w:sz w:val="20"/>
          <w:szCs w:val="20"/>
          <w:color w:val="auto"/>
        </w:rPr>
      </w:pPr>
    </w:p>
    <w:p>
      <w:pPr>
        <w:ind w:left="1880" w:hanging="575"/>
        <w:spacing w:after="0"/>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w:t>
      </w:r>
    </w:p>
    <w:p>
      <w:pPr>
        <w:spacing w:after="0" w:line="333" w:lineRule="exact"/>
        <w:rPr>
          <w:rFonts w:ascii="Arial" w:cs="Arial" w:eastAsia="Arial" w:hAnsi="Arial"/>
          <w:sz w:val="18"/>
          <w:szCs w:val="18"/>
          <w:color w:val="auto"/>
        </w:rPr>
      </w:pPr>
    </w:p>
    <w:p>
      <w:pPr>
        <w:ind w:right="20" w:firstLine="1953"/>
        <w:spacing w:after="0" w:line="285" w:lineRule="auto"/>
        <w:tabs>
          <w:tab w:leader="none" w:pos="2577" w:val="left"/>
        </w:tabs>
        <w:numPr>
          <w:ilvl w:val="1"/>
          <w:numId w:val="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59" w:lineRule="exact"/>
        <w:rPr>
          <w:rFonts w:ascii="Arial" w:cs="Arial" w:eastAsia="Arial" w:hAnsi="Arial"/>
          <w:sz w:val="17"/>
          <w:szCs w:val="17"/>
          <w:color w:val="auto"/>
        </w:rPr>
      </w:pPr>
    </w:p>
    <w:p>
      <w:pPr>
        <w:ind w:right="460" w:firstLine="1953"/>
        <w:spacing w:after="0" w:line="293" w:lineRule="auto"/>
        <w:tabs>
          <w:tab w:leader="none" w:pos="2587"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Comcast Cable Communications Holdings, Inc. (formerly known as AT&amp;T Broadband Corp.) by the Company.</w:t>
      </w:r>
    </w:p>
    <w:p>
      <w:pPr>
        <w:spacing w:after="0" w:line="250" w:lineRule="exact"/>
        <w:rPr>
          <w:rFonts w:ascii="Arial" w:cs="Arial" w:eastAsia="Arial" w:hAnsi="Arial"/>
          <w:sz w:val="18"/>
          <w:szCs w:val="18"/>
          <w:color w:val="auto"/>
        </w:rPr>
      </w:pPr>
    </w:p>
    <w:p>
      <w:pPr>
        <w:ind w:left="2580" w:hanging="627"/>
        <w:spacing w:after="0"/>
        <w:tabs>
          <w:tab w:leader="none" w:pos="258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333" w:lineRule="exact"/>
        <w:rPr>
          <w:rFonts w:ascii="Arial" w:cs="Arial" w:eastAsia="Arial" w:hAnsi="Arial"/>
          <w:sz w:val="18"/>
          <w:szCs w:val="18"/>
          <w:color w:val="auto"/>
        </w:rPr>
      </w:pPr>
    </w:p>
    <w:p>
      <w:pPr>
        <w:ind w:right="60" w:firstLine="1953"/>
        <w:spacing w:after="0" w:line="261" w:lineRule="auto"/>
        <w:tabs>
          <w:tab w:leader="none" w:pos="2587"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pacing w:after="0" w:line="279" w:lineRule="exact"/>
        <w:rPr>
          <w:rFonts w:ascii="Arial" w:cs="Arial" w:eastAsia="Arial" w:hAnsi="Arial"/>
          <w:sz w:val="18"/>
          <w:szCs w:val="18"/>
          <w:color w:val="auto"/>
        </w:rPr>
      </w:pPr>
    </w:p>
    <w:p>
      <w:pPr>
        <w:ind w:right="40" w:firstLine="1953"/>
        <w:spacing w:after="0" w:line="285" w:lineRule="auto"/>
        <w:tabs>
          <w:tab w:leader="none" w:pos="2577" w:val="left"/>
        </w:tabs>
        <w:numPr>
          <w:ilvl w:val="1"/>
          <w:numId w:val="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59" w:lineRule="exact"/>
        <w:rPr>
          <w:rFonts w:ascii="Arial" w:cs="Arial" w:eastAsia="Arial" w:hAnsi="Arial"/>
          <w:sz w:val="17"/>
          <w:szCs w:val="17"/>
          <w:color w:val="auto"/>
        </w:rPr>
      </w:pPr>
    </w:p>
    <w:p>
      <w:pPr>
        <w:ind w:left="2560" w:hanging="607"/>
        <w:spacing w:after="0"/>
        <w:tabs>
          <w:tab w:leader="none" w:pos="2560" w:val="left"/>
        </w:tabs>
        <w:numPr>
          <w:ilvl w:val="1"/>
          <w:numId w:val="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means the closing of the acquisition and sale of the Shares as described in, and subject to the provisions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Paragraph 9 hereof.</w:t>
      </w:r>
    </w:p>
    <w:p>
      <w:pPr>
        <w:spacing w:after="0" w:line="318" w:lineRule="exact"/>
        <w:rPr>
          <w:rFonts w:ascii="Arial" w:cs="Arial" w:eastAsia="Arial" w:hAnsi="Arial"/>
          <w:sz w:val="17"/>
          <w:szCs w:val="17"/>
          <w:color w:val="auto"/>
        </w:rPr>
      </w:pPr>
    </w:p>
    <w:p>
      <w:pPr>
        <w:ind w:left="2600" w:hanging="647"/>
        <w:spacing w:after="0"/>
        <w:tabs>
          <w:tab w:leader="none" w:pos="260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left="2600" w:hanging="647"/>
        <w:spacing w:after="0"/>
        <w:tabs>
          <w:tab w:leader="none" w:pos="2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333" w:lineRule="exact"/>
        <w:rPr>
          <w:rFonts w:ascii="Arial" w:cs="Arial" w:eastAsia="Arial" w:hAnsi="Arial"/>
          <w:sz w:val="18"/>
          <w:szCs w:val="18"/>
          <w:color w:val="auto"/>
        </w:rPr>
      </w:pPr>
    </w:p>
    <w:p>
      <w:pPr>
        <w:ind w:right="240" w:firstLine="1953"/>
        <w:spacing w:after="0" w:line="295" w:lineRule="auto"/>
        <w:tabs>
          <w:tab w:leader="none" w:pos="2547"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Comcast Plan</w:t>
      </w:r>
      <w:r>
        <w:rPr>
          <w:rFonts w:ascii="Arial" w:cs="Arial" w:eastAsia="Arial" w:hAnsi="Arial"/>
          <w:sz w:val="17"/>
          <w:szCs w:val="17"/>
          <w:color w:val="auto"/>
        </w:rPr>
        <w:t>” means any restricted stock, stock bonus, stock option or other compensation plan, program or arrangement established or maintained by the Sponsor or an Affiliate of the Sponsor, including but not limited to this Plan, the Comcast Corporation 2002 Restricted Stock Plan and the Comcast Corporation 1987 Stock Option Plan and the AT&amp;T Broadband Corp. Adjustment Plan.</w:t>
      </w:r>
    </w:p>
    <w:p>
      <w:pPr>
        <w:spacing w:after="0" w:line="251" w:lineRule="exact"/>
        <w:rPr>
          <w:rFonts w:ascii="Arial" w:cs="Arial" w:eastAsia="Arial" w:hAnsi="Arial"/>
          <w:sz w:val="17"/>
          <w:szCs w:val="17"/>
          <w:color w:val="auto"/>
        </w:rPr>
      </w:pPr>
    </w:p>
    <w:p>
      <w:pPr>
        <w:ind w:left="2560" w:hanging="607"/>
        <w:spacing w:after="0"/>
        <w:tabs>
          <w:tab w:leader="none" w:pos="2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those members of the Board who have been designated pursuant to the Plan to act in that capacity.</w:t>
      </w:r>
    </w:p>
    <w:p>
      <w:pPr>
        <w:spacing w:after="0" w:line="356" w:lineRule="exact"/>
        <w:rPr>
          <w:rFonts w:ascii="Arial" w:cs="Arial" w:eastAsia="Arial" w:hAnsi="Arial"/>
          <w:sz w:val="16"/>
          <w:szCs w:val="16"/>
          <w:color w:val="auto"/>
        </w:rPr>
      </w:pPr>
    </w:p>
    <w:p>
      <w:pPr>
        <w:ind w:firstLine="1953"/>
        <w:spacing w:after="0" w:line="324" w:lineRule="auto"/>
        <w:tabs>
          <w:tab w:leader="none" w:pos="2587"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Sponsor’s Class A Common Stock, par value, $.01 per share. For purposes of Paragraph 1(t) and Paragraph 5, the term “Common Stock” also means the Sponsor’s Class A Special Common Stock, par value, $.01 per share.</w:t>
      </w:r>
    </w:p>
    <w:p>
      <w:pPr>
        <w:spacing w:after="0" w:line="228" w:lineRule="exact"/>
        <w:rPr>
          <w:rFonts w:ascii="Arial" w:cs="Arial" w:eastAsia="Arial" w:hAnsi="Arial"/>
          <w:sz w:val="17"/>
          <w:szCs w:val="17"/>
          <w:color w:val="auto"/>
        </w:rPr>
      </w:pPr>
    </w:p>
    <w:p>
      <w:pPr>
        <w:ind w:left="2560" w:hanging="607"/>
        <w:spacing w:after="0"/>
        <w:tabs>
          <w:tab w:leader="none" w:pos="2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each of its Subsidiaries.</w:t>
      </w:r>
    </w:p>
    <w:p>
      <w:pPr>
        <w:spacing w:after="0" w:line="333" w:lineRule="exact"/>
        <w:rPr>
          <w:rFonts w:ascii="Arial" w:cs="Arial" w:eastAsia="Arial" w:hAnsi="Arial"/>
          <w:sz w:val="18"/>
          <w:szCs w:val="18"/>
          <w:color w:val="auto"/>
        </w:rPr>
      </w:pPr>
    </w:p>
    <w:p>
      <w:pPr>
        <w:ind w:right="180" w:firstLine="1953"/>
        <w:spacing w:after="0" w:line="293" w:lineRule="auto"/>
        <w:tabs>
          <w:tab w:leader="none" w:pos="2637"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Exercise</w:t>
      </w:r>
      <w:r>
        <w:rPr>
          <w:rFonts w:ascii="Arial" w:cs="Arial" w:eastAsia="Arial" w:hAnsi="Arial"/>
          <w:sz w:val="18"/>
          <w:szCs w:val="18"/>
          <w:color w:val="auto"/>
        </w:rPr>
        <w:t>” means the date on which the notice required by Paragraph 6 hereof is hand-delivered, placed in the United States mail postage prepaid, or delivered to a telegraph or telex facility.</w:t>
      </w:r>
    </w:p>
    <w:p>
      <w:pPr>
        <w:spacing w:after="0" w:line="250" w:lineRule="exact"/>
        <w:rPr>
          <w:rFonts w:ascii="Arial" w:cs="Arial" w:eastAsia="Arial" w:hAnsi="Arial"/>
          <w:sz w:val="18"/>
          <w:szCs w:val="18"/>
          <w:color w:val="auto"/>
        </w:rPr>
      </w:pPr>
    </w:p>
    <w:p>
      <w:pPr>
        <w:ind w:left="2600" w:hanging="647"/>
        <w:spacing w:after="0"/>
        <w:tabs>
          <w:tab w:leader="none" w:pos="2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hereof, the date on which the Sponsor awarded the Option.</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of the following:</w:t>
      </w:r>
    </w:p>
    <w:p>
      <w:pPr>
        <w:spacing w:after="0" w:line="333" w:lineRule="exact"/>
        <w:rPr>
          <w:rFonts w:ascii="Arial" w:cs="Arial" w:eastAsia="Arial" w:hAnsi="Arial"/>
          <w:sz w:val="18"/>
          <w:szCs w:val="18"/>
          <w:color w:val="auto"/>
        </w:rPr>
      </w:pPr>
    </w:p>
    <w:p>
      <w:pPr>
        <w:ind w:right="700" w:firstLine="2601"/>
        <w:spacing w:after="0" w:line="293" w:lineRule="auto"/>
        <w:tabs>
          <w:tab w:leader="none" w:pos="3235"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the Optionee’s Termination of Employment with the Company is due to any reason other than death, Disability, Retirement or Cause the date three months following such Termination of Employment;</w:t>
      </w:r>
    </w:p>
    <w:p>
      <w:pPr>
        <w:spacing w:after="0" w:line="250" w:lineRule="exact"/>
        <w:rPr>
          <w:rFonts w:ascii="Arial" w:cs="Arial" w:eastAsia="Arial" w:hAnsi="Arial"/>
          <w:sz w:val="18"/>
          <w:szCs w:val="18"/>
          <w:color w:val="auto"/>
        </w:rPr>
      </w:pPr>
    </w:p>
    <w:p>
      <w:pPr>
        <w:ind w:firstLine="2601"/>
        <w:spacing w:after="0" w:line="271" w:lineRule="auto"/>
        <w:tabs>
          <w:tab w:leader="none" w:pos="3235"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the Optionee’s Termination of Employment with the Company occurs after qualifying for Retirement, the date three months after the third anniversary of the date of the Optionee’s Termination of Employment, subject to cancellation by the Committee pursuant to Paragraph 3(b);</w:t>
      </w:r>
    </w:p>
    <w:p>
      <w:pPr>
        <w:spacing w:after="0" w:line="271" w:lineRule="exact"/>
        <w:rPr>
          <w:rFonts w:ascii="Arial" w:cs="Arial" w:eastAsia="Arial" w:hAnsi="Arial"/>
          <w:sz w:val="18"/>
          <w:szCs w:val="18"/>
          <w:color w:val="auto"/>
        </w:rPr>
      </w:pPr>
    </w:p>
    <w:p>
      <w:pPr>
        <w:ind w:left="3240" w:hanging="639"/>
        <w:spacing w:after="0"/>
        <w:tabs>
          <w:tab w:leader="none" w:pos="3240" w:val="left"/>
        </w:tabs>
        <w:numPr>
          <w:ilvl w:val="1"/>
          <w:numId w:val="2"/>
        </w:numPr>
        <w:rPr>
          <w:rFonts w:ascii="Arial" w:cs="Arial" w:eastAsia="Arial" w:hAnsi="Arial"/>
          <w:sz w:val="16"/>
          <w:szCs w:val="16"/>
          <w:color w:val="auto"/>
        </w:rPr>
      </w:pPr>
      <w:r>
        <w:rPr>
          <w:rFonts w:ascii="Arial" w:cs="Arial" w:eastAsia="Arial" w:hAnsi="Arial"/>
          <w:sz w:val="16"/>
          <w:szCs w:val="16"/>
          <w:color w:val="auto"/>
        </w:rPr>
        <w:t>If the Optionee’s Termination of Employment with the Company is for Cause, the date of such Termination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Employment; or</w:t>
      </w:r>
    </w:p>
    <w:p>
      <w:pPr>
        <w:spacing w:after="0" w:line="318" w:lineRule="exact"/>
        <w:rPr>
          <w:rFonts w:ascii="Arial" w:cs="Arial" w:eastAsia="Arial" w:hAnsi="Arial"/>
          <w:sz w:val="16"/>
          <w:szCs w:val="16"/>
          <w:color w:val="auto"/>
        </w:rPr>
      </w:pPr>
    </w:p>
    <w:p>
      <w:pPr>
        <w:ind w:left="3240" w:hanging="639"/>
        <w:spacing w:after="0"/>
        <w:tabs>
          <w:tab w:leader="none" w:pos="3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day before the tenth anniversary of the Date of Grant.</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a Share, as determined pursuant to the Plan.</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5" w:name="page6"/>
    <w:bookmarkEnd w:id="5"/>
    <w:p>
      <w:pPr>
        <w:ind w:left="2560" w:hanging="607"/>
        <w:spacing w:after="0"/>
        <w:tabs>
          <w:tab w:leader="none" w:pos="2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option hereby granted.</w:t>
      </w:r>
    </w:p>
    <w:p>
      <w:pPr>
        <w:spacing w:after="0" w:line="333" w:lineRule="exact"/>
        <w:rPr>
          <w:rFonts w:ascii="Arial" w:cs="Arial" w:eastAsia="Arial" w:hAnsi="Arial"/>
          <w:sz w:val="18"/>
          <w:szCs w:val="18"/>
          <w:color w:val="auto"/>
        </w:rPr>
      </w:pPr>
    </w:p>
    <w:p>
      <w:pPr>
        <w:ind w:left="2580" w:hanging="627"/>
        <w:spacing w:after="0"/>
        <w:tabs>
          <w:tab w:leader="none" w:pos="2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$_____ per Share, as calculated pursuant to the Plan.</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333" w:lineRule="exact"/>
        <w:rPr>
          <w:rFonts w:ascii="Arial" w:cs="Arial" w:eastAsia="Arial" w:hAnsi="Arial"/>
          <w:sz w:val="18"/>
          <w:szCs w:val="18"/>
          <w:color w:val="auto"/>
        </w:rPr>
      </w:pPr>
    </w:p>
    <w:p>
      <w:pPr>
        <w:ind w:firstLine="2601"/>
        <w:spacing w:after="0" w:line="293" w:lineRule="auto"/>
        <w:tabs>
          <w:tab w:leader="none" w:pos="3235"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250" w:lineRule="exact"/>
        <w:rPr>
          <w:rFonts w:ascii="Arial" w:cs="Arial" w:eastAsia="Arial" w:hAnsi="Arial"/>
          <w:sz w:val="18"/>
          <w:szCs w:val="18"/>
          <w:color w:val="auto"/>
        </w:rPr>
      </w:pPr>
    </w:p>
    <w:p>
      <w:pPr>
        <w:ind w:left="3240" w:hanging="639"/>
        <w:spacing w:after="0"/>
        <w:tabs>
          <w:tab w:leader="none" w:pos="3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333" w:lineRule="exact"/>
        <w:rPr>
          <w:rFonts w:ascii="Arial" w:cs="Arial" w:eastAsia="Arial" w:hAnsi="Arial"/>
          <w:sz w:val="18"/>
          <w:szCs w:val="18"/>
          <w:color w:val="auto"/>
        </w:rPr>
      </w:pPr>
    </w:p>
    <w:p>
      <w:pPr>
        <w:ind w:left="3880" w:hanging="631"/>
        <w:spacing w:after="0"/>
        <w:tabs>
          <w:tab w:leader="none" w:pos="3880" w:val="left"/>
        </w:tabs>
        <w:numPr>
          <w:ilvl w:val="2"/>
          <w:numId w:val="3"/>
        </w:numPr>
        <w:rPr>
          <w:rFonts w:ascii="Arial" w:cs="Arial" w:eastAsia="Arial" w:hAnsi="Arial"/>
          <w:sz w:val="16"/>
          <w:szCs w:val="16"/>
          <w:color w:val="auto"/>
        </w:rPr>
      </w:pPr>
      <w:r>
        <w:rPr>
          <w:rFonts w:ascii="Arial" w:cs="Arial" w:eastAsia="Arial" w:hAnsi="Arial"/>
          <w:sz w:val="16"/>
          <w:szCs w:val="16"/>
          <w:color w:val="auto"/>
        </w:rPr>
        <w:t>the total number of Shares owned by an Optionee other than the Shares described in Paragraph 1(t)(1);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over</w:t>
      </w:r>
    </w:p>
    <w:p>
      <w:pPr>
        <w:spacing w:after="0" w:line="318" w:lineRule="exact"/>
        <w:rPr>
          <w:rFonts w:ascii="Arial" w:cs="Arial" w:eastAsia="Arial" w:hAnsi="Arial"/>
          <w:sz w:val="16"/>
          <w:szCs w:val="16"/>
          <w:color w:val="auto"/>
        </w:rPr>
      </w:pPr>
    </w:p>
    <w:p>
      <w:pPr>
        <w:ind w:left="3900" w:hanging="651"/>
        <w:spacing w:after="0"/>
        <w:tabs>
          <w:tab w:leader="none" w:pos="39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333" w:lineRule="exact"/>
        <w:rPr>
          <w:rFonts w:ascii="Arial" w:cs="Arial" w:eastAsia="Arial" w:hAnsi="Arial"/>
          <w:sz w:val="18"/>
          <w:szCs w:val="18"/>
          <w:color w:val="auto"/>
        </w:rPr>
      </w:pPr>
    </w:p>
    <w:p>
      <w:pPr>
        <w:ind w:left="4440" w:hanging="542"/>
        <w:spacing w:after="0"/>
        <w:tabs>
          <w:tab w:leader="none" w:pos="4440"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for less than six months; plus</w:t>
      </w:r>
    </w:p>
    <w:p>
      <w:pPr>
        <w:spacing w:after="0" w:line="333" w:lineRule="exact"/>
        <w:rPr>
          <w:rFonts w:ascii="Arial" w:cs="Arial" w:eastAsia="Arial" w:hAnsi="Arial"/>
          <w:sz w:val="18"/>
          <w:szCs w:val="18"/>
          <w:color w:val="auto"/>
        </w:rPr>
      </w:pPr>
    </w:p>
    <w:p>
      <w:pPr>
        <w:ind w:right="80" w:firstLine="3898"/>
        <w:spacing w:after="0" w:line="271" w:lineRule="auto"/>
        <w:tabs>
          <w:tab w:leader="none" w:pos="4482"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the subject of a withholding certification pursuant to Paragraph 15(b) of the Plan or any similar withholding certification under any other Comcast Plan; plus</w:t>
      </w:r>
    </w:p>
    <w:p>
      <w:pPr>
        <w:spacing w:after="0" w:line="271" w:lineRule="exact"/>
        <w:rPr>
          <w:rFonts w:ascii="Arial" w:cs="Arial" w:eastAsia="Arial" w:hAnsi="Arial"/>
          <w:sz w:val="18"/>
          <w:szCs w:val="18"/>
          <w:color w:val="auto"/>
        </w:rPr>
      </w:pPr>
    </w:p>
    <w:p>
      <w:pPr>
        <w:jc w:val="both"/>
        <w:ind w:right="100" w:firstLine="3898"/>
        <w:spacing w:after="0" w:line="264" w:lineRule="auto"/>
        <w:tabs>
          <w:tab w:leader="none" w:pos="4532"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277" w:lineRule="exact"/>
        <w:rPr>
          <w:rFonts w:ascii="Arial" w:cs="Arial" w:eastAsia="Arial" w:hAnsi="Arial"/>
          <w:sz w:val="18"/>
          <w:szCs w:val="18"/>
          <w:color w:val="auto"/>
        </w:rPr>
      </w:pPr>
    </w:p>
    <w:p>
      <w:pPr>
        <w:ind w:left="4520" w:hanging="622"/>
        <w:spacing w:after="0"/>
        <w:tabs>
          <w:tab w:leader="none" w:pos="4520" w:val="left"/>
        </w:tabs>
        <w:numPr>
          <w:ilvl w:val="3"/>
          <w:numId w:val="3"/>
        </w:numPr>
        <w:rPr>
          <w:rFonts w:ascii="Arial" w:cs="Arial" w:eastAsia="Arial" w:hAnsi="Arial"/>
          <w:sz w:val="16"/>
          <w:szCs w:val="16"/>
          <w:color w:val="auto"/>
        </w:rPr>
      </w:pPr>
      <w:r>
        <w:rPr>
          <w:rFonts w:ascii="Arial" w:cs="Arial" w:eastAsia="Arial" w:hAnsi="Arial"/>
          <w:sz w:val="16"/>
          <w:szCs w:val="16"/>
          <w:color w:val="auto"/>
        </w:rPr>
        <w:t>the number of such Shares owned by such Optionee as to which evidence of ownership has,</w:t>
      </w:r>
    </w:p>
    <w:p>
      <w:pPr>
        <w:spacing w:after="0" w:line="46" w:lineRule="exact"/>
        <w:rPr>
          <w:rFonts w:ascii="Arial" w:cs="Arial" w:eastAsia="Arial" w:hAnsi="Arial"/>
          <w:sz w:val="16"/>
          <w:szCs w:val="16"/>
          <w:color w:val="auto"/>
        </w:rPr>
      </w:pPr>
    </w:p>
    <w:p>
      <w:pPr>
        <w:ind w:right="40"/>
        <w:spacing w:after="0" w:line="276" w:lineRule="auto"/>
        <w:rPr>
          <w:rFonts w:ascii="Arial" w:cs="Arial" w:eastAsia="Arial" w:hAnsi="Arial"/>
          <w:sz w:val="16"/>
          <w:szCs w:val="16"/>
          <w:color w:val="auto"/>
        </w:rPr>
      </w:pPr>
      <w:r>
        <w:rPr>
          <w:rFonts w:ascii="Arial" w:cs="Arial" w:eastAsia="Arial" w:hAnsi="Arial"/>
          <w:sz w:val="18"/>
          <w:szCs w:val="18"/>
          <w:color w:val="auto"/>
        </w:rPr>
        <w:t>within the preceding six months, been provided to the Company in connection with the crediting of “Deferred Stock Units” to such Optionee’s Account under the Comcast Corporation 2002 Deferred Stock Option Plan (as in effect from time to time).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purposes of this Paragraph 1(t),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281" w:lineRule="exact"/>
        <w:rPr>
          <w:sz w:val="20"/>
          <w:szCs w:val="20"/>
          <w:color w:val="auto"/>
        </w:rPr>
      </w:pPr>
    </w:p>
    <w:p>
      <w:pPr>
        <w:ind w:left="2600" w:hanging="647"/>
        <w:spacing w:after="0"/>
        <w:tabs>
          <w:tab w:leader="none" w:pos="2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partnership, an association, a trust or any other entity or organization.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ind w:left="2600" w:hanging="64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 incorporated herein by reference.</w:t>
      </w:r>
    </w:p>
    <w:p>
      <w:pPr>
        <w:spacing w:after="0" w:line="333" w:lineRule="exact"/>
        <w:rPr>
          <w:rFonts w:ascii="Arial" w:cs="Arial" w:eastAsia="Arial" w:hAnsi="Arial"/>
          <w:sz w:val="18"/>
          <w:szCs w:val="18"/>
          <w:color w:val="auto"/>
        </w:rPr>
      </w:pPr>
    </w:p>
    <w:p>
      <w:pPr>
        <w:ind w:left="2640" w:hanging="687"/>
        <w:spacing w:after="0"/>
        <w:tabs>
          <w:tab w:leader="none" w:pos="2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An Optionee will be qualified for Retirement after reaching age 62 and completing 10 or more years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 with the Company.</w:t>
      </w:r>
    </w:p>
    <w:p>
      <w:pPr>
        <w:spacing w:after="0" w:line="319" w:lineRule="exact"/>
        <w:rPr>
          <w:sz w:val="20"/>
          <w:szCs w:val="20"/>
          <w:color w:val="auto"/>
        </w:rPr>
      </w:pPr>
    </w:p>
    <w:p>
      <w:pPr>
        <w:ind w:left="2600" w:hanging="647"/>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_____ shares of Common Stock, which are the subject of the Option hereby granted.</w:t>
      </w:r>
    </w:p>
    <w:p>
      <w:pPr>
        <w:spacing w:after="0" w:line="333" w:lineRule="exact"/>
        <w:rPr>
          <w:rFonts w:ascii="Arial" w:cs="Arial" w:eastAsia="Arial" w:hAnsi="Arial"/>
          <w:sz w:val="18"/>
          <w:szCs w:val="18"/>
          <w:color w:val="auto"/>
        </w:rPr>
      </w:pPr>
    </w:p>
    <w:p>
      <w:pPr>
        <w:ind w:right="120" w:firstLine="1953"/>
        <w:spacing w:after="0" w:line="271" w:lineRule="auto"/>
        <w:tabs>
          <w:tab w:leader="none" w:pos="2587"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271" w:lineRule="exact"/>
        <w:rPr>
          <w:rFonts w:ascii="Arial" w:cs="Arial" w:eastAsia="Arial" w:hAnsi="Arial"/>
          <w:sz w:val="18"/>
          <w:szCs w:val="18"/>
          <w:color w:val="auto"/>
        </w:rPr>
      </w:pPr>
    </w:p>
    <w:p>
      <w:pPr>
        <w:ind w:left="2580" w:hanging="627"/>
        <w:spacing w:after="0"/>
        <w:tabs>
          <w:tab w:leader="none" w:pos="2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business entity that, at the time in question, is a subsidiary of the Sponsor within the meaning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424(f) of the Code.</w:t>
      </w:r>
    </w:p>
    <w:p>
      <w:pPr>
        <w:spacing w:after="0" w:line="319" w:lineRule="exact"/>
        <w:rPr>
          <w:sz w:val="20"/>
          <w:szCs w:val="20"/>
          <w:color w:val="auto"/>
        </w:rPr>
      </w:pPr>
    </w:p>
    <w:p>
      <w:pPr>
        <w:ind w:right="140" w:firstLine="1953"/>
        <w:spacing w:after="0" w:line="264" w:lineRule="auto"/>
        <w:tabs>
          <w:tab w:leader="none" w:pos="2657"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employer corporation is the Sponsor or a Subsidiary.</w:t>
      </w:r>
    </w:p>
    <w:p>
      <w:pPr>
        <w:spacing w:after="0" w:line="277" w:lineRule="exact"/>
        <w:rPr>
          <w:rFonts w:ascii="Arial" w:cs="Arial" w:eastAsia="Arial" w:hAnsi="Arial"/>
          <w:sz w:val="18"/>
          <w:szCs w:val="18"/>
          <w:color w:val="auto"/>
        </w:rPr>
      </w:pPr>
    </w:p>
    <w:p>
      <w:pPr>
        <w:ind w:left="2680" w:hanging="727"/>
        <w:spacing w:after="0"/>
        <w:tabs>
          <w:tab w:leader="none" w:pos="2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333" w:lineRule="exact"/>
        <w:rPr>
          <w:rFonts w:ascii="Arial" w:cs="Arial" w:eastAsia="Arial" w:hAnsi="Arial"/>
          <w:sz w:val="18"/>
          <w:szCs w:val="18"/>
          <w:color w:val="auto"/>
        </w:rPr>
      </w:pPr>
    </w:p>
    <w:p>
      <w:pPr>
        <w:ind w:left="3240" w:hanging="639"/>
        <w:spacing w:after="0"/>
        <w:tabs>
          <w:tab w:leader="none" w:pos="3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333" w:lineRule="exact"/>
        <w:rPr>
          <w:rFonts w:ascii="Arial" w:cs="Arial" w:eastAsia="Arial" w:hAnsi="Arial"/>
          <w:sz w:val="18"/>
          <w:szCs w:val="18"/>
          <w:color w:val="auto"/>
        </w:rPr>
      </w:pPr>
    </w:p>
    <w:p>
      <w:pPr>
        <w:ind w:left="3240" w:hanging="639"/>
        <w:spacing w:after="0"/>
        <w:tabs>
          <w:tab w:leader="none" w:pos="3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333" w:lineRule="exact"/>
        <w:rPr>
          <w:rFonts w:ascii="Arial" w:cs="Arial" w:eastAsia="Arial" w:hAnsi="Arial"/>
          <w:sz w:val="18"/>
          <w:szCs w:val="18"/>
          <w:color w:val="auto"/>
        </w:rPr>
      </w:pPr>
    </w:p>
    <w:p>
      <w:pPr>
        <w:ind w:firstLine="1953"/>
        <w:spacing w:after="0" w:line="275" w:lineRule="auto"/>
        <w:tabs>
          <w:tab w:leader="none" w:pos="2657"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268" w:lineRule="exact"/>
        <w:rPr>
          <w:rFonts w:ascii="Arial" w:cs="Arial" w:eastAsia="Arial" w:hAnsi="Arial"/>
          <w:sz w:val="17"/>
          <w:szCs w:val="17"/>
          <w:color w:val="auto"/>
        </w:rPr>
      </w:pPr>
    </w:p>
    <w:p>
      <w:pPr>
        <w:ind w:right="260" w:firstLine="1953"/>
        <w:spacing w:after="0" w:line="293" w:lineRule="auto"/>
        <w:tabs>
          <w:tab w:leader="none" w:pos="2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250" w:lineRule="exact"/>
        <w:rPr>
          <w:rFonts w:ascii="Arial" w:cs="Arial" w:eastAsia="Arial" w:hAnsi="Arial"/>
          <w:sz w:val="18"/>
          <w:szCs w:val="18"/>
          <w:color w:val="auto"/>
        </w:rPr>
      </w:pPr>
    </w:p>
    <w:p>
      <w:pPr>
        <w:ind w:left="2660" w:hanging="707"/>
        <w:spacing w:after="0"/>
        <w:tabs>
          <w:tab w:leader="none" w:pos="2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7" w:name="page8"/>
    <w:bookmarkEnd w:id="7"/>
    <w:p>
      <w:pPr>
        <w:ind w:left="2520" w:hanging="667"/>
        <w:spacing w:after="0"/>
        <w:tabs>
          <w:tab w:leader="none" w:pos="2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333" w:lineRule="exact"/>
        <w:rPr>
          <w:rFonts w:ascii="Arial" w:cs="Arial" w:eastAsia="Arial" w:hAnsi="Arial"/>
          <w:sz w:val="18"/>
          <w:szCs w:val="18"/>
          <w:color w:val="auto"/>
        </w:rPr>
      </w:pPr>
    </w:p>
    <w:p>
      <w:pPr>
        <w:ind w:left="-100" w:right="140" w:firstLine="1305"/>
        <w:spacing w:after="0" w:line="293" w:lineRule="auto"/>
        <w:tabs>
          <w:tab w:leader="none" w:pos="176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Subject to the terms and conditions set forth herein and in the Plan, the Sponsor hereby grants to the Optionee the Option to purchase any or all of the Shares.</w:t>
      </w:r>
    </w:p>
    <w:p>
      <w:pPr>
        <w:spacing w:after="0" w:line="250" w:lineRule="exact"/>
        <w:rPr>
          <w:rFonts w:ascii="Arial" w:cs="Arial" w:eastAsia="Arial" w:hAnsi="Arial"/>
          <w:sz w:val="18"/>
          <w:szCs w:val="18"/>
          <w:color w:val="auto"/>
        </w:rPr>
      </w:pPr>
    </w:p>
    <w:p>
      <w:pPr>
        <w:ind w:left="1780" w:hanging="575"/>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Time of Exercise of Options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100" w:right="200" w:firstLine="1953"/>
        <w:spacing w:after="0" w:line="293" w:lineRule="auto"/>
        <w:tabs>
          <w:tab w:leader="none" w:pos="2477"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as provided in Paragraphs 3(b) or 4, the Option may be exercised after such time or times as set forth below, and shall remain exercisable until the Expiration Date, when the right to exercise shall terminate absolutely:</w:t>
      </w:r>
    </w:p>
    <w:p>
      <w:pPr>
        <w:sectPr>
          <w:pgSz w:w="11900" w:h="16838" w:orient="portrait"/>
          <w:cols w:equalWidth="0" w:num="1">
            <w:col w:w="11320"/>
          </w:cols>
          <w:pgMar w:left="340" w:top="949" w:right="239" w:bottom="1440" w:gutter="0" w:footer="0" w:header="0"/>
        </w:sectPr>
      </w:pPr>
    </w:p>
    <w:p>
      <w:pPr>
        <w:spacing w:after="0" w:line="25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second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third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fourth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fifth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100" w:right="100" w:firstLine="1953"/>
        <w:spacing w:after="0" w:line="277" w:lineRule="auto"/>
        <w:tabs>
          <w:tab w:leader="none" w:pos="2487"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Shares subject to the Option shall first become exercisable following the Optionee’s Termination of Employment for any reason other than death or Disability or after qualifying for Retirement. All Shares subject to the Option shall vest and become exercisable upon the Optionee’s Termination of Employment because of death or Disability. Furthermore, the Option shall continue to vest and become exercisable in accordance with Paragraph 3(a) for a period of three years following the Optionee’s Termination of Employment after qualifying for Retirement; provided, however, that the Option will be subject to cancellation by the Committee, in its sole discretion, if the Optionee breaches either of the following non-solicitation or non-competition obligations during the 39-month period following such Termination of Employment:</w:t>
      </w:r>
    </w:p>
    <w:p>
      <w:pPr>
        <w:spacing w:after="0" w:line="266" w:lineRule="exact"/>
        <w:rPr>
          <w:rFonts w:ascii="Arial" w:cs="Arial" w:eastAsia="Arial" w:hAnsi="Arial"/>
          <w:sz w:val="17"/>
          <w:szCs w:val="17"/>
          <w:color w:val="auto"/>
        </w:rPr>
      </w:pPr>
    </w:p>
    <w:p>
      <w:pPr>
        <w:ind w:left="-100" w:right="260" w:firstLine="2601"/>
        <w:spacing w:after="0" w:line="271" w:lineRule="auto"/>
        <w:tabs>
          <w:tab w:leader="none" w:pos="31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271" w:lineRule="exact"/>
        <w:rPr>
          <w:rFonts w:ascii="Arial" w:cs="Arial" w:eastAsia="Arial" w:hAnsi="Arial"/>
          <w:sz w:val="18"/>
          <w:szCs w:val="18"/>
          <w:color w:val="auto"/>
        </w:rPr>
      </w:pPr>
    </w:p>
    <w:p>
      <w:pPr>
        <w:ind w:left="-100" w:right="100" w:firstLine="2601"/>
        <w:spacing w:after="0" w:line="280" w:lineRule="auto"/>
        <w:tabs>
          <w:tab w:leader="none" w:pos="3135"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or any business unit of the Company, or being planned by the Company or business unit with the Optionee’s knowledge at the time of the Optionee’s termination of employment.</w:t>
      </w: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949" w:right="239" w:bottom="1440" w:gutter="0" w:footer="0" w:header="0"/>
          <w:type w:val="continuous"/>
        </w:sectPr>
      </w:pPr>
    </w:p>
    <w:bookmarkStart w:id="8" w:name="page9"/>
    <w:bookmarkEnd w:id="8"/>
    <w:p>
      <w:pPr>
        <w:ind w:right="240"/>
        <w:spacing w:after="0" w:line="264" w:lineRule="auto"/>
        <w:rPr>
          <w:sz w:val="20"/>
          <w:szCs w:val="20"/>
          <w:color w:val="auto"/>
        </w:rPr>
      </w:pPr>
      <w:r>
        <w:rPr>
          <w:rFonts w:ascii="Arial" w:cs="Arial" w:eastAsia="Arial" w:hAnsi="Arial"/>
          <w:sz w:val="18"/>
          <w:szCs w:val="18"/>
          <w:color w:val="auto"/>
        </w:rPr>
        <w:t>This restriction shall apply in any geographical area of the United States in which the Company carries out business activities. Nothing herein shall prevent the Optionee from owning for investment up to five percent (5%) of any class of equity security of an entity whose securities are traded on a national securities exchange or market.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1880" w:hanging="575"/>
        <w:spacing w:after="0"/>
        <w:tabs>
          <w:tab w:leader="none" w:pos="18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Terminating Event</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100" w:firstLine="1953"/>
        <w:spacing w:after="0" w:line="293" w:lineRule="auto"/>
        <w:tabs>
          <w:tab w:leader="none" w:pos="2577"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255" w:lineRule="exact"/>
        <w:rPr>
          <w:rFonts w:ascii="Arial" w:cs="Arial" w:eastAsia="Arial" w:hAnsi="Arial"/>
          <w:sz w:val="16"/>
          <w:szCs w:val="16"/>
          <w:color w:val="auto"/>
        </w:rPr>
      </w:pPr>
    </w:p>
    <w:p>
      <w:pPr>
        <w:ind w:right="120" w:firstLine="1953"/>
        <w:spacing w:after="0" w:line="324" w:lineRule="auto"/>
        <w:tabs>
          <w:tab w:leader="none" w:pos="2587"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28" w:lineRule="exact"/>
        <w:rPr>
          <w:rFonts w:ascii="Arial" w:cs="Arial" w:eastAsia="Arial" w:hAnsi="Arial"/>
          <w:sz w:val="17"/>
          <w:szCs w:val="17"/>
          <w:color w:val="auto"/>
        </w:rPr>
      </w:pPr>
    </w:p>
    <w:p>
      <w:pPr>
        <w:ind w:firstLine="1305"/>
        <w:spacing w:after="0" w:line="272" w:lineRule="auto"/>
        <w:tabs>
          <w:tab w:leader="none" w:pos="186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Payment for Shares</w:t>
      </w:r>
      <w:r>
        <w:rPr>
          <w:rFonts w:ascii="Arial" w:cs="Arial" w:eastAsia="Arial" w:hAnsi="Arial"/>
          <w:sz w:val="17"/>
          <w:szCs w:val="17"/>
          <w:color w:val="auto"/>
        </w:rPr>
        <w:t xml:space="preserve">. Full payment for Shares purchased upon the exercise of an Option shall be made in cash or, at the election of the Optionee and as the Committee may, in its sole discretion, approve, by surrendering or attesting to ownership of shares of Common Stock with an aggregate Fair Market Value equal to the aggregate option price, or by attesting to ownership and delivering such combination of shares and cash as the Committee may, in its sole discretion, approve;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ownership of shares may be attested to and shares may be surrendered in satisfaction of the option price only if the Optionee certifies in writing to the Sponsor that the Optionee owns a number of Other Available Shares as of the Date of Exercise that is at least equal to the number of shares as to which ownership has been attested or the number of shares to be surrendered in satisfaction of the Option Price, as applicable. If payment is made in whole or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w:t>
      </w:r>
    </w:p>
    <w:p>
      <w:pPr>
        <w:spacing w:after="0" w:line="275" w:lineRule="exact"/>
        <w:rPr>
          <w:rFonts w:ascii="Arial" w:cs="Arial" w:eastAsia="Arial" w:hAnsi="Arial"/>
          <w:sz w:val="17"/>
          <w:szCs w:val="17"/>
          <w:color w:val="auto"/>
        </w:rPr>
      </w:pPr>
    </w:p>
    <w:p>
      <w:pPr>
        <w:ind w:right="20" w:firstLine="1305"/>
        <w:spacing w:after="0" w:line="293" w:lineRule="auto"/>
        <w:tabs>
          <w:tab w:leader="none" w:pos="186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shall be exercised by giving written notice of exercise in accordance with the manner prescribed by the Committee. Such notice shall be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deemed to have been given when hand-delivered, telecopied or mailed, first class postage prepaid, and shall be irrevocable once given.</w:t>
      </w:r>
    </w:p>
    <w:p>
      <w:pPr>
        <w:spacing w:after="0" w:line="320" w:lineRule="exact"/>
        <w:rPr>
          <w:sz w:val="20"/>
          <w:szCs w:val="20"/>
          <w:color w:val="auto"/>
        </w:rPr>
      </w:pPr>
    </w:p>
    <w:p>
      <w:pPr>
        <w:ind w:right="20" w:firstLine="1305"/>
        <w:spacing w:after="0" w:line="261" w:lineRule="auto"/>
        <w:tabs>
          <w:tab w:leader="none" w:pos="186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279" w:lineRule="exact"/>
        <w:rPr>
          <w:rFonts w:ascii="Arial" w:cs="Arial" w:eastAsia="Arial" w:hAnsi="Arial"/>
          <w:sz w:val="18"/>
          <w:szCs w:val="18"/>
          <w:color w:val="auto"/>
        </w:rPr>
      </w:pPr>
    </w:p>
    <w:p>
      <w:pPr>
        <w:ind w:right="40" w:firstLine="1305"/>
        <w:spacing w:after="0" w:line="273" w:lineRule="auto"/>
        <w:tabs>
          <w:tab w:leader="none" w:pos="1864"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Securities Laws</w:t>
      </w:r>
      <w:r>
        <w:rPr>
          <w:rFonts w:ascii="Arial" w:cs="Arial" w:eastAsia="Arial" w:hAnsi="Arial"/>
          <w:sz w:val="17"/>
          <w:szCs w:val="17"/>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273" w:lineRule="exact"/>
        <w:rPr>
          <w:rFonts w:ascii="Arial" w:cs="Arial" w:eastAsia="Arial" w:hAnsi="Arial"/>
          <w:sz w:val="17"/>
          <w:szCs w:val="17"/>
          <w:color w:val="auto"/>
        </w:rPr>
      </w:pPr>
    </w:p>
    <w:p>
      <w:pPr>
        <w:ind w:right="200" w:firstLine="1305"/>
        <w:spacing w:after="0" w:line="307" w:lineRule="auto"/>
        <w:tabs>
          <w:tab w:leader="none" w:pos="186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Issuance of Certificate at Closing; Payment of Cash</w:t>
      </w:r>
      <w:r>
        <w:rPr>
          <w:rFonts w:ascii="Arial" w:cs="Arial" w:eastAsia="Arial" w:hAnsi="Arial"/>
          <w:sz w:val="16"/>
          <w:szCs w:val="16"/>
          <w:color w:val="auto"/>
        </w:rPr>
        <w:t xml:space="preserve">.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certificates for Shares will be delivered to the Optionee or to his personal representative, heir or legatee unless the Option Price has been paid in full.</w:t>
      </w:r>
    </w:p>
    <w:p>
      <w:pPr>
        <w:spacing w:after="0" w:line="247" w:lineRule="exact"/>
        <w:rPr>
          <w:rFonts w:ascii="Arial" w:cs="Arial" w:eastAsia="Arial" w:hAnsi="Arial"/>
          <w:sz w:val="16"/>
          <w:szCs w:val="16"/>
          <w:color w:val="auto"/>
        </w:rPr>
      </w:pPr>
    </w:p>
    <w:p>
      <w:pPr>
        <w:ind w:firstLine="1305"/>
        <w:spacing w:after="0" w:line="301" w:lineRule="auto"/>
        <w:tabs>
          <w:tab w:leader="none" w:pos="195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Rights Prior to Exercise</w:t>
      </w:r>
      <w:r>
        <w:rPr>
          <w:rFonts w:ascii="Arial" w:cs="Arial" w:eastAsia="Arial" w:hAnsi="Arial"/>
          <w:sz w:val="16"/>
          <w:szCs w:val="16"/>
          <w:color w:val="auto"/>
        </w:rPr>
        <w:t xml:space="preserve">. The Optionee shall not have any right as a stockholder with respect to any Shares subject to his Options until the Option shall have been exercised in accordance with the terms of the Plan and this Award and the Optionee shall have paid the full purchase price for the number of Shares in respect of which the Option was exercised,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 certificates, upon refund by the Sponsor of the Option Price.</w:t>
      </w:r>
    </w:p>
    <w:p>
      <w:pPr>
        <w:spacing w:after="0" w:line="250" w:lineRule="exact"/>
        <w:rPr>
          <w:rFonts w:ascii="Arial" w:cs="Arial" w:eastAsia="Arial" w:hAnsi="Arial"/>
          <w:sz w:val="16"/>
          <w:szCs w:val="16"/>
          <w:color w:val="auto"/>
        </w:rPr>
      </w:pPr>
    </w:p>
    <w:p>
      <w:pPr>
        <w:ind w:right="400" w:firstLine="1305"/>
        <w:spacing w:after="0" w:line="271" w:lineRule="auto"/>
        <w:tabs>
          <w:tab w:leader="none" w:pos="194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Status of Option; Interpretation</w:t>
      </w:r>
      <w:r>
        <w:rPr>
          <w:rFonts w:ascii="Arial" w:cs="Arial" w:eastAsia="Arial" w:hAnsi="Arial"/>
          <w:sz w:val="18"/>
          <w:szCs w:val="18"/>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 w:name="page11"/>
    <w:bookmarkEnd w:id="10"/>
    <w:p>
      <w:pPr>
        <w:ind w:right="80"/>
        <w:spacing w:after="0" w:line="277" w:lineRule="auto"/>
        <w:rPr>
          <w:sz w:val="20"/>
          <w:szCs w:val="20"/>
          <w:color w:val="auto"/>
        </w:rPr>
      </w:pPr>
      <w:r>
        <w:rPr>
          <w:rFonts w:ascii="Arial" w:cs="Arial" w:eastAsia="Arial" w:hAnsi="Arial"/>
          <w:sz w:val="18"/>
          <w:szCs w:val="18"/>
          <w:color w:val="auto"/>
        </w:rPr>
        <w:t>of the Code. The interpretation and construction of any provision of this Option or the Plan made by the Committee shall be final and conclusive and, insofar as possible, shall be consistent with the intention expressed in this Paragraph 11.</w:t>
      </w:r>
    </w:p>
    <w:p>
      <w:pPr>
        <w:spacing w:after="0" w:line="265" w:lineRule="exact"/>
        <w:rPr>
          <w:sz w:val="20"/>
          <w:szCs w:val="20"/>
          <w:color w:val="auto"/>
        </w:rPr>
      </w:pPr>
    </w:p>
    <w:p>
      <w:pPr>
        <w:ind w:right="440" w:firstLine="1305"/>
        <w:spacing w:after="0" w:line="293" w:lineRule="auto"/>
        <w:tabs>
          <w:tab w:leader="none" w:pos="195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Option Not to Affect Employment</w:t>
      </w:r>
      <w:r>
        <w:rPr>
          <w:rFonts w:ascii="Arial" w:cs="Arial" w:eastAsia="Arial" w:hAnsi="Arial"/>
          <w:sz w:val="18"/>
          <w:szCs w:val="18"/>
          <w:color w:val="auto"/>
        </w:rPr>
        <w:t>. The Option granted hereunder shall not confer upon the Optionee any right to continue in service as an employee, officer or director of the Sponsor or any subsidiary of the Sponsor.</w:t>
      </w:r>
    </w:p>
    <w:p>
      <w:pPr>
        <w:spacing w:after="0" w:line="250"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160" w:firstLine="1953"/>
        <w:spacing w:after="0" w:line="271" w:lineRule="auto"/>
        <w:tabs>
          <w:tab w:leader="none" w:pos="25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271" w:lineRule="exact"/>
        <w:rPr>
          <w:rFonts w:ascii="Arial" w:cs="Arial" w:eastAsia="Arial" w:hAnsi="Arial"/>
          <w:sz w:val="18"/>
          <w:szCs w:val="18"/>
          <w:color w:val="auto"/>
        </w:rPr>
      </w:pPr>
    </w:p>
    <w:p>
      <w:pPr>
        <w:ind w:left="2600" w:hanging="647"/>
        <w:spacing w:after="0"/>
        <w:tabs>
          <w:tab w:leader="none" w:pos="26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This Award may be executed in one or more counterparts all of which taken together will constitute one and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instrument.</w:t>
      </w:r>
    </w:p>
    <w:p>
      <w:pPr>
        <w:spacing w:after="0" w:line="318" w:lineRule="exact"/>
        <w:rPr>
          <w:rFonts w:ascii="Arial" w:cs="Arial" w:eastAsia="Arial" w:hAnsi="Arial"/>
          <w:sz w:val="16"/>
          <w:szCs w:val="16"/>
          <w:color w:val="auto"/>
        </w:rPr>
      </w:pPr>
    </w:p>
    <w:p>
      <w:pPr>
        <w:ind w:right="160" w:firstLine="1953"/>
        <w:spacing w:after="0" w:line="293" w:lineRule="auto"/>
        <w:tabs>
          <w:tab w:leader="none" w:pos="25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250" w:lineRule="exact"/>
        <w:rPr>
          <w:rFonts w:ascii="Arial" w:cs="Arial" w:eastAsia="Arial" w:hAnsi="Arial"/>
          <w:sz w:val="18"/>
          <w:szCs w:val="18"/>
          <w:color w:val="auto"/>
        </w:rPr>
      </w:pPr>
    </w:p>
    <w:p>
      <w:pPr>
        <w:ind w:right="20" w:firstLine="1953"/>
        <w:spacing w:after="0" w:line="273" w:lineRule="auto"/>
        <w:tabs>
          <w:tab w:leader="none" w:pos="25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273" w:lineRule="exact"/>
        <w:rPr>
          <w:rFonts w:ascii="Arial" w:cs="Arial" w:eastAsia="Arial" w:hAnsi="Arial"/>
          <w:sz w:val="17"/>
          <w:szCs w:val="17"/>
          <w:color w:val="auto"/>
        </w:rPr>
      </w:pPr>
    </w:p>
    <w:p>
      <w:pPr>
        <w:ind w:firstLine="1305"/>
        <w:spacing w:after="0" w:line="264" w:lineRule="auto"/>
        <w:tabs>
          <w:tab w:leader="none" w:pos="195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Whenever the Sponsor proposes or is required to deliver or transfer Shares in connection with the exercise of the Option, the Sponsor shall have the right to (a) require the Optionee to remit to the Sponsor an amount sufficient to satisfy any federal, state and/or local withholding tax requirements prior to the delivery or transfer of any certificate or certificates for such Shares or (b) take whatever action it deems necessary to protect its interests with respect to tax liabilities.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Sponsor has granted this Award on the day and year first above written.</w:t>
      </w:r>
    </w:p>
    <w:p>
      <w:pPr>
        <w:spacing w:after="0" w:line="272"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COMCAST CORPORATION</w:t>
      </w:r>
    </w:p>
    <w:p>
      <w:pPr>
        <w:spacing w:after="0" w:line="2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-130175</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ATTEST:</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-130175</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color w:val="auto"/>
        </w:rPr>
        <w:t>Exhibit 10.2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is a Non-Qualified Stock Option Award dated ________________, 200_ (“Award”) from Comcast Corporation (the “Sponsor”)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 (the “Optionee”).</w:t>
      </w:r>
    </w:p>
    <w:p>
      <w:pPr>
        <w:spacing w:after="0" w:line="305" w:lineRule="exact"/>
        <w:rPr>
          <w:sz w:val="20"/>
          <w:szCs w:val="20"/>
          <w:color w:val="auto"/>
        </w:rPr>
      </w:pPr>
    </w:p>
    <w:p>
      <w:pPr>
        <w:ind w:left="1880" w:hanging="575"/>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w:t>
      </w:r>
    </w:p>
    <w:p>
      <w:pPr>
        <w:spacing w:after="0" w:line="333" w:lineRule="exact"/>
        <w:rPr>
          <w:rFonts w:ascii="Arial" w:cs="Arial" w:eastAsia="Arial" w:hAnsi="Arial"/>
          <w:sz w:val="18"/>
          <w:szCs w:val="18"/>
          <w:color w:val="auto"/>
        </w:rPr>
      </w:pPr>
    </w:p>
    <w:p>
      <w:pPr>
        <w:ind w:right="20" w:firstLine="1953"/>
        <w:spacing w:after="0" w:line="285" w:lineRule="auto"/>
        <w:tabs>
          <w:tab w:leader="none" w:pos="25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59" w:lineRule="exact"/>
        <w:rPr>
          <w:rFonts w:ascii="Arial" w:cs="Arial" w:eastAsia="Arial" w:hAnsi="Arial"/>
          <w:sz w:val="17"/>
          <w:szCs w:val="17"/>
          <w:color w:val="auto"/>
        </w:rPr>
      </w:pPr>
    </w:p>
    <w:p>
      <w:pPr>
        <w:ind w:right="460" w:firstLine="1953"/>
        <w:spacing w:after="0" w:line="293" w:lineRule="auto"/>
        <w:tabs>
          <w:tab w:leader="none" w:pos="25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Comcast Cable Communications Holdings, Inc. (formerly known as AT&amp;T Broadband Corp.) by the Company.</w:t>
      </w:r>
    </w:p>
    <w:p>
      <w:pPr>
        <w:spacing w:after="0" w:line="250" w:lineRule="exact"/>
        <w:rPr>
          <w:rFonts w:ascii="Arial" w:cs="Arial" w:eastAsia="Arial" w:hAnsi="Arial"/>
          <w:sz w:val="18"/>
          <w:szCs w:val="18"/>
          <w:color w:val="auto"/>
        </w:rPr>
      </w:pPr>
    </w:p>
    <w:p>
      <w:pPr>
        <w:ind w:left="2580" w:hanging="627"/>
        <w:spacing w:after="0"/>
        <w:tabs>
          <w:tab w:leader="none" w:pos="2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333" w:lineRule="exact"/>
        <w:rPr>
          <w:rFonts w:ascii="Arial" w:cs="Arial" w:eastAsia="Arial" w:hAnsi="Arial"/>
          <w:sz w:val="18"/>
          <w:szCs w:val="18"/>
          <w:color w:val="auto"/>
        </w:rPr>
      </w:pPr>
    </w:p>
    <w:p>
      <w:pPr>
        <w:ind w:right="60" w:firstLine="1953"/>
        <w:spacing w:after="0" w:line="261" w:lineRule="auto"/>
        <w:tabs>
          <w:tab w:leader="none" w:pos="25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pacing w:after="0" w:line="279" w:lineRule="exact"/>
        <w:rPr>
          <w:rFonts w:ascii="Arial" w:cs="Arial" w:eastAsia="Arial" w:hAnsi="Arial"/>
          <w:sz w:val="18"/>
          <w:szCs w:val="18"/>
          <w:color w:val="auto"/>
        </w:rPr>
      </w:pPr>
    </w:p>
    <w:p>
      <w:pPr>
        <w:ind w:right="40" w:firstLine="1953"/>
        <w:spacing w:after="0" w:line="285" w:lineRule="auto"/>
        <w:tabs>
          <w:tab w:leader="none" w:pos="25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59" w:lineRule="exact"/>
        <w:rPr>
          <w:rFonts w:ascii="Arial" w:cs="Arial" w:eastAsia="Arial" w:hAnsi="Arial"/>
          <w:sz w:val="17"/>
          <w:szCs w:val="17"/>
          <w:color w:val="auto"/>
        </w:rPr>
      </w:pPr>
    </w:p>
    <w:p>
      <w:pPr>
        <w:ind w:left="2560" w:hanging="607"/>
        <w:spacing w:after="0"/>
        <w:tabs>
          <w:tab w:leader="none" w:pos="25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means the closing of the acquisition and sale of the Shares as described in, and subject to the provisions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Paragraph 9 hereof.</w:t>
      </w:r>
    </w:p>
    <w:p>
      <w:pPr>
        <w:spacing w:after="0" w:line="318" w:lineRule="exact"/>
        <w:rPr>
          <w:rFonts w:ascii="Arial" w:cs="Arial" w:eastAsia="Arial" w:hAnsi="Arial"/>
          <w:sz w:val="17"/>
          <w:szCs w:val="17"/>
          <w:color w:val="auto"/>
        </w:rPr>
      </w:pPr>
    </w:p>
    <w:p>
      <w:pPr>
        <w:ind w:left="2600" w:hanging="647"/>
        <w:spacing w:after="0"/>
        <w:tabs>
          <w:tab w:leader="none" w:pos="2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333" w:lineRule="exact"/>
        <w:rPr>
          <w:rFonts w:ascii="Arial" w:cs="Arial" w:eastAsia="Arial" w:hAnsi="Arial"/>
          <w:sz w:val="18"/>
          <w:szCs w:val="18"/>
          <w:color w:val="auto"/>
        </w:rPr>
      </w:pPr>
    </w:p>
    <w:p>
      <w:pPr>
        <w:ind w:right="240" w:firstLine="1953"/>
        <w:spacing w:after="0" w:line="264" w:lineRule="auto"/>
        <w:tabs>
          <w:tab w:leader="none" w:pos="25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and the Comcast Corporation 1987 Stock Option Plan and the AT&amp;T Broadband Corp. Adjustment Plan.</w:t>
      </w:r>
    </w:p>
    <w:p>
      <w:pPr>
        <w:spacing w:after="0" w:line="277" w:lineRule="exact"/>
        <w:rPr>
          <w:rFonts w:ascii="Arial" w:cs="Arial" w:eastAsia="Arial" w:hAnsi="Arial"/>
          <w:sz w:val="18"/>
          <w:szCs w:val="18"/>
          <w:color w:val="auto"/>
        </w:rPr>
      </w:pPr>
    </w:p>
    <w:p>
      <w:pPr>
        <w:ind w:left="2560" w:hanging="607"/>
        <w:spacing w:after="0"/>
        <w:tabs>
          <w:tab w:leader="none" w:pos="2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those members of the Board who have been designated pursuant to the Plan to act in that capacity.</w:t>
      </w:r>
    </w:p>
    <w:p>
      <w:pPr>
        <w:spacing w:after="0" w:line="356" w:lineRule="exact"/>
        <w:rPr>
          <w:rFonts w:ascii="Arial" w:cs="Arial" w:eastAsia="Arial" w:hAnsi="Arial"/>
          <w:sz w:val="16"/>
          <w:szCs w:val="16"/>
          <w:color w:val="auto"/>
        </w:rPr>
      </w:pPr>
    </w:p>
    <w:p>
      <w:pPr>
        <w:ind w:firstLine="1953"/>
        <w:spacing w:after="0" w:line="324" w:lineRule="auto"/>
        <w:tabs>
          <w:tab w:leader="none" w:pos="258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Sponsor’s Class A Common Stock, par value, $.01 per share. For purposes of Paragraph 1(t) and Paragraph 5, the term “Common Stock” also means the Sponsor’s Class A Special Common Stock, par value, $.01 per share.</w:t>
      </w:r>
    </w:p>
    <w:p>
      <w:pPr>
        <w:spacing w:after="0" w:line="228" w:lineRule="exact"/>
        <w:rPr>
          <w:rFonts w:ascii="Arial" w:cs="Arial" w:eastAsia="Arial" w:hAnsi="Arial"/>
          <w:sz w:val="17"/>
          <w:szCs w:val="17"/>
          <w:color w:val="auto"/>
        </w:rPr>
      </w:pPr>
    </w:p>
    <w:p>
      <w:pPr>
        <w:ind w:left="2560" w:hanging="607"/>
        <w:spacing w:after="0"/>
        <w:tabs>
          <w:tab w:leader="none" w:pos="2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each of its Subsidiaries.</w:t>
      </w:r>
    </w:p>
    <w:p>
      <w:pPr>
        <w:spacing w:after="0" w:line="333" w:lineRule="exact"/>
        <w:rPr>
          <w:rFonts w:ascii="Arial" w:cs="Arial" w:eastAsia="Arial" w:hAnsi="Arial"/>
          <w:sz w:val="18"/>
          <w:szCs w:val="18"/>
          <w:color w:val="auto"/>
        </w:rPr>
      </w:pPr>
    </w:p>
    <w:p>
      <w:pPr>
        <w:ind w:right="180" w:firstLine="1953"/>
        <w:spacing w:after="0" w:line="293" w:lineRule="auto"/>
        <w:tabs>
          <w:tab w:leader="none" w:pos="26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Exercise</w:t>
      </w:r>
      <w:r>
        <w:rPr>
          <w:rFonts w:ascii="Arial" w:cs="Arial" w:eastAsia="Arial" w:hAnsi="Arial"/>
          <w:sz w:val="18"/>
          <w:szCs w:val="18"/>
          <w:color w:val="auto"/>
        </w:rPr>
        <w:t>” means the date on which the notice required by Paragraph 6 hereof is hand-delivered, placed in the United States mail postage prepaid, or delivered to a telegraph or telex facility.</w:t>
      </w:r>
    </w:p>
    <w:p>
      <w:pPr>
        <w:spacing w:after="0" w:line="250" w:lineRule="exact"/>
        <w:rPr>
          <w:rFonts w:ascii="Arial" w:cs="Arial" w:eastAsia="Arial" w:hAnsi="Arial"/>
          <w:sz w:val="18"/>
          <w:szCs w:val="18"/>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hereof, the date on which the Sponsor awarded the Option.</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of the following:</w:t>
      </w:r>
    </w:p>
    <w:p>
      <w:pPr>
        <w:spacing w:after="0" w:line="333" w:lineRule="exact"/>
        <w:rPr>
          <w:rFonts w:ascii="Arial" w:cs="Arial" w:eastAsia="Arial" w:hAnsi="Arial"/>
          <w:sz w:val="18"/>
          <w:szCs w:val="18"/>
          <w:color w:val="auto"/>
        </w:rPr>
      </w:pPr>
    </w:p>
    <w:p>
      <w:pPr>
        <w:ind w:right="700" w:firstLine="2601"/>
        <w:spacing w:after="0" w:line="293" w:lineRule="auto"/>
        <w:tabs>
          <w:tab w:leader="none" w:pos="32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Optionee’s Termination of Employment with the Company is due to any reason other than death, Disability, Retirement or Cause the date three months following such Termination of Employment;</w:t>
      </w:r>
    </w:p>
    <w:p>
      <w:pPr>
        <w:spacing w:after="0" w:line="250" w:lineRule="exact"/>
        <w:rPr>
          <w:rFonts w:ascii="Arial" w:cs="Arial" w:eastAsia="Arial" w:hAnsi="Arial"/>
          <w:sz w:val="18"/>
          <w:szCs w:val="18"/>
          <w:color w:val="auto"/>
        </w:rPr>
      </w:pPr>
    </w:p>
    <w:p>
      <w:pPr>
        <w:ind w:firstLine="2601"/>
        <w:spacing w:after="0" w:line="271" w:lineRule="auto"/>
        <w:tabs>
          <w:tab w:leader="none" w:pos="32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Optionee’s Termination of Employment with the Company occurs after qualifying for Retirement, the date three months after the third anniversary of the date of the Optionee’s Termination of Employment, subject to cancellation by the Committee pursuant to Paragraph 3(b);</w:t>
      </w:r>
    </w:p>
    <w:p>
      <w:pPr>
        <w:spacing w:after="0" w:line="271" w:lineRule="exact"/>
        <w:rPr>
          <w:rFonts w:ascii="Arial" w:cs="Arial" w:eastAsia="Arial" w:hAnsi="Arial"/>
          <w:sz w:val="18"/>
          <w:szCs w:val="18"/>
          <w:color w:val="auto"/>
        </w:rPr>
      </w:pPr>
    </w:p>
    <w:p>
      <w:pPr>
        <w:ind w:left="3240" w:hanging="639"/>
        <w:spacing w:after="0"/>
        <w:tabs>
          <w:tab w:leader="none" w:pos="32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the Optionee’s Termination of Employment with the Company is for Cause, the date of such Termination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Employment; or</w:t>
      </w:r>
    </w:p>
    <w:p>
      <w:pPr>
        <w:spacing w:after="0" w:line="318" w:lineRule="exact"/>
        <w:rPr>
          <w:rFonts w:ascii="Arial" w:cs="Arial" w:eastAsia="Arial" w:hAnsi="Arial"/>
          <w:sz w:val="16"/>
          <w:szCs w:val="16"/>
          <w:color w:val="auto"/>
        </w:rPr>
      </w:pPr>
    </w:p>
    <w:p>
      <w:pPr>
        <w:ind w:left="3240" w:hanging="639"/>
        <w:spacing w:after="0"/>
        <w:tabs>
          <w:tab w:leader="none" w:pos="3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day before the tenth anniversary of the Date of Grant.</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a Share, as determined pursuant to the Plan.</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option hereby granted.</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3" w:name="page14"/>
    <w:bookmarkEnd w:id="13"/>
    <w:p>
      <w:pPr>
        <w:ind w:left="2580" w:hanging="627"/>
        <w:spacing w:after="0"/>
        <w:tabs>
          <w:tab w:leader="none" w:pos="2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$_____ per Share, as calculated pursuant to the Plan.</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333" w:lineRule="exact"/>
        <w:rPr>
          <w:rFonts w:ascii="Arial" w:cs="Arial" w:eastAsia="Arial" w:hAnsi="Arial"/>
          <w:sz w:val="18"/>
          <w:szCs w:val="18"/>
          <w:color w:val="auto"/>
        </w:rPr>
      </w:pPr>
    </w:p>
    <w:p>
      <w:pPr>
        <w:ind w:firstLine="2601"/>
        <w:spacing w:after="0" w:line="293" w:lineRule="auto"/>
        <w:tabs>
          <w:tab w:leader="none" w:pos="32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250" w:lineRule="exact"/>
        <w:rPr>
          <w:rFonts w:ascii="Arial" w:cs="Arial" w:eastAsia="Arial" w:hAnsi="Arial"/>
          <w:sz w:val="18"/>
          <w:szCs w:val="18"/>
          <w:color w:val="auto"/>
        </w:rPr>
      </w:pPr>
    </w:p>
    <w:p>
      <w:pPr>
        <w:ind w:left="3240" w:hanging="639"/>
        <w:spacing w:after="0"/>
        <w:tabs>
          <w:tab w:leader="none" w:pos="3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333" w:lineRule="exact"/>
        <w:rPr>
          <w:rFonts w:ascii="Arial" w:cs="Arial" w:eastAsia="Arial" w:hAnsi="Arial"/>
          <w:sz w:val="18"/>
          <w:szCs w:val="18"/>
          <w:color w:val="auto"/>
        </w:rPr>
      </w:pPr>
    </w:p>
    <w:p>
      <w:pPr>
        <w:ind w:left="3880" w:hanging="631"/>
        <w:spacing w:after="0"/>
        <w:tabs>
          <w:tab w:leader="none" w:pos="38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total number of Shares owned by an Optionee other than the Shares described in Paragraph 1(t)(1);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over</w:t>
      </w:r>
    </w:p>
    <w:p>
      <w:pPr>
        <w:spacing w:after="0" w:line="318" w:lineRule="exact"/>
        <w:rPr>
          <w:rFonts w:ascii="Arial" w:cs="Arial" w:eastAsia="Arial" w:hAnsi="Arial"/>
          <w:sz w:val="16"/>
          <w:szCs w:val="16"/>
          <w:color w:val="auto"/>
        </w:rPr>
      </w:pPr>
    </w:p>
    <w:p>
      <w:pPr>
        <w:ind w:left="3900" w:hanging="651"/>
        <w:spacing w:after="0"/>
        <w:tabs>
          <w:tab w:leader="none" w:pos="39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333" w:lineRule="exact"/>
        <w:rPr>
          <w:rFonts w:ascii="Arial" w:cs="Arial" w:eastAsia="Arial" w:hAnsi="Arial"/>
          <w:sz w:val="18"/>
          <w:szCs w:val="18"/>
          <w:color w:val="auto"/>
        </w:rPr>
      </w:pPr>
    </w:p>
    <w:p>
      <w:pPr>
        <w:ind w:left="4440" w:hanging="542"/>
        <w:spacing w:after="0"/>
        <w:tabs>
          <w:tab w:leader="none" w:pos="4440"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number of such Shares owned by such Optionee for less than six months; plus</w:t>
      </w:r>
    </w:p>
    <w:p>
      <w:pPr>
        <w:spacing w:after="0" w:line="333" w:lineRule="exact"/>
        <w:rPr>
          <w:rFonts w:ascii="Arial" w:cs="Arial" w:eastAsia="Arial" w:hAnsi="Arial"/>
          <w:sz w:val="18"/>
          <w:szCs w:val="18"/>
          <w:color w:val="auto"/>
        </w:rPr>
      </w:pPr>
    </w:p>
    <w:p>
      <w:pPr>
        <w:ind w:right="80" w:firstLine="3898"/>
        <w:spacing w:after="0" w:line="271" w:lineRule="auto"/>
        <w:tabs>
          <w:tab w:leader="none" w:pos="4482"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the subject of a withholding certification pursuant to Paragraph 15(b) of the Plan or any similar withholding certification under any other Comcast Plan; plus</w:t>
      </w:r>
    </w:p>
    <w:p>
      <w:pPr>
        <w:spacing w:after="0" w:line="271" w:lineRule="exact"/>
        <w:rPr>
          <w:rFonts w:ascii="Arial" w:cs="Arial" w:eastAsia="Arial" w:hAnsi="Arial"/>
          <w:sz w:val="18"/>
          <w:szCs w:val="18"/>
          <w:color w:val="auto"/>
        </w:rPr>
      </w:pPr>
    </w:p>
    <w:p>
      <w:pPr>
        <w:jc w:val="both"/>
        <w:ind w:right="100" w:firstLine="3898"/>
        <w:spacing w:after="0" w:line="264" w:lineRule="auto"/>
        <w:tabs>
          <w:tab w:leader="none" w:pos="4532"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277" w:lineRule="exact"/>
        <w:rPr>
          <w:rFonts w:ascii="Arial" w:cs="Arial" w:eastAsia="Arial" w:hAnsi="Arial"/>
          <w:sz w:val="18"/>
          <w:szCs w:val="18"/>
          <w:color w:val="auto"/>
        </w:rPr>
      </w:pPr>
    </w:p>
    <w:p>
      <w:pPr>
        <w:ind w:left="4520" w:hanging="622"/>
        <w:spacing w:after="0"/>
        <w:tabs>
          <w:tab w:leader="none" w:pos="4520" w:val="left"/>
        </w:tabs>
        <w:numPr>
          <w:ilvl w:val="3"/>
          <w:numId w:val="16"/>
        </w:numPr>
        <w:rPr>
          <w:rFonts w:ascii="Arial" w:cs="Arial" w:eastAsia="Arial" w:hAnsi="Arial"/>
          <w:sz w:val="16"/>
          <w:szCs w:val="16"/>
          <w:color w:val="auto"/>
        </w:rPr>
      </w:pPr>
      <w:r>
        <w:rPr>
          <w:rFonts w:ascii="Arial" w:cs="Arial" w:eastAsia="Arial" w:hAnsi="Arial"/>
          <w:sz w:val="16"/>
          <w:szCs w:val="16"/>
          <w:color w:val="auto"/>
        </w:rPr>
        <w:t>the number of such Shares owned by such Optionee as to which evidence of ownership has,</w:t>
      </w:r>
    </w:p>
    <w:p>
      <w:pPr>
        <w:spacing w:after="0" w:line="46" w:lineRule="exact"/>
        <w:rPr>
          <w:rFonts w:ascii="Arial" w:cs="Arial" w:eastAsia="Arial" w:hAnsi="Arial"/>
          <w:sz w:val="16"/>
          <w:szCs w:val="16"/>
          <w:color w:val="auto"/>
        </w:rPr>
      </w:pPr>
    </w:p>
    <w:p>
      <w:pPr>
        <w:ind w:right="40"/>
        <w:spacing w:after="0" w:line="276" w:lineRule="auto"/>
        <w:rPr>
          <w:rFonts w:ascii="Arial" w:cs="Arial" w:eastAsia="Arial" w:hAnsi="Arial"/>
          <w:sz w:val="16"/>
          <w:szCs w:val="16"/>
          <w:color w:val="auto"/>
        </w:rPr>
      </w:pPr>
      <w:r>
        <w:rPr>
          <w:rFonts w:ascii="Arial" w:cs="Arial" w:eastAsia="Arial" w:hAnsi="Arial"/>
          <w:sz w:val="18"/>
          <w:szCs w:val="18"/>
          <w:color w:val="auto"/>
        </w:rPr>
        <w:t>within the preceding six months, been provided to the Company in connection with the crediting of “Deferred Stock Units” to such Optionee’s Account under the Comcast Corporation 2002 Deferred Stock Option Plan (as in effect from time to time).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purposes of this Paragraph 1(t),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281" w:lineRule="exact"/>
        <w:rPr>
          <w:sz w:val="20"/>
          <w:szCs w:val="20"/>
          <w:color w:val="auto"/>
        </w:rPr>
      </w:pPr>
    </w:p>
    <w:p>
      <w:pPr>
        <w:ind w:left="2600" w:hanging="647"/>
        <w:spacing w:after="0"/>
        <w:tabs>
          <w:tab w:leader="none" w:pos="2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partnership, an association, a trust or any other entity or organization.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 w:name="page15"/>
    <w:bookmarkEnd w:id="14"/>
    <w:p>
      <w:pPr>
        <w:ind w:left="2600" w:hanging="647"/>
        <w:spacing w:after="0"/>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 incorporated herein by reference.</w:t>
      </w:r>
    </w:p>
    <w:p>
      <w:pPr>
        <w:spacing w:after="0" w:line="333" w:lineRule="exact"/>
        <w:rPr>
          <w:rFonts w:ascii="Arial" w:cs="Arial" w:eastAsia="Arial" w:hAnsi="Arial"/>
          <w:sz w:val="18"/>
          <w:szCs w:val="18"/>
          <w:color w:val="auto"/>
        </w:rPr>
      </w:pPr>
    </w:p>
    <w:p>
      <w:pPr>
        <w:ind w:left="2640" w:hanging="687"/>
        <w:spacing w:after="0"/>
        <w:tabs>
          <w:tab w:leader="none" w:pos="2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An Optionee will be qualified for Retirement after reaching age 62 and completing 10 or more years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 with the Company.</w:t>
      </w:r>
    </w:p>
    <w:p>
      <w:pPr>
        <w:spacing w:after="0" w:line="319" w:lineRule="exact"/>
        <w:rPr>
          <w:sz w:val="20"/>
          <w:szCs w:val="20"/>
          <w:color w:val="auto"/>
        </w:rPr>
      </w:pPr>
    </w:p>
    <w:p>
      <w:pPr>
        <w:ind w:left="2600" w:hanging="647"/>
        <w:spacing w:after="0"/>
        <w:tabs>
          <w:tab w:leader="none" w:pos="2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_____ shares of Common Stock, which are the subject of the Option hereby granted.</w:t>
      </w:r>
    </w:p>
    <w:p>
      <w:pPr>
        <w:spacing w:after="0" w:line="333" w:lineRule="exact"/>
        <w:rPr>
          <w:rFonts w:ascii="Arial" w:cs="Arial" w:eastAsia="Arial" w:hAnsi="Arial"/>
          <w:sz w:val="18"/>
          <w:szCs w:val="18"/>
          <w:color w:val="auto"/>
        </w:rPr>
      </w:pPr>
    </w:p>
    <w:p>
      <w:pPr>
        <w:ind w:right="120" w:firstLine="1953"/>
        <w:spacing w:after="0" w:line="271" w:lineRule="auto"/>
        <w:tabs>
          <w:tab w:leader="none" w:pos="25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271" w:lineRule="exact"/>
        <w:rPr>
          <w:rFonts w:ascii="Arial" w:cs="Arial" w:eastAsia="Arial" w:hAnsi="Arial"/>
          <w:sz w:val="18"/>
          <w:szCs w:val="18"/>
          <w:color w:val="auto"/>
        </w:rPr>
      </w:pPr>
    </w:p>
    <w:p>
      <w:pPr>
        <w:ind w:left="2580" w:hanging="627"/>
        <w:spacing w:after="0"/>
        <w:tabs>
          <w:tab w:leader="none" w:pos="2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business entity that, at the time in question, is a subsidiary of the Sponsor within the meaning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424(f) of the Code.</w:t>
      </w:r>
    </w:p>
    <w:p>
      <w:pPr>
        <w:spacing w:after="0" w:line="319" w:lineRule="exact"/>
        <w:rPr>
          <w:sz w:val="20"/>
          <w:szCs w:val="20"/>
          <w:color w:val="auto"/>
        </w:rPr>
      </w:pPr>
    </w:p>
    <w:p>
      <w:pPr>
        <w:ind w:right="140" w:firstLine="1953"/>
        <w:spacing w:after="0" w:line="264" w:lineRule="auto"/>
        <w:tabs>
          <w:tab w:leader="none" w:pos="2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employer corporation is the Sponsor or a Subsidiary.</w:t>
      </w:r>
    </w:p>
    <w:p>
      <w:pPr>
        <w:spacing w:after="0" w:line="277" w:lineRule="exact"/>
        <w:rPr>
          <w:rFonts w:ascii="Arial" w:cs="Arial" w:eastAsia="Arial" w:hAnsi="Arial"/>
          <w:sz w:val="18"/>
          <w:szCs w:val="18"/>
          <w:color w:val="auto"/>
        </w:rPr>
      </w:pPr>
    </w:p>
    <w:p>
      <w:pPr>
        <w:ind w:left="2680" w:hanging="727"/>
        <w:spacing w:after="0"/>
        <w:tabs>
          <w:tab w:leader="none" w:pos="2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333" w:lineRule="exact"/>
        <w:rPr>
          <w:rFonts w:ascii="Arial" w:cs="Arial" w:eastAsia="Arial" w:hAnsi="Arial"/>
          <w:sz w:val="18"/>
          <w:szCs w:val="18"/>
          <w:color w:val="auto"/>
        </w:rPr>
      </w:pPr>
    </w:p>
    <w:p>
      <w:pPr>
        <w:ind w:left="3240" w:hanging="639"/>
        <w:spacing w:after="0"/>
        <w:tabs>
          <w:tab w:leader="none" w:pos="3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333" w:lineRule="exact"/>
        <w:rPr>
          <w:rFonts w:ascii="Arial" w:cs="Arial" w:eastAsia="Arial" w:hAnsi="Arial"/>
          <w:sz w:val="18"/>
          <w:szCs w:val="18"/>
          <w:color w:val="auto"/>
        </w:rPr>
      </w:pPr>
    </w:p>
    <w:p>
      <w:pPr>
        <w:ind w:left="3240" w:hanging="639"/>
        <w:spacing w:after="0"/>
        <w:tabs>
          <w:tab w:leader="none" w:pos="3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333" w:lineRule="exact"/>
        <w:rPr>
          <w:rFonts w:ascii="Arial" w:cs="Arial" w:eastAsia="Arial" w:hAnsi="Arial"/>
          <w:sz w:val="18"/>
          <w:szCs w:val="18"/>
          <w:color w:val="auto"/>
        </w:rPr>
      </w:pPr>
    </w:p>
    <w:p>
      <w:pPr>
        <w:ind w:firstLine="1953"/>
        <w:spacing w:after="0" w:line="275" w:lineRule="auto"/>
        <w:tabs>
          <w:tab w:leader="none" w:pos="2657"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268" w:lineRule="exact"/>
        <w:rPr>
          <w:rFonts w:ascii="Arial" w:cs="Arial" w:eastAsia="Arial" w:hAnsi="Arial"/>
          <w:sz w:val="17"/>
          <w:szCs w:val="17"/>
          <w:color w:val="auto"/>
        </w:rPr>
      </w:pPr>
    </w:p>
    <w:p>
      <w:pPr>
        <w:ind w:right="260" w:firstLine="1953"/>
        <w:spacing w:after="0" w:line="293" w:lineRule="auto"/>
        <w:tabs>
          <w:tab w:leader="none" w:pos="2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250" w:lineRule="exact"/>
        <w:rPr>
          <w:rFonts w:ascii="Arial" w:cs="Arial" w:eastAsia="Arial" w:hAnsi="Arial"/>
          <w:sz w:val="18"/>
          <w:szCs w:val="18"/>
          <w:color w:val="auto"/>
        </w:rPr>
      </w:pPr>
    </w:p>
    <w:p>
      <w:pPr>
        <w:ind w:left="2660" w:hanging="707"/>
        <w:spacing w:after="0"/>
        <w:tabs>
          <w:tab w:leader="none" w:pos="2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5" w:name="page16"/>
    <w:bookmarkEnd w:id="15"/>
    <w:p>
      <w:pPr>
        <w:ind w:left="2520" w:hanging="667"/>
        <w:spacing w:after="0"/>
        <w:tabs>
          <w:tab w:leader="none" w:pos="2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333" w:lineRule="exact"/>
        <w:rPr>
          <w:rFonts w:ascii="Arial" w:cs="Arial" w:eastAsia="Arial" w:hAnsi="Arial"/>
          <w:sz w:val="18"/>
          <w:szCs w:val="18"/>
          <w:color w:val="auto"/>
        </w:rPr>
      </w:pPr>
    </w:p>
    <w:p>
      <w:pPr>
        <w:ind w:left="-100" w:right="140" w:firstLine="1305"/>
        <w:spacing w:after="0" w:line="293" w:lineRule="auto"/>
        <w:tabs>
          <w:tab w:leader="none" w:pos="176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Subject to the terms and conditions set forth herein and in the Plan, the Sponsor hereby grants to the Optionee the Option to purchase any or all of the Shares.</w:t>
      </w:r>
    </w:p>
    <w:p>
      <w:pPr>
        <w:spacing w:after="0" w:line="250" w:lineRule="exact"/>
        <w:rPr>
          <w:rFonts w:ascii="Arial" w:cs="Arial" w:eastAsia="Arial" w:hAnsi="Arial"/>
          <w:sz w:val="18"/>
          <w:szCs w:val="18"/>
          <w:color w:val="auto"/>
        </w:rPr>
      </w:pPr>
    </w:p>
    <w:p>
      <w:pPr>
        <w:ind w:left="1780" w:hanging="575"/>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Time of Exercise of Options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100" w:right="200" w:firstLine="1953"/>
        <w:spacing w:after="0" w:line="293" w:lineRule="auto"/>
        <w:tabs>
          <w:tab w:leader="none" w:pos="24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provided in Paragraphs 3(b) or 4, the Option may be exercised after such time or times as set forth below, and shall remain exercisable until the Expiration Date, when the right to exercise shall terminate absolutely:</w:t>
      </w:r>
    </w:p>
    <w:p>
      <w:pPr>
        <w:sectPr>
          <w:pgSz w:w="11900" w:h="16838" w:orient="portrait"/>
          <w:cols w:equalWidth="0" w:num="1">
            <w:col w:w="11320"/>
          </w:cols>
          <w:pgMar w:left="340" w:top="949" w:right="239" w:bottom="1440" w:gutter="0" w:footer="0" w:header="0"/>
        </w:sectPr>
      </w:pPr>
    </w:p>
    <w:p>
      <w:pPr>
        <w:spacing w:after="0" w:line="25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second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third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fourth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may be exercised following the fifth anniversary of the Date of Grant.]</w:t>
      </w:r>
    </w:p>
    <w:p>
      <w:pPr>
        <w:spacing w:after="0" w:line="200" w:lineRule="exact"/>
        <w:rPr>
          <w:sz w:val="20"/>
          <w:szCs w:val="20"/>
          <w:color w:val="auto"/>
        </w:rPr>
      </w:pPr>
    </w:p>
    <w:p>
      <w:pPr>
        <w:sectPr>
          <w:pgSz w:w="11900" w:h="16838" w:orient="portrait"/>
          <w:cols w:equalWidth="0" w:num="2">
            <w:col w:w="3040" w:space="520"/>
            <w:col w:w="7760"/>
          </w:cols>
          <w:pgMar w:left="340" w:top="949" w:right="239" w:bottom="1440" w:gutter="0" w:footer="0" w:header="0"/>
          <w:type w:val="continuous"/>
        </w:sectPr>
      </w:pPr>
    </w:p>
    <w:p>
      <w:pPr>
        <w:spacing w:after="0" w:line="156" w:lineRule="exact"/>
        <w:rPr>
          <w:sz w:val="20"/>
          <w:szCs w:val="20"/>
          <w:color w:val="auto"/>
        </w:rPr>
      </w:pPr>
    </w:p>
    <w:p>
      <w:pPr>
        <w:ind w:left="-100" w:right="100" w:firstLine="1953"/>
        <w:spacing w:after="0" w:line="277" w:lineRule="auto"/>
        <w:tabs>
          <w:tab w:leader="none" w:pos="2487"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 Shares subject to the Option shall first become exercisable following the Optionee’s Termination of Employment for any reason other than death or Disability or after qualifying for Retirement. All Shares subject to the Option shall vest and become exercisable upon the Optionee’s Termination of Employment because of death or Disability. Furthermore, the Option shall continue to vest and become exercisable in accordance with Paragraph 3(a) for a period of three years following the Optionee’s Termination of Employment after qualifying for Retirement; provided, however, that the Option will be subject to cancellation by the Committee, in its sole discretion, if the Optionee breaches either of the following non-solicitation or non-competition obligations during the 39-month period following such Termination of Employment:</w:t>
      </w:r>
    </w:p>
    <w:p>
      <w:pPr>
        <w:spacing w:after="0" w:line="266" w:lineRule="exact"/>
        <w:rPr>
          <w:rFonts w:ascii="Arial" w:cs="Arial" w:eastAsia="Arial" w:hAnsi="Arial"/>
          <w:sz w:val="17"/>
          <w:szCs w:val="17"/>
          <w:color w:val="auto"/>
        </w:rPr>
      </w:pPr>
    </w:p>
    <w:p>
      <w:pPr>
        <w:ind w:left="-100" w:right="260" w:firstLine="2601"/>
        <w:spacing w:after="0" w:line="271" w:lineRule="auto"/>
        <w:tabs>
          <w:tab w:leader="none" w:pos="31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271" w:lineRule="exact"/>
        <w:rPr>
          <w:rFonts w:ascii="Arial" w:cs="Arial" w:eastAsia="Arial" w:hAnsi="Arial"/>
          <w:sz w:val="18"/>
          <w:szCs w:val="18"/>
          <w:color w:val="auto"/>
        </w:rPr>
      </w:pPr>
    </w:p>
    <w:p>
      <w:pPr>
        <w:ind w:left="-100" w:right="100" w:firstLine="2601"/>
        <w:spacing w:after="0" w:line="261" w:lineRule="auto"/>
        <w:tabs>
          <w:tab w:leader="none" w:pos="31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or any business unit of the Company, or being planned by the Company or business</w:t>
      </w: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949" w:right="239" w:bottom="1440" w:gutter="0" w:footer="0" w:header="0"/>
          <w:type w:val="continuous"/>
        </w:sectPr>
      </w:pPr>
    </w:p>
    <w:bookmarkStart w:id="16" w:name="page17"/>
    <w:bookmarkEnd w:id="16"/>
    <w:p>
      <w:pPr>
        <w:ind w:right="120"/>
        <w:spacing w:after="0" w:line="286" w:lineRule="auto"/>
        <w:rPr>
          <w:sz w:val="20"/>
          <w:szCs w:val="20"/>
          <w:color w:val="auto"/>
        </w:rPr>
      </w:pPr>
      <w:r>
        <w:rPr>
          <w:rFonts w:ascii="Arial" w:cs="Arial" w:eastAsia="Arial" w:hAnsi="Arial"/>
          <w:sz w:val="17"/>
          <w:szCs w:val="17"/>
          <w:color w:val="auto"/>
        </w:rPr>
        <w:t>unit with the Optionee’s knowledge at the time of the Optionee’s termination of employment. This restriction shall apply in any geographical area of the United States in which the Company carries out business activities. Nothing herein shall prevent the Optionee from owning for investment up to five percent (5%) of any class of equity security of an entity whose securities are traded on a national securities exchange or market.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1880" w:hanging="575"/>
        <w:spacing w:after="0"/>
        <w:tabs>
          <w:tab w:leader="none" w:pos="18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Terminating Event</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100" w:firstLine="1953"/>
        <w:spacing w:after="0" w:line="293" w:lineRule="auto"/>
        <w:tabs>
          <w:tab w:leader="none" w:pos="25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255" w:lineRule="exact"/>
        <w:rPr>
          <w:rFonts w:ascii="Arial" w:cs="Arial" w:eastAsia="Arial" w:hAnsi="Arial"/>
          <w:sz w:val="16"/>
          <w:szCs w:val="16"/>
          <w:color w:val="auto"/>
        </w:rPr>
      </w:pPr>
    </w:p>
    <w:p>
      <w:pPr>
        <w:ind w:right="120" w:firstLine="1953"/>
        <w:spacing w:after="0" w:line="324" w:lineRule="auto"/>
        <w:tabs>
          <w:tab w:leader="none" w:pos="2587"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28" w:lineRule="exact"/>
        <w:rPr>
          <w:rFonts w:ascii="Arial" w:cs="Arial" w:eastAsia="Arial" w:hAnsi="Arial"/>
          <w:sz w:val="17"/>
          <w:szCs w:val="17"/>
          <w:color w:val="auto"/>
        </w:rPr>
      </w:pPr>
    </w:p>
    <w:p>
      <w:pPr>
        <w:ind w:firstLine="1305"/>
        <w:spacing w:after="0" w:line="272" w:lineRule="auto"/>
        <w:tabs>
          <w:tab w:leader="none" w:pos="186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Payment for Shares</w:t>
      </w:r>
      <w:r>
        <w:rPr>
          <w:rFonts w:ascii="Arial" w:cs="Arial" w:eastAsia="Arial" w:hAnsi="Arial"/>
          <w:sz w:val="17"/>
          <w:szCs w:val="17"/>
          <w:color w:val="auto"/>
        </w:rPr>
        <w:t xml:space="preserve">. Full payment for Shares purchased upon the exercise of an Option shall be made in cash or, at the election of the Optionee and as the Committee may, in its sole discretion, approve, by surrendering or attesting to ownership of shares of Common Stock with an aggregate Fair Market Value equal to the aggregate option price, or by attesting to ownership and delivering such combination of shares and cash as the Committee may, in its sole discretion, approve;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ownership of shares may be attested to and shares may be surrendered in satisfaction of the option price only if the Optionee certifies in writing to the Sponsor that the Optionee owns a number of Other Available Shares as of the Date of Exercise that is at least equal to the number of shares as to which ownership has been attested or the number of shares to be surrendered in satisfaction of the Option Price, as applicable. If payment is made in whole or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w:t>
      </w:r>
    </w:p>
    <w:p>
      <w:pPr>
        <w:spacing w:after="0" w:line="275" w:lineRule="exact"/>
        <w:rPr>
          <w:rFonts w:ascii="Arial" w:cs="Arial" w:eastAsia="Arial" w:hAnsi="Arial"/>
          <w:sz w:val="17"/>
          <w:szCs w:val="17"/>
          <w:color w:val="auto"/>
        </w:rPr>
      </w:pPr>
    </w:p>
    <w:p>
      <w:pPr>
        <w:ind w:right="20" w:firstLine="1305"/>
        <w:spacing w:after="0" w:line="293" w:lineRule="auto"/>
        <w:tabs>
          <w:tab w:leader="none" w:pos="18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shall be exercised by giving written notice of exercise in accordance with the manner prescribed by the Committee. Such notice shall</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be deemed to have been given when hand-delivered, telecopied or mailed, first class postage prepaid, and shall be irrevocable once given.</w:t>
      </w:r>
    </w:p>
    <w:p>
      <w:pPr>
        <w:spacing w:after="0" w:line="320" w:lineRule="exact"/>
        <w:rPr>
          <w:sz w:val="20"/>
          <w:szCs w:val="20"/>
          <w:color w:val="auto"/>
        </w:rPr>
      </w:pPr>
    </w:p>
    <w:p>
      <w:pPr>
        <w:ind w:right="20" w:firstLine="1305"/>
        <w:spacing w:after="0" w:line="261" w:lineRule="auto"/>
        <w:tabs>
          <w:tab w:leader="none" w:pos="186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279" w:lineRule="exact"/>
        <w:rPr>
          <w:rFonts w:ascii="Arial" w:cs="Arial" w:eastAsia="Arial" w:hAnsi="Arial"/>
          <w:sz w:val="18"/>
          <w:szCs w:val="18"/>
          <w:color w:val="auto"/>
        </w:rPr>
      </w:pPr>
    </w:p>
    <w:p>
      <w:pPr>
        <w:ind w:right="40" w:firstLine="1305"/>
        <w:spacing w:after="0" w:line="273" w:lineRule="auto"/>
        <w:tabs>
          <w:tab w:leader="none" w:pos="186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Securities Laws</w:t>
      </w:r>
      <w:r>
        <w:rPr>
          <w:rFonts w:ascii="Arial" w:cs="Arial" w:eastAsia="Arial" w:hAnsi="Arial"/>
          <w:sz w:val="17"/>
          <w:szCs w:val="17"/>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273" w:lineRule="exact"/>
        <w:rPr>
          <w:rFonts w:ascii="Arial" w:cs="Arial" w:eastAsia="Arial" w:hAnsi="Arial"/>
          <w:sz w:val="17"/>
          <w:szCs w:val="17"/>
          <w:color w:val="auto"/>
        </w:rPr>
      </w:pPr>
    </w:p>
    <w:p>
      <w:pPr>
        <w:ind w:right="200" w:firstLine="1305"/>
        <w:spacing w:after="0" w:line="307" w:lineRule="auto"/>
        <w:tabs>
          <w:tab w:leader="none" w:pos="1864"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Issuance of Certificate at Closing; Payment of Cash</w:t>
      </w:r>
      <w:r>
        <w:rPr>
          <w:rFonts w:ascii="Arial" w:cs="Arial" w:eastAsia="Arial" w:hAnsi="Arial"/>
          <w:sz w:val="16"/>
          <w:szCs w:val="16"/>
          <w:color w:val="auto"/>
        </w:rPr>
        <w:t xml:space="preserve">.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certificates for Shares will be delivered to the Optionee or to his personal representative, heir or legatee unless the Option Price has been paid in full.</w:t>
      </w:r>
    </w:p>
    <w:p>
      <w:pPr>
        <w:spacing w:after="0" w:line="247" w:lineRule="exact"/>
        <w:rPr>
          <w:rFonts w:ascii="Arial" w:cs="Arial" w:eastAsia="Arial" w:hAnsi="Arial"/>
          <w:sz w:val="16"/>
          <w:szCs w:val="16"/>
          <w:color w:val="auto"/>
        </w:rPr>
      </w:pPr>
    </w:p>
    <w:p>
      <w:pPr>
        <w:ind w:firstLine="1305"/>
        <w:spacing w:after="0" w:line="301" w:lineRule="auto"/>
        <w:tabs>
          <w:tab w:leader="none" w:pos="1954"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Rights Prior to Exercise</w:t>
      </w:r>
      <w:r>
        <w:rPr>
          <w:rFonts w:ascii="Arial" w:cs="Arial" w:eastAsia="Arial" w:hAnsi="Arial"/>
          <w:sz w:val="16"/>
          <w:szCs w:val="16"/>
          <w:color w:val="auto"/>
        </w:rPr>
        <w:t xml:space="preserve">. The Optionee shall not have any right as a stockholder with respect to any Shares subject to his Options until the Option shall have been exercised in accordance with the terms of the Plan and this Award and the Optionee shall have paid the full purchase price for the number of Shares in respect of which the Option was exercised,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 certificates, upon refund by the Sponsor of the Option Price.</w:t>
      </w:r>
    </w:p>
    <w:p>
      <w:pPr>
        <w:spacing w:after="0" w:line="250" w:lineRule="exact"/>
        <w:rPr>
          <w:rFonts w:ascii="Arial" w:cs="Arial" w:eastAsia="Arial" w:hAnsi="Arial"/>
          <w:sz w:val="16"/>
          <w:szCs w:val="16"/>
          <w:color w:val="auto"/>
        </w:rPr>
      </w:pPr>
    </w:p>
    <w:p>
      <w:pPr>
        <w:ind w:right="400" w:firstLine="1305"/>
        <w:spacing w:after="0" w:line="271" w:lineRule="auto"/>
        <w:tabs>
          <w:tab w:leader="none" w:pos="194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Status of Option; Interpretation</w:t>
      </w:r>
      <w:r>
        <w:rPr>
          <w:rFonts w:ascii="Arial" w:cs="Arial" w:eastAsia="Arial" w:hAnsi="Arial"/>
          <w:sz w:val="18"/>
          <w:szCs w:val="18"/>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 w:name="page19"/>
    <w:bookmarkEnd w:id="18"/>
    <w:p>
      <w:pPr>
        <w:ind w:right="100"/>
        <w:spacing w:after="0" w:line="277" w:lineRule="auto"/>
        <w:rPr>
          <w:sz w:val="20"/>
          <w:szCs w:val="20"/>
          <w:color w:val="auto"/>
        </w:rPr>
      </w:pPr>
      <w:r>
        <w:rPr>
          <w:rFonts w:ascii="Arial" w:cs="Arial" w:eastAsia="Arial" w:hAnsi="Arial"/>
          <w:sz w:val="18"/>
          <w:szCs w:val="18"/>
          <w:color w:val="auto"/>
        </w:rPr>
        <w:t>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265" w:lineRule="exact"/>
        <w:rPr>
          <w:sz w:val="20"/>
          <w:szCs w:val="20"/>
          <w:color w:val="auto"/>
        </w:rPr>
      </w:pPr>
    </w:p>
    <w:p>
      <w:pPr>
        <w:ind w:right="440" w:firstLine="1305"/>
        <w:spacing w:after="0" w:line="293" w:lineRule="auto"/>
        <w:tabs>
          <w:tab w:leader="none" w:pos="195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Option Not to Affect Employment</w:t>
      </w:r>
      <w:r>
        <w:rPr>
          <w:rFonts w:ascii="Arial" w:cs="Arial" w:eastAsia="Arial" w:hAnsi="Arial"/>
          <w:sz w:val="18"/>
          <w:szCs w:val="18"/>
          <w:color w:val="auto"/>
        </w:rPr>
        <w:t>. The Option granted hereunder shall not confer upon the Optionee any right to continue in service as an employee, officer or director of the Sponsor or any subsidiary of the Sponsor.</w:t>
      </w:r>
    </w:p>
    <w:p>
      <w:pPr>
        <w:spacing w:after="0" w:line="250"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160" w:firstLine="1953"/>
        <w:spacing w:after="0" w:line="271" w:lineRule="auto"/>
        <w:tabs>
          <w:tab w:leader="none" w:pos="25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271" w:lineRule="exact"/>
        <w:rPr>
          <w:rFonts w:ascii="Arial" w:cs="Arial" w:eastAsia="Arial" w:hAnsi="Arial"/>
          <w:sz w:val="18"/>
          <w:szCs w:val="18"/>
          <w:color w:val="auto"/>
        </w:rPr>
      </w:pPr>
    </w:p>
    <w:p>
      <w:pPr>
        <w:ind w:left="2600" w:hanging="647"/>
        <w:spacing w:after="0"/>
        <w:tabs>
          <w:tab w:leader="none" w:pos="26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This Award may be executed in one or more counterparts all of which taken together will constitute one and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instrument.</w:t>
      </w:r>
    </w:p>
    <w:p>
      <w:pPr>
        <w:spacing w:after="0" w:line="318" w:lineRule="exact"/>
        <w:rPr>
          <w:rFonts w:ascii="Arial" w:cs="Arial" w:eastAsia="Arial" w:hAnsi="Arial"/>
          <w:sz w:val="16"/>
          <w:szCs w:val="16"/>
          <w:color w:val="auto"/>
        </w:rPr>
      </w:pPr>
    </w:p>
    <w:p>
      <w:pPr>
        <w:ind w:right="160" w:firstLine="1953"/>
        <w:spacing w:after="0" w:line="293" w:lineRule="auto"/>
        <w:tabs>
          <w:tab w:leader="none" w:pos="25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250" w:lineRule="exact"/>
        <w:rPr>
          <w:rFonts w:ascii="Arial" w:cs="Arial" w:eastAsia="Arial" w:hAnsi="Arial"/>
          <w:sz w:val="18"/>
          <w:szCs w:val="18"/>
          <w:color w:val="auto"/>
        </w:rPr>
      </w:pPr>
    </w:p>
    <w:p>
      <w:pPr>
        <w:ind w:right="20" w:firstLine="1953"/>
        <w:spacing w:after="0" w:line="273" w:lineRule="auto"/>
        <w:tabs>
          <w:tab w:leader="none" w:pos="2587"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273" w:lineRule="exact"/>
        <w:rPr>
          <w:rFonts w:ascii="Arial" w:cs="Arial" w:eastAsia="Arial" w:hAnsi="Arial"/>
          <w:sz w:val="17"/>
          <w:szCs w:val="17"/>
          <w:color w:val="auto"/>
        </w:rPr>
      </w:pPr>
    </w:p>
    <w:p>
      <w:pPr>
        <w:ind w:firstLine="1305"/>
        <w:spacing w:after="0" w:line="264" w:lineRule="auto"/>
        <w:tabs>
          <w:tab w:leader="none" w:pos="195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Whenever the Sponsor proposes or is required to deliver or transfer Shares in connection with the exercise of the Option, the Sponsor shall have the right to (a) require the Optionee to remit to the Sponsor an amount sufficient to satisfy any federal, state and/or local withholding tax requirements prior to the delivery or transfer of any certificate or certificates for such Shares or (b) take whatever action it deems necessary to protect its interests with respect to tax liabilities.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Sponsor has granted this Award on the day and year first above written.</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7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BY:_______________________________</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S. SMITH</w:t>
      </w:r>
    </w:p>
    <w:p>
      <w:pPr>
        <w:spacing w:after="0" w:line="200" w:lineRule="exact"/>
        <w:rPr>
          <w:sz w:val="20"/>
          <w:szCs w:val="20"/>
          <w:color w:val="auto"/>
        </w:rPr>
      </w:pPr>
    </w:p>
    <w:p>
      <w:pPr>
        <w:spacing w:after="0" w:line="33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ATTEST:__________________________</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00"/>
          </w:cols>
          <w:pgMar w:left="240" w:top="368"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10.3</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a Restricted Stock Unit Award (the “Award”) dated [__________, 2005] from Comcast Corporation (the “Company”)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 (the “Grantee”). The vesting of Restricted Stock Units is conditioned on the Grantee’s continuation in service from the Date of</w:t>
      </w:r>
    </w:p>
    <w:p>
      <w:pPr>
        <w:spacing w:after="0" w:line="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Grant through each applicable Vesting Date, and on the Company’s attainment of the performance objectives established under the Comcast Corporation 2002 Executive Cash Bonus Plan (“the ECBP”), as further provided in this Award. The delivery of Shares under this Award is intended to constitute performance-based compensation, within the meaning of section 162(m) of the Code, and Treasury Regulations issued under section 162(m) of the Code.</w:t>
      </w:r>
    </w:p>
    <w:p>
      <w:pPr>
        <w:spacing w:after="0" w:line="250" w:lineRule="exact"/>
        <w:rPr>
          <w:sz w:val="20"/>
          <w:szCs w:val="20"/>
          <w:color w:val="auto"/>
        </w:rPr>
      </w:pPr>
    </w:p>
    <w:p>
      <w:pPr>
        <w:ind w:left="1980" w:hanging="675"/>
        <w:spacing w:after="0"/>
        <w:tabs>
          <w:tab w:leader="none" w:pos="19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356" w:lineRule="exact"/>
        <w:rPr>
          <w:rFonts w:ascii="Arial" w:cs="Arial" w:eastAsia="Arial" w:hAnsi="Arial"/>
          <w:sz w:val="16"/>
          <w:szCs w:val="16"/>
          <w:color w:val="auto"/>
        </w:rPr>
      </w:pPr>
    </w:p>
    <w:p>
      <w:pPr>
        <w:ind w:right="320" w:firstLine="1953"/>
        <w:spacing w:after="0" w:line="264" w:lineRule="auto"/>
        <w:tabs>
          <w:tab w:leader="none" w:pos="25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277" w:lineRule="exact"/>
        <w:rPr>
          <w:rFonts w:ascii="Arial" w:cs="Arial" w:eastAsia="Arial" w:hAnsi="Arial"/>
          <w:sz w:val="18"/>
          <w:szCs w:val="18"/>
          <w:color w:val="auto"/>
        </w:rPr>
      </w:pPr>
    </w:p>
    <w:p>
      <w:pPr>
        <w:ind w:left="2560" w:hanging="607"/>
        <w:spacing w:after="0"/>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333" w:lineRule="exact"/>
        <w:rPr>
          <w:rFonts w:ascii="Arial" w:cs="Arial" w:eastAsia="Arial" w:hAnsi="Arial"/>
          <w:sz w:val="18"/>
          <w:szCs w:val="18"/>
          <w:color w:val="auto"/>
        </w:rPr>
      </w:pPr>
    </w:p>
    <w:p>
      <w:pPr>
        <w:ind w:left="2540" w:hanging="587"/>
        <w:spacing w:after="0"/>
        <w:tabs>
          <w:tab w:leader="none" w:pos="2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first set forth above, on which the Company awarded the Restricted Stock Units.</w:t>
      </w:r>
    </w:p>
    <w:p>
      <w:pPr>
        <w:spacing w:after="0" w:line="344" w:lineRule="exact"/>
        <w:rPr>
          <w:rFonts w:ascii="Arial" w:cs="Arial" w:eastAsia="Arial" w:hAnsi="Arial"/>
          <w:sz w:val="17"/>
          <w:szCs w:val="17"/>
          <w:color w:val="auto"/>
        </w:rPr>
      </w:pPr>
    </w:p>
    <w:p>
      <w:pPr>
        <w:ind w:left="2560" w:hanging="607"/>
        <w:spacing w:after="0"/>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333" w:lineRule="exact"/>
        <w:rPr>
          <w:rFonts w:ascii="Arial" w:cs="Arial" w:eastAsia="Arial" w:hAnsi="Arial"/>
          <w:sz w:val="18"/>
          <w:szCs w:val="18"/>
          <w:color w:val="auto"/>
        </w:rPr>
      </w:pPr>
    </w:p>
    <w:p>
      <w:pPr>
        <w:ind w:left="3020" w:hanging="419"/>
        <w:spacing w:after="0"/>
        <w:tabs>
          <w:tab w:leader="none" w:pos="30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333" w:lineRule="exact"/>
        <w:rPr>
          <w:rFonts w:ascii="Arial" w:cs="Arial" w:eastAsia="Arial" w:hAnsi="Arial"/>
          <w:sz w:val="18"/>
          <w:szCs w:val="18"/>
          <w:color w:val="auto"/>
        </w:rPr>
      </w:pPr>
    </w:p>
    <w:p>
      <w:pPr>
        <w:ind w:left="3020" w:hanging="419"/>
        <w:spacing w:after="0"/>
        <w:tabs>
          <w:tab w:leader="none" w:pos="3020" w:val="left"/>
        </w:tabs>
        <w:numPr>
          <w:ilvl w:val="2"/>
          <w:numId w:val="27"/>
        </w:numPr>
        <w:rPr>
          <w:rFonts w:ascii="Arial" w:cs="Arial" w:eastAsia="Arial" w:hAnsi="Arial"/>
          <w:sz w:val="17"/>
          <w:szCs w:val="17"/>
          <w:color w:val="auto"/>
        </w:rPr>
      </w:pPr>
      <w:r>
        <w:rPr>
          <w:rFonts w:ascii="Arial" w:cs="Arial" w:eastAsia="Arial" w:hAnsi="Arial"/>
          <w:sz w:val="17"/>
          <w:szCs w:val="17"/>
          <w:color w:val="auto"/>
        </w:rPr>
        <w:t>Grantee’s duly-appointed legal guardian following Grantee’s termination of employment by reason of Disability,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acting on Grantee’s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ind w:left="2520" w:hanging="567"/>
        <w:spacing w:after="0"/>
        <w:tabs>
          <w:tab w:leader="none" w:pos="2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ECBP</w:t>
      </w:r>
      <w:r>
        <w:rPr>
          <w:rFonts w:ascii="Arial" w:cs="Arial" w:eastAsia="Arial" w:hAnsi="Arial"/>
          <w:sz w:val="18"/>
          <w:szCs w:val="18"/>
          <w:color w:val="auto"/>
        </w:rPr>
        <w:t>” means the Comcast Corporation 2002 Executive Cash Bonus Plan, or any successor plan, program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arrangement.</w:t>
      </w:r>
    </w:p>
    <w:p>
      <w:pPr>
        <w:spacing w:after="0" w:line="319" w:lineRule="exact"/>
        <w:rPr>
          <w:sz w:val="20"/>
          <w:szCs w:val="20"/>
          <w:color w:val="auto"/>
        </w:rPr>
      </w:pPr>
    </w:p>
    <w:p>
      <w:pPr>
        <w:ind w:left="2520" w:hanging="567"/>
        <w:spacing w:after="0"/>
        <w:tabs>
          <w:tab w:leader="none" w:pos="2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Vesting Date.</w:t>
      </w:r>
    </w:p>
    <w:p>
      <w:pPr>
        <w:spacing w:after="0" w:line="319" w:lineRule="exact"/>
        <w:rPr>
          <w:sz w:val="20"/>
          <w:szCs w:val="20"/>
          <w:color w:val="auto"/>
        </w:rPr>
      </w:pPr>
    </w:p>
    <w:p>
      <w:pPr>
        <w:ind w:left="2560" w:hanging="607"/>
        <w:spacing w:after="0"/>
        <w:tabs>
          <w:tab w:leader="none" w:pos="2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Goal</w:t>
      </w:r>
      <w:r>
        <w:rPr>
          <w:rFonts w:ascii="Arial" w:cs="Arial" w:eastAsia="Arial" w:hAnsi="Arial"/>
          <w:sz w:val="18"/>
          <w:szCs w:val="18"/>
          <w:color w:val="auto"/>
        </w:rPr>
        <w:t>” means the First Tier Goal established for a calendar year under the ECBP.</w:t>
      </w:r>
    </w:p>
    <w:p>
      <w:pPr>
        <w:spacing w:after="0" w:line="333" w:lineRule="exact"/>
        <w:rPr>
          <w:rFonts w:ascii="Arial" w:cs="Arial" w:eastAsia="Arial" w:hAnsi="Arial"/>
          <w:sz w:val="18"/>
          <w:szCs w:val="18"/>
          <w:color w:val="auto"/>
        </w:rPr>
      </w:pPr>
    </w:p>
    <w:p>
      <w:pPr>
        <w:ind w:right="520" w:firstLine="1953"/>
        <w:spacing w:after="0" w:line="293" w:lineRule="auto"/>
        <w:tabs>
          <w:tab w:leader="none" w:pos="25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250" w:lineRule="exact"/>
        <w:rPr>
          <w:rFonts w:ascii="Arial" w:cs="Arial" w:eastAsia="Arial" w:hAnsi="Arial"/>
          <w:sz w:val="18"/>
          <w:szCs w:val="18"/>
          <w:color w:val="auto"/>
        </w:rPr>
      </w:pPr>
    </w:p>
    <w:p>
      <w:pPr>
        <w:ind w:left="2620" w:hanging="667"/>
        <w:spacing w:after="0"/>
        <w:tabs>
          <w:tab w:leader="none" w:pos="2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with respect to each Restricted Stock Unit, the period beginning on the Date of Grant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ending on the Vesting Date.</w:t>
      </w:r>
    </w:p>
    <w:p>
      <w:pPr>
        <w:spacing w:after="0" w:line="318" w:lineRule="exact"/>
        <w:rPr>
          <w:rFonts w:ascii="Arial" w:cs="Arial" w:eastAsia="Arial" w:hAnsi="Arial"/>
          <w:sz w:val="17"/>
          <w:szCs w:val="17"/>
          <w:color w:val="auto"/>
        </w:rPr>
      </w:pPr>
    </w:p>
    <w:p>
      <w:pPr>
        <w:ind w:left="2560" w:hanging="607"/>
        <w:spacing w:after="0"/>
        <w:tabs>
          <w:tab w:leader="none" w:pos="2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Grantee, upon the Vesting Date set forth in an Award, to receive one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w:t>
      </w:r>
    </w:p>
    <w:p>
      <w:pPr>
        <w:spacing w:after="0" w:line="318" w:lineRule="exact"/>
        <w:rPr>
          <w:rFonts w:ascii="Arial" w:cs="Arial" w:eastAsia="Arial" w:hAnsi="Arial"/>
          <w:sz w:val="16"/>
          <w:szCs w:val="16"/>
          <w:color w:val="auto"/>
        </w:rPr>
      </w:pPr>
    </w:p>
    <w:p>
      <w:pPr>
        <w:ind w:left="2560" w:hanging="607"/>
        <w:spacing w:after="0"/>
        <w:tabs>
          <w:tab w:leader="none" w:pos="2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Retired Grantee</w:t>
      </w:r>
      <w:r>
        <w:rPr>
          <w:rFonts w:ascii="Arial" w:cs="Arial" w:eastAsia="Arial" w:hAnsi="Arial"/>
          <w:sz w:val="17"/>
          <w:szCs w:val="17"/>
          <w:color w:val="auto"/>
        </w:rPr>
        <w:t>” means Grantee, following Grantee’s termination of employment pursuant to a Normal Retirement.</w:t>
      </w:r>
    </w:p>
    <w:p>
      <w:pPr>
        <w:spacing w:after="0" w:line="344" w:lineRule="exact"/>
        <w:rPr>
          <w:rFonts w:ascii="Arial" w:cs="Arial" w:eastAsia="Arial" w:hAnsi="Arial"/>
          <w:sz w:val="17"/>
          <w:szCs w:val="17"/>
          <w:color w:val="auto"/>
        </w:rPr>
      </w:pPr>
    </w:p>
    <w:p>
      <w:pPr>
        <w:ind w:left="2520" w:hanging="567"/>
        <w:spacing w:after="0"/>
        <w:tabs>
          <w:tab w:leader="none" w:pos="2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Tier Goal</w:t>
      </w:r>
      <w:r>
        <w:rPr>
          <w:rFonts w:ascii="Arial" w:cs="Arial" w:eastAsia="Arial" w:hAnsi="Arial"/>
          <w:sz w:val="18"/>
          <w:szCs w:val="18"/>
          <w:color w:val="auto"/>
        </w:rPr>
        <w:t>” means the Second Tier goal established for a calendar year under the ECBP.</w:t>
      </w:r>
    </w:p>
    <w:p>
      <w:pPr>
        <w:spacing w:after="0" w:line="333" w:lineRule="exact"/>
        <w:rPr>
          <w:rFonts w:ascii="Arial" w:cs="Arial" w:eastAsia="Arial" w:hAnsi="Arial"/>
          <w:sz w:val="18"/>
          <w:szCs w:val="18"/>
          <w:color w:val="auto"/>
        </w:rPr>
      </w:pPr>
    </w:p>
    <w:p>
      <w:pPr>
        <w:ind w:left="2540" w:hanging="587"/>
        <w:spacing w:after="0"/>
        <w:tabs>
          <w:tab w:leader="none" w:pos="2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the Company’s Class A Common Stock, par value $.01 per share.</w:t>
      </w:r>
    </w:p>
    <w:p>
      <w:pPr>
        <w:spacing w:after="0" w:line="333" w:lineRule="exact"/>
        <w:rPr>
          <w:rFonts w:ascii="Arial" w:cs="Arial" w:eastAsia="Arial" w:hAnsi="Arial"/>
          <w:sz w:val="18"/>
          <w:szCs w:val="18"/>
          <w:color w:val="auto"/>
        </w:rPr>
      </w:pPr>
    </w:p>
    <w:p>
      <w:pPr>
        <w:ind w:left="2520" w:hanging="567"/>
        <w:spacing w:after="0"/>
        <w:tabs>
          <w:tab w:leader="none" w:pos="2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the date(s) on which Grantee vests in all or a portion of the Restricted Stock Units, as provided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 3.</w:t>
      </w:r>
    </w:p>
    <w:p>
      <w:pPr>
        <w:spacing w:after="0" w:line="318" w:lineRule="exact"/>
        <w:rPr>
          <w:rFonts w:ascii="Arial" w:cs="Arial" w:eastAsia="Arial" w:hAnsi="Arial"/>
          <w:sz w:val="16"/>
          <w:szCs w:val="16"/>
          <w:color w:val="auto"/>
        </w:rPr>
      </w:pPr>
    </w:p>
    <w:p>
      <w:pPr>
        <w:ind w:left="2560" w:hanging="607"/>
        <w:spacing w:after="0"/>
        <w:tabs>
          <w:tab w:leader="none" w:pos="2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333" w:lineRule="exact"/>
        <w:rPr>
          <w:rFonts w:ascii="Arial" w:cs="Arial" w:eastAsia="Arial" w:hAnsi="Arial"/>
          <w:sz w:val="18"/>
          <w:szCs w:val="18"/>
          <w:color w:val="auto"/>
        </w:rPr>
      </w:pPr>
    </w:p>
    <w:p>
      <w:pPr>
        <w:ind w:left="2560" w:hanging="607"/>
        <w:spacing w:after="0"/>
        <w:tabs>
          <w:tab w:leader="none" w:pos="2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2005 RSUs</w:t>
      </w:r>
      <w:r>
        <w:rPr>
          <w:rFonts w:ascii="Arial" w:cs="Arial" w:eastAsia="Arial" w:hAnsi="Arial"/>
          <w:sz w:val="18"/>
          <w:szCs w:val="18"/>
          <w:color w:val="auto"/>
        </w:rPr>
        <w:t>” means [______] of the Restricted Stock Units described in Paragraph 2.</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2006 RSUs</w:t>
      </w:r>
      <w:r>
        <w:rPr>
          <w:rFonts w:ascii="Arial" w:cs="Arial" w:eastAsia="Arial" w:hAnsi="Arial"/>
          <w:sz w:val="16"/>
          <w:szCs w:val="16"/>
          <w:color w:val="auto"/>
        </w:rPr>
        <w:t>” means [______] of the Restricted Stock Units described in Paragraph 2, plus any 2005 RSUs that fail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 under Paragraph 3.b(1).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21" w:name="page22"/>
    <w:bookmarkEnd w:id="21"/>
    <w:p>
      <w:pPr>
        <w:ind w:right="100" w:firstLine="1953"/>
        <w:spacing w:after="0" w:line="293" w:lineRule="auto"/>
        <w:tabs>
          <w:tab w:leader="none" w:pos="2557"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2007 RSUs</w:t>
      </w:r>
      <w:r>
        <w:rPr>
          <w:rFonts w:ascii="Arial" w:cs="Arial" w:eastAsia="Arial" w:hAnsi="Arial"/>
          <w:sz w:val="18"/>
          <w:szCs w:val="18"/>
          <w:color w:val="auto"/>
        </w:rPr>
        <w:t>” means [_____] of the Restricted Stock Units described in Paragraph 2, plus any 2006 RSUs that fail to vest under Paragraph 3.b(2) (including Restricted Stock Units that failed to vest before 2007).</w:t>
      </w:r>
    </w:p>
    <w:p>
      <w:pPr>
        <w:spacing w:after="0" w:line="250" w:lineRule="exact"/>
        <w:rPr>
          <w:rFonts w:ascii="Arial" w:cs="Arial" w:eastAsia="Arial" w:hAnsi="Arial"/>
          <w:sz w:val="18"/>
          <w:szCs w:val="18"/>
          <w:color w:val="auto"/>
        </w:rPr>
      </w:pPr>
    </w:p>
    <w:p>
      <w:pPr>
        <w:ind w:right="100" w:firstLine="1953"/>
        <w:spacing w:after="0" w:line="293" w:lineRule="auto"/>
        <w:tabs>
          <w:tab w:leader="none" w:pos="25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2008 RSUs</w:t>
      </w:r>
      <w:r>
        <w:rPr>
          <w:rFonts w:ascii="Arial" w:cs="Arial" w:eastAsia="Arial" w:hAnsi="Arial"/>
          <w:sz w:val="18"/>
          <w:szCs w:val="18"/>
          <w:color w:val="auto"/>
        </w:rPr>
        <w:t>” means [_____] of the Restricted Stock Units described in Paragraph 2, plus any 2007 RSUs that fail to vest under Paragraph 3.b(3) (including Restricted Stock Units that failed to vest before 2008).</w:t>
      </w:r>
    </w:p>
    <w:p>
      <w:pPr>
        <w:spacing w:after="0" w:line="250" w:lineRule="exact"/>
        <w:rPr>
          <w:rFonts w:ascii="Arial" w:cs="Arial" w:eastAsia="Arial" w:hAnsi="Arial"/>
          <w:sz w:val="18"/>
          <w:szCs w:val="18"/>
          <w:color w:val="auto"/>
        </w:rPr>
      </w:pPr>
    </w:p>
    <w:p>
      <w:pPr>
        <w:ind w:right="20" w:firstLine="1305"/>
        <w:spacing w:after="0" w:line="293" w:lineRule="auto"/>
        <w:tabs>
          <w:tab w:leader="none" w:pos="197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_____ Restricted Stock Units.</w:t>
      </w:r>
    </w:p>
    <w:p>
      <w:pPr>
        <w:spacing w:after="0" w:line="250" w:lineRule="exact"/>
        <w:rPr>
          <w:rFonts w:ascii="Arial" w:cs="Arial" w:eastAsia="Arial" w:hAnsi="Arial"/>
          <w:sz w:val="18"/>
          <w:szCs w:val="18"/>
          <w:color w:val="auto"/>
        </w:rPr>
      </w:pPr>
    </w:p>
    <w:p>
      <w:pPr>
        <w:ind w:left="1980" w:hanging="675"/>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80" w:firstLine="1953"/>
        <w:spacing w:after="0" w:line="307" w:lineRule="auto"/>
        <w:tabs>
          <w:tab w:leader="none" w:pos="2547" w:val="left"/>
        </w:tabs>
        <w:numPr>
          <w:ilvl w:val="1"/>
          <w:numId w:val="32"/>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in Paragraph 3.b,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and provided further that the applicable performance conditions as set forth in Paragraph 3.b have been satisfied.</w:t>
      </w:r>
    </w:p>
    <w:p>
      <w:pPr>
        <w:spacing w:after="0" w:line="247" w:lineRule="exact"/>
        <w:rPr>
          <w:rFonts w:ascii="Arial" w:cs="Arial" w:eastAsia="Arial" w:hAnsi="Arial"/>
          <w:sz w:val="16"/>
          <w:szCs w:val="16"/>
          <w:color w:val="auto"/>
        </w:rPr>
      </w:pPr>
    </w:p>
    <w:p>
      <w:pPr>
        <w:ind w:left="2560" w:hanging="607"/>
        <w:spacing w:after="0"/>
        <w:tabs>
          <w:tab w:leader="none" w:pos="25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Subject to Paragraph 3.a, a Vesting Date for Restricted Stock Units subject to the Award shall occur in accordance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schedule:</w:t>
      </w:r>
    </w:p>
    <w:p>
      <w:pPr>
        <w:spacing w:after="0" w:line="318" w:lineRule="exact"/>
        <w:rPr>
          <w:rFonts w:ascii="Arial" w:cs="Arial" w:eastAsia="Arial" w:hAnsi="Arial"/>
          <w:sz w:val="16"/>
          <w:szCs w:val="16"/>
          <w:color w:val="auto"/>
        </w:rPr>
      </w:pPr>
    </w:p>
    <w:p>
      <w:pPr>
        <w:ind w:left="3360" w:hanging="759"/>
        <w:spacing w:after="0"/>
        <w:tabs>
          <w:tab w:leader="none" w:pos="336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2005 RSUs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3920" w:hanging="671"/>
        <w:spacing w:after="0"/>
        <w:tabs>
          <w:tab w:leader="none" w:pos="3920" w:val="left"/>
        </w:tabs>
        <w:numPr>
          <w:ilvl w:val="3"/>
          <w:numId w:val="32"/>
        </w:numPr>
        <w:rPr>
          <w:rFonts w:ascii="Arial" w:cs="Arial" w:eastAsia="Arial" w:hAnsi="Arial"/>
          <w:sz w:val="16"/>
          <w:szCs w:val="16"/>
          <w:color w:val="auto"/>
        </w:rPr>
      </w:pPr>
      <w:r>
        <w:rPr>
          <w:rFonts w:ascii="Arial" w:cs="Arial" w:eastAsia="Arial" w:hAnsi="Arial"/>
          <w:sz w:val="16"/>
          <w:szCs w:val="16"/>
          <w:color w:val="auto"/>
        </w:rPr>
        <w:t>As to [2/3rds] of the 2005 RSUs, [__________], 2006, provided that the First Tier Goal is satisfied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2005.</w:t>
      </w:r>
    </w:p>
    <w:p>
      <w:pPr>
        <w:spacing w:after="0" w:line="318" w:lineRule="exact"/>
        <w:rPr>
          <w:rFonts w:ascii="Arial" w:cs="Arial" w:eastAsia="Arial" w:hAnsi="Arial"/>
          <w:sz w:val="16"/>
          <w:szCs w:val="16"/>
          <w:color w:val="auto"/>
        </w:rPr>
      </w:pPr>
    </w:p>
    <w:p>
      <w:pPr>
        <w:ind w:left="3940" w:hanging="691"/>
        <w:spacing w:after="0"/>
        <w:tabs>
          <w:tab w:leader="none" w:pos="3940" w:val="left"/>
        </w:tabs>
        <w:numPr>
          <w:ilvl w:val="3"/>
          <w:numId w:val="32"/>
        </w:numPr>
        <w:rPr>
          <w:rFonts w:ascii="Arial" w:cs="Arial" w:eastAsia="Arial" w:hAnsi="Arial"/>
          <w:sz w:val="16"/>
          <w:szCs w:val="16"/>
          <w:color w:val="auto"/>
        </w:rPr>
      </w:pPr>
      <w:r>
        <w:rPr>
          <w:rFonts w:ascii="Arial" w:cs="Arial" w:eastAsia="Arial" w:hAnsi="Arial"/>
          <w:sz w:val="16"/>
          <w:szCs w:val="16"/>
          <w:color w:val="auto"/>
        </w:rPr>
        <w:t>As to an additional [1/3rd] of the 2005 RSUs, [__________], 2006, provided that the Second Tier Goal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satisfied for 2005.</w:t>
      </w:r>
    </w:p>
    <w:p>
      <w:pPr>
        <w:spacing w:after="0" w:line="318" w:lineRule="exact"/>
        <w:rPr>
          <w:rFonts w:ascii="Arial" w:cs="Arial" w:eastAsia="Arial" w:hAnsi="Arial"/>
          <w:sz w:val="16"/>
          <w:szCs w:val="16"/>
          <w:color w:val="auto"/>
        </w:rPr>
      </w:pPr>
    </w:p>
    <w:p>
      <w:pPr>
        <w:ind w:left="3360" w:hanging="759"/>
        <w:spacing w:after="0"/>
        <w:tabs>
          <w:tab w:leader="none" w:pos="336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2006 RSUs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3920" w:hanging="671"/>
        <w:spacing w:after="0"/>
        <w:tabs>
          <w:tab w:leader="none" w:pos="3920" w:val="left"/>
        </w:tabs>
        <w:numPr>
          <w:ilvl w:val="3"/>
          <w:numId w:val="32"/>
        </w:numPr>
        <w:rPr>
          <w:rFonts w:ascii="Arial" w:cs="Arial" w:eastAsia="Arial" w:hAnsi="Arial"/>
          <w:sz w:val="16"/>
          <w:szCs w:val="16"/>
          <w:color w:val="auto"/>
        </w:rPr>
      </w:pPr>
      <w:r>
        <w:rPr>
          <w:rFonts w:ascii="Arial" w:cs="Arial" w:eastAsia="Arial" w:hAnsi="Arial"/>
          <w:sz w:val="16"/>
          <w:szCs w:val="16"/>
          <w:color w:val="auto"/>
        </w:rPr>
        <w:t>As to [2/3rds] of the 2006 RSUs, [__________], 2007, provided that the First Tier Goal is satisfied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2006.</w:t>
      </w:r>
    </w:p>
    <w:p>
      <w:pPr>
        <w:spacing w:after="0" w:line="318" w:lineRule="exact"/>
        <w:rPr>
          <w:rFonts w:ascii="Arial" w:cs="Arial" w:eastAsia="Arial" w:hAnsi="Arial"/>
          <w:sz w:val="16"/>
          <w:szCs w:val="16"/>
          <w:color w:val="auto"/>
        </w:rPr>
      </w:pPr>
    </w:p>
    <w:p>
      <w:pPr>
        <w:ind w:left="3940" w:hanging="691"/>
        <w:spacing w:after="0"/>
        <w:tabs>
          <w:tab w:leader="none" w:pos="3940" w:val="left"/>
        </w:tabs>
        <w:numPr>
          <w:ilvl w:val="3"/>
          <w:numId w:val="32"/>
        </w:numPr>
        <w:rPr>
          <w:rFonts w:ascii="Arial" w:cs="Arial" w:eastAsia="Arial" w:hAnsi="Arial"/>
          <w:sz w:val="16"/>
          <w:szCs w:val="16"/>
          <w:color w:val="auto"/>
        </w:rPr>
      </w:pPr>
      <w:r>
        <w:rPr>
          <w:rFonts w:ascii="Arial" w:cs="Arial" w:eastAsia="Arial" w:hAnsi="Arial"/>
          <w:sz w:val="16"/>
          <w:szCs w:val="16"/>
          <w:color w:val="auto"/>
        </w:rPr>
        <w:t>As to an additional [1/3rd] of the 2006 RSUs, [__________], 2007, provided that the Second Tier Goal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satisfied for 2006.</w:t>
      </w:r>
    </w:p>
    <w:p>
      <w:pPr>
        <w:spacing w:after="0" w:line="318" w:lineRule="exact"/>
        <w:rPr>
          <w:rFonts w:ascii="Arial" w:cs="Arial" w:eastAsia="Arial" w:hAnsi="Arial"/>
          <w:sz w:val="16"/>
          <w:szCs w:val="16"/>
          <w:color w:val="auto"/>
        </w:rPr>
      </w:pPr>
    </w:p>
    <w:p>
      <w:pPr>
        <w:ind w:left="3280" w:hanging="679"/>
        <w:spacing w:after="0"/>
        <w:tabs>
          <w:tab w:leader="none" w:pos="328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2007 RSUs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3920" w:hanging="671"/>
        <w:spacing w:after="0"/>
        <w:tabs>
          <w:tab w:leader="none" w:pos="3920" w:val="left"/>
        </w:tabs>
        <w:numPr>
          <w:ilvl w:val="3"/>
          <w:numId w:val="32"/>
        </w:numPr>
        <w:rPr>
          <w:rFonts w:ascii="Arial" w:cs="Arial" w:eastAsia="Arial" w:hAnsi="Arial"/>
          <w:sz w:val="16"/>
          <w:szCs w:val="16"/>
          <w:color w:val="auto"/>
        </w:rPr>
      </w:pPr>
      <w:r>
        <w:rPr>
          <w:rFonts w:ascii="Arial" w:cs="Arial" w:eastAsia="Arial" w:hAnsi="Arial"/>
          <w:sz w:val="16"/>
          <w:szCs w:val="16"/>
          <w:color w:val="auto"/>
        </w:rPr>
        <w:t>As to [2/3rds] of the 2007 RSUs, [__________], 2008, provided that the First Tier Goal is satisfied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2007.</w:t>
      </w:r>
    </w:p>
    <w:p>
      <w:pPr>
        <w:spacing w:after="0" w:line="318" w:lineRule="exact"/>
        <w:rPr>
          <w:rFonts w:ascii="Arial" w:cs="Arial" w:eastAsia="Arial" w:hAnsi="Arial"/>
          <w:sz w:val="16"/>
          <w:szCs w:val="16"/>
          <w:color w:val="auto"/>
        </w:rPr>
      </w:pPr>
    </w:p>
    <w:p>
      <w:pPr>
        <w:ind w:left="3940" w:hanging="691"/>
        <w:spacing w:after="0"/>
        <w:tabs>
          <w:tab w:leader="none" w:pos="3940" w:val="left"/>
        </w:tabs>
        <w:numPr>
          <w:ilvl w:val="3"/>
          <w:numId w:val="32"/>
        </w:numPr>
        <w:rPr>
          <w:rFonts w:ascii="Arial" w:cs="Arial" w:eastAsia="Arial" w:hAnsi="Arial"/>
          <w:sz w:val="16"/>
          <w:szCs w:val="16"/>
          <w:color w:val="auto"/>
        </w:rPr>
      </w:pPr>
      <w:r>
        <w:rPr>
          <w:rFonts w:ascii="Arial" w:cs="Arial" w:eastAsia="Arial" w:hAnsi="Arial"/>
          <w:sz w:val="16"/>
          <w:szCs w:val="16"/>
          <w:color w:val="auto"/>
        </w:rPr>
        <w:t>As to an additional [1/3rd] of the 2007 RSUs, [__________], 2008, provided that the Second Tier Goal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satisfied for 2007.</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22" w:name="page23"/>
    <w:bookmarkEnd w:id="22"/>
    <w:p>
      <w:pPr>
        <w:ind w:left="3280" w:hanging="679"/>
        <w:spacing w:after="0"/>
        <w:tabs>
          <w:tab w:leader="none" w:pos="3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2008 RSUs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3920" w:hanging="671"/>
        <w:spacing w:after="0"/>
        <w:tabs>
          <w:tab w:leader="none" w:pos="3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As to [2/3rds] of the 2008 RSUs, [__________], 2009, provided that the First Tier Goal is satisfied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319" w:lineRule="exact"/>
        <w:rPr>
          <w:sz w:val="20"/>
          <w:szCs w:val="20"/>
          <w:color w:val="auto"/>
        </w:rPr>
      </w:pPr>
    </w:p>
    <w:p>
      <w:pPr>
        <w:ind w:left="3940" w:hanging="691"/>
        <w:spacing w:after="0"/>
        <w:tabs>
          <w:tab w:leader="none" w:pos="3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to an additional [1/3rd] of the 2008 RSUs, [__________], 2009, provided that the Second Tier Goal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satisfied for 2008.</w:t>
      </w:r>
    </w:p>
    <w:p>
      <w:pPr>
        <w:spacing w:after="0" w:line="319" w:lineRule="exact"/>
        <w:rPr>
          <w:sz w:val="20"/>
          <w:szCs w:val="20"/>
          <w:color w:val="auto"/>
        </w:rPr>
      </w:pPr>
    </w:p>
    <w:p>
      <w:pPr>
        <w:ind w:left="1980" w:hanging="675"/>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right="60" w:firstLine="1953"/>
        <w:spacing w:after="0" w:line="295" w:lineRule="auto"/>
        <w:tabs>
          <w:tab w:leader="none" w:pos="2547" w:val="left"/>
        </w:tabs>
        <w:numPr>
          <w:ilvl w:val="1"/>
          <w:numId w:val="35"/>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and in the Plan, if Grantee terminates employment with the Company and all Subsidiaries during the Restricted Period for any reason, Grantee shall forfeit the Restricted Stock Units as of such termination of employment. Upon a forfeiture of the Restricted Stock Units as provided in this Paragraph 4, the Restricted Stock Units shall be deemed canceled.</w:t>
      </w:r>
    </w:p>
    <w:p>
      <w:pPr>
        <w:spacing w:after="0" w:line="251" w:lineRule="exact"/>
        <w:rPr>
          <w:rFonts w:ascii="Arial" w:cs="Arial" w:eastAsia="Arial" w:hAnsi="Arial"/>
          <w:sz w:val="17"/>
          <w:szCs w:val="17"/>
          <w:color w:val="auto"/>
        </w:rPr>
      </w:pPr>
    </w:p>
    <w:p>
      <w:pPr>
        <w:ind w:left="2560" w:hanging="607"/>
        <w:spacing w:after="0"/>
        <w:tabs>
          <w:tab w:leader="none" w:pos="25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provisions of this Paragraph 4 shall not apply to Shares issued in respect of Restricted Stock Units as to which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Vesting Date has occurred.</w:t>
      </w:r>
    </w:p>
    <w:p>
      <w:pPr>
        <w:spacing w:after="0" w:line="318" w:lineRule="exact"/>
        <w:rPr>
          <w:rFonts w:ascii="Arial" w:cs="Arial" w:eastAsia="Arial" w:hAnsi="Arial"/>
          <w:sz w:val="17"/>
          <w:szCs w:val="17"/>
          <w:color w:val="auto"/>
        </w:rPr>
      </w:pPr>
    </w:p>
    <w:p>
      <w:pPr>
        <w:ind w:left="1920" w:hanging="615"/>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Grantee may elect to defer the receipt of Shares issuable with respect to Restricted Stock Units, consistent, however, with the following:</w:t>
      </w:r>
    </w:p>
    <w:p>
      <w:pPr>
        <w:spacing w:after="0" w:line="343" w:lineRule="exact"/>
        <w:rPr>
          <w:sz w:val="20"/>
          <w:szCs w:val="20"/>
          <w:color w:val="auto"/>
        </w:rPr>
      </w:pPr>
    </w:p>
    <w:p>
      <w:pPr>
        <w:ind w:left="2300" w:hanging="347"/>
        <w:spacing w:after="0"/>
        <w:tabs>
          <w:tab w:leader="none" w:pos="23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right="40" w:firstLine="2601"/>
        <w:spacing w:after="0" w:line="271" w:lineRule="auto"/>
        <w:tabs>
          <w:tab w:leader="none" w:pos="32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271" w:lineRule="exact"/>
        <w:rPr>
          <w:rFonts w:ascii="Arial" w:cs="Arial" w:eastAsia="Arial" w:hAnsi="Arial"/>
          <w:sz w:val="18"/>
          <w:szCs w:val="18"/>
          <w:color w:val="auto"/>
        </w:rPr>
      </w:pPr>
    </w:p>
    <w:p>
      <w:pPr>
        <w:ind w:left="3280" w:hanging="679"/>
        <w:spacing w:after="0"/>
        <w:tabs>
          <w:tab w:leader="none" w:pos="328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Deadline for Deferral Election</w:t>
      </w:r>
      <w:r>
        <w:rPr>
          <w:rFonts w:ascii="Arial" w:cs="Arial" w:eastAsia="Arial" w:hAnsi="Arial"/>
          <w:sz w:val="17"/>
          <w:szCs w:val="17"/>
          <w:color w:val="auto"/>
        </w:rPr>
        <w:t>. An Initial Election to defer the receipt of Shares issuable with respect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Restricted Stock Units hereby granted shall not be effective unless it is filed with the Committee on or before the following dates:</w:t>
      </w:r>
    </w:p>
    <w:p>
      <w:pPr>
        <w:spacing w:after="0" w:line="318" w:lineRule="exact"/>
        <w:rPr>
          <w:rFonts w:ascii="Arial" w:cs="Arial" w:eastAsia="Arial" w:hAnsi="Arial"/>
          <w:sz w:val="17"/>
          <w:szCs w:val="17"/>
          <w:color w:val="auto"/>
        </w:rPr>
      </w:pPr>
    </w:p>
    <w:p>
      <w:pPr>
        <w:ind w:left="3660" w:hanging="411"/>
        <w:spacing w:after="0"/>
        <w:tabs>
          <w:tab w:leader="none" w:pos="3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 respect to the 2005 RSUs, June 30, 2005;</w:t>
      </w:r>
    </w:p>
    <w:p>
      <w:pPr>
        <w:spacing w:after="0" w:line="333" w:lineRule="exact"/>
        <w:rPr>
          <w:rFonts w:ascii="Arial" w:cs="Arial" w:eastAsia="Arial" w:hAnsi="Arial"/>
          <w:sz w:val="18"/>
          <w:szCs w:val="18"/>
          <w:color w:val="auto"/>
        </w:rPr>
      </w:pPr>
    </w:p>
    <w:p>
      <w:pPr>
        <w:ind w:left="3680" w:hanging="431"/>
        <w:spacing w:after="0"/>
        <w:tabs>
          <w:tab w:leader="none" w:pos="36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 respect to the 2006 RSUs, June 30, 2006;</w:t>
      </w:r>
    </w:p>
    <w:p>
      <w:pPr>
        <w:spacing w:after="0" w:line="333" w:lineRule="exact"/>
        <w:rPr>
          <w:rFonts w:ascii="Arial" w:cs="Arial" w:eastAsia="Arial" w:hAnsi="Arial"/>
          <w:sz w:val="18"/>
          <w:szCs w:val="18"/>
          <w:color w:val="auto"/>
        </w:rPr>
      </w:pPr>
    </w:p>
    <w:p>
      <w:pPr>
        <w:ind w:left="3660" w:hanging="411"/>
        <w:spacing w:after="0"/>
        <w:tabs>
          <w:tab w:leader="none" w:pos="3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 respect to the 2007 RSUs, June 30, 2007; and</w:t>
      </w:r>
    </w:p>
    <w:p>
      <w:pPr>
        <w:spacing w:after="0" w:line="333" w:lineRule="exact"/>
        <w:rPr>
          <w:rFonts w:ascii="Arial" w:cs="Arial" w:eastAsia="Arial" w:hAnsi="Arial"/>
          <w:sz w:val="18"/>
          <w:szCs w:val="18"/>
          <w:color w:val="auto"/>
        </w:rPr>
      </w:pPr>
    </w:p>
    <w:p>
      <w:pPr>
        <w:ind w:left="3680" w:hanging="431"/>
        <w:spacing w:after="0"/>
        <w:tabs>
          <w:tab w:leader="none" w:pos="36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 respect to the 2008 RSUs, June 30, 2008</w:t>
      </w:r>
    </w:p>
    <w:p>
      <w:pPr>
        <w:spacing w:after="0" w:line="333" w:lineRule="exact"/>
        <w:rPr>
          <w:rFonts w:ascii="Arial" w:cs="Arial" w:eastAsia="Arial" w:hAnsi="Arial"/>
          <w:sz w:val="18"/>
          <w:szCs w:val="18"/>
          <w:color w:val="auto"/>
        </w:rPr>
      </w:pPr>
    </w:p>
    <w:p>
      <w:pPr>
        <w:ind w:right="180" w:firstLine="2601"/>
        <w:spacing w:after="0" w:line="264" w:lineRule="auto"/>
        <w:tabs>
          <w:tab w:leader="none" w:pos="32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beginning after the Vesting Date, nor later than January 2 of the eleventh calendar year beginning after the Vesting Date.</w:t>
      </w:r>
    </w:p>
    <w:p>
      <w:pPr>
        <w:spacing w:after="0" w:line="320" w:lineRule="exact"/>
        <w:rPr>
          <w:sz w:val="20"/>
          <w:szCs w:val="20"/>
          <w:color w:val="auto"/>
        </w:rPr>
      </w:pPr>
    </w:p>
    <w:p>
      <w:pPr>
        <w:ind w:right="180" w:firstLine="2601"/>
        <w:spacing w:after="0" w:line="293" w:lineRule="auto"/>
        <w:tabs>
          <w:tab w:leader="none" w:pos="328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250" w:lineRule="exact"/>
        <w:rPr>
          <w:rFonts w:ascii="Arial" w:cs="Arial" w:eastAsia="Arial" w:hAnsi="Arial"/>
          <w:sz w:val="18"/>
          <w:szCs w:val="18"/>
          <w:color w:val="auto"/>
        </w:rPr>
      </w:pPr>
    </w:p>
    <w:p>
      <w:pPr>
        <w:ind w:right="140" w:firstLine="1953"/>
        <w:spacing w:after="0" w:line="293" w:lineRule="auto"/>
        <w:tabs>
          <w:tab w:leader="none" w:pos="255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250" w:lineRule="exact"/>
        <w:rPr>
          <w:rFonts w:ascii="Arial" w:cs="Arial" w:eastAsia="Arial" w:hAnsi="Arial"/>
          <w:sz w:val="18"/>
          <w:szCs w:val="18"/>
          <w:color w:val="auto"/>
        </w:rPr>
      </w:pPr>
    </w:p>
    <w:p>
      <w:pPr>
        <w:ind w:firstLine="2601"/>
        <w:spacing w:after="0" w:line="285" w:lineRule="auto"/>
        <w:tabs>
          <w:tab w:leader="none" w:pos="3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259" w:lineRule="exact"/>
        <w:rPr>
          <w:rFonts w:ascii="Arial" w:cs="Arial" w:eastAsia="Arial" w:hAnsi="Arial"/>
          <w:sz w:val="17"/>
          <w:szCs w:val="17"/>
          <w:color w:val="auto"/>
        </w:rPr>
      </w:pPr>
    </w:p>
    <w:p>
      <w:pPr>
        <w:ind w:right="140" w:firstLine="2601"/>
        <w:spacing w:after="0" w:line="307" w:lineRule="auto"/>
        <w:tabs>
          <w:tab w:leader="none" w:pos="32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by made, provided that such Subsequent Election must be filed with the Committee at least one year before the date on which the distribution would otherwise be made, as reflected on Grantee’s last Election.</w:t>
      </w:r>
    </w:p>
    <w:p>
      <w:pPr>
        <w:spacing w:after="0" w:line="247" w:lineRule="exact"/>
        <w:rPr>
          <w:rFonts w:ascii="Arial" w:cs="Arial" w:eastAsia="Arial" w:hAnsi="Arial"/>
          <w:sz w:val="16"/>
          <w:szCs w:val="16"/>
          <w:color w:val="auto"/>
        </w:rPr>
      </w:pPr>
    </w:p>
    <w:p>
      <w:pPr>
        <w:ind w:right="140" w:firstLine="2601"/>
        <w:spacing w:after="0" w:line="320" w:lineRule="auto"/>
        <w:tabs>
          <w:tab w:leader="none" w:pos="32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236" w:lineRule="exact"/>
        <w:rPr>
          <w:rFonts w:ascii="Arial" w:cs="Arial" w:eastAsia="Arial" w:hAnsi="Arial"/>
          <w:sz w:val="16"/>
          <w:szCs w:val="16"/>
          <w:color w:val="auto"/>
        </w:rPr>
      </w:pPr>
    </w:p>
    <w:p>
      <w:pPr>
        <w:ind w:right="40" w:firstLine="2601"/>
        <w:spacing w:after="0" w:line="264" w:lineRule="auto"/>
        <w:tabs>
          <w:tab w:leader="none" w:pos="3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Grantee becomes a Disabled Grantee before the Shares subject to an Initial Election under Paragraph 5.a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277" w:lineRule="exact"/>
        <w:rPr>
          <w:rFonts w:ascii="Arial" w:cs="Arial" w:eastAsia="Arial" w:hAnsi="Arial"/>
          <w:sz w:val="18"/>
          <w:szCs w:val="18"/>
          <w:color w:val="auto"/>
        </w:rPr>
      </w:pPr>
    </w:p>
    <w:p>
      <w:pPr>
        <w:ind w:right="40" w:firstLine="2601"/>
        <w:spacing w:after="0" w:line="264" w:lineRule="auto"/>
        <w:tabs>
          <w:tab w:leader="none" w:pos="3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ind w:left="-40" w:right="560" w:firstLine="1953"/>
        <w:spacing w:after="0" w:line="324" w:lineRule="auto"/>
        <w:tabs>
          <w:tab w:leader="none" w:pos="2507"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Diversification Election</w:t>
      </w:r>
      <w:r>
        <w:rPr>
          <w:rFonts w:ascii="Arial" w:cs="Arial" w:eastAsia="Arial" w:hAnsi="Arial"/>
          <w:sz w:val="17"/>
          <w:szCs w:val="17"/>
          <w:color w:val="auto"/>
        </w:rPr>
        <w:t>. As provided in the Plan and as described in the prospectus for the Plan, a Grantee with an Account may be eligible to make a Diversification Election on an election form supplied by the Committee for this purpose.</w:t>
      </w:r>
    </w:p>
    <w:p>
      <w:pPr>
        <w:spacing w:after="0" w:line="228" w:lineRule="exact"/>
        <w:rPr>
          <w:rFonts w:ascii="Arial" w:cs="Arial" w:eastAsia="Arial" w:hAnsi="Arial"/>
          <w:sz w:val="17"/>
          <w:szCs w:val="17"/>
          <w:color w:val="auto"/>
        </w:rPr>
      </w:pPr>
    </w:p>
    <w:p>
      <w:pPr>
        <w:ind w:left="-40" w:firstLine="1953"/>
        <w:spacing w:after="0" w:line="261" w:lineRule="auto"/>
        <w:tabs>
          <w:tab w:leader="none" w:pos="251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279" w:lineRule="exact"/>
        <w:rPr>
          <w:rFonts w:ascii="Arial" w:cs="Arial" w:eastAsia="Arial" w:hAnsi="Arial"/>
          <w:sz w:val="18"/>
          <w:szCs w:val="18"/>
          <w:color w:val="auto"/>
        </w:rPr>
      </w:pPr>
    </w:p>
    <w:p>
      <w:pPr>
        <w:ind w:left="-40" w:right="100" w:firstLine="1953"/>
        <w:spacing w:after="0" w:line="259" w:lineRule="auto"/>
        <w:tabs>
          <w:tab w:leader="none" w:pos="250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280" w:lineRule="exact"/>
        <w:rPr>
          <w:rFonts w:ascii="Arial" w:cs="Arial" w:eastAsia="Arial" w:hAnsi="Arial"/>
          <w:sz w:val="18"/>
          <w:szCs w:val="18"/>
          <w:color w:val="auto"/>
        </w:rPr>
      </w:pPr>
    </w:p>
    <w:p>
      <w:pPr>
        <w:ind w:left="-40" w:firstLine="1953"/>
        <w:spacing w:after="0" w:line="320" w:lineRule="auto"/>
        <w:tabs>
          <w:tab w:leader="none" w:pos="2487"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xml:space="preserve">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236" w:lineRule="exact"/>
        <w:rPr>
          <w:rFonts w:ascii="Arial" w:cs="Arial" w:eastAsia="Arial" w:hAnsi="Arial"/>
          <w:sz w:val="16"/>
          <w:szCs w:val="16"/>
          <w:color w:val="auto"/>
        </w:rPr>
      </w:pPr>
    </w:p>
    <w:p>
      <w:pPr>
        <w:ind w:left="-40" w:right="120" w:firstLine="1305"/>
        <w:spacing w:after="0" w:line="271" w:lineRule="auto"/>
        <w:tabs>
          <w:tab w:leader="none" w:pos="19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271" w:lineRule="exact"/>
        <w:rPr>
          <w:rFonts w:ascii="Arial" w:cs="Arial" w:eastAsia="Arial" w:hAnsi="Arial"/>
          <w:sz w:val="18"/>
          <w:szCs w:val="18"/>
          <w:color w:val="auto"/>
        </w:rPr>
      </w:pPr>
    </w:p>
    <w:p>
      <w:pPr>
        <w:ind w:left="-40" w:right="200" w:firstLine="1305"/>
        <w:spacing w:after="0" w:line="271" w:lineRule="auto"/>
        <w:tabs>
          <w:tab w:leader="none" w:pos="19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271" w:lineRule="exact"/>
        <w:rPr>
          <w:rFonts w:ascii="Arial" w:cs="Arial" w:eastAsia="Arial" w:hAnsi="Arial"/>
          <w:sz w:val="18"/>
          <w:szCs w:val="18"/>
          <w:color w:val="auto"/>
        </w:rPr>
      </w:pPr>
    </w:p>
    <w:p>
      <w:pPr>
        <w:ind w:left="-40" w:right="20" w:firstLine="1305"/>
        <w:spacing w:after="0" w:line="280" w:lineRule="auto"/>
        <w:tabs>
          <w:tab w:leader="none" w:pos="193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Except as otherwise provided in Paragraph 5, the Company shall notify Grantee that a Vesting Date with respect to Restricted Stock Units has occurred. Within ten (10) business days of a Vesting Date, the Company shall, without payment from Grantee, deliver to Grantee a certificate for the Shares without any legend or restrictions, except for such restrictions as may be imposed by the Committee, in its sole judgment, under Paragraph 7, provided that no certificates for Shares will be delivered to Grantee until appropriate arrangements have been made with the Employer for the withholding of any taxes which may be due with respect to such Shares. The Company may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84455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706" w:right="279" w:bottom="1440" w:gutter="0" w:footer="0" w:header="0"/>
        </w:sectPr>
      </w:pPr>
    </w:p>
    <w:bookmarkStart w:id="25" w:name="page26"/>
    <w:bookmarkEnd w:id="25"/>
    <w:p>
      <w:pPr>
        <w:ind w:right="60"/>
        <w:spacing w:after="0" w:line="312" w:lineRule="auto"/>
        <w:rPr>
          <w:sz w:val="20"/>
          <w:szCs w:val="20"/>
          <w:color w:val="auto"/>
        </w:rPr>
      </w:pPr>
      <w:r>
        <w:rPr>
          <w:rFonts w:ascii="Arial" w:cs="Arial" w:eastAsia="Arial" w:hAnsi="Arial"/>
          <w:sz w:val="16"/>
          <w:szCs w:val="16"/>
          <w:color w:val="auto"/>
        </w:rPr>
        <w:t>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241" w:lineRule="exact"/>
        <w:rPr>
          <w:sz w:val="20"/>
          <w:szCs w:val="20"/>
          <w:color w:val="auto"/>
        </w:rPr>
      </w:pPr>
    </w:p>
    <w:p>
      <w:pPr>
        <w:ind w:right="360" w:firstLine="1305"/>
        <w:spacing w:after="0" w:line="293" w:lineRule="auto"/>
        <w:tabs>
          <w:tab w:leader="none" w:pos="19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250" w:lineRule="exact"/>
        <w:rPr>
          <w:rFonts w:ascii="Arial" w:cs="Arial" w:eastAsia="Arial" w:hAnsi="Arial"/>
          <w:sz w:val="18"/>
          <w:szCs w:val="18"/>
          <w:color w:val="auto"/>
        </w:rPr>
      </w:pPr>
    </w:p>
    <w:p>
      <w:pPr>
        <w:ind w:left="2060" w:hanging="755"/>
        <w:spacing w:after="0"/>
        <w:tabs>
          <w:tab w:leader="none" w:pos="20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60" w:firstLine="2475"/>
        <w:spacing w:after="0" w:line="320" w:lineRule="auto"/>
        <w:tabs>
          <w:tab w:leader="none" w:pos="3207"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236" w:lineRule="exact"/>
        <w:rPr>
          <w:rFonts w:ascii="Arial" w:cs="Arial" w:eastAsia="Arial" w:hAnsi="Arial"/>
          <w:sz w:val="16"/>
          <w:szCs w:val="16"/>
          <w:color w:val="auto"/>
        </w:rPr>
      </w:pPr>
    </w:p>
    <w:p>
      <w:pPr>
        <w:ind w:firstLine="2475"/>
        <w:spacing w:after="0" w:line="293" w:lineRule="auto"/>
        <w:tabs>
          <w:tab w:leader="none" w:pos="3217"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250" w:lineRule="exact"/>
        <w:rPr>
          <w:rFonts w:ascii="Arial" w:cs="Arial" w:eastAsia="Arial" w:hAnsi="Arial"/>
          <w:sz w:val="18"/>
          <w:szCs w:val="18"/>
          <w:color w:val="auto"/>
        </w:rPr>
      </w:pPr>
    </w:p>
    <w:p>
      <w:pPr>
        <w:ind w:right="300" w:firstLine="1512"/>
        <w:spacing w:after="0" w:line="293" w:lineRule="auto"/>
        <w:tabs>
          <w:tab w:leader="none" w:pos="224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200" w:lineRule="exact"/>
        <w:rPr>
          <w:sz w:val="20"/>
          <w:szCs w:val="20"/>
          <w:color w:val="auto"/>
        </w:rPr>
      </w:pPr>
    </w:p>
    <w:p>
      <w:pPr>
        <w:spacing w:after="0" w:line="273"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COMCAST CORPORATION</w:t>
      </w:r>
    </w:p>
    <w:p>
      <w:pPr>
        <w:spacing w:after="0" w:line="28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-130175</wp:posOffset>
            </wp:positionV>
            <wp:extent cx="13893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ATTEST:</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-130175</wp:posOffset>
            </wp:positionV>
            <wp:extent cx="13893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00"/>
      </w:cols>
      <w:pgMar w:left="240" w:top="6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lvl w:ilvl="1">
      <w:lvlJc w:val="left"/>
      <w:lvlText w:val="(%2)"/>
      <w:numFmt w:val="lowerLetter"/>
      <w:start w:val="1"/>
    </w:lvl>
  </w:abstractNum>
  <w:abstractNum w:abstractNumId="1">
    <w:nsid w:val="333AB105"/>
    <w:multiLevelType w:val="hybridMultilevel"/>
    <w:lvl w:ilvl="0">
      <w:lvlJc w:val="left"/>
      <w:lvlText w:val="(%1)"/>
      <w:numFmt w:val="lowerLetter"/>
      <w:start w:val="8"/>
    </w:lvl>
    <w:lvl w:ilvl="1">
      <w:lvlJc w:val="left"/>
      <w:lvlText w:val="(%2)"/>
      <w:numFmt w:val="decimal"/>
      <w:start w:val="1"/>
    </w:lvl>
  </w:abstractNum>
  <w:abstractNum w:abstractNumId="2">
    <w:nsid w:val="721DA317"/>
    <w:multiLevelType w:val="hybridMultilevel"/>
    <w:lvl w:ilvl="0">
      <w:lvlJc w:val="left"/>
      <w:lvlText w:val="(%1)"/>
      <w:numFmt w:val="lowerLetter"/>
      <w:start w:val="18"/>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
    <w:nsid w:val="2443A858"/>
    <w:multiLevelType w:val="hybridMultilevel"/>
    <w:lvl w:ilvl="0">
      <w:lvlJc w:val="left"/>
      <w:lvlText w:val="(%1)"/>
      <w:numFmt w:val="lowerLetter"/>
      <w:start w:val="21"/>
    </w:lvl>
  </w:abstractNum>
  <w:abstractNum w:abstractNumId="4">
    <w:nsid w:val="2D1D5AE9"/>
    <w:multiLevelType w:val="hybridMultilevel"/>
    <w:lvl w:ilvl="0">
      <w:lvlJc w:val="left"/>
      <w:lvlText w:val="(%1)"/>
      <w:numFmt w:val="lowerLetter"/>
      <w:start w:val="22"/>
    </w:lvl>
  </w:abstractNum>
  <w:abstractNum w:abstractNumId="5">
    <w:nsid w:val="6763845E"/>
    <w:multiLevelType w:val="hybridMultilevel"/>
    <w:lvl w:ilvl="0">
      <w:lvlJc w:val="left"/>
      <w:lvlText w:val="(%1)"/>
      <w:numFmt w:val="lowerLetter"/>
      <w:start w:val="24"/>
    </w:lvl>
  </w:abstractNum>
  <w:abstractNum w:abstractNumId="6">
    <w:nsid w:val="75A2A8D4"/>
    <w:multiLevelType w:val="hybridMultilevel"/>
    <w:lvl w:ilvl="0">
      <w:lvlJc w:val="left"/>
      <w:lvlText w:val="(%1)"/>
      <w:numFmt w:val="lowerLetter"/>
      <w:start w:val="27"/>
    </w:lvl>
    <w:lvl w:ilvl="1">
      <w:lvlJc w:val="left"/>
      <w:lvlText w:val="(%2)"/>
      <w:numFmt w:val="decimal"/>
      <w:start w:val="1"/>
    </w:lvl>
  </w:abstractNum>
  <w:abstractNum w:abstractNumId="7">
    <w:nsid w:val="8EDBDAB"/>
    <w:multiLevelType w:val="hybridMultilevel"/>
    <w:lvl w:ilvl="0">
      <w:lvlJc w:val="left"/>
      <w:lvlText w:val="%1"/>
      <w:numFmt w:val="decimal"/>
      <w:start w:val="1"/>
    </w:lvl>
    <w:lvl w:ilvl="1">
      <w:lvlJc w:val="left"/>
      <w:lvlText w:val="(%2)"/>
      <w:numFmt w:val="lowerLetter"/>
      <w:start w:val="32"/>
    </w:lvl>
  </w:abstractNum>
  <w:abstractNum w:abstractNumId="8">
    <w:nsid w:val="79838CB2"/>
    <w:multiLevelType w:val="hybridMultilevel"/>
    <w:lvl w:ilvl="0">
      <w:lvlJc w:val="left"/>
      <w:lvlText w:val="%1."/>
      <w:numFmt w:val="decimal"/>
      <w:start w:val="2"/>
    </w:lvl>
    <w:lvl w:ilvl="1">
      <w:lvlJc w:val="left"/>
      <w:lvlText w:val="(%2)"/>
      <w:numFmt w:val="lowerLetter"/>
      <w:start w:val="1"/>
    </w:lvl>
  </w:abstractNum>
  <w:abstractNum w:abstractNumId="9">
    <w:nsid w:val="4353D0CD"/>
    <w:multiLevelType w:val="hybridMultilevel"/>
    <w:lvl w:ilvl="0">
      <w:lvlJc w:val="left"/>
      <w:lvlText w:val="(%1)"/>
      <w:numFmt w:val="lowerLetter"/>
      <w:start w:val="2"/>
    </w:lvl>
    <w:lvl w:ilvl="1">
      <w:lvlJc w:val="left"/>
      <w:lvlText w:val="(%2)"/>
      <w:numFmt w:val="decimal"/>
      <w:start w:val="1"/>
    </w:lvl>
  </w:abstractNum>
  <w:abstractNum w:abstractNumId="10">
    <w:nsid w:val="B03E0C6"/>
    <w:multiLevelType w:val="hybridMultilevel"/>
    <w:lvl w:ilvl="0">
      <w:lvlJc w:val="left"/>
      <w:lvlText w:val="%1."/>
      <w:numFmt w:val="decimal"/>
      <w:start w:val="4"/>
    </w:lvl>
    <w:lvl w:ilvl="1">
      <w:lvlJc w:val="left"/>
      <w:lvlText w:val="(%2)"/>
      <w:numFmt w:val="lowerLetter"/>
      <w:start w:val="1"/>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decimal"/>
      <w:start w:val="12"/>
    </w:lvl>
    <w:lvl w:ilvl="1">
      <w:lvlJc w:val="left"/>
      <w:lvlText w:val="(%2)"/>
      <w:numFmt w:val="lowerLetter"/>
      <w:start w:val="1"/>
    </w:lvl>
  </w:abstractNum>
  <w:abstractNum w:abstractNumId="13">
    <w:nsid w:val="71F32454"/>
    <w:multiLevelType w:val="hybridMultilevel"/>
    <w:lvl w:ilvl="0">
      <w:lvlJc w:val="left"/>
      <w:lvlText w:val="%1."/>
      <w:numFmt w:val="decimal"/>
      <w:start w:val="1"/>
    </w:lvl>
    <w:lvl w:ilvl="1">
      <w:lvlJc w:val="left"/>
      <w:lvlText w:val="(%2)"/>
      <w:numFmt w:val="lowerLetter"/>
      <w:start w:val="1"/>
    </w:lvl>
  </w:abstractNum>
  <w:abstractNum w:abstractNumId="14">
    <w:nsid w:val="2CA88611"/>
    <w:multiLevelType w:val="hybridMultilevel"/>
    <w:lvl w:ilvl="0">
      <w:lvlJc w:val="left"/>
      <w:lvlText w:val="(%1)"/>
      <w:numFmt w:val="lowerLetter"/>
      <w:start w:val="8"/>
    </w:lvl>
    <w:lvl w:ilvl="1">
      <w:lvlJc w:val="left"/>
      <w:lvlText w:val="(%2)"/>
      <w:numFmt w:val="decimal"/>
      <w:start w:val="1"/>
    </w:lvl>
  </w:abstractNum>
  <w:abstractNum w:abstractNumId="15">
    <w:nsid w:val="836C40E"/>
    <w:multiLevelType w:val="hybridMultilevel"/>
    <w:lvl w:ilvl="0">
      <w:lvlJc w:val="left"/>
      <w:lvlText w:val="(%1)"/>
      <w:numFmt w:val="lowerLetter"/>
      <w:start w:val="1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
    <w:nsid w:val="2901D82"/>
    <w:multiLevelType w:val="hybridMultilevel"/>
    <w:lvl w:ilvl="0">
      <w:lvlJc w:val="left"/>
      <w:lvlText w:val="(%1)"/>
      <w:numFmt w:val="lowerLetter"/>
      <w:start w:val="21"/>
    </w:lvl>
  </w:abstractNum>
  <w:abstractNum w:abstractNumId="17">
    <w:nsid w:val="3A95F874"/>
    <w:multiLevelType w:val="hybridMultilevel"/>
    <w:lvl w:ilvl="0">
      <w:lvlJc w:val="left"/>
      <w:lvlText w:val="(%1)"/>
      <w:numFmt w:val="lowerLetter"/>
      <w:start w:val="22"/>
    </w:lvl>
  </w:abstractNum>
  <w:abstractNum w:abstractNumId="18">
    <w:nsid w:val="8138641"/>
    <w:multiLevelType w:val="hybridMultilevel"/>
    <w:lvl w:ilvl="0">
      <w:lvlJc w:val="left"/>
      <w:lvlText w:val="(%1)"/>
      <w:numFmt w:val="lowerLetter"/>
      <w:start w:val="24"/>
    </w:lvl>
  </w:abstractNum>
  <w:abstractNum w:abstractNumId="19">
    <w:nsid w:val="1E7FF521"/>
    <w:multiLevelType w:val="hybridMultilevel"/>
    <w:lvl w:ilvl="0">
      <w:lvlJc w:val="left"/>
      <w:lvlText w:val="(%1)"/>
      <w:numFmt w:val="lowerLetter"/>
      <w:start w:val="27"/>
    </w:lvl>
    <w:lvl w:ilvl="1">
      <w:lvlJc w:val="left"/>
      <w:lvlText w:val="(%2)"/>
      <w:numFmt w:val="decimal"/>
      <w:start w:val="1"/>
    </w:lvl>
  </w:abstractNum>
  <w:abstractNum w:abstractNumId="20">
    <w:nsid w:val="7C3DBD3D"/>
    <w:multiLevelType w:val="hybridMultilevel"/>
    <w:lvl w:ilvl="0">
      <w:lvlJc w:val="left"/>
      <w:lvlText w:val="%1"/>
      <w:numFmt w:val="decimal"/>
      <w:start w:val="1"/>
    </w:lvl>
    <w:lvl w:ilvl="1">
      <w:lvlJc w:val="left"/>
      <w:lvlText w:val="(%2)"/>
      <w:numFmt w:val="lowerLetter"/>
      <w:start w:val="32"/>
    </w:lvl>
  </w:abstractNum>
  <w:abstractNum w:abstractNumId="21">
    <w:nsid w:val="737B8DDC"/>
    <w:multiLevelType w:val="hybridMultilevel"/>
    <w:lvl w:ilvl="0">
      <w:lvlJc w:val="left"/>
      <w:lvlText w:val="%1."/>
      <w:numFmt w:val="decimal"/>
      <w:start w:val="2"/>
    </w:lvl>
    <w:lvl w:ilvl="1">
      <w:lvlJc w:val="left"/>
      <w:lvlText w:val="(%2)"/>
      <w:numFmt w:val="lowerLetter"/>
      <w:start w:val="1"/>
    </w:lvl>
  </w:abstractNum>
  <w:abstractNum w:abstractNumId="22">
    <w:nsid w:val="6CEAF087"/>
    <w:multiLevelType w:val="hybridMultilevel"/>
    <w:lvl w:ilvl="0">
      <w:lvlJc w:val="left"/>
      <w:lvlText w:val="(%1)"/>
      <w:numFmt w:val="lowerLetter"/>
      <w:start w:val="2"/>
    </w:lvl>
    <w:lvl w:ilvl="1">
      <w:lvlJc w:val="left"/>
      <w:lvlText w:val="(%2)"/>
      <w:numFmt w:val="decimal"/>
      <w:start w:val="1"/>
    </w:lvl>
  </w:abstractNum>
  <w:abstractNum w:abstractNumId="23">
    <w:nsid w:val="22221A70"/>
    <w:multiLevelType w:val="hybridMultilevel"/>
    <w:lvl w:ilvl="0">
      <w:lvlJc w:val="left"/>
      <w:lvlText w:val="%1."/>
      <w:numFmt w:val="decimal"/>
      <w:start w:val="4"/>
    </w:lvl>
    <w:lvl w:ilvl="1">
      <w:lvlJc w:val="left"/>
      <w:lvlText w:val="(%2)"/>
      <w:numFmt w:val="lowerLetter"/>
      <w:start w:val="1"/>
    </w:lvl>
  </w:abstractNum>
  <w:abstractNum w:abstractNumId="24">
    <w:nsid w:val="4516DDE9"/>
    <w:multiLevelType w:val="hybridMultilevel"/>
    <w:lvl w:ilvl="0">
      <w:lvlJc w:val="left"/>
      <w:lvlText w:val="%1."/>
      <w:numFmt w:val="decimal"/>
      <w:start w:val="7"/>
    </w:lvl>
  </w:abstractNum>
  <w:abstractNum w:abstractNumId="25">
    <w:nsid w:val="3006C83E"/>
    <w:multiLevelType w:val="hybridMultilevel"/>
    <w:lvl w:ilvl="0">
      <w:lvlJc w:val="left"/>
      <w:lvlText w:val="%1."/>
      <w:numFmt w:val="decimal"/>
      <w:start w:val="12"/>
    </w:lvl>
    <w:lvl w:ilvl="1">
      <w:lvlJc w:val="left"/>
      <w:lvlText w:val="(%2)"/>
      <w:numFmt w:val="lowerLetter"/>
      <w:start w:val="1"/>
    </w:lvl>
  </w:abstractNum>
  <w:abstractNum w:abstractNumId="26">
    <w:nsid w:val="614FD4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lowerLetter"/>
      <w:start w:val="10"/>
    </w:lvl>
  </w:abstractNum>
  <w:abstractNum w:abstractNumId="29">
    <w:nsid w:val="440BADFC"/>
    <w:multiLevelType w:val="hybridMultilevel"/>
    <w:lvl w:ilvl="0">
      <w:lvlJc w:val="left"/>
      <w:lvlText w:val="%1."/>
      <w:numFmt w:val="lowerLetter"/>
      <w:start w:val="11"/>
    </w:lvl>
  </w:abstractNum>
  <w:abstractNum w:abstractNumId="30">
    <w:nsid w:val="5072367"/>
    <w:multiLevelType w:val="hybridMultilevel"/>
    <w:lvl w:ilvl="0">
      <w:lvlJc w:val="left"/>
      <w:lvlText w:val="%1"/>
      <w:numFmt w:val="decimal"/>
      <w:start w:val="1"/>
    </w:lvl>
    <w:lvl w:ilvl="1">
      <w:lvlJc w:val="left"/>
      <w:lvlText w:val="%2."/>
      <w:numFmt w:val="lowerLetter"/>
      <w:start w:val="24"/>
    </w:lvl>
    <w:lvl w:ilvl="2">
      <w:lvlJc w:val="left"/>
      <w:lvlText w:val="%3"/>
      <w:numFmt w:val="decimal"/>
      <w:start w:val="1"/>
    </w:lvl>
    <w:lvl w:ilvl="3">
      <w:lvlJc w:val="left"/>
      <w:lvlText w:val="%4"/>
      <w:numFmt w:val="lowerLetter"/>
      <w:start w:val="1"/>
    </w:lvl>
  </w:abstractNum>
  <w:abstractNum w:abstractNumId="31">
    <w:nsid w:val="3804823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2">
    <w:nsid w:val="77465F01"/>
    <w:multiLevelType w:val="hybridMultilevel"/>
    <w:lvl w:ilvl="0">
      <w:lvlJc w:val="left"/>
      <w:lvlText w:val="(%1)"/>
      <w:numFmt w:val="decimal"/>
      <w:start w:val="4"/>
    </w:lvl>
    <w:lvl w:ilvl="1">
      <w:lvlJc w:val="left"/>
      <w:lvlText w:val="(%2)"/>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decimal"/>
      <w:start w:val="4"/>
    </w:lvl>
    <w:lvl w:ilvl="1">
      <w:lvlJc w:val="left"/>
      <w:lvlText w:val="%2."/>
      <w:numFmt w:val="lowerLetter"/>
      <w:start w:val="1"/>
    </w:lvl>
  </w:abstractNum>
  <w:abstractNum w:abstractNumId="35">
    <w:nsid w:val="2463B9E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6">
    <w:nsid w:val="5E884ADC"/>
    <w:multiLevelType w:val="hybridMultilevel"/>
    <w:lvl w:ilvl="0">
      <w:lvlJc w:val="left"/>
      <w:lvlText w:val="%1"/>
      <w:numFmt w:val="lowerLetter"/>
      <w:start w:val="1"/>
    </w:lvl>
    <w:lvl w:ilvl="1">
      <w:lvlJc w:val="left"/>
      <w:lvlText w:val="(%2)"/>
      <w:numFmt w:val="decimal"/>
      <w:start w:val="4"/>
    </w:lvl>
  </w:abstractNum>
  <w:abstractNum w:abstractNumId="37">
    <w:nsid w:val="51EAD36B"/>
    <w:multiLevelType w:val="hybridMultilevel"/>
    <w:lvl w:ilvl="0">
      <w:lvlJc w:val="left"/>
      <w:lvlText w:val="%1."/>
      <w:numFmt w:val="lowerLetter"/>
      <w:start w:val="2"/>
    </w:lvl>
    <w:lvl w:ilvl="1">
      <w:lvlJc w:val="left"/>
      <w:lvlText w:val="(%2)"/>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3"/>
    </w:lvl>
  </w:abstractNum>
  <w:abstractNum w:abstractNumId="39">
    <w:nsid w:val="580BD78F"/>
    <w:multiLevelType w:val="hybridMultilevel"/>
    <w:lvl w:ilvl="0">
      <w:lvlJc w:val="left"/>
      <w:lvlText w:val="%1."/>
      <w:numFmt w:val="decimal"/>
      <w:start w:val="6"/>
    </w:lvl>
    <w:lvl w:ilvl="1">
      <w:lvlJc w:val="left"/>
      <w:lvlText w:val="%2"/>
      <w:numFmt w:val="lowerLetter"/>
      <w:start w:val="1"/>
    </w:lvl>
  </w:abstractNum>
  <w:abstractNum w:abstractNumId="40">
    <w:nsid w:val="153EA438"/>
    <w:multiLevelType w:val="hybridMultilevel"/>
    <w:lvl w:ilvl="0">
      <w:lvlJc w:val="left"/>
      <w:lvlText w:val="%1."/>
      <w:numFmt w:val="decimal"/>
      <w:start w:val="9"/>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2019-12-15T06:43:59Z</dcterms:created>
  <dcterms:modified xsi:type="dcterms:W3CDTF">2019-12-15T06:43:59Z</dcterms:modified>
</cp:coreProperties>
</file>