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26, 2017</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244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001-32871</w:t>
            </w:r>
          </w:p>
        </w:tc>
        <w:tc>
          <w:tcPr>
            <w:tcW w:w="6580" w:type="dxa"/>
            <w:vAlign w:val="bottom"/>
          </w:tcPr>
          <w:p>
            <w:pPr>
              <w:jc w:val="center"/>
              <w:ind w:left="4502"/>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6"/>
              </w:rPr>
              <w:t>(Commission File Number)</w:t>
            </w:r>
          </w:p>
        </w:tc>
        <w:tc>
          <w:tcPr>
            <w:tcW w:w="6580" w:type="dxa"/>
            <w:vAlign w:val="bottom"/>
          </w:tcPr>
          <w:p>
            <w:pPr>
              <w:jc w:val="center"/>
              <w:ind w:left="4522"/>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6580" w:type="dxa"/>
            <w:vAlign w:val="bottom"/>
          </w:tcPr>
          <w:p>
            <w:pPr>
              <w:spacing w:after="0"/>
              <w:rPr>
                <w:sz w:val="24"/>
                <w:szCs w:val="24"/>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6580" w:type="dxa"/>
            <w:vAlign w:val="bottom"/>
          </w:tcPr>
          <w:p>
            <w:pPr>
              <w:jc w:val="center"/>
              <w:ind w:left="4502"/>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6580" w:type="dxa"/>
            <w:vAlign w:val="bottom"/>
          </w:tcPr>
          <w:p>
            <w:pPr>
              <w:jc w:val="center"/>
              <w:ind w:left="4502"/>
              <w:spacing w:after="0"/>
              <w:rPr>
                <w:sz w:val="20"/>
                <w:szCs w:val="20"/>
                <w:color w:val="auto"/>
              </w:rPr>
            </w:pPr>
            <w:r>
              <w:rPr>
                <w:rFonts w:ascii="Arial" w:cs="Arial" w:eastAsia="Arial" w:hAnsi="Arial"/>
                <w:sz w:val="14"/>
                <w:szCs w:val="14"/>
                <w:color w:val="auto"/>
                <w:w w:val="96"/>
              </w:rPr>
              <w:t>(Zip Code)</w:t>
            </w:r>
          </w:p>
        </w:tc>
      </w:tr>
      <w:tr>
        <w:trPr>
          <w:trHeight w:val="633"/>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596"/>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03"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October 26, 2017, Comcast Corporation (“Comcast”) issued a press release reporting the results of its operations for the three and nine months ended September 30, 2017.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ectPr>
          <w:pgSz w:w="11900" w:h="16838" w:orient="portrait"/>
          <w:cols w:equalWidth="0" w:num="1">
            <w:col w:w="11420"/>
          </w:cols>
          <w:pgMar w:left="240" w:top="553" w:right="239" w:bottom="336"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Exhibits</w:t>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ind w:left="380"/>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Comcast Corporation press release dated October 26, 2017.</w:t>
        </w:r>
      </w:hyperlink>
    </w:p>
    <w:p>
      <w:pPr>
        <w:spacing w:after="0" w:line="23" w:lineRule="exact"/>
        <w:rPr>
          <w:sz w:val="20"/>
          <w:szCs w:val="20"/>
          <w:color w:val="auto"/>
        </w:rPr>
      </w:pPr>
    </w:p>
    <w:p>
      <w:pPr>
        <w:ind w:left="38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0000EE"/>
          </w:rPr>
          <w:t>Explanation of Non-GAAP and Other Financial 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178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October 26, 2017</w:t>
            </w:r>
          </w:p>
        </w:tc>
        <w:tc>
          <w:tcPr>
            <w:tcW w:w="7860" w:type="dxa"/>
            <w:vAlign w:val="bottom"/>
            <w:gridSpan w:val="2"/>
          </w:tcPr>
          <w:p>
            <w:pPr>
              <w:ind w:left="178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56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36334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4800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500" w:firstLine="3492"/>
        <w:spacing w:after="0" w:line="474" w:lineRule="auto"/>
        <w:rPr>
          <w:sz w:val="20"/>
          <w:szCs w:val="20"/>
          <w:color w:val="auto"/>
        </w:rPr>
      </w:pPr>
      <w:r>
        <w:rPr>
          <w:rFonts w:ascii="Arial" w:cs="Arial" w:eastAsia="Arial" w:hAnsi="Arial"/>
          <w:sz w:val="18"/>
          <w:szCs w:val="18"/>
          <w:b w:val="1"/>
          <w:bCs w:val="1"/>
          <w:u w:val="single" w:color="auto"/>
          <w:color w:val="auto"/>
        </w:rPr>
        <w:t xml:space="preserve">COMCAST REPORTS 3rd QUARTER 2017 RESULTS </w:t>
      </w:r>
      <w:r>
        <w:rPr>
          <w:rFonts w:ascii="Arial" w:cs="Arial" w:eastAsia="Arial" w:hAnsi="Arial"/>
          <w:sz w:val="18"/>
          <w:szCs w:val="18"/>
          <w:b w:val="1"/>
          <w:bCs w:val="1"/>
          <w:color w:val="auto"/>
        </w:rPr>
        <w:t>Consolidated 3rd Quarter 2017 Highlights:</w:t>
      </w:r>
    </w:p>
    <w:p>
      <w:pPr>
        <w:spacing w:after="0" w:line="15" w:lineRule="exact"/>
        <w:rPr>
          <w:sz w:val="20"/>
          <w:szCs w:val="20"/>
          <w:color w:val="auto"/>
        </w:rPr>
      </w:pPr>
    </w:p>
    <w:p>
      <w:pPr>
        <w:ind w:left="660" w:right="620" w:hanging="328"/>
        <w:spacing w:after="0" w:line="262"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Decreased 1.6%; Excluding the 2016 Rio Olympics, Consolidated Revenue Increased 5.8%; Net Income Attributable to Comcast Increased 18.5%; Adjusted EBITDA Increased 5.0%</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$5.1 Billion; Free Cash Flow was $2.3 Billion</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19.6% to $0.55; On an Adjusted Basis, Earnings per Share Increased 13.0% to $0.52</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Dividends Paid Totaled $743 Million and Share Repurchases were $1.7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3rd Quarter 2017 Highlights:</w:t>
      </w:r>
    </w:p>
    <w:p>
      <w:pPr>
        <w:spacing w:after="0" w:line="22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5.1% and Adjusted EBITDA Increased 5.2%</w:t>
      </w:r>
    </w:p>
    <w:p>
      <w:pPr>
        <w:spacing w:after="0" w:line="171" w:lineRule="exact"/>
        <w:rPr>
          <w:rFonts w:ascii="Arial" w:cs="Arial" w:eastAsia="Arial" w:hAnsi="Arial"/>
          <w:sz w:val="18"/>
          <w:szCs w:val="18"/>
          <w:color w:val="auto"/>
        </w:rPr>
      </w:pPr>
    </w:p>
    <w:p>
      <w:pPr>
        <w:ind w:left="660" w:hanging="328"/>
        <w:spacing w:after="0" w:line="262"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Relationships Increased by 115,000, Including the Impact of Two Hurricanes That Affected Our Service Areas; Total Revenue per Customer Relationship Increased 2.1%</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Residential Revenue Increased 8.9%; Total Customers Increased by 214,000</w:t>
      </w:r>
    </w:p>
    <w:p>
      <w:pPr>
        <w:spacing w:after="0" w:line="171" w:lineRule="exact"/>
        <w:rPr>
          <w:rFonts w:ascii="Arial" w:cs="Arial" w:eastAsia="Arial" w:hAnsi="Arial"/>
          <w:sz w:val="18"/>
          <w:szCs w:val="18"/>
          <w:color w:val="auto"/>
        </w:rPr>
      </w:pPr>
    </w:p>
    <w:p>
      <w:pPr>
        <w:ind w:left="660" w:right="160" w:hanging="328"/>
        <w:spacing w:after="0" w:line="262"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Residential Revenue Increased 4.2% and 57% of Residential Video Customers Now Have X1; Total Customer Net Losses were 125,000</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Services Revenue Increased 12.6%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3rd Quarter 2017 Highlights:</w:t>
      </w:r>
    </w:p>
    <w:p>
      <w:pPr>
        <w:spacing w:after="0" w:line="220" w:lineRule="exact"/>
        <w:rPr>
          <w:sz w:val="20"/>
          <w:szCs w:val="20"/>
          <w:color w:val="auto"/>
        </w:rPr>
      </w:pPr>
    </w:p>
    <w:p>
      <w:pPr>
        <w:ind w:left="660" w:right="76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Decreased 12.7% and Adjusted EBITDA Increased 6.0%; Excluding the 2016 Rio Olympics, Revenue Increased 6.0% and Adjusted EBITDA Increased 19.9%</w:t>
      </w:r>
    </w:p>
    <w:p>
      <w:pPr>
        <w:spacing w:after="0" w:line="110" w:lineRule="exact"/>
        <w:rPr>
          <w:rFonts w:ascii="Arial" w:cs="Arial" w:eastAsia="Arial" w:hAnsi="Arial"/>
          <w:sz w:val="18"/>
          <w:szCs w:val="18"/>
          <w:color w:val="auto"/>
        </w:rPr>
      </w:pPr>
    </w:p>
    <w:p>
      <w:pPr>
        <w:ind w:left="660" w:right="440" w:hanging="328"/>
        <w:spacing w:after="0" w:line="28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Theme Parks Revenue Increased 7.7% and Adjusted EBITDA Increased 9.8%, Driven by the Recent Openings of </w:t>
      </w:r>
      <w:r>
        <w:rPr>
          <w:rFonts w:ascii="Arial" w:cs="Arial" w:eastAsia="Arial" w:hAnsi="Arial"/>
          <w:sz w:val="18"/>
          <w:szCs w:val="18"/>
          <w:i w:val="1"/>
          <w:iCs w:val="1"/>
          <w:color w:val="auto"/>
        </w:rPr>
        <w:t>Minion Park</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Japan and </w:t>
      </w:r>
      <w:r>
        <w:rPr>
          <w:rFonts w:ascii="Arial" w:cs="Arial" w:eastAsia="Arial" w:hAnsi="Arial"/>
          <w:sz w:val="18"/>
          <w:szCs w:val="18"/>
          <w:i w:val="1"/>
          <w:iCs w:val="1"/>
          <w:color w:val="auto"/>
        </w:rPr>
        <w:t>Volcano Bay</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Orlando</w:t>
      </w:r>
    </w:p>
    <w:p>
      <w:pPr>
        <w:spacing w:after="0" w:line="112"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Filmed Entertainment Revenue Decreased 0.5% and Adjusted EBITDA Increased 11.9%</w:t>
      </w:r>
    </w:p>
    <w:p>
      <w:pPr>
        <w:spacing w:after="0" w:line="171" w:lineRule="exact"/>
        <w:rPr>
          <w:rFonts w:ascii="Arial" w:cs="Arial" w:eastAsia="Arial" w:hAnsi="Arial"/>
          <w:sz w:val="18"/>
          <w:szCs w:val="18"/>
          <w:color w:val="auto"/>
        </w:rPr>
      </w:pPr>
    </w:p>
    <w:p>
      <w:pPr>
        <w:ind w:left="660" w:right="40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Networks and Broadcast Television Revenue Decreased 11.5% and 30.9%, Respectively; Excluding the 2016 Rio Olympics, Revenue Increased 3.7% and 12.3%, Respectively</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Ranked #1 in Primetime Among Adults 18-49 for the 2016-2017 Season for the Fourth Straight Year</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October 26, 2017... Comcast Corporation (NASDAQ: CMCSA) today reported results for the quarter ended September 30, 2017.</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“I’m very pleased with the Company’s operational and financial results during the quarter. Adjusted EBITDA increased 5% despite the impact of the severe storms that affected our operations this year and the uneven comparison due to the Rio Olympics last year. At NBCUniversal, our momentum continued throughout each business unit, including terrific results at Theme Parks and Film, and strength in affiliate fees, retransmission revenues, and content licensing at our TV businesses. At Cable Communications, we continued to drive growth in total customer relationships, deliver excellent high-speed Internet and business services results and make further progress in our efforts to transform the customer experience. Across Comcast NBCUniversal, we are uniquely positioned with a broad range of growth opportunities that set us up well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40" w:type="dxa"/>
            <w:vAlign w:val="bottom"/>
          </w:tcPr>
          <w:p>
            <w:pPr>
              <w:jc w:val="right"/>
              <w:ind w:right="469"/>
              <w:spacing w:after="0"/>
              <w:rPr>
                <w:sz w:val="20"/>
                <w:szCs w:val="20"/>
                <w:color w:val="auto"/>
              </w:rPr>
            </w:pPr>
            <w:r>
              <w:rPr>
                <w:rFonts w:ascii="Arial" w:cs="Arial" w:eastAsia="Arial" w:hAnsi="Arial"/>
                <w:sz w:val="14"/>
                <w:szCs w:val="14"/>
                <w:color w:val="auto"/>
              </w:rPr>
              <w:t>3rd Quarter</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right"/>
              <w:ind w:right="369"/>
              <w:spacing w:after="0"/>
              <w:rPr>
                <w:sz w:val="20"/>
                <w:szCs w:val="20"/>
                <w:color w:val="auto"/>
              </w:rPr>
            </w:pPr>
            <w:r>
              <w:rPr>
                <w:rFonts w:ascii="Arial" w:cs="Arial" w:eastAsia="Arial" w:hAnsi="Arial"/>
                <w:sz w:val="14"/>
                <w:szCs w:val="14"/>
                <w:color w:val="auto"/>
              </w:rPr>
              <w:t>Year to Date</w:t>
            </w:r>
          </w:p>
        </w:tc>
        <w:tc>
          <w:tcPr>
            <w:tcW w:w="820" w:type="dxa"/>
            <w:vAlign w:val="bottom"/>
          </w:tcPr>
          <w:p>
            <w:pPr>
              <w:spacing w:after="0"/>
              <w:rPr>
                <w:sz w:val="14"/>
                <w:szCs w:val="14"/>
                <w:color w:val="auto"/>
              </w:rPr>
            </w:pPr>
          </w:p>
        </w:tc>
      </w:tr>
      <w:tr>
        <w:trPr>
          <w:trHeight w:val="170"/>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2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w:t>
            </w:r>
          </w:p>
        </w:tc>
        <w:tc>
          <w:tcPr>
            <w:tcW w:w="13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2017</w:t>
            </w: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Growth</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77"/>
        </w:trPr>
        <w:tc>
          <w:tcPr>
            <w:tcW w:w="3860" w:type="dxa"/>
            <w:vAlign w:val="bottom"/>
          </w:tcPr>
          <w:p>
            <w:pPr>
              <w:ind w:left="60"/>
              <w:spacing w:after="0"/>
              <w:rPr>
                <w:sz w:val="20"/>
                <w:szCs w:val="20"/>
                <w:color w:val="auto"/>
              </w:rPr>
            </w:pPr>
            <w:r>
              <w:rPr>
                <w:rFonts w:ascii="Arial" w:cs="Arial" w:eastAsia="Arial" w:hAnsi="Arial"/>
                <w:sz w:val="14"/>
                <w:szCs w:val="14"/>
                <w:color w:val="auto"/>
              </w:rPr>
              <w:t>Revenue</w:t>
            </w:r>
          </w:p>
        </w:tc>
        <w:tc>
          <w:tcPr>
            <w:tcW w:w="2100" w:type="dxa"/>
            <w:vAlign w:val="bottom"/>
          </w:tcPr>
          <w:p>
            <w:pPr>
              <w:jc w:val="right"/>
              <w:ind w:right="48"/>
              <w:spacing w:after="0"/>
              <w:rPr>
                <w:sz w:val="20"/>
                <w:szCs w:val="20"/>
                <w:color w:val="auto"/>
              </w:rPr>
            </w:pPr>
            <w:r>
              <w:rPr>
                <w:rFonts w:ascii="Arial" w:cs="Arial" w:eastAsia="Arial" w:hAnsi="Arial"/>
                <w:sz w:val="14"/>
                <w:szCs w:val="14"/>
                <w:color w:val="auto"/>
              </w:rPr>
              <w:t>$21,319</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$20,983</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(1.6%)</w:t>
            </w:r>
          </w:p>
        </w:tc>
        <w:tc>
          <w:tcPr>
            <w:tcW w:w="900" w:type="dxa"/>
            <w:vAlign w:val="bottom"/>
          </w:tcPr>
          <w:p>
            <w:pPr>
              <w:jc w:val="right"/>
              <w:spacing w:after="0"/>
              <w:rPr>
                <w:sz w:val="20"/>
                <w:szCs w:val="20"/>
                <w:color w:val="auto"/>
              </w:rPr>
            </w:pPr>
            <w:r>
              <w:rPr>
                <w:rFonts w:ascii="Arial" w:cs="Arial" w:eastAsia="Arial" w:hAnsi="Arial"/>
                <w:sz w:val="14"/>
                <w:szCs w:val="14"/>
                <w:color w:val="auto"/>
              </w:rPr>
              <w:t>$59,378</w:t>
            </w:r>
          </w:p>
        </w:tc>
        <w:tc>
          <w:tcPr>
            <w:tcW w:w="1260" w:type="dxa"/>
            <w:vAlign w:val="bottom"/>
          </w:tcPr>
          <w:p>
            <w:pPr>
              <w:jc w:val="right"/>
              <w:ind w:right="249"/>
              <w:spacing w:after="0"/>
              <w:rPr>
                <w:sz w:val="20"/>
                <w:szCs w:val="20"/>
                <w:color w:val="auto"/>
              </w:rPr>
            </w:pPr>
            <w:r>
              <w:rPr>
                <w:rFonts w:ascii="Arial" w:cs="Arial" w:eastAsia="Arial" w:hAnsi="Arial"/>
                <w:sz w:val="14"/>
                <w:szCs w:val="14"/>
                <w:color w:val="auto"/>
              </w:rPr>
              <w:t>$62,611</w:t>
            </w: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8"/>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Excluding Olympics (see Table 6)</w:t>
            </w:r>
          </w:p>
        </w:tc>
        <w:tc>
          <w:tcPr>
            <w:tcW w:w="2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$19,834</w:t>
            </w:r>
          </w:p>
        </w:tc>
        <w:tc>
          <w:tcPr>
            <w:tcW w:w="13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i w:val="1"/>
                <w:iCs w:val="1"/>
                <w:color w:val="auto"/>
              </w:rPr>
              <w:t>$20,983</w:t>
            </w: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5.8%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$57,893</w:t>
            </w:r>
          </w:p>
        </w:tc>
        <w:tc>
          <w:tcPr>
            <w:tcW w:w="12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i w:val="1"/>
                <w:iCs w:val="1"/>
                <w:color w:val="auto"/>
              </w:rPr>
              <w:t>$62,611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8.2%</w:t>
            </w:r>
          </w:p>
        </w:tc>
      </w:tr>
      <w:tr>
        <w:trPr>
          <w:trHeight w:val="196"/>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Net Income Attributable to Comcast</w:t>
            </w:r>
          </w:p>
        </w:tc>
        <w:tc>
          <w:tcPr>
            <w:tcW w:w="2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$2,237</w:t>
            </w:r>
          </w:p>
        </w:tc>
        <w:tc>
          <w:tcPr>
            <w:tcW w:w="13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$2,650</w:t>
            </w: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18.5%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$6,399</w:t>
            </w:r>
          </w:p>
        </w:tc>
        <w:tc>
          <w:tcPr>
            <w:tcW w:w="12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$7,729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r>
      <w:tr>
        <w:trPr>
          <w:trHeight w:val="196"/>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14"/>
                <w:szCs w:val="14"/>
                <w:color w:val="auto"/>
                <w:vertAlign w:val="superscript"/>
              </w:rPr>
              <w:t>1</w:t>
            </w:r>
          </w:p>
        </w:tc>
        <w:tc>
          <w:tcPr>
            <w:tcW w:w="2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$6,835</w:t>
            </w:r>
          </w:p>
        </w:tc>
        <w:tc>
          <w:tcPr>
            <w:tcW w:w="13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$7,180</w:t>
            </w: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$19,657</w:t>
            </w:r>
          </w:p>
        </w:tc>
        <w:tc>
          <w:tcPr>
            <w:tcW w:w="12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$21,311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211"/>
        </w:trPr>
        <w:tc>
          <w:tcPr>
            <w:tcW w:w="3860" w:type="dxa"/>
            <w:vAlign w:val="bottom"/>
          </w:tcPr>
          <w:p>
            <w:pPr>
              <w:ind w:left="6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2100" w:type="dxa"/>
            <w:vAlign w:val="bottom"/>
          </w:tcPr>
          <w:p>
            <w:pPr>
              <w:jc w:val="right"/>
              <w:ind w:right="48"/>
              <w:spacing w:after="0"/>
              <w:rPr>
                <w:sz w:val="20"/>
                <w:szCs w:val="20"/>
                <w:color w:val="auto"/>
              </w:rPr>
            </w:pPr>
            <w:r>
              <w:rPr>
                <w:rFonts w:ascii="Arial" w:cs="Arial" w:eastAsia="Arial" w:hAnsi="Arial"/>
                <w:sz w:val="14"/>
                <w:szCs w:val="14"/>
                <w:color w:val="auto"/>
              </w:rPr>
              <w:t>$0.46</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$0.55</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19.6%</w:t>
            </w: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c>
          <w:tcPr>
            <w:tcW w:w="1260" w:type="dxa"/>
            <w:vAlign w:val="bottom"/>
          </w:tcPr>
          <w:p>
            <w:pPr>
              <w:jc w:val="right"/>
              <w:ind w:right="249"/>
              <w:spacing w:after="0"/>
              <w:rPr>
                <w:sz w:val="20"/>
                <w:szCs w:val="20"/>
                <w:color w:val="auto"/>
              </w:rPr>
            </w:pPr>
            <w:r>
              <w:rPr>
                <w:rFonts w:ascii="Arial" w:cs="Arial" w:eastAsia="Arial" w:hAnsi="Arial"/>
                <w:sz w:val="14"/>
                <w:szCs w:val="14"/>
                <w:color w:val="auto"/>
              </w:rPr>
              <w:t>$1.61</w:t>
            </w:r>
          </w:p>
        </w:tc>
        <w:tc>
          <w:tcPr>
            <w:tcW w:w="82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203"/>
        </w:trPr>
        <w:tc>
          <w:tcPr>
            <w:tcW w:w="3860" w:type="dxa"/>
            <w:vAlign w:val="bottom"/>
          </w:tcPr>
          <w:p>
            <w:pPr>
              <w:ind w:left="60"/>
              <w:spacing w:after="0"/>
              <w:rPr>
                <w:sz w:val="20"/>
                <w:szCs w:val="20"/>
                <w:color w:val="auto"/>
              </w:rPr>
            </w:pPr>
            <w:r>
              <w:rPr>
                <w:rFonts w:ascii="Arial" w:cs="Arial" w:eastAsia="Arial" w:hAnsi="Arial"/>
                <w:sz w:val="14"/>
                <w:szCs w:val="14"/>
                <w:i w:val="1"/>
                <w:iCs w:val="1"/>
                <w:color w:val="auto"/>
              </w:rPr>
              <w:t>Excluding Adjustments (see Table 4)</w:t>
            </w:r>
          </w:p>
        </w:tc>
        <w:tc>
          <w:tcPr>
            <w:tcW w:w="2100" w:type="dxa"/>
            <w:vAlign w:val="bottom"/>
          </w:tcPr>
          <w:p>
            <w:pPr>
              <w:jc w:val="right"/>
              <w:ind w:right="48"/>
              <w:spacing w:after="0"/>
              <w:rPr>
                <w:sz w:val="20"/>
                <w:szCs w:val="20"/>
                <w:color w:val="auto"/>
              </w:rPr>
            </w:pPr>
            <w:r>
              <w:rPr>
                <w:rFonts w:ascii="Arial" w:cs="Arial" w:eastAsia="Arial" w:hAnsi="Arial"/>
                <w:sz w:val="14"/>
                <w:szCs w:val="14"/>
                <w:i w:val="1"/>
                <w:iCs w:val="1"/>
                <w:color w:val="auto"/>
              </w:rPr>
              <w:t>$0.46</w:t>
            </w:r>
          </w:p>
        </w:tc>
        <w:tc>
          <w:tcPr>
            <w:tcW w:w="1340" w:type="dxa"/>
            <w:vAlign w:val="bottom"/>
          </w:tcPr>
          <w:p>
            <w:pPr>
              <w:jc w:val="right"/>
              <w:ind w:right="229"/>
              <w:spacing w:after="0"/>
              <w:rPr>
                <w:sz w:val="20"/>
                <w:szCs w:val="20"/>
                <w:color w:val="auto"/>
              </w:rPr>
            </w:pPr>
            <w:r>
              <w:rPr>
                <w:rFonts w:ascii="Arial" w:cs="Arial" w:eastAsia="Arial" w:hAnsi="Arial"/>
                <w:sz w:val="14"/>
                <w:szCs w:val="14"/>
                <w:i w:val="1"/>
                <w:iCs w:val="1"/>
                <w:color w:val="auto"/>
              </w:rPr>
              <w:t>$0.52</w:t>
            </w:r>
          </w:p>
        </w:tc>
        <w:tc>
          <w:tcPr>
            <w:tcW w:w="1140" w:type="dxa"/>
            <w:vAlign w:val="bottom"/>
          </w:tcPr>
          <w:p>
            <w:pPr>
              <w:jc w:val="right"/>
              <w:ind w:right="288"/>
              <w:spacing w:after="0"/>
              <w:rPr>
                <w:sz w:val="20"/>
                <w:szCs w:val="20"/>
                <w:color w:val="auto"/>
              </w:rPr>
            </w:pPr>
            <w:r>
              <w:rPr>
                <w:rFonts w:ascii="Arial" w:cs="Arial" w:eastAsia="Arial" w:hAnsi="Arial"/>
                <w:sz w:val="14"/>
                <w:szCs w:val="14"/>
                <w:i w:val="1"/>
                <w:iCs w:val="1"/>
                <w:color w:val="auto"/>
              </w:rPr>
              <w:t>13.0%</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$1.29</w:t>
            </w:r>
          </w:p>
        </w:tc>
        <w:tc>
          <w:tcPr>
            <w:tcW w:w="1260" w:type="dxa"/>
            <w:vAlign w:val="bottom"/>
          </w:tcPr>
          <w:p>
            <w:pPr>
              <w:jc w:val="right"/>
              <w:ind w:right="249"/>
              <w:spacing w:after="0"/>
              <w:rPr>
                <w:sz w:val="20"/>
                <w:szCs w:val="20"/>
                <w:color w:val="auto"/>
              </w:rPr>
            </w:pPr>
            <w:r>
              <w:rPr>
                <w:rFonts w:ascii="Arial" w:cs="Arial" w:eastAsia="Arial" w:hAnsi="Arial"/>
                <w:sz w:val="14"/>
                <w:szCs w:val="14"/>
                <w:i w:val="1"/>
                <w:iCs w:val="1"/>
                <w:color w:val="auto"/>
              </w:rPr>
              <w:t>$1.57</w:t>
            </w: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21.7%</w:t>
            </w:r>
          </w:p>
        </w:tc>
      </w:tr>
    </w:tbl>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third quarter of 2017 decreased 1.6% to $21.0 billion. Excluding $1.5 billion of revenue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broadcast of the Rio Olympics in the third quarter of 2016, consolidated revenue increased 5.8% (see Table 6). </w:t>
      </w:r>
      <w:r>
        <w:rPr>
          <w:rFonts w:ascii="Arial" w:cs="Arial" w:eastAsia="Arial" w:hAnsi="Arial"/>
          <w:sz w:val="18"/>
          <w:szCs w:val="18"/>
          <w:b w:val="1"/>
          <w:bCs w:val="1"/>
          <w:i w:val="1"/>
          <w:iCs w:val="1"/>
          <w:color w:val="auto"/>
        </w:rPr>
        <w:t>Consolidated Net Income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Attributable to Comcast </w:t>
      </w:r>
      <w:r>
        <w:rPr>
          <w:rFonts w:ascii="Arial" w:cs="Arial" w:eastAsia="Arial" w:hAnsi="Arial"/>
          <w:sz w:val="18"/>
          <w:szCs w:val="18"/>
          <w:color w:val="auto"/>
        </w:rPr>
        <w:t>increased 18.5% to $2.7 billion.</w:t>
      </w:r>
      <w:r>
        <w:rPr>
          <w:rFonts w:ascii="Arial" w:cs="Arial" w:eastAsia="Arial" w:hAnsi="Arial"/>
          <w:sz w:val="18"/>
          <w:szCs w:val="18"/>
          <w:b w:val="1"/>
          <w:bCs w:val="1"/>
          <w:i w:val="1"/>
          <w:iCs w:val="1"/>
          <w:color w:val="auto"/>
        </w:rPr>
        <w:t xml:space="preserve"> Consolidated Adjusted EBITDA </w:t>
      </w:r>
      <w:r>
        <w:rPr>
          <w:rFonts w:ascii="Arial" w:cs="Arial" w:eastAsia="Arial" w:hAnsi="Arial"/>
          <w:sz w:val="18"/>
          <w:szCs w:val="18"/>
          <w:color w:val="auto"/>
        </w:rPr>
        <w:t>increased 5.0% to $7.2 billion.</w:t>
      </w:r>
    </w:p>
    <w:p>
      <w:pPr>
        <w:sectPr>
          <w:pgSz w:w="11900" w:h="16838" w:orient="portrait"/>
          <w:cols w:equalWidth="0" w:num="1">
            <w:col w:w="11420"/>
          </w:cols>
          <w:pgMar w:left="240" w:top="118" w:right="239" w:bottom="0" w:gutter="0" w:footer="0" w:header="0"/>
        </w:sectPr>
      </w:pPr>
    </w:p>
    <w:bookmarkStart w:id="3" w:name="page4"/>
    <w:bookmarkEnd w:id="3"/>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2017, consolidated revenue increased 5.4% to $62.6 billion compared to 2016. Excluding $1.5 billion of revenue generated by the broadcast of the Rio Olympics in the third quarter of 2016, consolidated revenue increased 8.2% (see Table 6). Consolidated net income attributable to Comcast increased 20.8% to $7.7 billion. Consolidated Adjusted EBITDA increased 8.4% to $21.3 billion.</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2017 was $0.55, a 19.6% increase compared to the third quarter of 2016. On an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EPS was $0.52, a 13.0% increase compared to the prior year (see Table 4).</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2017, EPS was $1.61, a 22.9% increase compared to the prior year. On an adjusted basis, EPS increased 21.7% (see Table 4).</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1.2% to $2.4 billion in the third quarter of 2017. Cable Communications’ capital expenditures increased 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$2.1 billion in the third quarter of 2017, reflecting a higher level of investment in scalable infrastructure to increase network capacity, increased investment in line extensions, and increased spending on support capital, partially offset by a decrease in spending on customer premise equipment. Cable capital expenditures represented 15.6% of Cable revenue in the third quarter of 2017 compared to 16.3% in last year’s third quarter. NBCUniversal’s capital expenditures of $354 million increased 5.4%, reflecting the timing of real estate and infrastructure spending as well as continued investment at Theme Parks.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2017, capital expenditures increased 4.2% to $6.8 billion compared to 2016. Cable Communications’ capital expenditures increased 5.4% to $ 5.8 billion and represented 14.8% of Cable revenue in both years. NBCUniversal’s capital expenditures of $977 million decreased 1.4% for the first nine months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$5.1 billion in the third quarter of 2017.</w:t>
      </w:r>
      <w:r>
        <w:rPr>
          <w:rFonts w:ascii="Arial" w:cs="Arial" w:eastAsia="Arial" w:hAnsi="Arial"/>
          <w:sz w:val="18"/>
          <w:szCs w:val="18"/>
          <w:b w:val="1"/>
          <w:bCs w:val="1"/>
          <w:i w:val="1"/>
          <w:iCs w:val="1"/>
          <w:color w:val="auto"/>
        </w:rPr>
        <w:t xml:space="preserve"> Free Cash Flow</w:t>
      </w:r>
      <w:r>
        <w:rPr>
          <w:rFonts w:ascii="Arial" w:cs="Arial" w:eastAsia="Arial" w:hAnsi="Arial"/>
          <w:sz w:val="18"/>
          <w:szCs w:val="18"/>
          <w:b w:val="1"/>
          <w:bCs w:val="1"/>
          <w:color w:val="auto"/>
          <w:vertAlign w:val="superscript"/>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$2.3 billion (see Table 5).</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2017, net cash provided by operating activities was $16.0 billion. Free cash flow was $7.6 billion (see Table 5).</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Dividends and Share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third quarter of 2017, Comcast paid dividends totaling $743 million and repurchased 42.9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$1.7 billion. In the first nine months of 2017, Comcast has repurchased 98.4 million of its common shares for $3.8 billion. As of September 30, 2017, Comcast had $8.2 billion available under its share repurchase authorization.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jc w:val="right"/>
              <w:ind w:right="348"/>
              <w:spacing w:after="0"/>
              <w:rPr>
                <w:sz w:val="20"/>
                <w:szCs w:val="20"/>
                <w:color w:val="auto"/>
              </w:rPr>
            </w:pPr>
            <w:r>
              <w:rPr>
                <w:rFonts w:ascii="Arial" w:cs="Arial" w:eastAsia="Arial" w:hAnsi="Arial"/>
                <w:sz w:val="14"/>
                <w:szCs w:val="14"/>
                <w:color w:val="auto"/>
              </w:rPr>
              <w:t>3rd Quarter</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Year to Date</w:t>
            </w:r>
          </w:p>
        </w:tc>
        <w:tc>
          <w:tcPr>
            <w:tcW w:w="820" w:type="dxa"/>
            <w:vAlign w:val="bottom"/>
          </w:tcPr>
          <w:p>
            <w:pPr>
              <w:spacing w:after="0"/>
              <w:rPr>
                <w:sz w:val="14"/>
                <w:szCs w:val="14"/>
                <w:color w:val="auto"/>
              </w:rPr>
            </w:pPr>
          </w:p>
        </w:tc>
      </w:tr>
      <w:tr>
        <w:trPr>
          <w:trHeight w:val="16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14"/>
                <w:szCs w:val="14"/>
                <w:color w:val="auto"/>
                <w:vertAlign w:val="superscript"/>
              </w:rPr>
              <w:t>4</w:t>
            </w: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Growth</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14"/>
                <w:szCs w:val="14"/>
                <w:color w:val="auto"/>
                <w:vertAlign w:val="superscript"/>
              </w:rPr>
              <w:t>4</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6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Video</w:t>
            </w:r>
          </w:p>
        </w:tc>
        <w:tc>
          <w:tcPr>
            <w:tcW w:w="1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$5,591</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$5,825</w:t>
            </w:r>
          </w:p>
        </w:tc>
        <w:tc>
          <w:tcPr>
            <w:tcW w:w="12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4.2%</w:t>
            </w: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$16,710</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$17,396</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w:t>
            </w: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High-Speed Internet</w:t>
            </w:r>
          </w:p>
        </w:tc>
        <w:tc>
          <w:tcPr>
            <w:tcW w:w="1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3,405</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3,709</w:t>
            </w:r>
          </w:p>
        </w:tc>
        <w:tc>
          <w:tcPr>
            <w:tcW w:w="12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8.9%</w:t>
            </w: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10,049</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10,994</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w:t>
            </w: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Voice</w:t>
            </w:r>
          </w:p>
        </w:tc>
        <w:tc>
          <w:tcPr>
            <w:tcW w:w="1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878</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840</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(4.5%)</w:t>
            </w: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2,667</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2,559</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w:t>
            </w: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Business Services</w:t>
            </w:r>
          </w:p>
        </w:tc>
        <w:tc>
          <w:tcPr>
            <w:tcW w:w="1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1,399</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1,575</w:t>
            </w:r>
          </w:p>
        </w:tc>
        <w:tc>
          <w:tcPr>
            <w:tcW w:w="12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12.6%</w:t>
            </w: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4,070</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4,596</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w:t>
            </w: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Advertising</w:t>
            </w:r>
          </w:p>
        </w:tc>
        <w:tc>
          <w:tcPr>
            <w:tcW w:w="1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625</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542</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(13.2%)</w:t>
            </w: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1,757</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1,628</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r>
      <w:tr>
        <w:trPr>
          <w:trHeight w:val="163"/>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Other</w:t>
            </w:r>
          </w:p>
        </w:tc>
        <w:tc>
          <w:tcPr>
            <w:tcW w:w="1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659</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712</w:t>
            </w:r>
          </w:p>
        </w:tc>
        <w:tc>
          <w:tcPr>
            <w:tcW w:w="12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7.8%</w:t>
            </w: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1,952</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2,064</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r>
      <w:tr>
        <w:trPr>
          <w:trHeight w:val="190"/>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80" w:type="dxa"/>
            <w:vAlign w:val="bottom"/>
          </w:tcPr>
          <w:p>
            <w:pPr>
              <w:jc w:val="right"/>
              <w:ind w:right="168"/>
              <w:spacing w:after="0"/>
              <w:rPr>
                <w:sz w:val="20"/>
                <w:szCs w:val="20"/>
                <w:color w:val="auto"/>
              </w:rPr>
            </w:pPr>
            <w:r>
              <w:rPr>
                <w:rFonts w:ascii="Arial" w:cs="Arial" w:eastAsia="Arial" w:hAnsi="Arial"/>
                <w:sz w:val="14"/>
                <w:szCs w:val="14"/>
                <w:b w:val="1"/>
                <w:bCs w:val="1"/>
                <w:color w:val="auto"/>
              </w:rPr>
              <w:t>$12,557</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$13,203</w:t>
            </w: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5.1%</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$37,205</w:t>
            </w:r>
          </w:p>
        </w:tc>
        <w:tc>
          <w:tcPr>
            <w:tcW w:w="1300" w:type="dxa"/>
            <w:vAlign w:val="bottom"/>
          </w:tcPr>
          <w:p>
            <w:pPr>
              <w:jc w:val="right"/>
              <w:ind w:right="368"/>
              <w:spacing w:after="0"/>
              <w:rPr>
                <w:sz w:val="20"/>
                <w:szCs w:val="20"/>
                <w:color w:val="auto"/>
              </w:rPr>
            </w:pPr>
            <w:r>
              <w:rPr>
                <w:rFonts w:ascii="Arial" w:cs="Arial" w:eastAsia="Arial" w:hAnsi="Arial"/>
                <w:sz w:val="14"/>
                <w:szCs w:val="14"/>
                <w:b w:val="1"/>
                <w:bCs w:val="1"/>
                <w:color w:val="auto"/>
              </w:rPr>
              <w:t>$39,237</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181"/>
        </w:trPr>
        <w:tc>
          <w:tcPr>
            <w:tcW w:w="40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1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$4,986</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$5,246</w:t>
            </w: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5.2%</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$14,923</w:t>
            </w:r>
          </w:p>
        </w:tc>
        <w:tc>
          <w:tcPr>
            <w:tcW w:w="13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$15,764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r>
      <w:tr>
        <w:trPr>
          <w:trHeight w:val="180"/>
        </w:trPr>
        <w:tc>
          <w:tcPr>
            <w:tcW w:w="4040" w:type="dxa"/>
            <w:vAlign w:val="bottom"/>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1680" w:type="dxa"/>
            <w:vAlign w:val="bottom"/>
          </w:tcPr>
          <w:p>
            <w:pPr>
              <w:jc w:val="right"/>
              <w:ind w:right="28"/>
              <w:spacing w:after="0"/>
              <w:rPr>
                <w:sz w:val="20"/>
                <w:szCs w:val="20"/>
                <w:color w:val="auto"/>
              </w:rPr>
            </w:pPr>
            <w:r>
              <w:rPr>
                <w:rFonts w:ascii="Arial" w:cs="Arial" w:eastAsia="Arial" w:hAnsi="Arial"/>
                <w:sz w:val="14"/>
                <w:szCs w:val="14"/>
                <w:i w:val="1"/>
                <w:iCs w:val="1"/>
                <w:color w:val="auto"/>
              </w:rPr>
              <w:t>39.7%</w:t>
            </w:r>
          </w:p>
        </w:tc>
        <w:tc>
          <w:tcPr>
            <w:tcW w:w="1260" w:type="dxa"/>
            <w:vAlign w:val="bottom"/>
          </w:tcPr>
          <w:p>
            <w:pPr>
              <w:jc w:val="right"/>
              <w:ind w:right="248"/>
              <w:spacing w:after="0"/>
              <w:rPr>
                <w:sz w:val="20"/>
                <w:szCs w:val="20"/>
                <w:color w:val="auto"/>
              </w:rPr>
            </w:pPr>
            <w:r>
              <w:rPr>
                <w:rFonts w:ascii="Arial" w:cs="Arial" w:eastAsia="Arial" w:hAnsi="Arial"/>
                <w:sz w:val="14"/>
                <w:szCs w:val="14"/>
                <w:i w:val="1"/>
                <w:iCs w:val="1"/>
                <w:color w:val="auto"/>
              </w:rPr>
              <w:t>39.7%</w:t>
            </w:r>
          </w:p>
        </w:tc>
        <w:tc>
          <w:tcPr>
            <w:tcW w:w="1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40.1%</w:t>
            </w:r>
          </w:p>
        </w:tc>
        <w:tc>
          <w:tcPr>
            <w:tcW w:w="1300" w:type="dxa"/>
            <w:vAlign w:val="bottom"/>
          </w:tcPr>
          <w:p>
            <w:pPr>
              <w:jc w:val="right"/>
              <w:ind w:right="228"/>
              <w:spacing w:after="0"/>
              <w:rPr>
                <w:sz w:val="20"/>
                <w:szCs w:val="20"/>
                <w:color w:val="auto"/>
              </w:rPr>
            </w:pPr>
            <w:r>
              <w:rPr>
                <w:rFonts w:ascii="Arial" w:cs="Arial" w:eastAsia="Arial" w:hAnsi="Arial"/>
                <w:sz w:val="14"/>
                <w:szCs w:val="14"/>
                <w:i w:val="1"/>
                <w:iCs w:val="1"/>
                <w:color w:val="auto"/>
              </w:rPr>
              <w:t>40.2%</w:t>
            </w:r>
          </w:p>
        </w:tc>
        <w:tc>
          <w:tcPr>
            <w:tcW w:w="820" w:type="dxa"/>
            <w:vAlign w:val="bottom"/>
          </w:tcPr>
          <w:p>
            <w:pPr>
              <w:spacing w:after="0"/>
              <w:rPr>
                <w:sz w:val="15"/>
                <w:szCs w:val="15"/>
                <w:color w:val="auto"/>
              </w:rPr>
            </w:pPr>
          </w:p>
        </w:tc>
      </w:tr>
      <w:tr>
        <w:trPr>
          <w:trHeight w:val="185"/>
        </w:trPr>
        <w:tc>
          <w:tcPr>
            <w:tcW w:w="4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$2,044</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$2,061</w:t>
            </w: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0.8%</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$5,501</w:t>
            </w:r>
          </w:p>
        </w:tc>
        <w:tc>
          <w:tcPr>
            <w:tcW w:w="13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$5,798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Percent of Cable Communications Revenue</w:t>
            </w:r>
          </w:p>
        </w:tc>
        <w:tc>
          <w:tcPr>
            <w:tcW w:w="16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i w:val="1"/>
                <w:iCs w:val="1"/>
                <w:color w:val="auto"/>
              </w:rPr>
              <w:t>16.3%</w:t>
            </w:r>
          </w:p>
        </w:tc>
        <w:tc>
          <w:tcPr>
            <w:tcW w:w="12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i w:val="1"/>
                <w:iCs w:val="1"/>
                <w:color w:val="auto"/>
              </w:rPr>
              <w:t>15.6%</w:t>
            </w:r>
          </w:p>
        </w:tc>
        <w:tc>
          <w:tcPr>
            <w:tcW w:w="1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i w:val="1"/>
                <w:iCs w:val="1"/>
                <w:color w:val="auto"/>
              </w:rPr>
              <w:t>14.8%</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i w:val="1"/>
                <w:iCs w:val="1"/>
                <w:color w:val="auto"/>
              </w:rPr>
              <w:t>14.8%</w:t>
            </w:r>
          </w:p>
        </w:tc>
        <w:tc>
          <w:tcPr>
            <w:tcW w:w="820" w:type="dxa"/>
            <w:vAlign w:val="bottom"/>
            <w:tcBorders>
              <w:bottom w:val="single" w:sz="8" w:color="auto"/>
            </w:tcBorders>
          </w:tcPr>
          <w:p>
            <w:pPr>
              <w:spacing w:after="0"/>
              <w:rPr>
                <w:sz w:val="13"/>
                <w:szCs w:val="13"/>
                <w:color w:val="auto"/>
              </w:rPr>
            </w:pP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5.1% to $13.2 billion in the third quarter of 2017,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video and business services revenue. High-speed Internet revenue increased 8.9%, driven by an increase in the number of residential high-speed Internet customers and rate adjustments. Video revenue increased 4.2%, primarily reflecting rate adjustments, as well as additional revenue associated with a boxing event available on pay-per-view and an increase in the number of customers subscribing to additional services. Business services revenue increased 12.6%, primarily due to increases in the number of customers receiving our small and medium-sized business services offerings. Advertising revenue decreased 13.2%, primarily reflecting a decrease in political advertising revenue. Other revenue increased 7.8%, primarily due to an increase in revenue from our X1 licensing agreements, an increase in security and automation revenue and higher franchise and regulatory fees.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2017, Cable revenue increased 5.5% to $39.2 billion compared to 2016, driven by growth in high-speed Internet, video and business services revenue.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115,000 to 29.1 million in the third quarter of 2017. Residential customer relationships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83,000 and business customer relationships increased by 31,000. At the end of the third quarter, penetration of our double, triple and quad product residential customers was 70.1%. Total video customer net losses were 125,000, total high-speed Internet customer net additions were 214,000, total voice customer net losses were 94,000 and total security and automation customer net additions were 51,000.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180" w:type="dxa"/>
            <w:vAlign w:val="bottom"/>
          </w:tcPr>
          <w:p>
            <w:pPr>
              <w:spacing w:after="0"/>
              <w:rPr>
                <w:sz w:val="14"/>
                <w:szCs w:val="14"/>
                <w:color w:val="auto"/>
              </w:rPr>
            </w:pP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Net Additions</w:t>
            </w:r>
          </w:p>
        </w:tc>
      </w:tr>
      <w:tr>
        <w:trPr>
          <w:trHeight w:val="195"/>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3Q16</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3Q17</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3Q16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3Q17</w:t>
            </w:r>
          </w:p>
        </w:tc>
      </w:tr>
      <w:tr>
        <w:trPr>
          <w:trHeight w:val="189"/>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Video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21,420</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21,341</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190"/>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Video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1,007</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1,049</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22,428</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22,390</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r>
      <w:tr>
        <w:trPr>
          <w:trHeight w:val="183"/>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High-Speed Internet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22,477</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23,546</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288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r>
      <w:tr>
        <w:trPr>
          <w:trHeight w:val="190"/>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High-Speed Internet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1,839</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1,974</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24,316</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25,519</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w:t>
            </w:r>
          </w:p>
        </w:tc>
      </w:tr>
      <w:tr>
        <w:trPr>
          <w:trHeight w:val="183"/>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Voice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10,527</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10,351</w:t>
            </w:r>
          </w:p>
        </w:tc>
        <w:tc>
          <w:tcPr>
            <w:tcW w:w="1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r>
      <w:tr>
        <w:trPr>
          <w:trHeight w:val="190"/>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Voice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1,116</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1,214</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2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11,643</w:t>
            </w: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11,565</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r>
    </w:tbl>
    <w:p>
      <w:pPr>
        <w:spacing w:after="0" w:line="1" w:lineRule="exact"/>
        <w:rPr>
          <w:sz w:val="20"/>
          <w:szCs w:val="20"/>
          <w:color w:val="auto"/>
        </w:rPr>
      </w:pPr>
    </w:p>
    <w:p>
      <w:pPr>
        <w:sectPr>
          <w:pgSz w:w="11900" w:h="16897" w:orient="portrait"/>
          <w:cols w:equalWidth="0" w:num="1">
            <w:col w:w="11420"/>
          </w:cols>
          <w:pgMar w:left="240" w:top="140" w:right="239" w:bottom="0" w:gutter="0" w:footer="0" w:header="0"/>
        </w:sectPr>
      </w:pPr>
    </w:p>
    <w:p>
      <w:pPr>
        <w:ind w:left="40"/>
        <w:spacing w:after="0"/>
        <w:tabs>
          <w:tab w:leader="none" w:pos="7320" w:val="left"/>
          <w:tab w:leader="none" w:pos="8240" w:val="left"/>
          <w:tab w:leader="none" w:pos="10140" w:val="left"/>
          <w:tab w:leader="none" w:pos="11180" w:val="left"/>
        </w:tabs>
        <w:rPr>
          <w:sz w:val="20"/>
          <w:szCs w:val="20"/>
          <w:color w:val="auto"/>
        </w:rPr>
      </w:pPr>
      <w:r>
        <w:rPr>
          <w:rFonts w:ascii="Arial" w:cs="Arial" w:eastAsia="Arial" w:hAnsi="Arial"/>
          <w:sz w:val="14"/>
          <w:szCs w:val="14"/>
          <w:b w:val="1"/>
          <w:bCs w:val="1"/>
          <w:color w:val="auto"/>
        </w:rPr>
        <w:t>Total Security and Automation Customers</w:t>
      </w:r>
      <w:r>
        <w:rPr>
          <w:sz w:val="20"/>
          <w:szCs w:val="20"/>
          <w:color w:val="auto"/>
        </w:rPr>
        <w:tab/>
      </w:r>
      <w:r>
        <w:rPr>
          <w:rFonts w:ascii="Arial" w:cs="Arial" w:eastAsia="Arial" w:hAnsi="Arial"/>
          <w:sz w:val="14"/>
          <w:szCs w:val="14"/>
          <w:b w:val="1"/>
          <w:bCs w:val="1"/>
          <w:color w:val="auto"/>
        </w:rPr>
        <w:t>815</w:t>
      </w:r>
      <w:r>
        <w:rPr>
          <w:sz w:val="20"/>
          <w:szCs w:val="20"/>
          <w:color w:val="auto"/>
        </w:rPr>
        <w:tab/>
      </w:r>
      <w:r>
        <w:rPr>
          <w:rFonts w:ascii="Arial" w:cs="Arial" w:eastAsia="Arial" w:hAnsi="Arial"/>
          <w:sz w:val="14"/>
          <w:szCs w:val="14"/>
          <w:b w:val="1"/>
          <w:bCs w:val="1"/>
          <w:color w:val="auto"/>
        </w:rPr>
        <w:t>1,079</w:t>
      </w:r>
      <w:r>
        <w:rPr>
          <w:sz w:val="20"/>
          <w:szCs w:val="20"/>
          <w:color w:val="auto"/>
        </w:rPr>
        <w:tab/>
      </w:r>
      <w:r>
        <w:rPr>
          <w:rFonts w:ascii="Arial" w:cs="Arial" w:eastAsia="Arial" w:hAnsi="Arial"/>
          <w:sz w:val="14"/>
          <w:szCs w:val="14"/>
          <w:b w:val="1"/>
          <w:bCs w:val="1"/>
          <w:color w:val="auto"/>
        </w:rPr>
        <w:t>78</w:t>
      </w:r>
      <w:r>
        <w:rPr>
          <w:sz w:val="20"/>
          <w:szCs w:val="20"/>
          <w:color w:val="auto"/>
        </w:rPr>
        <w:tab/>
      </w:r>
      <w:r>
        <w:rPr>
          <w:rFonts w:ascii="Arial" w:cs="Arial" w:eastAsia="Arial" w:hAnsi="Arial"/>
          <w:sz w:val="14"/>
          <w:szCs w:val="14"/>
          <w:b w:val="1"/>
          <w:bCs w:val="1"/>
          <w:color w:val="auto"/>
        </w:rPr>
        <w:t>51</w:t>
      </w:r>
    </w:p>
    <w:p>
      <w:pPr>
        <w:sectPr>
          <w:pgSz w:w="11900" w:h="16897" w:orient="portrait"/>
          <w:cols w:equalWidth="0" w:num="1">
            <w:col w:w="11420"/>
          </w:cols>
          <w:pgMar w:left="240" w:top="140" w:right="239" w:bottom="0" w:gutter="0" w:footer="0" w:header="0"/>
          <w:type w:val="continuous"/>
        </w:sectPr>
      </w:pPr>
    </w:p>
    <w:bookmarkStart w:id="4" w:name="page5"/>
    <w:bookmarkEnd w:id="4"/>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Residential Customer Relationships</w:t>
            </w:r>
          </w:p>
        </w:tc>
        <w:tc>
          <w:tcPr>
            <w:tcW w:w="35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26,312</w:t>
            </w:r>
          </w:p>
        </w:tc>
        <w:tc>
          <w:tcPr>
            <w:tcW w:w="14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26,957</w:t>
            </w:r>
          </w:p>
        </w:tc>
        <w:tc>
          <w:tcPr>
            <w:tcW w:w="13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175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40" w:type="dxa"/>
            <w:vAlign w:val="bottom"/>
          </w:tcPr>
          <w:p>
            <w:pPr>
              <w:spacing w:after="0"/>
              <w:rPr>
                <w:sz w:val="18"/>
                <w:szCs w:val="18"/>
                <w:color w:val="auto"/>
              </w:rPr>
            </w:pPr>
          </w:p>
        </w:tc>
      </w:tr>
      <w:tr>
        <w:trPr>
          <w:trHeight w:val="190"/>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Customer Relationships</w:t>
            </w:r>
          </w:p>
        </w:tc>
        <w:tc>
          <w:tcPr>
            <w:tcW w:w="3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2,006</w:t>
            </w: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2,146</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16"/>
                <w:szCs w:val="16"/>
                <w:color w:val="auto"/>
              </w:rPr>
            </w:pPr>
          </w:p>
        </w:tc>
      </w:tr>
      <w:tr>
        <w:trPr>
          <w:trHeight w:val="196"/>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3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28,318</w:t>
            </w: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29,104</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40" w:type="dxa"/>
            <w:vAlign w:val="bottom"/>
          </w:tcPr>
          <w:p>
            <w:pPr>
              <w:spacing w:after="0"/>
              <w:rPr>
                <w:sz w:val="17"/>
                <w:szCs w:val="17"/>
                <w:color w:val="auto"/>
              </w:rPr>
            </w:pPr>
          </w:p>
        </w:tc>
      </w:tr>
      <w:tr>
        <w:trPr>
          <w:trHeight w:val="196"/>
        </w:trPr>
        <w:tc>
          <w:tcPr>
            <w:tcW w:w="43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Residential Customers</w:t>
            </w:r>
          </w:p>
        </w:tc>
        <w:tc>
          <w:tcPr>
            <w:tcW w:w="3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7,722</w:t>
            </w: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8,055</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16"/>
                <w:szCs w:val="16"/>
                <w:color w:val="auto"/>
              </w:rPr>
            </w:pPr>
          </w:p>
        </w:tc>
      </w:tr>
      <w:tr>
        <w:trPr>
          <w:trHeight w:val="183"/>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Residential Customers</w:t>
            </w:r>
          </w:p>
        </w:tc>
        <w:tc>
          <w:tcPr>
            <w:tcW w:w="3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8,682</w:t>
            </w: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8,983</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5"/>
                <w:szCs w:val="15"/>
                <w:color w:val="auto"/>
              </w:rPr>
            </w:pPr>
          </w:p>
        </w:tc>
      </w:tr>
      <w:tr>
        <w:trPr>
          <w:trHeight w:val="184"/>
        </w:trPr>
        <w:tc>
          <w:tcPr>
            <w:tcW w:w="4380" w:type="dxa"/>
            <w:vAlign w:val="bottom"/>
          </w:tcPr>
          <w:p>
            <w:pPr>
              <w:ind w:left="40"/>
              <w:spacing w:after="0"/>
              <w:rPr>
                <w:sz w:val="20"/>
                <w:szCs w:val="20"/>
                <w:color w:val="auto"/>
              </w:rPr>
            </w:pPr>
            <w:r>
              <w:rPr>
                <w:rFonts w:ascii="Arial" w:cs="Arial" w:eastAsia="Arial" w:hAnsi="Arial"/>
                <w:sz w:val="14"/>
                <w:szCs w:val="14"/>
                <w:color w:val="auto"/>
              </w:rPr>
              <w:t>Triple and Quad Product Residential Customers</w:t>
            </w:r>
          </w:p>
        </w:tc>
        <w:tc>
          <w:tcPr>
            <w:tcW w:w="3500" w:type="dxa"/>
            <w:vAlign w:val="bottom"/>
          </w:tcPr>
          <w:p>
            <w:pPr>
              <w:jc w:val="right"/>
              <w:ind w:right="228"/>
              <w:spacing w:after="0"/>
              <w:rPr>
                <w:sz w:val="20"/>
                <w:szCs w:val="20"/>
                <w:color w:val="auto"/>
              </w:rPr>
            </w:pPr>
            <w:r>
              <w:rPr>
                <w:rFonts w:ascii="Arial" w:cs="Arial" w:eastAsia="Arial" w:hAnsi="Arial"/>
                <w:sz w:val="14"/>
                <w:szCs w:val="14"/>
                <w:color w:val="auto"/>
              </w:rPr>
              <w:t>9,908</w:t>
            </w:r>
          </w:p>
        </w:tc>
        <w:tc>
          <w:tcPr>
            <w:tcW w:w="1460" w:type="dxa"/>
            <w:vAlign w:val="bottom"/>
          </w:tcPr>
          <w:p>
            <w:pPr>
              <w:jc w:val="right"/>
              <w:ind w:right="648"/>
              <w:spacing w:after="0"/>
              <w:rPr>
                <w:sz w:val="20"/>
                <w:szCs w:val="20"/>
                <w:color w:val="auto"/>
              </w:rPr>
            </w:pPr>
            <w:r>
              <w:rPr>
                <w:rFonts w:ascii="Arial" w:cs="Arial" w:eastAsia="Arial" w:hAnsi="Arial"/>
                <w:sz w:val="14"/>
                <w:szCs w:val="14"/>
                <w:color w:val="auto"/>
              </w:rPr>
              <w:t>9,919</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26</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(79)</w:t>
            </w:r>
          </w:p>
        </w:tc>
      </w:tr>
      <w:tr>
        <w:trPr>
          <w:trHeight w:val="378"/>
        </w:trPr>
        <w:tc>
          <w:tcPr>
            <w:tcW w:w="4380" w:type="dxa"/>
            <w:vAlign w:val="bottom"/>
          </w:tcPr>
          <w:p>
            <w:pPr>
              <w:spacing w:after="0"/>
              <w:rPr>
                <w:sz w:val="24"/>
                <w:szCs w:val="24"/>
                <w:color w:val="auto"/>
              </w:rPr>
            </w:pPr>
          </w:p>
        </w:tc>
        <w:tc>
          <w:tcPr>
            <w:tcW w:w="3500" w:type="dxa"/>
            <w:vAlign w:val="bottom"/>
          </w:tcPr>
          <w:p>
            <w:pPr>
              <w:jc w:val="right"/>
              <w:ind w:right="2048"/>
              <w:spacing w:after="0"/>
              <w:rPr>
                <w:sz w:val="20"/>
                <w:szCs w:val="20"/>
                <w:color w:val="auto"/>
              </w:rPr>
            </w:pPr>
            <w:r>
              <w:rPr>
                <w:rFonts w:ascii="Arial" w:cs="Arial" w:eastAsia="Arial" w:hAnsi="Arial"/>
                <w:sz w:val="14"/>
                <w:szCs w:val="14"/>
                <w:color w:val="auto"/>
              </w:rPr>
              <w:t>3</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38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5.2% to $5.2 billion in the third quarter of 2017,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5.1% increase in operating expenses, and including the negative impact of two hurricanes that affected our service areas. The higher expenses were primarily due to a 12.4% increase in video programming costs, reflecting the timing of contract renewals, higher retransmission consent fees and sports programming costs, as well as fees associated with a boxing event available on pay-per-view. Non-programming expenses increased 0.6%, reflecting an increase in technical and product support expenses, a decrease in advertising, marketing and promotion costs, and relatively flat customer service expenses. This quarter’s Adjusted EBITDA margin was 39.7%, flat compared to the third quarter of 2016.</w:t>
      </w:r>
    </w:p>
    <w:p>
      <w:pPr>
        <w:spacing w:after="0" w:line="18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nine months ended September 30, 2017, Cable Adjusted EBITDA increased 5.6% to $15.8 billion compared to 2016, driven by higher revenue, partially offset by a 5.3% increase in operating expenses. The higher expenses were primarily due to a 12.0% increase in video programming costs and a 1.1% increase in non-programming expenses. Year-to-date Adjusted EBITDA margin was 40.2% compared to 40.1% in 2016.</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Arial" w:cs="Arial" w:eastAsia="Arial" w:hAnsi="Arial"/>
                <w:sz w:val="14"/>
                <w:szCs w:val="14"/>
                <w:color w:val="auto"/>
              </w:rPr>
              <w:t>3rd Quarter</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jc w:val="right"/>
              <w:ind w:right="568"/>
              <w:spacing w:after="0"/>
              <w:rPr>
                <w:sz w:val="20"/>
                <w:szCs w:val="20"/>
                <w:color w:val="auto"/>
              </w:rPr>
            </w:pPr>
            <w:r>
              <w:rPr>
                <w:rFonts w:ascii="Arial" w:cs="Arial" w:eastAsia="Arial" w:hAnsi="Arial"/>
                <w:sz w:val="14"/>
                <w:szCs w:val="14"/>
                <w:color w:val="auto"/>
              </w:rPr>
              <w:t>Year to Date</w:t>
            </w:r>
          </w:p>
        </w:tc>
        <w:tc>
          <w:tcPr>
            <w:tcW w:w="860" w:type="dxa"/>
            <w:vAlign w:val="bottom"/>
          </w:tcPr>
          <w:p>
            <w:pPr>
              <w:spacing w:after="0"/>
              <w:rPr>
                <w:sz w:val="14"/>
                <w:szCs w:val="14"/>
                <w:color w:val="auto"/>
              </w:rPr>
            </w:pPr>
          </w:p>
        </w:tc>
      </w:tr>
      <w:tr>
        <w:trPr>
          <w:trHeight w:val="16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2016</w:t>
            </w: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2017</w:t>
            </w: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Growth</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c>
          <w:tcPr>
            <w:tcW w:w="1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6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1760" w:type="dxa"/>
            <w:vAlign w:val="bottom"/>
          </w:tcPr>
          <w:p>
            <w:pPr>
              <w:jc w:val="right"/>
              <w:ind w:right="108"/>
              <w:spacing w:after="0"/>
              <w:rPr>
                <w:sz w:val="20"/>
                <w:szCs w:val="20"/>
                <w:color w:val="auto"/>
              </w:rPr>
            </w:pPr>
            <w:r>
              <w:rPr>
                <w:rFonts w:ascii="Arial" w:cs="Arial" w:eastAsia="Arial" w:hAnsi="Arial"/>
                <w:sz w:val="14"/>
                <w:szCs w:val="14"/>
                <w:color w:val="auto"/>
              </w:rPr>
              <w:t>$2,942</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$2,603</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(11.5%)</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$7,961</w:t>
            </w: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$7,940</w:t>
            </w: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2,510</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i w:val="1"/>
                <w:iCs w:val="1"/>
                <w:color w:val="auto"/>
              </w:rPr>
              <w:t>2,603</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i w:val="1"/>
                <w:iCs w:val="1"/>
                <w:color w:val="auto"/>
              </w:rPr>
              <w:t>3.7%</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7,529</w:t>
            </w:r>
          </w:p>
        </w:tc>
        <w:tc>
          <w:tcPr>
            <w:tcW w:w="1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7,940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5.5%</w:t>
            </w: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760" w:type="dxa"/>
            <w:vAlign w:val="bottom"/>
          </w:tcPr>
          <w:p>
            <w:pPr>
              <w:jc w:val="right"/>
              <w:ind w:right="108"/>
              <w:spacing w:after="0"/>
              <w:rPr>
                <w:sz w:val="20"/>
                <w:szCs w:val="20"/>
                <w:color w:val="auto"/>
              </w:rPr>
            </w:pPr>
            <w:r>
              <w:rPr>
                <w:rFonts w:ascii="Arial" w:cs="Arial" w:eastAsia="Arial" w:hAnsi="Arial"/>
                <w:sz w:val="14"/>
                <w:szCs w:val="14"/>
                <w:color w:val="auto"/>
              </w:rPr>
              <w:t>3,087</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2,133</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(30.9%)</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7,299</w:t>
            </w: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6,582</w:t>
            </w:r>
          </w:p>
        </w:tc>
        <w:tc>
          <w:tcPr>
            <w:tcW w:w="86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1,899</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i w:val="1"/>
                <w:iCs w:val="1"/>
                <w:color w:val="auto"/>
              </w:rPr>
              <w:t>2,133</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i w:val="1"/>
                <w:iCs w:val="1"/>
                <w:color w:val="auto"/>
              </w:rPr>
              <w:t>12.3%</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6,111</w:t>
            </w:r>
          </w:p>
        </w:tc>
        <w:tc>
          <w:tcPr>
            <w:tcW w:w="1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6,582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7.7%</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1,792</w:t>
            </w:r>
          </w:p>
        </w:tc>
        <w:tc>
          <w:tcPr>
            <w:tcW w:w="15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1,784</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(0.5%)</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4,526</w:t>
            </w:r>
          </w:p>
        </w:tc>
        <w:tc>
          <w:tcPr>
            <w:tcW w:w="15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5,920</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1,440</w:t>
            </w:r>
          </w:p>
        </w:tc>
        <w:tc>
          <w:tcPr>
            <w:tcW w:w="15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1,550</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7.7%</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3,602</w:t>
            </w:r>
          </w:p>
        </w:tc>
        <w:tc>
          <w:tcPr>
            <w:tcW w:w="15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3,982</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w:t>
            </w:r>
          </w:p>
        </w:tc>
      </w:tr>
      <w:tr>
        <w:trPr>
          <w:trHeight w:val="163"/>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7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(83)</w:t>
            </w:r>
          </w:p>
        </w:tc>
        <w:tc>
          <w:tcPr>
            <w:tcW w:w="15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(56)</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(246)</w:t>
            </w:r>
          </w:p>
        </w:tc>
        <w:tc>
          <w:tcPr>
            <w:tcW w:w="15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(211)</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r>
      <w:tr>
        <w:trPr>
          <w:trHeight w:val="190"/>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760" w:type="dxa"/>
            <w:vAlign w:val="bottom"/>
          </w:tcPr>
          <w:p>
            <w:pPr>
              <w:jc w:val="right"/>
              <w:ind w:right="108"/>
              <w:spacing w:after="0"/>
              <w:rPr>
                <w:sz w:val="20"/>
                <w:szCs w:val="20"/>
                <w:color w:val="auto"/>
              </w:rPr>
            </w:pPr>
            <w:r>
              <w:rPr>
                <w:rFonts w:ascii="Arial" w:cs="Arial" w:eastAsia="Arial" w:hAnsi="Arial"/>
                <w:sz w:val="14"/>
                <w:szCs w:val="14"/>
                <w:b w:val="1"/>
                <w:bCs w:val="1"/>
                <w:color w:val="auto"/>
              </w:rPr>
              <w:t>$9,178</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$8,014</w:t>
            </w:r>
          </w:p>
        </w:tc>
        <w:tc>
          <w:tcPr>
            <w:tcW w:w="1220" w:type="dxa"/>
            <w:vAlign w:val="bottom"/>
          </w:tcPr>
          <w:p>
            <w:pPr>
              <w:jc w:val="right"/>
              <w:ind w:right="268"/>
              <w:spacing w:after="0"/>
              <w:rPr>
                <w:sz w:val="20"/>
                <w:szCs w:val="20"/>
                <w:color w:val="auto"/>
              </w:rPr>
            </w:pPr>
            <w:r>
              <w:rPr>
                <w:rFonts w:ascii="Arial" w:cs="Arial" w:eastAsia="Arial" w:hAnsi="Arial"/>
                <w:sz w:val="14"/>
                <w:szCs w:val="14"/>
                <w:b w:val="1"/>
                <w:bCs w:val="1"/>
                <w:color w:val="auto"/>
              </w:rPr>
              <w:t>(12.7%)</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$23,142</w:t>
            </w: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$24,213</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189"/>
        </w:trPr>
        <w:tc>
          <w:tcPr>
            <w:tcW w:w="3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Excluding Olympics (see Table 6)</w:t>
            </w:r>
          </w:p>
        </w:tc>
        <w:tc>
          <w:tcPr>
            <w:tcW w:w="176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$7,558</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i w:val="1"/>
                <w:iCs w:val="1"/>
                <w:color w:val="auto"/>
              </w:rPr>
              <w:t>$8,014</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i w:val="1"/>
                <w:iCs w:val="1"/>
                <w:color w:val="auto"/>
              </w:rPr>
              <w:t>6.0%</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$21,522</w:t>
            </w: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i w:val="1"/>
                <w:iCs w:val="1"/>
                <w:color w:val="auto"/>
              </w:rPr>
              <w:t>$24,213</w:t>
            </w:r>
          </w:p>
        </w:tc>
        <w:tc>
          <w:tcPr>
            <w:tcW w:w="8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12.5%</w:t>
            </w:r>
          </w:p>
        </w:tc>
      </w:tr>
      <w:tr>
        <w:trPr>
          <w:trHeight w:val="208"/>
        </w:trPr>
        <w:tc>
          <w:tcPr>
            <w:tcW w:w="3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6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$893</w:t>
            </w:r>
          </w:p>
        </w:tc>
        <w:tc>
          <w:tcPr>
            <w:tcW w:w="15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$905</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1.5%</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$2,793</w:t>
            </w:r>
          </w:p>
        </w:tc>
        <w:tc>
          <w:tcPr>
            <w:tcW w:w="15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$3,076</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Broadcast Television</w:t>
            </w:r>
          </w:p>
        </w:tc>
        <w:tc>
          <w:tcPr>
            <w:tcW w:w="1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378</w:t>
            </w:r>
          </w:p>
        </w:tc>
        <w:tc>
          <w:tcPr>
            <w:tcW w:w="15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321</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(15.0%)</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1,056</w:t>
            </w:r>
          </w:p>
        </w:tc>
        <w:tc>
          <w:tcPr>
            <w:tcW w:w="15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1,059</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353</w:t>
            </w:r>
          </w:p>
        </w:tc>
        <w:tc>
          <w:tcPr>
            <w:tcW w:w="15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394</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11.9%</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576</w:t>
            </w:r>
          </w:p>
        </w:tc>
        <w:tc>
          <w:tcPr>
            <w:tcW w:w="15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1,047</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81.9%</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706</w:t>
            </w:r>
          </w:p>
        </w:tc>
        <w:tc>
          <w:tcPr>
            <w:tcW w:w="15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775</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9.8%</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1,550</w:t>
            </w:r>
          </w:p>
        </w:tc>
        <w:tc>
          <w:tcPr>
            <w:tcW w:w="15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1,723</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r>
      <w:tr>
        <w:trPr>
          <w:trHeight w:val="163"/>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7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(184)</w:t>
            </w:r>
          </w:p>
        </w:tc>
        <w:tc>
          <w:tcPr>
            <w:tcW w:w="15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(121)</w:t>
            </w:r>
          </w:p>
        </w:tc>
        <w:tc>
          <w:tcPr>
            <w:tcW w:w="12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(518)</w:t>
            </w:r>
          </w:p>
        </w:tc>
        <w:tc>
          <w:tcPr>
            <w:tcW w:w="15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(543)</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r>
      <w:tr>
        <w:trPr>
          <w:trHeight w:val="190"/>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760" w:type="dxa"/>
            <w:vAlign w:val="bottom"/>
          </w:tcPr>
          <w:p>
            <w:pPr>
              <w:jc w:val="right"/>
              <w:ind w:right="108"/>
              <w:spacing w:after="0"/>
              <w:rPr>
                <w:sz w:val="20"/>
                <w:szCs w:val="20"/>
                <w:color w:val="auto"/>
              </w:rPr>
            </w:pPr>
            <w:r>
              <w:rPr>
                <w:rFonts w:ascii="Arial" w:cs="Arial" w:eastAsia="Arial" w:hAnsi="Arial"/>
                <w:sz w:val="14"/>
                <w:szCs w:val="14"/>
                <w:b w:val="1"/>
                <w:bCs w:val="1"/>
                <w:color w:val="auto"/>
              </w:rPr>
              <w:t>$2,146</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$2,274</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6.0%</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$5,457</w:t>
            </w: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$6,362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16.6%</w:t>
            </w:r>
          </w:p>
        </w:tc>
      </w:tr>
      <w:tr>
        <w:trPr>
          <w:trHeight w:val="189"/>
        </w:trPr>
        <w:tc>
          <w:tcPr>
            <w:tcW w:w="3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Excluding Olympics (see Table 6)</w:t>
            </w:r>
          </w:p>
        </w:tc>
        <w:tc>
          <w:tcPr>
            <w:tcW w:w="176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$1,896</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i w:val="1"/>
                <w:iCs w:val="1"/>
                <w:color w:val="auto"/>
              </w:rPr>
              <w:t>$2,274</w:t>
            </w: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i w:val="1"/>
                <w:iCs w:val="1"/>
                <w:color w:val="auto"/>
              </w:rPr>
              <w:t>19.9%</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$5,207</w:t>
            </w: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i w:val="1"/>
                <w:iCs w:val="1"/>
                <w:color w:val="auto"/>
              </w:rPr>
              <w:t>$6,362</w:t>
            </w:r>
          </w:p>
        </w:tc>
        <w:tc>
          <w:tcPr>
            <w:tcW w:w="8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22.2%</w:t>
            </w: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176"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12.7% to $8.0 billion in the third quarter of 2017. Excluding $1.6 billion of revenue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broadcast of the Rio Olympics in the third quarter of 2016, revenue increased 6.0% (see Table 6).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6.0% to $2.3 billion, reflecting increases at Theme Parks, Filmed Entertainment, and Cable Networks, partially offset by a decline at Broadcast Television. Excluding $250 million of Adjusted EBITDA generated by the Rio Olympics in the third quarter of 2016, Adjusted EBITDA increased 19.9% (see Table 6).</w:t>
      </w:r>
    </w:p>
    <w:p>
      <w:pPr>
        <w:spacing w:after="0" w:line="18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For the nine months ended September 30, 2017, NBCUniversal revenue increased 4.6% to $24.2 billion compared to 2016. Excluding $1.6 billion of revenue generated by the broadcast of the Rio Olympics in the third quarter of 2016, revenue increased 12.5% (see Table 6). Adjusted EBITDA increased 16.6% to $6.4 billion, reflecting increases at Filmed Entertainment, Cable Networks, Theme Parks, and Broadcast Television. Excluding $250 million of Adjusted EBITDA generated by the Rio Olympics in the third quarter of 2016, Adjusted EBITDA increased 22.2% (see Table 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Cable Networks revenue decreased 11.5% to $2.6 billion in the third quarter of 2017, reflecting lower distribution and advertising revenue, partially offset by higher content licensing and other revenue. Excluding $432 million of revenue generated by the broadcast of the Rio Olympics in the third quarter of 2016, Cable Networks revenue increased 3.7% (see Table 6). Distribution revenue decreased 13.4%, due to the broadcast of the Rio Olympics in the third quarter of 2016 and a decline in subscribers at our cable networks, partially offset by contractual rate increases and contract renewals. Advertising revenue decreased 16.5%, due to revenue</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associated with the broadcast of the Rio Olympics in the third quarter of 2016. Content licensing and other revenue increased 24.0%, reflecting the timing of content provided under licensing agreements. Adjusted EBITDA increased 1.5% to $905 million in the third quarter of 2017, reflecting a decrease in programming and production costs, partially offset by lower revenue, due to the broadcast of the Rio Olympics in the third quarter of 2016.</w:t>
      </w:r>
    </w:p>
    <w:p>
      <w:pPr>
        <w:spacing w:after="0" w:line="188"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nine months ended September 30, 2017, revenue from the Cable Networks segment decreased 0.3% to $7.9 billion compared to 2016, reflecting a decline in advertising revenue, partially offset by higher content licensing and other revenue. Excluding $432 million of revenue generated by the broadcast of the Rio Olympics in the third quarter of 2016, Cable Networks revenue increased 5.5% (see Table 6). Adjusted</w:t>
      </w:r>
    </w:p>
    <w:p>
      <w:pPr>
        <w:sectPr>
          <w:pgSz w:w="11900" w:h="16923" w:orient="portrait"/>
          <w:cols w:equalWidth="0" w:num="1">
            <w:col w:w="11460"/>
          </w:cols>
          <w:pgMar w:left="240" w:top="349" w:right="199" w:bottom="0" w:gutter="0" w:footer="0" w:header="0"/>
        </w:sectPr>
      </w:pPr>
    </w:p>
    <w:bookmarkStart w:id="5" w:name="page6"/>
    <w:bookmarkEnd w:id="5"/>
    <w:p>
      <w:pPr>
        <w:jc w:val="both"/>
        <w:spacing w:after="0" w:line="245" w:lineRule="auto"/>
        <w:rPr>
          <w:sz w:val="20"/>
          <w:szCs w:val="20"/>
          <w:color w:val="auto"/>
        </w:rPr>
      </w:pPr>
      <w:r>
        <w:rPr>
          <w:rFonts w:ascii="Arial" w:cs="Arial" w:eastAsia="Arial" w:hAnsi="Arial"/>
          <w:sz w:val="18"/>
          <w:szCs w:val="18"/>
          <w:color w:val="auto"/>
        </w:rPr>
        <w:t>EBITDA increased 10.1% to $ 3.1 billion compared to 2016, reflecting a decrease in programming and production costs, partially offset by modestly lower revenue, due to the broadcast of the Rio Olympics in the third quarter of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Broadcast Television revenue decreased 30.9% to $ 2.1 billion in the third quarter of 2017, reflecting lower advertising revenue, partially offset by increased content licensing and distribution and other revenue. Excluding $1.2 billion of revenue generated by the broadcast of the Rio Olympics in the third quarter of 2016, Broadcast Television revenue increased 12.3% (see Table 6). Advertising revenue decreased 45.6%, due to revenue associated with the broadcast of the Rio Olympics in the third quarter of 2016. Content licensing revenue increased 20.5%, reflecting the timing of content provided under licensing agreements. Distribution and other revenue increased 2.3%, due to higher retransmission consent fees, partially offset by the broadcast of the Rio Olympics in the third quarter of 2016. Adjusted EBITDA decreased 15.0% to $321 million in the third quarter of 2017, reflecting lower revenue, partially offset by a decrease in programming and production costs, due to the broadcast of the Rio Olympics in the third quarter of 2016.</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2017, revenue from the Broadcast Television segment decreased 9.8% to $6.6 billion compared to 2016, reflecting a decline in advertising revenue, partially offset by higher distribution and other and content licensing revenue. Excluding $1.2 billion of revenue generated by the broadcast of the Rio Olympics in the third quarter of 2016, Broadcast Television revenue increased 7.7% (see Table 6). Adjusted EBITDA of $1.1 billion was consistent with 2016, reflecting a decrease in revenue, offset by a decrease in programming and production costs, due to the broadcast of the Rio Olympics in the third quarter of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decreased 0.5% to $1.8 billion in the third quarter of 2017, reflecting lower theatrical revenue, partially offset by increases in content licensing, other and home entertainment revenue. Theatrical revenue decreased 26.4%, primarily due to a higher number of releases in last year’s third quarter, including </w:t>
      </w:r>
      <w:r>
        <w:rPr>
          <w:rFonts w:ascii="Arial" w:cs="Arial" w:eastAsia="Arial" w:hAnsi="Arial"/>
          <w:sz w:val="18"/>
          <w:szCs w:val="18"/>
          <w:i w:val="1"/>
          <w:iCs w:val="1"/>
          <w:color w:val="auto"/>
        </w:rPr>
        <w:t>The Secret Life of Pets</w:t>
      </w:r>
      <w:r>
        <w:rPr>
          <w:rFonts w:ascii="Arial" w:cs="Arial" w:eastAsia="Arial" w:hAnsi="Arial"/>
          <w:sz w:val="18"/>
          <w:szCs w:val="18"/>
          <w:color w:val="auto"/>
        </w:rPr>
        <w:t xml:space="preserve"> and </w:t>
      </w:r>
      <w:r>
        <w:rPr>
          <w:rFonts w:ascii="Arial" w:cs="Arial" w:eastAsia="Arial" w:hAnsi="Arial"/>
          <w:sz w:val="18"/>
          <w:szCs w:val="18"/>
          <w:i w:val="1"/>
          <w:iCs w:val="1"/>
          <w:color w:val="auto"/>
        </w:rPr>
        <w:t>Jason Bourne</w:t>
      </w:r>
      <w:r>
        <w:rPr>
          <w:rFonts w:ascii="Arial" w:cs="Arial" w:eastAsia="Arial" w:hAnsi="Arial"/>
          <w:sz w:val="18"/>
          <w:szCs w:val="18"/>
          <w:color w:val="auto"/>
        </w:rPr>
        <w:t xml:space="preserve">, partially offset by the strong performance of </w:t>
      </w:r>
      <w:r>
        <w:rPr>
          <w:rFonts w:ascii="Arial" w:cs="Arial" w:eastAsia="Arial" w:hAnsi="Arial"/>
          <w:sz w:val="18"/>
          <w:szCs w:val="18"/>
          <w:i w:val="1"/>
          <w:iCs w:val="1"/>
          <w:color w:val="auto"/>
        </w:rPr>
        <w:t xml:space="preserve">Despicable Me 3 </w:t>
      </w:r>
      <w:r>
        <w:rPr>
          <w:rFonts w:ascii="Arial" w:cs="Arial" w:eastAsia="Arial" w:hAnsi="Arial"/>
          <w:sz w:val="18"/>
          <w:szCs w:val="18"/>
          <w:color w:val="auto"/>
        </w:rPr>
        <w:t>in this year’s third quarter. Content licensing revenue increased 14.9%, due to the timing of when content was made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licensing agreements. Other revenue increased 21.0%, driven by consumer products. Home Entertainment revenue increased 14.4%, driven by strong sales of recent titles, including </w:t>
      </w:r>
      <w:r>
        <w:rPr>
          <w:rFonts w:ascii="Arial" w:cs="Arial" w:eastAsia="Arial" w:hAnsi="Arial"/>
          <w:sz w:val="18"/>
          <w:szCs w:val="18"/>
          <w:i w:val="1"/>
          <w:iCs w:val="1"/>
          <w:color w:val="auto"/>
        </w:rPr>
        <w:t>The Fate of the Furious</w:t>
      </w:r>
      <w:r>
        <w:rPr>
          <w:rFonts w:ascii="Arial" w:cs="Arial" w:eastAsia="Arial" w:hAnsi="Arial"/>
          <w:sz w:val="18"/>
          <w:szCs w:val="18"/>
          <w:color w:val="auto"/>
        </w:rPr>
        <w:t>. Adjusted EBITDA increased by 11.9% to $394 million in the third quarter of 2017, reflecting lower revenue that was more than offset by a decline in other operating and administrative expenses.</w:t>
      </w:r>
    </w:p>
    <w:p>
      <w:pPr>
        <w:spacing w:after="0" w:line="19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nine months ended September 30, 2017, revenue from the Filmed Entertainment segment increased 30.8% to $5.9 billion compared to 2016, reflecting higher theatrical revenue, as well as increases in content licensing, other and home entertainment revenue. Adjusted EBITDA increased 81.9% to $1.0 billion compared to 2016, reflecting higher revenue, partially offset by increased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Theme Parks revenue increased 7.7% to $1.6 billion in the third quarter of 2017 primarily due to higher per capita spending, reflecting the continued success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attraction in Hollywood, which opened in April 2016, and the openings of </w:t>
      </w:r>
      <w:r>
        <w:rPr>
          <w:rFonts w:ascii="Arial" w:cs="Arial" w:eastAsia="Arial" w:hAnsi="Arial"/>
          <w:sz w:val="18"/>
          <w:szCs w:val="18"/>
          <w:i w:val="1"/>
          <w:iCs w:val="1"/>
          <w:color w:val="auto"/>
        </w:rPr>
        <w:t>Minion</w:t>
      </w:r>
      <w:r>
        <w:rPr>
          <w:rFonts w:ascii="Arial" w:cs="Arial" w:eastAsia="Arial" w:hAnsi="Arial"/>
          <w:sz w:val="18"/>
          <w:szCs w:val="18"/>
          <w:color w:val="auto"/>
        </w:rPr>
        <w:t xml:space="preserve"> </w:t>
      </w:r>
      <w:r>
        <w:rPr>
          <w:rFonts w:ascii="Arial" w:cs="Arial" w:eastAsia="Arial" w:hAnsi="Arial"/>
          <w:sz w:val="18"/>
          <w:szCs w:val="18"/>
          <w:i w:val="1"/>
          <w:iCs w:val="1"/>
          <w:color w:val="auto"/>
        </w:rPr>
        <w:t>Park</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in Japan in April 2017 and</w:t>
      </w:r>
      <w:r>
        <w:rPr>
          <w:rFonts w:ascii="Arial" w:cs="Arial" w:eastAsia="Arial" w:hAnsi="Arial"/>
          <w:sz w:val="18"/>
          <w:szCs w:val="18"/>
          <w:i w:val="1"/>
          <w:iCs w:val="1"/>
          <w:color w:val="auto"/>
        </w:rPr>
        <w:t xml:space="preserve"> Volcano Bay</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in Orlando in May 2017. Adjusted EBITDA increased 9.8% to $775 million in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2017, reflecting higher revenue, partially offset by an increase in operating expenses, as well as the impact of the hurricane.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2017, revenue from the Theme Parks segment increased 10.6% to $4.0 billion compared to 2016, reflecting higher attendance and per capita spending. Adjusted EBITDA increased 11.2% to $1.7 billion compared to 2016, reflecting higher revenue, partially offset by an increase in operating expenses, including costs to support new attractions.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2017, NBCUniversal Headquarters, Other and Eliminations Adjusted EBITDA loss was $121 million, which included a favorable tax settlement, compared to a loss of $184 million in the third quarter of 2016.</w:t>
      </w:r>
    </w:p>
    <w:p>
      <w:pPr>
        <w:spacing w:after="0" w:line="1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For the nine months ended September 30, 2017, NBCUniversal Headquarters, Other and Eliminations Adjusted EBITDA loss was $543 million compared to a loss of $518 million in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relate to corporate operations, Comcast Spectacor and our new wireless initiative, Xfinity Mobile, as well as eliminations among Comcast’s businesses. For the quarter ended September 30, 2017, Corporate, Other and Eliminations revenue was ($234) million compared to ($416) million in the third quarter of 2016. The Adjusted EBITDA loss was $340 million compared to a loss of $297 million in the third quarter of 2016, which included eliminations associated with the 2016 Rio Olympics.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2017, Corporate, Other and Eliminations revenue was ($839) million compared to ($969) million in 2016. The Adjusted EBITDA loss was $815 million compared to a loss of $723 million in 2016, which included eliminations associated with the 2016 Rio Olympics.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120650</wp:posOffset>
            </wp:positionV>
            <wp:extent cx="72034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Notes:</w:t>
      </w:r>
    </w:p>
    <w:p>
      <w:pPr>
        <w:spacing w:after="0" w:line="139" w:lineRule="exact"/>
        <w:rPr>
          <w:sz w:val="20"/>
          <w:szCs w:val="20"/>
          <w:color w:val="auto"/>
        </w:rPr>
      </w:pPr>
    </w:p>
    <w:p>
      <w:pPr>
        <w:jc w:val="both"/>
        <w:ind w:left="180" w:hanging="167"/>
        <w:spacing w:after="0" w:line="237" w:lineRule="auto"/>
        <w:rPr>
          <w:sz w:val="20"/>
          <w:szCs w:val="20"/>
          <w:color w:val="auto"/>
        </w:rPr>
      </w:pPr>
      <w:r>
        <w:rPr>
          <w:rFonts w:ascii="Arial" w:cs="Arial" w:eastAsia="Arial" w:hAnsi="Arial"/>
          <w:sz w:val="18"/>
          <w:szCs w:val="18"/>
          <w:color w:val="auto"/>
        </w:rPr>
        <w:t>1 We define Adjusted EBITDA as net income attributable to Comcast Corporation before net (income) loss attributable to noncontrolling interests and redeemable subsidiary preferred stock, income tax expense, other income (expense) items, net,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See Table 4 for reconciliation of non-GAAP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 and reflect the two-for-one stock split on February 17, 2017.</w:t>
      </w:r>
    </w:p>
    <w:p>
      <w:pPr>
        <w:spacing w:after="0" w:line="198" w:lineRule="exact"/>
        <w:rPr>
          <w:sz w:val="20"/>
          <w:szCs w:val="20"/>
          <w:color w:val="auto"/>
        </w:rPr>
      </w:pPr>
    </w:p>
    <w:p>
      <w:pPr>
        <w:jc w:val="both"/>
        <w:ind w:left="180" w:hanging="167"/>
        <w:spacing w:after="0" w:line="238" w:lineRule="auto"/>
        <w:rPr>
          <w:sz w:val="20"/>
          <w:szCs w:val="20"/>
          <w:color w:val="auto"/>
        </w:rPr>
      </w:pPr>
      <w:r>
        <w:rPr>
          <w:rFonts w:ascii="Arial" w:cs="Arial" w:eastAsia="Arial" w:hAnsi="Arial"/>
          <w:sz w:val="18"/>
          <w:szCs w:val="18"/>
          <w:color w:val="auto"/>
        </w:rPr>
        <w:t>3 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The definition of Free Cash Flow excludes any impact from Economic Stimulus packages. These amounts have been excluded from Free Cash Flow to provide an appropriate comparison. See Table 5 for reconciliation of non-GAAP financial measures.</w:t>
      </w:r>
    </w:p>
    <w:p>
      <w:pPr>
        <w:sectPr>
          <w:pgSz w:w="11900" w:h="16838" w:orient="portrait"/>
          <w:cols w:equalWidth="0" w:num="1">
            <w:col w:w="11420"/>
          </w:cols>
          <w:pgMar w:left="240" w:top="140" w:right="239" w:bottom="0" w:gutter="0" w:footer="0" w:header="0"/>
        </w:sectPr>
      </w:pPr>
    </w:p>
    <w:bookmarkStart w:id="6" w:name="page7"/>
    <w:bookmarkEnd w:id="6"/>
    <w:p>
      <w:pPr>
        <w:spacing w:after="0" w:line="72" w:lineRule="exact"/>
        <w:rPr>
          <w:sz w:val="20"/>
          <w:szCs w:val="20"/>
          <w:color w:val="auto"/>
        </w:rPr>
      </w:pPr>
    </w:p>
    <w:p>
      <w:pPr>
        <w:jc w:val="both"/>
        <w:ind w:left="180" w:hanging="167"/>
        <w:spacing w:after="0" w:line="246" w:lineRule="auto"/>
        <w:rPr>
          <w:sz w:val="20"/>
          <w:szCs w:val="20"/>
          <w:color w:val="auto"/>
        </w:rPr>
      </w:pPr>
      <w:r>
        <w:rPr>
          <w:rFonts w:ascii="Arial" w:cs="Arial" w:eastAsia="Arial" w:hAnsi="Arial"/>
          <w:sz w:val="18"/>
          <w:szCs w:val="18"/>
          <w:color w:val="auto"/>
        </w:rPr>
        <w:t>4 To be consistent with our current management reporting presentation, certain 2016 operating results were reclassified within the Cable Communications segment.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26, 2017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Those parties interested in participating via telephone should dial (800) 263-8495 with the conference ID number 82436454. A replay of the call will be available starting at 12:00 p.m. ET on October 26, 2017, on the Investor Relations website or by telephone. To access the telephone replay, which will be available until Thursday, November 2, 2017 at midnight ET, please dial (855) 859-2056 and enter the conference ID number 82436454.</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www.cmcsa.com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i w:val="1"/>
          <w:iCs w:val="1"/>
          <w:color w:val="auto"/>
        </w:rPr>
        <w:t>.</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-267335</wp:posOffset>
            </wp:positionV>
            <wp:extent cx="837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040" w:type="dxa"/>
            <w:vAlign w:val="bottom"/>
          </w:tcPr>
          <w:p>
            <w:pPr>
              <w:spacing w:after="0"/>
              <w:rPr>
                <w:sz w:val="19"/>
                <w:szCs w:val="19"/>
                <w:color w:val="auto"/>
              </w:rPr>
            </w:pPr>
          </w:p>
        </w:tc>
        <w:tc>
          <w:tcPr>
            <w:tcW w:w="3100" w:type="dxa"/>
            <w:vAlign w:val="bottom"/>
          </w:tcPr>
          <w:p>
            <w:pPr>
              <w:ind w:left="1440"/>
              <w:spacing w:after="0"/>
              <w:rPr>
                <w:sz w:val="20"/>
                <w:szCs w:val="20"/>
                <w:color w:val="auto"/>
              </w:rPr>
            </w:pPr>
            <w:r>
              <w:rPr>
                <w:rFonts w:ascii="Arial" w:cs="Arial" w:eastAsia="Arial" w:hAnsi="Arial"/>
                <w:sz w:val="18"/>
                <w:szCs w:val="18"/>
                <w:b w:val="1"/>
                <w:bCs w:val="1"/>
                <w:color w:val="auto"/>
              </w:rPr>
              <w:t>Press Contacts:</w:t>
            </w:r>
          </w:p>
        </w:tc>
        <w:tc>
          <w:tcPr>
            <w:tcW w:w="1540" w:type="dxa"/>
            <w:vAlign w:val="bottom"/>
          </w:tcPr>
          <w:p>
            <w:pPr>
              <w:spacing w:after="0"/>
              <w:rPr>
                <w:sz w:val="19"/>
                <w:szCs w:val="19"/>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3040" w:type="dxa"/>
            <w:vAlign w:val="bottom"/>
          </w:tcPr>
          <w:p>
            <w:pPr>
              <w:jc w:val="right"/>
              <w:ind w:right="1350"/>
              <w:spacing w:after="0" w:line="202" w:lineRule="exact"/>
              <w:rPr>
                <w:sz w:val="20"/>
                <w:szCs w:val="20"/>
                <w:color w:val="auto"/>
              </w:rPr>
            </w:pPr>
            <w:r>
              <w:rPr>
                <w:rFonts w:ascii="Arial" w:cs="Arial" w:eastAsia="Arial" w:hAnsi="Arial"/>
                <w:sz w:val="18"/>
                <w:szCs w:val="18"/>
                <w:color w:val="auto"/>
              </w:rPr>
              <w:t>(215) 286-7972</w:t>
            </w:r>
          </w:p>
        </w:tc>
        <w:tc>
          <w:tcPr>
            <w:tcW w:w="3100" w:type="dxa"/>
            <w:vAlign w:val="bottom"/>
          </w:tcPr>
          <w:p>
            <w:pPr>
              <w:ind w:left="1440"/>
              <w:spacing w:after="0" w:line="202" w:lineRule="exact"/>
              <w:rPr>
                <w:sz w:val="20"/>
                <w:szCs w:val="20"/>
                <w:color w:val="auto"/>
              </w:rPr>
            </w:pPr>
            <w:r>
              <w:rPr>
                <w:rFonts w:ascii="Arial" w:cs="Arial" w:eastAsia="Arial" w:hAnsi="Arial"/>
                <w:sz w:val="18"/>
                <w:szCs w:val="18"/>
                <w:color w:val="auto"/>
              </w:rPr>
              <w:t>D’Arcy Rudnay</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940" w:type="dxa"/>
            <w:vAlign w:val="bottom"/>
          </w:tcPr>
          <w:p>
            <w:pPr>
              <w:spacing w:after="0"/>
              <w:rPr>
                <w:sz w:val="20"/>
                <w:szCs w:val="20"/>
                <w:color w:val="auto"/>
              </w:rPr>
            </w:pPr>
            <w:r>
              <w:rPr>
                <w:rFonts w:ascii="Arial" w:cs="Arial" w:eastAsia="Arial" w:hAnsi="Arial"/>
                <w:sz w:val="18"/>
                <w:szCs w:val="18"/>
                <w:color w:val="auto"/>
              </w:rPr>
              <w:t>Jane Kearns</w:t>
            </w:r>
          </w:p>
        </w:tc>
        <w:tc>
          <w:tcPr>
            <w:tcW w:w="3040" w:type="dxa"/>
            <w:vAlign w:val="bottom"/>
          </w:tcPr>
          <w:p>
            <w:pPr>
              <w:jc w:val="right"/>
              <w:ind w:right="1350"/>
              <w:spacing w:after="0"/>
              <w:rPr>
                <w:sz w:val="20"/>
                <w:szCs w:val="20"/>
                <w:color w:val="auto"/>
              </w:rPr>
            </w:pPr>
            <w:r>
              <w:rPr>
                <w:rFonts w:ascii="Arial" w:cs="Arial" w:eastAsia="Arial" w:hAnsi="Arial"/>
                <w:sz w:val="18"/>
                <w:szCs w:val="18"/>
                <w:color w:val="auto"/>
              </w:rPr>
              <w:t>(215) 286-4794</w:t>
            </w:r>
          </w:p>
        </w:tc>
        <w:tc>
          <w:tcPr>
            <w:tcW w:w="3100" w:type="dxa"/>
            <w:vAlign w:val="bottom"/>
          </w:tcPr>
          <w:p>
            <w:pPr>
              <w:ind w:left="1440"/>
              <w:spacing w:after="0"/>
              <w:rPr>
                <w:sz w:val="20"/>
                <w:szCs w:val="20"/>
                <w:color w:val="auto"/>
              </w:rPr>
            </w:pPr>
            <w:r>
              <w:rPr>
                <w:rFonts w:ascii="Arial" w:cs="Arial" w:eastAsia="Arial" w:hAnsi="Arial"/>
                <w:sz w:val="18"/>
                <w:szCs w:val="18"/>
                <w:color w:val="auto"/>
              </w:rPr>
              <w:t>John Demming</w:t>
            </w:r>
          </w:p>
        </w:tc>
        <w:tc>
          <w:tcPr>
            <w:tcW w:w="154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p>
        </w:tc>
        <w:tc>
          <w:tcPr>
            <w:tcW w:w="28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6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7"/>
        </w:trPr>
        <w:tc>
          <w:tcPr>
            <w:tcW w:w="596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8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2"/>
        </w:trPr>
        <w:tc>
          <w:tcPr>
            <w:tcW w:w="596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$21,319</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$20,983</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$59,378</w:t>
            </w: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$62,611</w:t>
            </w:r>
          </w:p>
        </w:tc>
        <w:tc>
          <w:tcPr>
            <w:tcW w:w="0" w:type="dxa"/>
            <w:vAlign w:val="bottom"/>
          </w:tcPr>
          <w:p>
            <w:pPr>
              <w:spacing w:after="0"/>
              <w:rPr>
                <w:sz w:val="1"/>
                <w:szCs w:val="1"/>
                <w:color w:val="auto"/>
              </w:rPr>
            </w:pPr>
          </w:p>
        </w:tc>
      </w:tr>
      <w:tr>
        <w:trPr>
          <w:trHeight w:val="359"/>
        </w:trPr>
        <w:tc>
          <w:tcPr>
            <w:tcW w:w="5960" w:type="dxa"/>
            <w:vAlign w:val="bottom"/>
          </w:tcPr>
          <w:p>
            <w:pPr>
              <w:ind w:left="420"/>
              <w:spacing w:after="0"/>
              <w:rPr>
                <w:sz w:val="20"/>
                <w:szCs w:val="20"/>
                <w:color w:val="auto"/>
              </w:rPr>
            </w:pPr>
            <w:r>
              <w:rPr>
                <w:rFonts w:ascii="Arial" w:cs="Arial" w:eastAsia="Arial" w:hAnsi="Arial"/>
                <w:sz w:val="18"/>
                <w:szCs w:val="18"/>
                <w:color w:val="auto"/>
              </w:rPr>
              <w:t>Programming and production</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7,003</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6,077</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17,926</w:t>
            </w: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18,492</w:t>
            </w:r>
          </w:p>
        </w:tc>
        <w:tc>
          <w:tcPr>
            <w:tcW w:w="0" w:type="dxa"/>
            <w:vAlign w:val="bottom"/>
          </w:tcPr>
          <w:p>
            <w:pPr>
              <w:spacing w:after="0"/>
              <w:rPr>
                <w:sz w:val="1"/>
                <w:szCs w:val="1"/>
                <w:color w:val="auto"/>
              </w:rPr>
            </w:pPr>
          </w:p>
        </w:tc>
      </w:tr>
      <w:tr>
        <w:trPr>
          <w:trHeight w:val="216"/>
        </w:trPr>
        <w:tc>
          <w:tcPr>
            <w:tcW w:w="59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6,423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17,285</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18,310</w:t>
            </w:r>
          </w:p>
        </w:tc>
        <w:tc>
          <w:tcPr>
            <w:tcW w:w="0" w:type="dxa"/>
            <w:vAlign w:val="bottom"/>
          </w:tcPr>
          <w:p>
            <w:pPr>
              <w:spacing w:after="0"/>
              <w:rPr>
                <w:sz w:val="1"/>
                <w:szCs w:val="1"/>
                <w:color w:val="auto"/>
              </w:rPr>
            </w:pPr>
          </w:p>
        </w:tc>
      </w:tr>
      <w:tr>
        <w:trPr>
          <w:trHeight w:val="216"/>
        </w:trPr>
        <w:tc>
          <w:tcPr>
            <w:tcW w:w="5960" w:type="dxa"/>
            <w:vAlign w:val="bottom"/>
          </w:tcPr>
          <w:p>
            <w:pPr>
              <w:ind w:left="420"/>
              <w:spacing w:after="0"/>
              <w:rPr>
                <w:sz w:val="20"/>
                <w:szCs w:val="20"/>
                <w:color w:val="auto"/>
              </w:rPr>
            </w:pPr>
            <w:r>
              <w:rPr>
                <w:rFonts w:ascii="Arial" w:cs="Arial" w:eastAsia="Arial" w:hAnsi="Arial"/>
                <w:sz w:val="18"/>
                <w:szCs w:val="18"/>
                <w:color w:val="auto"/>
              </w:rPr>
              <w:t>Advertising, marketing and promotion</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1,553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4,510</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4,748</w:t>
            </w:r>
          </w:p>
        </w:tc>
        <w:tc>
          <w:tcPr>
            <w:tcW w:w="0" w:type="dxa"/>
            <w:vAlign w:val="bottom"/>
          </w:tcPr>
          <w:p>
            <w:pPr>
              <w:spacing w:after="0"/>
              <w:rPr>
                <w:sz w:val="1"/>
                <w:szCs w:val="1"/>
                <w:color w:val="auto"/>
              </w:rPr>
            </w:pPr>
          </w:p>
        </w:tc>
      </w:tr>
      <w:tr>
        <w:trPr>
          <w:trHeight w:val="225"/>
        </w:trPr>
        <w:tc>
          <w:tcPr>
            <w:tcW w:w="5960" w:type="dxa"/>
            <w:vAlign w:val="bottom"/>
          </w:tcPr>
          <w:p>
            <w:pPr>
              <w:ind w:left="420"/>
              <w:spacing w:after="0"/>
              <w:rPr>
                <w:sz w:val="20"/>
                <w:szCs w:val="20"/>
                <w:color w:val="auto"/>
              </w:rPr>
            </w:pPr>
            <w:r>
              <w:rPr>
                <w:rFonts w:ascii="Arial" w:cs="Arial" w:eastAsia="Arial" w:hAnsi="Arial"/>
                <w:sz w:val="18"/>
                <w:szCs w:val="18"/>
                <w:color w:val="auto"/>
              </w:rPr>
              <w:t>Adjustments</w:t>
            </w:r>
            <w:r>
              <w:rPr>
                <w:rFonts w:ascii="Arial" w:cs="Arial" w:eastAsia="Arial" w:hAnsi="Arial"/>
                <w:sz w:val="18"/>
                <w:szCs w:val="18"/>
                <w:color w:val="auto"/>
                <w:vertAlign w:val="superscript"/>
              </w:rPr>
              <w:t>(1)</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30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14,484</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13,803</w:t>
            </w:r>
          </w:p>
        </w:tc>
        <w:tc>
          <w:tcPr>
            <w:tcW w:w="3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39,721</w:t>
            </w:r>
          </w:p>
        </w:tc>
        <w:tc>
          <w:tcPr>
            <w:tcW w:w="2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41,300</w:t>
            </w:r>
          </w:p>
        </w:tc>
        <w:tc>
          <w:tcPr>
            <w:tcW w:w="0" w:type="dxa"/>
            <w:vAlign w:val="bottom"/>
          </w:tcPr>
          <w:p>
            <w:pPr>
              <w:spacing w:after="0"/>
              <w:rPr>
                <w:sz w:val="1"/>
                <w:szCs w:val="1"/>
                <w:color w:val="auto"/>
              </w:rPr>
            </w:pPr>
          </w:p>
        </w:tc>
      </w:tr>
      <w:tr>
        <w:trPr>
          <w:trHeight w:val="412"/>
        </w:trPr>
        <w:tc>
          <w:tcPr>
            <w:tcW w:w="596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b w:val="1"/>
                <w:bCs w:val="1"/>
                <w:color w:val="auto"/>
                <w:vertAlign w:val="superscript"/>
              </w:rPr>
              <w:t>(1)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6,835</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7,180</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19,657</w:t>
            </w: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21,311</w:t>
            </w:r>
          </w:p>
        </w:tc>
        <w:tc>
          <w:tcPr>
            <w:tcW w:w="0" w:type="dxa"/>
            <w:vAlign w:val="bottom"/>
          </w:tcPr>
          <w:p>
            <w:pPr>
              <w:spacing w:after="0"/>
              <w:rPr>
                <w:sz w:val="1"/>
                <w:szCs w:val="1"/>
                <w:color w:val="auto"/>
              </w:rPr>
            </w:pPr>
          </w:p>
        </w:tc>
      </w:tr>
      <w:tr>
        <w:trPr>
          <w:trHeight w:val="369"/>
        </w:trPr>
        <w:tc>
          <w:tcPr>
            <w:tcW w:w="5960" w:type="dxa"/>
            <w:vAlign w:val="bottom"/>
          </w:tcPr>
          <w:p>
            <w:pPr>
              <w:ind w:left="420"/>
              <w:spacing w:after="0"/>
              <w:rPr>
                <w:sz w:val="20"/>
                <w:szCs w:val="20"/>
                <w:color w:val="auto"/>
              </w:rPr>
            </w:pPr>
            <w:r>
              <w:rPr>
                <w:rFonts w:ascii="Arial" w:cs="Arial" w:eastAsia="Arial" w:hAnsi="Arial"/>
                <w:sz w:val="18"/>
                <w:szCs w:val="18"/>
                <w:color w:val="auto"/>
              </w:rPr>
              <w:t>Adjustments</w:t>
            </w:r>
            <w:r>
              <w:rPr>
                <w:rFonts w:ascii="Arial" w:cs="Arial" w:eastAsia="Arial" w:hAnsi="Arial"/>
                <w:sz w:val="18"/>
                <w:szCs w:val="18"/>
                <w:color w:val="auto"/>
                <w:vertAlign w:val="superscript"/>
              </w:rPr>
              <w:t>(1)</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30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39"/>
        </w:trPr>
        <w:tc>
          <w:tcPr>
            <w:tcW w:w="596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5,518</w:t>
            </w: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5,876</w:t>
            </w:r>
          </w:p>
        </w:tc>
        <w:tc>
          <w:tcPr>
            <w:tcW w:w="0" w:type="dxa"/>
            <w:vAlign w:val="bottom"/>
          </w:tcPr>
          <w:p>
            <w:pPr>
              <w:spacing w:after="0"/>
              <w:rPr>
                <w:sz w:val="1"/>
                <w:szCs w:val="1"/>
                <w:color w:val="auto"/>
              </w:rPr>
            </w:pPr>
          </w:p>
        </w:tc>
      </w:tr>
    </w:tbl>
    <w:p>
      <w:pPr>
        <w:sectPr>
          <w:pgSz w:w="11900" w:h="16911" w:orient="portrait"/>
          <w:cols w:equalWidth="0" w:num="1">
            <w:col w:w="11420"/>
          </w:cols>
          <w:pgMar w:left="240" w:top="34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ind w:left="420"/>
              <w:spacing w:after="0"/>
              <w:rPr>
                <w:sz w:val="20"/>
                <w:szCs w:val="20"/>
                <w:color w:val="auto"/>
              </w:rPr>
            </w:pPr>
            <w:r>
              <w:rPr>
                <w:rFonts w:ascii="Arial" w:cs="Arial" w:eastAsia="Arial" w:hAnsi="Arial"/>
                <w:sz w:val="18"/>
                <w:szCs w:val="18"/>
                <w:color w:val="auto"/>
              </w:rPr>
              <w:t>Amortization expense</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1,544</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420"/>
              <w:spacing w:after="0"/>
              <w:rPr>
                <w:sz w:val="20"/>
                <w:szCs w:val="20"/>
                <w:color w:val="auto"/>
              </w:rPr>
            </w:pPr>
            <w:r>
              <w:rPr>
                <w:rFonts w:ascii="Arial" w:cs="Arial" w:eastAsia="Arial" w:hAnsi="Arial"/>
                <w:sz w:val="18"/>
                <w:szCs w:val="18"/>
                <w:color w:val="auto"/>
              </w:rPr>
              <w:t>Other operating gains</w:t>
            </w:r>
          </w:p>
        </w:tc>
        <w:tc>
          <w:tcPr>
            <w:tcW w:w="56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30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2,395</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2,388</w:t>
            </w:r>
          </w:p>
        </w:tc>
        <w:tc>
          <w:tcPr>
            <w:tcW w:w="3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7,062</w:t>
            </w:r>
          </w:p>
        </w:tc>
        <w:tc>
          <w:tcPr>
            <w:tcW w:w="2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7,431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4,440</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4,792</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12,595</w:t>
            </w: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13,880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(766)</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0" w:type="dxa"/>
            <w:vAlign w:val="bottom"/>
          </w:tcPr>
          <w:p>
            <w:pPr>
              <w:ind w:left="420"/>
              <w:spacing w:after="0" w:line="195" w:lineRule="exact"/>
              <w:rPr>
                <w:sz w:val="20"/>
                <w:szCs w:val="20"/>
                <w:color w:val="auto"/>
              </w:rPr>
            </w:pPr>
            <w:r>
              <w:rPr>
                <w:rFonts w:ascii="Arial" w:cs="Arial" w:eastAsia="Arial" w:hAnsi="Arial"/>
                <w:sz w:val="18"/>
                <w:szCs w:val="18"/>
                <w:color w:val="auto"/>
              </w:rPr>
              <w:t>Interest expense</w:t>
            </w:r>
          </w:p>
        </w:tc>
        <w:tc>
          <w:tcPr>
            <w:tcW w:w="17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(751)</w:t>
            </w: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(2,186)</w:t>
            </w: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(696)</w:t>
            </w:r>
          </w:p>
        </w:tc>
        <w:tc>
          <w:tcPr>
            <w:tcW w:w="3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w:t>
            </w:r>
          </w:p>
        </w:tc>
        <w:tc>
          <w:tcPr>
            <w:tcW w:w="2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3,724</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4,096</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10,617</w:t>
            </w: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11,900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0" w:type="dxa"/>
            <w:vAlign w:val="bottom"/>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w:t>
            </w:r>
          </w:p>
        </w:tc>
        <w:tc>
          <w:tcPr>
            <w:tcW w:w="3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2,324</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2,683</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6,628</w:t>
            </w: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7,865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 and</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0" w:type="dxa"/>
            <w:vAlign w:val="bottom"/>
          </w:tcPr>
          <w:p>
            <w:pPr>
              <w:ind w:left="180"/>
              <w:spacing w:after="0"/>
              <w:rPr>
                <w:sz w:val="20"/>
                <w:szCs w:val="20"/>
                <w:color w:val="auto"/>
              </w:rPr>
            </w:pPr>
            <w:r>
              <w:rPr>
                <w:rFonts w:ascii="Arial" w:cs="Arial" w:eastAsia="Arial" w:hAnsi="Arial"/>
                <w:sz w:val="18"/>
                <w:szCs w:val="18"/>
                <w:color w:val="auto"/>
              </w:rPr>
              <w:t>redeemable subsidiary preferred stock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70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$2,237</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$2,650</w:t>
            </w:r>
          </w:p>
        </w:tc>
        <w:tc>
          <w:tcPr>
            <w:tcW w:w="3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$6,399</w:t>
            </w:r>
          </w:p>
        </w:tc>
        <w:tc>
          <w:tcPr>
            <w:tcW w:w="2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$7,729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$0.55</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$1.61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56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$0.46</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0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560" w:type="dxa"/>
            <w:vAlign w:val="bottom"/>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$0.1375</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$0.1575</w:t>
            </w:r>
          </w:p>
        </w:tc>
        <w:tc>
          <w:tcPr>
            <w:tcW w:w="3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$0.4125</w:t>
            </w:r>
          </w:p>
        </w:tc>
        <w:tc>
          <w:tcPr>
            <w:tcW w:w="280" w:type="dxa"/>
            <w:vAlign w:val="bottom"/>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$0.4725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4,861</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4,777</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4,893</w:t>
            </w: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4,806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4"/>
                <w:szCs w:val="14"/>
                <w:color w:val="auto"/>
              </w:rPr>
              <w:t>(1) See Table 4 for a reconciliation of non-GAAP financial measures.</w:t>
            </w:r>
          </w:p>
        </w:tc>
        <w:tc>
          <w:tcPr>
            <w:tcW w:w="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0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349250</wp:posOffset>
            </wp:positionV>
            <wp:extent cx="960755"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Pr>
          <w:p>
            <w:pPr>
              <w:spacing w:after="0"/>
              <w:rPr>
                <w:sz w:val="20"/>
                <w:szCs w:val="20"/>
                <w:color w:val="auto"/>
              </w:rPr>
            </w:pPr>
            <w:r>
              <w:rPr>
                <w:rFonts w:ascii="Arial" w:cs="Arial" w:eastAsia="Arial" w:hAnsi="Arial"/>
                <w:sz w:val="18"/>
                <w:szCs w:val="18"/>
                <w:color w:val="auto"/>
              </w:rPr>
              <w:t>(in millions)</w:t>
            </w: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520" w:type="dxa"/>
            <w:vAlign w:val="bottom"/>
          </w:tcPr>
          <w:p>
            <w:pPr>
              <w:jc w:val="right"/>
              <w:ind w:right="9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43"/>
        </w:trPr>
        <w:tc>
          <w:tcPr>
            <w:tcW w:w="812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179"/>
        </w:trPr>
        <w:tc>
          <w:tcPr>
            <w:tcW w:w="81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$4,114</w:t>
            </w:r>
          </w:p>
        </w:tc>
        <w:tc>
          <w:tcPr>
            <w:tcW w:w="0" w:type="dxa"/>
            <w:vAlign w:val="bottom"/>
          </w:tcPr>
          <w:p>
            <w:pPr>
              <w:spacing w:after="0"/>
              <w:rPr>
                <w:sz w:val="1"/>
                <w:szCs w:val="1"/>
                <w:color w:val="auto"/>
              </w:rPr>
            </w:pPr>
          </w:p>
        </w:tc>
      </w:tr>
      <w:tr>
        <w:trPr>
          <w:trHeight w:val="204"/>
        </w:trPr>
        <w:tc>
          <w:tcPr>
            <w:tcW w:w="8120" w:type="dxa"/>
            <w:vAlign w:val="bottom"/>
          </w:tcPr>
          <w:p>
            <w:pPr>
              <w:ind w:left="340"/>
              <w:spacing w:after="0" w:line="204" w:lineRule="exact"/>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$3,301</w:t>
            </w:r>
          </w:p>
        </w:tc>
        <w:tc>
          <w:tcPr>
            <w:tcW w:w="2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7,955</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7,915</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Programming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1,779</w:t>
            </w: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2,152</w:t>
            </w:r>
          </w:p>
        </w:tc>
        <w:tc>
          <w:tcPr>
            <w:tcW w:w="0" w:type="dxa"/>
            <w:vAlign w:val="bottom"/>
          </w:tcPr>
          <w:p>
            <w:pPr>
              <w:spacing w:after="0"/>
              <w:rPr>
                <w:sz w:val="1"/>
                <w:szCs w:val="1"/>
                <w:color w:val="auto"/>
              </w:rPr>
            </w:pPr>
          </w:p>
        </w:tc>
      </w:tr>
      <w:tr>
        <w:trPr>
          <w:trHeight w:val="210"/>
        </w:trPr>
        <w:tc>
          <w:tcPr>
            <w:tcW w:w="81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16,361</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15,960</w:t>
            </w:r>
          </w:p>
        </w:tc>
        <w:tc>
          <w:tcPr>
            <w:tcW w:w="0" w:type="dxa"/>
            <w:vAlign w:val="bottom"/>
          </w:tcPr>
          <w:p>
            <w:pPr>
              <w:spacing w:after="0"/>
              <w:rPr>
                <w:sz w:val="1"/>
                <w:szCs w:val="1"/>
                <w:color w:val="auto"/>
              </w:rPr>
            </w:pPr>
          </w:p>
        </w:tc>
      </w:tr>
      <w:tr>
        <w:trPr>
          <w:trHeight w:val="412"/>
        </w:trPr>
        <w:tc>
          <w:tcPr>
            <w:tcW w:w="81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500" w:type="dxa"/>
            <w:vAlign w:val="bottom"/>
          </w:tcPr>
          <w:p>
            <w:pPr>
              <w:jc w:val="right"/>
              <w:spacing w:after="0"/>
              <w:rPr>
                <w:sz w:val="20"/>
                <w:szCs w:val="20"/>
                <w:color w:val="auto"/>
              </w:rPr>
            </w:pPr>
            <w:r>
              <w:rPr>
                <w:rFonts w:ascii="Arial" w:cs="Arial" w:eastAsia="Arial" w:hAnsi="Arial"/>
                <w:sz w:val="18"/>
                <w:szCs w:val="18"/>
                <w:color w:val="auto"/>
              </w:rPr>
              <w:t>7,252</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6,796</w:t>
            </w: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5,247</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6,695</w:t>
            </w: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00" w:type="dxa"/>
            <w:vAlign w:val="bottom"/>
          </w:tcPr>
          <w:p>
            <w:pPr>
              <w:jc w:val="right"/>
              <w:spacing w:after="0"/>
              <w:rPr>
                <w:sz w:val="20"/>
                <w:szCs w:val="20"/>
                <w:color w:val="auto"/>
              </w:rPr>
            </w:pPr>
            <w:r>
              <w:rPr>
                <w:rFonts w:ascii="Arial" w:cs="Arial" w:eastAsia="Arial" w:hAnsi="Arial"/>
                <w:sz w:val="18"/>
                <w:szCs w:val="18"/>
                <w:color w:val="auto"/>
              </w:rPr>
              <w:t>36,253</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37,856</w:t>
            </w: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Franchise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59,364</w:t>
            </w: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tcPr>
          <w:p>
            <w:pPr>
              <w:jc w:val="right"/>
              <w:spacing w:after="0"/>
              <w:rPr>
                <w:sz w:val="20"/>
                <w:szCs w:val="20"/>
                <w:color w:val="auto"/>
              </w:rPr>
            </w:pPr>
            <w:r>
              <w:rPr>
                <w:rFonts w:ascii="Arial" w:cs="Arial" w:eastAsia="Arial" w:hAnsi="Arial"/>
                <w:sz w:val="18"/>
                <w:szCs w:val="18"/>
                <w:color w:val="auto"/>
              </w:rPr>
              <w:t>35,980</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36,752</w:t>
            </w: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500" w:type="dxa"/>
            <w:vAlign w:val="bottom"/>
          </w:tcPr>
          <w:p>
            <w:pPr>
              <w:jc w:val="right"/>
              <w:spacing w:after="0"/>
              <w:rPr>
                <w:sz w:val="20"/>
                <w:szCs w:val="20"/>
                <w:color w:val="auto"/>
              </w:rPr>
            </w:pPr>
            <w:r>
              <w:rPr>
                <w:rFonts w:ascii="Arial" w:cs="Arial" w:eastAsia="Arial" w:hAnsi="Arial"/>
                <w:sz w:val="18"/>
                <w:szCs w:val="18"/>
                <w:color w:val="auto"/>
              </w:rPr>
              <w:t>17,274</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18,733</w:t>
            </w:r>
          </w:p>
        </w:tc>
        <w:tc>
          <w:tcPr>
            <w:tcW w:w="0" w:type="dxa"/>
            <w:vAlign w:val="bottom"/>
          </w:tcPr>
          <w:p>
            <w:pPr>
              <w:spacing w:after="0"/>
              <w:rPr>
                <w:sz w:val="1"/>
                <w:szCs w:val="1"/>
                <w:color w:val="auto"/>
              </w:rPr>
            </w:pPr>
          </w:p>
        </w:tc>
      </w:tr>
      <w:tr>
        <w:trPr>
          <w:trHeight w:val="392"/>
        </w:trPr>
        <w:tc>
          <w:tcPr>
            <w:tcW w:w="812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3,145</w:t>
            </w:r>
          </w:p>
        </w:tc>
        <w:tc>
          <w:tcPr>
            <w:tcW w:w="0" w:type="dxa"/>
            <w:vAlign w:val="bottom"/>
          </w:tcPr>
          <w:p>
            <w:pPr>
              <w:spacing w:after="0"/>
              <w:rPr>
                <w:sz w:val="1"/>
                <w:szCs w:val="1"/>
                <w:color w:val="auto"/>
              </w:rPr>
            </w:pPr>
          </w:p>
        </w:tc>
      </w:tr>
      <w:tr>
        <w:trPr>
          <w:trHeight w:val="399"/>
        </w:trPr>
        <w:tc>
          <w:tcPr>
            <w:tcW w:w="81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$180,500</w:t>
            </w:r>
          </w:p>
        </w:tc>
        <w:tc>
          <w:tcPr>
            <w:tcW w:w="280" w:type="dxa"/>
            <w:vAlign w:val="bottom"/>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$185,301</w:t>
            </w: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1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8"/>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$6,976</w:t>
            </w:r>
          </w:p>
        </w:tc>
        <w:tc>
          <w:tcPr>
            <w:tcW w:w="0" w:type="dxa"/>
            <w:vAlign w:val="bottom"/>
          </w:tcPr>
          <w:p>
            <w:pPr>
              <w:spacing w:after="0"/>
              <w:rPr>
                <w:sz w:val="1"/>
                <w:szCs w:val="1"/>
                <w:color w:val="auto"/>
              </w:rPr>
            </w:pPr>
          </w:p>
        </w:tc>
      </w:tr>
      <w:tr>
        <w:trPr>
          <w:trHeight w:val="204"/>
        </w:trPr>
        <w:tc>
          <w:tcPr>
            <w:tcW w:w="8120" w:type="dxa"/>
            <w:vAlign w:val="bottom"/>
          </w:tcPr>
          <w:p>
            <w:pPr>
              <w:ind w:left="340"/>
              <w:spacing w:after="0" w:line="204" w:lineRule="exact"/>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$6,915</w:t>
            </w:r>
          </w:p>
        </w:tc>
        <w:tc>
          <w:tcPr>
            <w:tcW w:w="2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50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1,811</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500" w:type="dxa"/>
            <w:vAlign w:val="bottom"/>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1,572</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6,282</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5,849</w:t>
            </w: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5,241</w:t>
            </w:r>
          </w:p>
        </w:tc>
        <w:tc>
          <w:tcPr>
            <w:tcW w:w="0" w:type="dxa"/>
            <w:vAlign w:val="bottom"/>
          </w:tcPr>
          <w:p>
            <w:pPr>
              <w:spacing w:after="0"/>
              <w:rPr>
                <w:sz w:val="1"/>
                <w:szCs w:val="1"/>
                <w:color w:val="auto"/>
              </w:rPr>
            </w:pPr>
          </w:p>
        </w:tc>
      </w:tr>
      <w:tr>
        <w:trPr>
          <w:trHeight w:val="210"/>
        </w:trPr>
        <w:tc>
          <w:tcPr>
            <w:tcW w:w="81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21,449</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1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tcPr>
          <w:p>
            <w:pPr>
              <w:jc w:val="right"/>
              <w:spacing w:after="0"/>
              <w:rPr>
                <w:sz w:val="20"/>
                <w:szCs w:val="20"/>
                <w:color w:val="auto"/>
              </w:rPr>
            </w:pPr>
            <w:r>
              <w:rPr>
                <w:rFonts w:ascii="Arial" w:cs="Arial" w:eastAsia="Arial" w:hAnsi="Arial"/>
                <w:sz w:val="18"/>
                <w:szCs w:val="18"/>
                <w:color w:val="auto"/>
              </w:rPr>
              <w:t>55,566</w:t>
            </w:r>
          </w:p>
        </w:tc>
        <w:tc>
          <w:tcPr>
            <w:tcW w:w="2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59,720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34,854</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35,602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10,925</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10,914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1,446</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1,353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20" w:type="dxa"/>
            <w:vAlign w:val="bottom"/>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55,427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340"/>
              <w:spacing w:after="0" w:line="204" w:lineRule="exact"/>
              <w:rPr>
                <w:sz w:val="20"/>
                <w:szCs w:val="20"/>
                <w:color w:val="auto"/>
              </w:rPr>
            </w:pPr>
            <w:r>
              <w:rPr>
                <w:rFonts w:ascii="Arial" w:cs="Arial" w:eastAsia="Arial" w:hAnsi="Arial"/>
                <w:sz w:val="18"/>
                <w:szCs w:val="18"/>
                <w:color w:val="auto"/>
              </w:rPr>
              <w:t>Comcast Corporation shareholders’ equity</w:t>
            </w: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53,943</w:t>
            </w:r>
          </w:p>
        </w:tc>
        <w:tc>
          <w:tcPr>
            <w:tcW w:w="2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44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56,174</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56,263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$180,500</w:t>
            </w:r>
          </w:p>
        </w:tc>
        <w:tc>
          <w:tcPr>
            <w:tcW w:w="280" w:type="dxa"/>
            <w:vAlign w:val="bottom"/>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$185,301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20" w:type="dxa"/>
            <w:vAlign w:val="bottom"/>
          </w:tcPr>
          <w:p>
            <w:pPr>
              <w:spacing w:after="0"/>
              <w:rPr>
                <w:sz w:val="20"/>
                <w:szCs w:val="20"/>
                <w:color w:val="auto"/>
              </w:rPr>
            </w:pPr>
            <w:r>
              <w:rPr>
                <w:rFonts w:ascii="Arial" w:cs="Arial" w:eastAsia="Arial" w:hAnsi="Arial"/>
                <w:sz w:val="18"/>
                <w:szCs w:val="18"/>
                <w:color w:val="auto"/>
              </w:rPr>
              <w:t>(in millions)</w:t>
            </w:r>
          </w:p>
        </w:tc>
        <w:tc>
          <w:tcPr>
            <w:tcW w:w="29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8520" w:type="dxa"/>
            <w:vAlign w:val="bottom"/>
          </w:tcPr>
          <w:p>
            <w:pPr>
              <w:spacing w:after="0"/>
              <w:rPr>
                <w:sz w:val="19"/>
                <w:szCs w:val="19"/>
                <w:color w:val="auto"/>
              </w:rPr>
            </w:pPr>
          </w:p>
        </w:tc>
        <w:tc>
          <w:tcPr>
            <w:tcW w:w="29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8520" w:type="dxa"/>
            <w:vAlign w:val="bottom"/>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11"/>
        </w:trPr>
        <w:tc>
          <w:tcPr>
            <w:tcW w:w="85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$7,865</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$6,628</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7,181</w:t>
            </w:r>
          </w:p>
        </w:tc>
        <w:tc>
          <w:tcPr>
            <w:tcW w:w="0" w:type="dxa"/>
            <w:vAlign w:val="bottom"/>
          </w:tcPr>
          <w:p>
            <w:pPr>
              <w:spacing w:after="0"/>
              <w:rPr>
                <w:sz w:val="1"/>
                <w:szCs w:val="1"/>
                <w:color w:val="auto"/>
              </w:rPr>
            </w:pPr>
          </w:p>
        </w:tc>
      </w:tr>
      <w:tr>
        <w:trPr>
          <w:trHeight w:val="194"/>
        </w:trPr>
        <w:tc>
          <w:tcPr>
            <w:tcW w:w="8520" w:type="dxa"/>
            <w:vAlign w:val="bottom"/>
          </w:tcPr>
          <w:p>
            <w:pPr>
              <w:ind w:left="600"/>
              <w:spacing w:after="0" w:line="195" w:lineRule="exact"/>
              <w:rPr>
                <w:sz w:val="20"/>
                <w:szCs w:val="20"/>
                <w:color w:val="auto"/>
              </w:rPr>
            </w:pPr>
            <w:r>
              <w:rPr>
                <w:rFonts w:ascii="Arial" w:cs="Arial" w:eastAsia="Arial" w:hAnsi="Arial"/>
                <w:sz w:val="18"/>
                <w:szCs w:val="18"/>
                <w:color w:val="auto"/>
              </w:rPr>
              <w:t>Depreciation, amortization and other operating gains</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7,062</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600"/>
              <w:spacing w:after="0"/>
              <w:rPr>
                <w:sz w:val="20"/>
                <w:szCs w:val="20"/>
                <w:color w:val="auto"/>
              </w:rPr>
            </w:pPr>
            <w:r>
              <w:rPr>
                <w:rFonts w:ascii="Arial" w:cs="Arial" w:eastAsia="Arial" w:hAnsi="Arial"/>
                <w:sz w:val="18"/>
                <w:szCs w:val="18"/>
                <w:color w:val="auto"/>
              </w:rPr>
              <w:t>Share-based compensation</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594</w:t>
            </w:r>
          </w:p>
        </w:tc>
        <w:tc>
          <w:tcPr>
            <w:tcW w:w="0" w:type="dxa"/>
            <w:vAlign w:val="bottom"/>
          </w:tcPr>
          <w:p>
            <w:pPr>
              <w:spacing w:after="0"/>
              <w:rPr>
                <w:sz w:val="1"/>
                <w:szCs w:val="1"/>
                <w:color w:val="auto"/>
              </w:rPr>
            </w:pPr>
          </w:p>
        </w:tc>
      </w:tr>
      <w:tr>
        <w:trPr>
          <w:trHeight w:val="216"/>
        </w:trPr>
        <w:tc>
          <w:tcPr>
            <w:tcW w:w="8520" w:type="dxa"/>
            <w:vAlign w:val="bottom"/>
          </w:tcPr>
          <w:p>
            <w:pPr>
              <w:ind w:left="600"/>
              <w:spacing w:after="0"/>
              <w:rPr>
                <w:sz w:val="20"/>
                <w:szCs w:val="20"/>
                <w:color w:val="auto"/>
              </w:rPr>
            </w:pPr>
            <w:r>
              <w:rPr>
                <w:rFonts w:ascii="Arial" w:cs="Arial" w:eastAsia="Arial" w:hAnsi="Arial"/>
                <w:sz w:val="18"/>
                <w:szCs w:val="18"/>
                <w:color w:val="auto"/>
              </w:rPr>
              <w:t>Noncash interest expense (income),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16"/>
        </w:trPr>
        <w:tc>
          <w:tcPr>
            <w:tcW w:w="8520" w:type="dxa"/>
            <w:vAlign w:val="bottom"/>
          </w:tcPr>
          <w:p>
            <w:pPr>
              <w:ind w:left="600"/>
              <w:spacing w:after="0"/>
              <w:rPr>
                <w:sz w:val="20"/>
                <w:szCs w:val="20"/>
                <w:color w:val="auto"/>
              </w:rPr>
            </w:pPr>
            <w:r>
              <w:rPr>
                <w:rFonts w:ascii="Arial" w:cs="Arial" w:eastAsia="Arial" w:hAnsi="Arial"/>
                <w:sz w:val="18"/>
                <w:szCs w:val="18"/>
                <w:color w:val="auto"/>
              </w:rPr>
              <w:t>Equity in net (income) losses of investees,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8520" w:type="dxa"/>
            <w:vAlign w:val="bottom"/>
          </w:tcPr>
          <w:p>
            <w:pPr>
              <w:ind w:left="600"/>
              <w:spacing w:after="0"/>
              <w:rPr>
                <w:sz w:val="20"/>
                <w:szCs w:val="20"/>
                <w:color w:val="auto"/>
              </w:rPr>
            </w:pPr>
            <w:r>
              <w:rPr>
                <w:rFonts w:ascii="Arial" w:cs="Arial" w:eastAsia="Arial" w:hAnsi="Arial"/>
                <w:sz w:val="18"/>
                <w:szCs w:val="18"/>
                <w:color w:val="auto"/>
              </w:rPr>
              <w:t>Cash received from investees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8520" w:type="dxa"/>
            <w:vAlign w:val="bottom"/>
          </w:tcPr>
          <w:p>
            <w:pPr>
              <w:ind w:left="600"/>
              <w:spacing w:after="0"/>
              <w:rPr>
                <w:sz w:val="20"/>
                <w:szCs w:val="20"/>
                <w:color w:val="auto"/>
              </w:rPr>
            </w:pPr>
            <w:r>
              <w:rPr>
                <w:rFonts w:ascii="Arial" w:cs="Arial" w:eastAsia="Arial" w:hAnsi="Arial"/>
                <w:sz w:val="18"/>
                <w:szCs w:val="18"/>
                <w:color w:val="auto"/>
              </w:rPr>
              <w:t>Net (gain) loss on investment activity and other</w:t>
            </w: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38"/>
        </w:trPr>
        <w:tc>
          <w:tcPr>
            <w:tcW w:w="852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678</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194"/>
        </w:trPr>
        <w:tc>
          <w:tcPr>
            <w:tcW w:w="8520" w:type="dxa"/>
            <w:vAlign w:val="bottom"/>
          </w:tcPr>
          <w:p>
            <w:pPr>
              <w:ind w:left="600"/>
              <w:spacing w:after="0" w:line="195" w:lineRule="exact"/>
              <w:rPr>
                <w:sz w:val="20"/>
                <w:szCs w:val="20"/>
                <w:color w:val="auto"/>
              </w:rPr>
            </w:pPr>
            <w:r>
              <w:rPr>
                <w:rFonts w:ascii="Arial" w:cs="Arial" w:eastAsia="Arial" w:hAnsi="Arial"/>
                <w:sz w:val="18"/>
                <w:szCs w:val="18"/>
                <w:color w:val="auto"/>
              </w:rPr>
              <w:t>Current and noncurrent receivables, net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(315)</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600"/>
              <w:spacing w:after="0"/>
              <w:rPr>
                <w:sz w:val="20"/>
                <w:szCs w:val="20"/>
                <w:color w:val="auto"/>
              </w:rPr>
            </w:pPr>
            <w:r>
              <w:rPr>
                <w:rFonts w:ascii="Arial" w:cs="Arial" w:eastAsia="Arial" w:hAnsi="Arial"/>
                <w:sz w:val="18"/>
                <w:szCs w:val="18"/>
                <w:color w:val="auto"/>
              </w:rPr>
              <w:t>Film and television costs, net</w:t>
            </w:r>
          </w:p>
        </w:tc>
        <w:tc>
          <w:tcPr>
            <w:tcW w:w="1320" w:type="dxa"/>
            <w:vAlign w:val="bottom"/>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8520" w:type="dxa"/>
            <w:vAlign w:val="bottom"/>
          </w:tcPr>
          <w:p>
            <w:pPr>
              <w:ind w:left="60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5"/>
        </w:trPr>
        <w:tc>
          <w:tcPr>
            <w:tcW w:w="8520" w:type="dxa"/>
            <w:vAlign w:val="bottom"/>
          </w:tcPr>
          <w:p>
            <w:pPr>
              <w:ind w:left="600"/>
              <w:spacing w:after="0"/>
              <w:rPr>
                <w:sz w:val="20"/>
                <w:szCs w:val="20"/>
                <w:color w:val="auto"/>
              </w:rPr>
            </w:pPr>
            <w:r>
              <w:rPr>
                <w:rFonts w:ascii="Arial" w:cs="Arial" w:eastAsia="Arial" w:hAnsi="Arial"/>
                <w:sz w:val="18"/>
                <w:szCs w:val="18"/>
                <w:color w:val="auto"/>
              </w:rPr>
              <w:t>Other operating assets and 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0" w:type="dxa"/>
            <w:vAlign w:val="bottom"/>
          </w:tcPr>
          <w:p>
            <w:pPr>
              <w:spacing w:after="0"/>
              <w:rPr>
                <w:sz w:val="1"/>
                <w:szCs w:val="1"/>
                <w:color w:val="auto"/>
              </w:rPr>
            </w:pPr>
          </w:p>
        </w:tc>
      </w:tr>
      <w:tr>
        <w:trPr>
          <w:trHeight w:val="412"/>
        </w:trPr>
        <w:tc>
          <w:tcPr>
            <w:tcW w:w="852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13,989</w:t>
            </w:r>
          </w:p>
        </w:tc>
        <w:tc>
          <w:tcPr>
            <w:tcW w:w="280" w:type="dxa"/>
            <w:vAlign w:val="bottom"/>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15,961</w:t>
            </w:r>
          </w:p>
        </w:tc>
        <w:tc>
          <w:tcPr>
            <w:tcW w:w="0" w:type="dxa"/>
            <w:vAlign w:val="bottom"/>
          </w:tcPr>
          <w:p>
            <w:pPr>
              <w:spacing w:after="0"/>
              <w:rPr>
                <w:sz w:val="1"/>
                <w:szCs w:val="1"/>
                <w:color w:val="auto"/>
              </w:rPr>
            </w:pPr>
          </w:p>
        </w:tc>
      </w:tr>
      <w:tr>
        <w:trPr>
          <w:trHeight w:val="411"/>
        </w:trPr>
        <w:tc>
          <w:tcPr>
            <w:tcW w:w="85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(6,839)</w:t>
            </w:r>
          </w:p>
        </w:tc>
        <w:tc>
          <w:tcPr>
            <w:tcW w:w="0" w:type="dxa"/>
            <w:vAlign w:val="bottom"/>
          </w:tcPr>
          <w:p>
            <w:pPr>
              <w:spacing w:after="0"/>
              <w:rPr>
                <w:sz w:val="1"/>
                <w:szCs w:val="1"/>
                <w:color w:val="auto"/>
              </w:rPr>
            </w:pPr>
          </w:p>
        </w:tc>
      </w:tr>
      <w:tr>
        <w:trPr>
          <w:trHeight w:val="194"/>
        </w:trPr>
        <w:tc>
          <w:tcPr>
            <w:tcW w:w="8520" w:type="dxa"/>
            <w:vAlign w:val="bottom"/>
          </w:tcPr>
          <w:p>
            <w:pPr>
              <w:ind w:left="260"/>
              <w:spacing w:after="0" w:line="195" w:lineRule="exact"/>
              <w:rPr>
                <w:sz w:val="20"/>
                <w:szCs w:val="20"/>
                <w:color w:val="auto"/>
              </w:rPr>
            </w:pPr>
            <w:r>
              <w:rPr>
                <w:rFonts w:ascii="Arial" w:cs="Arial" w:eastAsia="Arial" w:hAnsi="Arial"/>
                <w:sz w:val="18"/>
                <w:szCs w:val="18"/>
                <w:color w:val="auto"/>
              </w:rPr>
              <w:t>Capital expenditures</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(6,562)</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Cash paid for intangible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(1,163)</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(1,240)</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Acquisitions and construction of real estate properties</w:t>
            </w: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1320" w:type="dxa"/>
            <w:vAlign w:val="bottom"/>
          </w:tcPr>
          <w:p>
            <w:pPr>
              <w:jc w:val="right"/>
              <w:spacing w:after="0"/>
              <w:rPr>
                <w:sz w:val="20"/>
                <w:szCs w:val="20"/>
                <w:color w:val="auto"/>
              </w:rPr>
            </w:pPr>
            <w:r>
              <w:rPr>
                <w:rFonts w:ascii="Arial" w:cs="Arial" w:eastAsia="Arial" w:hAnsi="Arial"/>
                <w:sz w:val="18"/>
                <w:szCs w:val="18"/>
                <w:color w:val="auto"/>
              </w:rPr>
              <w:t>(3,904)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Proceeds from sales of investments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1320" w:type="dxa"/>
            <w:vAlign w:val="bottom"/>
          </w:tcPr>
          <w:p>
            <w:pPr>
              <w:jc w:val="right"/>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(2,064)</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320" w:type="dxa"/>
            <w:vAlign w:val="bottom"/>
          </w:tcPr>
          <w:p>
            <w:pPr>
              <w:jc w:val="right"/>
              <w:spacing w:after="0"/>
              <w:rPr>
                <w:sz w:val="20"/>
                <w:szCs w:val="20"/>
                <w:color w:val="auto"/>
              </w:rPr>
            </w:pPr>
            <w:r>
              <w:rPr>
                <w:rFonts w:ascii="Arial" w:cs="Arial" w:eastAsia="Arial" w:hAnsi="Arial"/>
                <w:sz w:val="18"/>
                <w:szCs w:val="18"/>
                <w:color w:val="auto"/>
              </w:rPr>
              <w:t>(1,748)</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8520" w:type="dxa"/>
            <w:vAlign w:val="bottom"/>
          </w:tcPr>
          <w:p>
            <w:pPr>
              <w:ind w:left="26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750</w:t>
            </w:r>
          </w:p>
        </w:tc>
        <w:tc>
          <w:tcPr>
            <w:tcW w:w="0" w:type="dxa"/>
            <w:vAlign w:val="bottom"/>
          </w:tcPr>
          <w:p>
            <w:pPr>
              <w:spacing w:after="0"/>
              <w:rPr>
                <w:sz w:val="1"/>
                <w:szCs w:val="1"/>
                <w:color w:val="auto"/>
              </w:rPr>
            </w:pPr>
          </w:p>
        </w:tc>
      </w:tr>
      <w:tr>
        <w:trPr>
          <w:trHeight w:val="412"/>
        </w:trPr>
        <w:tc>
          <w:tcPr>
            <w:tcW w:w="8520" w:type="dxa"/>
            <w:vAlign w:val="bottom"/>
          </w:tcPr>
          <w:p>
            <w:pPr>
              <w:ind w:left="980"/>
              <w:spacing w:after="0"/>
              <w:rPr>
                <w:sz w:val="20"/>
                <w:szCs w:val="20"/>
                <w:color w:val="auto"/>
              </w:rPr>
            </w:pPr>
            <w:r>
              <w:rPr>
                <w:rFonts w:ascii="Arial" w:cs="Arial" w:eastAsia="Arial" w:hAnsi="Arial"/>
                <w:sz w:val="18"/>
                <w:szCs w:val="18"/>
                <w:color w:val="auto"/>
              </w:rPr>
              <w:t>Net cash provided by (used in) investing activities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2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(10,027)</w:t>
            </w:r>
          </w:p>
        </w:tc>
        <w:tc>
          <w:tcPr>
            <w:tcW w:w="0" w:type="dxa"/>
            <w:vAlign w:val="bottom"/>
          </w:tcPr>
          <w:p>
            <w:pPr>
              <w:spacing w:after="0"/>
              <w:rPr>
                <w:sz w:val="1"/>
                <w:szCs w:val="1"/>
                <w:color w:val="auto"/>
              </w:rPr>
            </w:pPr>
          </w:p>
        </w:tc>
      </w:tr>
      <w:tr>
        <w:trPr>
          <w:trHeight w:val="411"/>
        </w:trPr>
        <w:tc>
          <w:tcPr>
            <w:tcW w:w="8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(2,807)</w:t>
            </w:r>
          </w:p>
        </w:tc>
        <w:tc>
          <w:tcPr>
            <w:tcW w:w="0" w:type="dxa"/>
            <w:vAlign w:val="bottom"/>
          </w:tcPr>
          <w:p>
            <w:pPr>
              <w:spacing w:after="0"/>
              <w:rPr>
                <w:sz w:val="1"/>
                <w:szCs w:val="1"/>
                <w:color w:val="auto"/>
              </w:rPr>
            </w:pPr>
          </w:p>
        </w:tc>
      </w:tr>
      <w:tr>
        <w:trPr>
          <w:trHeight w:val="194"/>
        </w:trPr>
        <w:tc>
          <w:tcPr>
            <w:tcW w:w="8520" w:type="dxa"/>
            <w:vAlign w:val="bottom"/>
          </w:tcPr>
          <w:p>
            <w:pPr>
              <w:ind w:left="260"/>
              <w:spacing w:after="0" w:line="195" w:lineRule="exact"/>
              <w:rPr>
                <w:sz w:val="20"/>
                <w:szCs w:val="20"/>
                <w:color w:val="auto"/>
              </w:rPr>
            </w:pPr>
            <w:r>
              <w:rPr>
                <w:rFonts w:ascii="Arial" w:cs="Arial" w:eastAsia="Arial" w:hAnsi="Arial"/>
                <w:sz w:val="18"/>
                <w:szCs w:val="18"/>
                <w:color w:val="auto"/>
              </w:rPr>
              <w:t>Proceeds from (repayments of) short-term borrowings, net</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610</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Proceeds from borrowings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9,231</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11,460</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Repurchases and repayments of debt</w:t>
            </w:r>
          </w:p>
        </w:tc>
        <w:tc>
          <w:tcPr>
            <w:tcW w:w="1320" w:type="dxa"/>
            <w:vAlign w:val="bottom"/>
          </w:tcPr>
          <w:p>
            <w:pPr>
              <w:jc w:val="right"/>
              <w:spacing w:after="0"/>
              <w:rPr>
                <w:sz w:val="20"/>
                <w:szCs w:val="20"/>
                <w:color w:val="auto"/>
              </w:rPr>
            </w:pPr>
            <w:r>
              <w:rPr>
                <w:rFonts w:ascii="Arial" w:cs="Arial" w:eastAsia="Arial" w:hAnsi="Arial"/>
                <w:sz w:val="18"/>
                <w:szCs w:val="18"/>
                <w:color w:val="auto"/>
              </w:rPr>
              <w:t>(2,994)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(5,021)</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1320" w:type="dxa"/>
            <w:vAlign w:val="bottom"/>
          </w:tcPr>
          <w:p>
            <w:pPr>
              <w:jc w:val="right"/>
              <w:spacing w:after="0"/>
              <w:rPr>
                <w:sz w:val="20"/>
                <w:szCs w:val="20"/>
                <w:color w:val="auto"/>
              </w:rPr>
            </w:pPr>
            <w:r>
              <w:rPr>
                <w:rFonts w:ascii="Arial" w:cs="Arial" w:eastAsia="Arial" w:hAnsi="Arial"/>
                <w:sz w:val="18"/>
                <w:szCs w:val="18"/>
                <w:color w:val="auto"/>
              </w:rPr>
              <w:t>(4,061)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(4,212)</w:t>
            </w:r>
          </w:p>
        </w:tc>
        <w:tc>
          <w:tcPr>
            <w:tcW w:w="0" w:type="dxa"/>
            <w:vAlign w:val="bottom"/>
          </w:tcPr>
          <w:p>
            <w:pPr>
              <w:spacing w:after="0"/>
              <w:rPr>
                <w:sz w:val="1"/>
                <w:szCs w:val="1"/>
                <w:color w:val="auto"/>
              </w:rPr>
            </w:pPr>
          </w:p>
        </w:tc>
      </w:tr>
      <w:tr>
        <w:trPr>
          <w:trHeight w:val="211"/>
        </w:trPr>
        <w:tc>
          <w:tcPr>
            <w:tcW w:w="85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320" w:type="dxa"/>
            <w:vAlign w:val="bottom"/>
          </w:tcPr>
          <w:p>
            <w:pPr>
              <w:jc w:val="right"/>
              <w:spacing w:after="0"/>
              <w:rPr>
                <w:sz w:val="20"/>
                <w:szCs w:val="20"/>
                <w:color w:val="auto"/>
              </w:rPr>
            </w:pPr>
            <w:r>
              <w:rPr>
                <w:rFonts w:ascii="Arial" w:cs="Arial" w:eastAsia="Arial" w:hAnsi="Arial"/>
                <w:sz w:val="18"/>
                <w:szCs w:val="18"/>
                <w:color w:val="auto"/>
              </w:rPr>
              <w:t>(1,944)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(2,147)</w:t>
            </w:r>
          </w:p>
        </w:tc>
        <w:tc>
          <w:tcPr>
            <w:tcW w:w="0" w:type="dxa"/>
            <w:vAlign w:val="bottom"/>
          </w:tcPr>
          <w:p>
            <w:pPr>
              <w:spacing w:after="0"/>
              <w:rPr>
                <w:sz w:val="1"/>
                <w:szCs w:val="1"/>
                <w:color w:val="auto"/>
              </w:rPr>
            </w:pPr>
          </w:p>
        </w:tc>
      </w:tr>
      <w:tr>
        <w:trPr>
          <w:trHeight w:val="221"/>
        </w:trPr>
        <w:tc>
          <w:tcPr>
            <w:tcW w:w="8520" w:type="dxa"/>
            <w:vAlign w:val="bottom"/>
          </w:tcPr>
          <w:p>
            <w:pPr>
              <w:ind w:left="260"/>
              <w:spacing w:after="0"/>
              <w:rPr>
                <w:sz w:val="20"/>
                <w:szCs w:val="20"/>
                <w:color w:val="auto"/>
              </w:rPr>
            </w:pPr>
            <w:r>
              <w:rPr>
                <w:rFonts w:ascii="Arial" w:cs="Arial" w:eastAsia="Arial" w:hAnsi="Arial"/>
                <w:sz w:val="18"/>
                <w:szCs w:val="18"/>
                <w:color w:val="auto"/>
              </w:rPr>
              <w:t>Purchase of Universal Studios Japan noncontrolling interests</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(2,299)</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Issuances of common stock</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26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25"/>
        </w:trPr>
        <w:tc>
          <w:tcPr>
            <w:tcW w:w="8520" w:type="dxa"/>
            <w:vAlign w:val="bottom"/>
          </w:tcPr>
          <w:p>
            <w:pPr>
              <w:ind w:left="26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412"/>
        </w:trPr>
        <w:tc>
          <w:tcPr>
            <w:tcW w:w="8520" w:type="dxa"/>
            <w:vAlign w:val="bottom"/>
          </w:tcPr>
          <w:p>
            <w:pPr>
              <w:ind w:left="980"/>
              <w:spacing w:after="0"/>
              <w:rPr>
                <w:sz w:val="20"/>
                <w:szCs w:val="20"/>
                <w:color w:val="auto"/>
              </w:rPr>
            </w:pPr>
            <w:r>
              <w:rPr>
                <w:rFonts w:ascii="Arial" w:cs="Arial" w:eastAsia="Arial" w:hAnsi="Arial"/>
                <w:sz w:val="18"/>
                <w:szCs w:val="18"/>
                <w:color w:val="auto"/>
              </w:rPr>
              <w:t>Net cash provided by (used in) financing activities</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0" w:type="dxa"/>
            <w:vAlign w:val="bottom"/>
          </w:tcPr>
          <w:p>
            <w:pPr>
              <w:spacing w:after="0"/>
              <w:rPr>
                <w:sz w:val="1"/>
                <w:szCs w:val="1"/>
                <w:color w:val="auto"/>
              </w:rPr>
            </w:pPr>
          </w:p>
        </w:tc>
      </w:tr>
      <w:tr>
        <w:trPr>
          <w:trHeight w:val="426"/>
        </w:trPr>
        <w:tc>
          <w:tcPr>
            <w:tcW w:w="85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813</w:t>
            </w:r>
          </w:p>
        </w:tc>
        <w:tc>
          <w:tcPr>
            <w:tcW w:w="0" w:type="dxa"/>
            <w:vAlign w:val="bottom"/>
          </w:tcPr>
          <w:p>
            <w:pPr>
              <w:spacing w:after="0"/>
              <w:rPr>
                <w:sz w:val="1"/>
                <w:szCs w:val="1"/>
                <w:color w:val="auto"/>
              </w:rPr>
            </w:pPr>
          </w:p>
        </w:tc>
      </w:tr>
      <w:tr>
        <w:trPr>
          <w:trHeight w:val="419"/>
        </w:trPr>
        <w:tc>
          <w:tcPr>
            <w:tcW w:w="8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2,295</w:t>
            </w:r>
          </w:p>
        </w:tc>
        <w:tc>
          <w:tcPr>
            <w:tcW w:w="280" w:type="dxa"/>
            <w:vAlign w:val="bottom"/>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3,301</w:t>
            </w:r>
          </w:p>
        </w:tc>
        <w:tc>
          <w:tcPr>
            <w:tcW w:w="0" w:type="dxa"/>
            <w:vAlign w:val="bottom"/>
          </w:tcPr>
          <w:p>
            <w:pPr>
              <w:spacing w:after="0"/>
              <w:rPr>
                <w:sz w:val="1"/>
                <w:szCs w:val="1"/>
                <w:color w:val="auto"/>
              </w:rPr>
            </w:pPr>
          </w:p>
        </w:tc>
      </w:tr>
      <w:tr>
        <w:trPr>
          <w:trHeight w:val="399"/>
        </w:trPr>
        <w:tc>
          <w:tcPr>
            <w:tcW w:w="85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$2,807</w:t>
            </w:r>
          </w:p>
        </w:tc>
        <w:tc>
          <w:tcPr>
            <w:tcW w:w="280" w:type="dxa"/>
            <w:vAlign w:val="bottom"/>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$4,114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11" w:right="199" w:bottom="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C9C9C9"/>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C9C9C9"/>
        </w:rPr>
        <w:t>Reconciliation from Net Income Attributable to Comcast Corporation to Adjusted EBITDA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7320" w:type="dxa"/>
            <w:vAlign w:val="bottom"/>
          </w:tcPr>
          <w:p>
            <w:pPr>
              <w:spacing w:after="0"/>
              <w:rPr>
                <w:sz w:val="3"/>
                <w:szCs w:val="3"/>
                <w:color w:val="auto"/>
              </w:rPr>
            </w:pPr>
          </w:p>
        </w:tc>
        <w:tc>
          <w:tcPr>
            <w:tcW w:w="20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7"/>
              </w:rPr>
              <w:t>Three Months Ended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92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line="20" w:lineRule="exact"/>
              <w:rPr>
                <w:sz w:val="1"/>
                <w:szCs w:val="1"/>
                <w:color w:val="auto"/>
              </w:rPr>
            </w:pPr>
          </w:p>
        </w:tc>
      </w:tr>
      <w:tr>
        <w:trPr>
          <w:trHeight w:val="113"/>
        </w:trPr>
        <w:tc>
          <w:tcPr>
            <w:tcW w:w="7320" w:type="dxa"/>
            <w:vAlign w:val="bottom"/>
          </w:tcPr>
          <w:p>
            <w:pPr>
              <w:spacing w:after="0"/>
              <w:rPr>
                <w:sz w:val="9"/>
                <w:szCs w:val="9"/>
                <w:color w:val="auto"/>
              </w:rPr>
            </w:pPr>
          </w:p>
        </w:tc>
        <w:tc>
          <w:tcPr>
            <w:tcW w:w="20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32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6"/>
              </w:rPr>
              <w:t>September 30,</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0"/>
                <w:szCs w:val="20"/>
                <w:color w:val="auto"/>
              </w:rPr>
            </w:pPr>
            <w:r>
              <w:rPr>
                <w:rFonts w:ascii="Arial" w:cs="Arial" w:eastAsia="Arial" w:hAnsi="Arial"/>
                <w:sz w:val="13"/>
                <w:szCs w:val="13"/>
                <w:color w:val="auto"/>
              </w:rPr>
              <w:t>(in millions)</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Arial" w:cs="Arial" w:eastAsia="Arial" w:hAnsi="Arial"/>
                <w:sz w:val="13"/>
                <w:szCs w:val="13"/>
                <w:b w:val="1"/>
                <w:bCs w:val="1"/>
                <w:color w:val="auto"/>
              </w:rPr>
              <w:t>Net income attributable to Comcast Corporation</w:t>
            </w:r>
          </w:p>
        </w:tc>
        <w:tc>
          <w:tcPr>
            <w:tcW w:w="920" w:type="dxa"/>
            <w:vAlign w:val="bottom"/>
          </w:tcPr>
          <w:p>
            <w:pPr>
              <w:jc w:val="right"/>
              <w:spacing w:after="0"/>
              <w:rPr>
                <w:sz w:val="20"/>
                <w:szCs w:val="20"/>
                <w:color w:val="auto"/>
              </w:rPr>
            </w:pPr>
            <w:r>
              <w:rPr>
                <w:rFonts w:ascii="Arial" w:cs="Arial" w:eastAsia="Arial" w:hAnsi="Arial"/>
                <w:sz w:val="13"/>
                <w:szCs w:val="13"/>
                <w:color w:val="auto"/>
              </w:rPr>
              <w:t>$2,237</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$2,650</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$6,399</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$7,729</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Net income (loss) attributable to noncontrolling interests and redeemable subsidiary preferred stock</w:t>
            </w:r>
          </w:p>
        </w:tc>
        <w:tc>
          <w:tcPr>
            <w:tcW w:w="920" w:type="dxa"/>
            <w:vAlign w:val="bottom"/>
          </w:tcPr>
          <w:p>
            <w:pPr>
              <w:jc w:val="right"/>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33</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136</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Income tax expense</w:t>
            </w:r>
          </w:p>
        </w:tc>
        <w:tc>
          <w:tcPr>
            <w:tcW w:w="920" w:type="dxa"/>
            <w:vAlign w:val="bottom"/>
          </w:tcPr>
          <w:p>
            <w:pPr>
              <w:jc w:val="right"/>
              <w:spacing w:after="0"/>
              <w:rPr>
                <w:sz w:val="20"/>
                <w:szCs w:val="20"/>
                <w:color w:val="auto"/>
              </w:rPr>
            </w:pPr>
            <w:r>
              <w:rPr>
                <w:rFonts w:ascii="Arial" w:cs="Arial" w:eastAsia="Arial" w:hAnsi="Arial"/>
                <w:sz w:val="13"/>
                <w:szCs w:val="13"/>
                <w:color w:val="auto"/>
              </w:rPr>
              <w:t>1,400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1,413</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3,989</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4,035</w:t>
            </w:r>
          </w:p>
        </w:tc>
        <w:tc>
          <w:tcPr>
            <w:tcW w:w="0" w:type="dxa"/>
            <w:vAlign w:val="bottom"/>
          </w:tcPr>
          <w:p>
            <w:pPr>
              <w:spacing w:after="0"/>
              <w:rPr>
                <w:sz w:val="1"/>
                <w:szCs w:val="1"/>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3"/>
                <w:szCs w:val="13"/>
                <w:color w:val="auto"/>
              </w:rPr>
              <w:t>Other (income) expense items, net</w:t>
            </w:r>
            <w:r>
              <w:rPr>
                <w:rFonts w:ascii="Arial" w:cs="Arial" w:eastAsia="Arial" w:hAnsi="Arial"/>
                <w:sz w:val="16"/>
                <w:szCs w:val="16"/>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696</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1,980</w:t>
            </w:r>
          </w:p>
        </w:tc>
        <w:tc>
          <w:tcPr>
            <w:tcW w:w="0" w:type="dxa"/>
            <w:vAlign w:val="bottom"/>
          </w:tcPr>
          <w:p>
            <w:pPr>
              <w:spacing w:after="0"/>
              <w:rPr>
                <w:sz w:val="1"/>
                <w:szCs w:val="1"/>
                <w:color w:val="auto"/>
              </w:rPr>
            </w:pPr>
          </w:p>
        </w:tc>
      </w:tr>
      <w:tr>
        <w:trPr>
          <w:trHeight w:val="168"/>
        </w:trPr>
        <w:tc>
          <w:tcPr>
            <w:tcW w:w="7320" w:type="dxa"/>
            <w:vAlign w:val="bottom"/>
          </w:tcPr>
          <w:p>
            <w:pPr>
              <w:spacing w:after="0"/>
              <w:rPr>
                <w:sz w:val="20"/>
                <w:szCs w:val="20"/>
                <w:color w:val="auto"/>
              </w:rPr>
            </w:pPr>
            <w:r>
              <w:rPr>
                <w:rFonts w:ascii="Arial" w:cs="Arial" w:eastAsia="Arial" w:hAnsi="Arial"/>
                <w:sz w:val="13"/>
                <w:szCs w:val="13"/>
                <w:color w:val="auto"/>
              </w:rPr>
              <w:t>Depreciation and amortization expense and other operating gains</w:t>
            </w:r>
          </w:p>
        </w:tc>
        <w:tc>
          <w:tcPr>
            <w:tcW w:w="920" w:type="dxa"/>
            <w:vAlign w:val="bottom"/>
          </w:tcPr>
          <w:p>
            <w:pPr>
              <w:jc w:val="right"/>
              <w:spacing w:after="0"/>
              <w:rPr>
                <w:sz w:val="20"/>
                <w:szCs w:val="20"/>
                <w:color w:val="auto"/>
              </w:rPr>
            </w:pPr>
            <w:r>
              <w:rPr>
                <w:rFonts w:ascii="Arial" w:cs="Arial" w:eastAsia="Arial" w:hAnsi="Arial"/>
                <w:sz w:val="13"/>
                <w:szCs w:val="13"/>
                <w:color w:val="auto"/>
              </w:rPr>
              <w:t>2,395</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2,138</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7,062</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7,181</w:t>
            </w:r>
          </w:p>
        </w:tc>
        <w:tc>
          <w:tcPr>
            <w:tcW w:w="0" w:type="dxa"/>
            <w:vAlign w:val="bottom"/>
          </w:tcPr>
          <w:p>
            <w:pPr>
              <w:spacing w:after="0"/>
              <w:rPr>
                <w:sz w:val="1"/>
                <w:szCs w:val="1"/>
                <w:color w:val="auto"/>
              </w:rPr>
            </w:pPr>
          </w:p>
        </w:tc>
      </w:tr>
      <w:tr>
        <w:trPr>
          <w:trHeight w:val="143"/>
        </w:trPr>
        <w:tc>
          <w:tcPr>
            <w:tcW w:w="7320" w:type="dxa"/>
            <w:vAlign w:val="bottom"/>
          </w:tcPr>
          <w:p>
            <w:pPr>
              <w:spacing w:after="0" w:line="142" w:lineRule="exact"/>
              <w:rPr>
                <w:sz w:val="20"/>
                <w:szCs w:val="20"/>
                <w:color w:val="auto"/>
              </w:rPr>
            </w:pPr>
            <w:r>
              <w:rPr>
                <w:rFonts w:ascii="Arial" w:cs="Arial" w:eastAsia="Arial" w:hAnsi="Arial"/>
                <w:sz w:val="13"/>
                <w:szCs w:val="13"/>
                <w:color w:val="auto"/>
              </w:rPr>
              <w:t>Adjustments</w:t>
            </w:r>
            <w:r>
              <w:rPr>
                <w:rFonts w:ascii="Arial" w:cs="Arial" w:eastAsia="Arial" w:hAnsi="Arial"/>
                <w:sz w:val="16"/>
                <w:szCs w:val="16"/>
                <w:color w:val="auto"/>
                <w:vertAlign w:val="superscript"/>
              </w:rPr>
              <w:t>(2)</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250</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250</w:t>
            </w:r>
          </w:p>
        </w:tc>
        <w:tc>
          <w:tcPr>
            <w:tcW w:w="0" w:type="dxa"/>
            <w:vAlign w:val="bottom"/>
          </w:tcPr>
          <w:p>
            <w:pPr>
              <w:spacing w:after="0"/>
              <w:rPr>
                <w:sz w:val="1"/>
                <w:szCs w:val="1"/>
                <w:color w:val="auto"/>
              </w:rPr>
            </w:pPr>
          </w:p>
        </w:tc>
      </w:tr>
      <w:tr>
        <w:trPr>
          <w:trHeight w:val="22"/>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Adjusted EBITDA</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7320" w:type="dxa"/>
            <w:vAlign w:val="bottom"/>
            <w:vMerge w:val="continue"/>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$6,835</w:t>
            </w:r>
          </w:p>
        </w:tc>
        <w:tc>
          <w:tcPr>
            <w:tcW w:w="120" w:type="dxa"/>
            <w:vAlign w:val="bottom"/>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$7,180</w:t>
            </w:r>
          </w:p>
        </w:tc>
        <w:tc>
          <w:tcPr>
            <w:tcW w:w="12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$19,657</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$21,311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C9C9C9"/>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4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w w:val="97"/>
              </w:rPr>
              <w:t>Three Months Ended</w:t>
            </w: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Nine Months Ended</w:t>
            </w: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4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gridSpan w:val="3"/>
          </w:tcPr>
          <w:p>
            <w:pPr>
              <w:jc w:val="right"/>
              <w:ind w:right="537"/>
              <w:spacing w:after="0"/>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3"/>
          </w:tcPr>
          <w:p>
            <w:pPr>
              <w:jc w:val="right"/>
              <w:ind w:right="557"/>
              <w:spacing w:after="0"/>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880" w:type="dxa"/>
            <w:vAlign w:val="bottom"/>
            <w:vMerge w:val="restart"/>
          </w:tcPr>
          <w:p>
            <w:pPr>
              <w:spacing w:after="0"/>
              <w:rPr>
                <w:sz w:val="20"/>
                <w:szCs w:val="20"/>
                <w:color w:val="auto"/>
              </w:rPr>
            </w:pPr>
            <w:r>
              <w:rPr>
                <w:rFonts w:ascii="Arial" w:cs="Arial" w:eastAsia="Arial" w:hAnsi="Arial"/>
                <w:sz w:val="13"/>
                <w:szCs w:val="13"/>
                <w:color w:val="auto"/>
              </w:rPr>
              <w:t>(in millions, except per share data)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2016</w:t>
            </w:r>
          </w:p>
        </w:tc>
        <w:tc>
          <w:tcPr>
            <w:tcW w:w="5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2016</w:t>
            </w:r>
          </w:p>
        </w:tc>
        <w:tc>
          <w:tcPr>
            <w:tcW w:w="5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880" w:type="dxa"/>
            <w:vAlign w:val="bottom"/>
            <w:vMerge w:val="continue"/>
          </w:tcPr>
          <w:p>
            <w:pPr>
              <w:spacing w:after="0"/>
              <w:rPr>
                <w:sz w:val="10"/>
                <w:szCs w:val="10"/>
                <w:color w:val="auto"/>
              </w:rPr>
            </w:pPr>
          </w:p>
        </w:tc>
        <w:tc>
          <w:tcPr>
            <w:tcW w:w="920" w:type="dxa"/>
            <w:vAlign w:val="bottom"/>
            <w:vMerge w:val="restart"/>
          </w:tcPr>
          <w:p>
            <w:pPr>
              <w:jc w:val="right"/>
              <w:ind w:right="477"/>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100"/>
              <w:spacing w:after="0"/>
              <w:rPr>
                <w:sz w:val="20"/>
                <w:szCs w:val="20"/>
                <w:color w:val="auto"/>
              </w:rPr>
            </w:pPr>
            <w:r>
              <w:rPr>
                <w:rFonts w:ascii="Arial" w:cs="Arial" w:eastAsia="Arial" w:hAnsi="Arial"/>
                <w:sz w:val="13"/>
                <w:szCs w:val="13"/>
                <w:color w:val="auto"/>
              </w:rPr>
              <w:t>EPS</w:t>
            </w:r>
          </w:p>
        </w:tc>
        <w:tc>
          <w:tcPr>
            <w:tcW w:w="940" w:type="dxa"/>
            <w:vAlign w:val="bottom"/>
            <w:vMerge w:val="restart"/>
          </w:tcPr>
          <w:p>
            <w:pPr>
              <w:jc w:val="right"/>
              <w:ind w:right="497"/>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EPS</w:t>
            </w:r>
          </w:p>
        </w:tc>
        <w:tc>
          <w:tcPr>
            <w:tcW w:w="100" w:type="dxa"/>
            <w:vAlign w:val="bottom"/>
          </w:tcPr>
          <w:p>
            <w:pPr>
              <w:spacing w:after="0"/>
              <w:rPr>
                <w:sz w:val="10"/>
                <w:szCs w:val="10"/>
                <w:color w:val="auto"/>
              </w:rPr>
            </w:pPr>
          </w:p>
        </w:tc>
        <w:tc>
          <w:tcPr>
            <w:tcW w:w="940" w:type="dxa"/>
            <w:vAlign w:val="bottom"/>
            <w:vMerge w:val="restart"/>
          </w:tcPr>
          <w:p>
            <w:pPr>
              <w:jc w:val="right"/>
              <w:ind w:right="497"/>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color w:val="auto"/>
              </w:rPr>
              <w:t>EPS</w:t>
            </w:r>
          </w:p>
        </w:tc>
        <w:tc>
          <w:tcPr>
            <w:tcW w:w="980" w:type="dxa"/>
            <w:vAlign w:val="bottom"/>
            <w:vMerge w:val="restart"/>
          </w:tcPr>
          <w:p>
            <w:pPr>
              <w:jc w:val="right"/>
              <w:ind w:right="517"/>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EPS</w:t>
            </w:r>
          </w:p>
        </w:tc>
        <w:tc>
          <w:tcPr>
            <w:tcW w:w="0" w:type="dxa"/>
            <w:vAlign w:val="bottom"/>
          </w:tcPr>
          <w:p>
            <w:pPr>
              <w:spacing w:after="0"/>
              <w:rPr>
                <w:sz w:val="1"/>
                <w:szCs w:val="1"/>
                <w:color w:val="auto"/>
              </w:rPr>
            </w:pPr>
          </w:p>
        </w:tc>
      </w:tr>
      <w:tr>
        <w:trPr>
          <w:trHeight w:val="124"/>
        </w:trPr>
        <w:tc>
          <w:tcPr>
            <w:tcW w:w="48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4880" w:type="dxa"/>
            <w:vAlign w:val="bottom"/>
          </w:tcPr>
          <w:p>
            <w:pPr>
              <w:spacing w:after="0"/>
              <w:rPr>
                <w:sz w:val="20"/>
                <w:szCs w:val="20"/>
                <w:color w:val="auto"/>
              </w:rPr>
            </w:pPr>
            <w:r>
              <w:rPr>
                <w:rFonts w:ascii="Arial" w:cs="Arial" w:eastAsia="Arial" w:hAnsi="Arial"/>
                <w:sz w:val="13"/>
                <w:szCs w:val="13"/>
                <w:b w:val="1"/>
                <w:bCs w:val="1"/>
                <w:color w:val="auto"/>
              </w:rPr>
              <w:t>Net income attributable to Comcast Corporation</w:t>
            </w:r>
          </w:p>
        </w:tc>
        <w:tc>
          <w:tcPr>
            <w:tcW w:w="92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color w:val="auto"/>
              </w:rPr>
              <w:t>$2,237</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$0.46</w:t>
            </w:r>
          </w:p>
        </w:tc>
        <w:tc>
          <w:tcPr>
            <w:tcW w:w="180" w:type="dxa"/>
            <w:vAlign w:val="bottom"/>
          </w:tcPr>
          <w:p>
            <w:pPr>
              <w:spacing w:after="0"/>
              <w:rPr>
                <w:sz w:val="23"/>
                <w:szCs w:val="23"/>
                <w:color w:val="auto"/>
              </w:rPr>
            </w:pPr>
          </w:p>
        </w:tc>
        <w:tc>
          <w:tcPr>
            <w:tcW w:w="940" w:type="dxa"/>
            <w:vAlign w:val="bottom"/>
            <w:tcBorders>
              <w:top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$2,650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$0.55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color w:val="auto"/>
              </w:rPr>
              <w:t>$6,399</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60" w:type="dxa"/>
            <w:vAlign w:val="bottom"/>
          </w:tcPr>
          <w:p>
            <w:pPr>
              <w:spacing w:after="0"/>
              <w:rPr>
                <w:sz w:val="23"/>
                <w:szCs w:val="23"/>
                <w:color w:val="auto"/>
              </w:rPr>
            </w:pPr>
          </w:p>
        </w:tc>
        <w:tc>
          <w:tcPr>
            <w:tcW w:w="980" w:type="dxa"/>
            <w:vAlign w:val="bottom"/>
            <w:tcBorders>
              <w:top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$7,729</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rPr>
                <w:sz w:val="20"/>
                <w:szCs w:val="20"/>
                <w:color w:val="auto"/>
              </w:rPr>
            </w:pPr>
            <w:r>
              <w:rPr>
                <w:rFonts w:ascii="Arial" w:cs="Arial" w:eastAsia="Arial" w:hAnsi="Arial"/>
                <w:sz w:val="13"/>
                <w:szCs w:val="13"/>
                <w:i w:val="1"/>
                <w:iCs w:val="1"/>
                <w:color w:val="auto"/>
              </w:rPr>
              <w:t>Growth %</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7"/>
              <w:spacing w:after="0"/>
              <w:rPr>
                <w:sz w:val="20"/>
                <w:szCs w:val="20"/>
                <w:color w:val="auto"/>
              </w:rPr>
            </w:pPr>
            <w:r>
              <w:rPr>
                <w:rFonts w:ascii="Arial" w:cs="Arial" w:eastAsia="Arial" w:hAnsi="Arial"/>
                <w:sz w:val="13"/>
                <w:szCs w:val="13"/>
                <w:i w:val="1"/>
                <w:iCs w:val="1"/>
                <w:color w:val="auto"/>
              </w:rPr>
              <w:t>18.5%</w:t>
            </w:r>
          </w:p>
        </w:tc>
        <w:tc>
          <w:tcPr>
            <w:tcW w:w="6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97"/>
              </w:rPr>
              <w:t>19.6%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217"/>
              <w:spacing w:after="0"/>
              <w:rPr>
                <w:sz w:val="20"/>
                <w:szCs w:val="20"/>
                <w:color w:val="auto"/>
              </w:rPr>
            </w:pPr>
            <w:r>
              <w:rPr>
                <w:rFonts w:ascii="Arial" w:cs="Arial" w:eastAsia="Arial" w:hAnsi="Arial"/>
                <w:sz w:val="13"/>
                <w:szCs w:val="13"/>
                <w:i w:val="1"/>
                <w:iCs w:val="1"/>
                <w:color w:val="auto"/>
              </w:rPr>
              <w:t>20.8%</w:t>
            </w:r>
          </w:p>
        </w:tc>
        <w:tc>
          <w:tcPr>
            <w:tcW w:w="560" w:type="dxa"/>
            <w:vAlign w:val="bottom"/>
            <w:gridSpan w:val="2"/>
          </w:tcPr>
          <w:p>
            <w:pPr>
              <w:jc w:val="center"/>
              <w:ind w:left="97"/>
              <w:spacing w:after="0"/>
              <w:rPr>
                <w:sz w:val="20"/>
                <w:szCs w:val="20"/>
                <w:color w:val="auto"/>
              </w:rPr>
            </w:pPr>
            <w:r>
              <w:rPr>
                <w:rFonts w:ascii="Arial" w:cs="Arial" w:eastAsia="Arial" w:hAnsi="Arial"/>
                <w:sz w:val="13"/>
                <w:szCs w:val="13"/>
                <w:i w:val="1"/>
                <w:iCs w:val="1"/>
                <w:color w:val="auto"/>
                <w:w w:val="97"/>
              </w:rPr>
              <w:t>22.9%</w:t>
            </w:r>
          </w:p>
        </w:tc>
        <w:tc>
          <w:tcPr>
            <w:tcW w:w="0" w:type="dxa"/>
            <w:vAlign w:val="bottom"/>
          </w:tcPr>
          <w:p>
            <w:pPr>
              <w:spacing w:after="0"/>
              <w:rPr>
                <w:sz w:val="1"/>
                <w:szCs w:val="1"/>
                <w:color w:val="auto"/>
              </w:rPr>
            </w:pPr>
          </w:p>
        </w:tc>
      </w:tr>
      <w:tr>
        <w:trPr>
          <w:trHeight w:val="318"/>
        </w:trPr>
        <w:tc>
          <w:tcPr>
            <w:tcW w:w="4880" w:type="dxa"/>
            <w:vAlign w:val="bottom"/>
          </w:tcPr>
          <w:p>
            <w:pPr>
              <w:spacing w:after="0"/>
              <w:rPr>
                <w:sz w:val="20"/>
                <w:szCs w:val="20"/>
                <w:color w:val="auto"/>
              </w:rPr>
            </w:pPr>
            <w:r>
              <w:rPr>
                <w:rFonts w:ascii="Arial" w:cs="Arial" w:eastAsia="Arial" w:hAnsi="Arial"/>
                <w:sz w:val="13"/>
                <w:szCs w:val="13"/>
                <w:color w:val="auto"/>
              </w:rPr>
              <w:t>Gain on spectrum auction</w:t>
            </w:r>
            <w:r>
              <w:rPr>
                <w:rFonts w:ascii="Arial" w:cs="Arial" w:eastAsia="Arial" w:hAnsi="Arial"/>
                <w:sz w:val="16"/>
                <w:szCs w:val="16"/>
                <w:color w:val="auto"/>
                <w:vertAlign w:val="superscript"/>
              </w:rPr>
              <w:t>(3)</w:t>
            </w:r>
          </w:p>
        </w:tc>
        <w:tc>
          <w:tcPr>
            <w:tcW w:w="9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b w:val="1"/>
                <w:bCs w:val="1"/>
                <w:color w:val="auto"/>
              </w:rPr>
              <w:t>(209)</w:t>
            </w:r>
          </w:p>
        </w:tc>
        <w:tc>
          <w:tcPr>
            <w:tcW w:w="5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(0.04)</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17"/>
              <w:spacing w:after="0"/>
              <w:rPr>
                <w:sz w:val="20"/>
                <w:szCs w:val="20"/>
                <w:color w:val="auto"/>
              </w:rPr>
            </w:pPr>
            <w:r>
              <w:rPr>
                <w:rFonts w:ascii="Arial" w:cs="Arial" w:eastAsia="Arial" w:hAnsi="Arial"/>
                <w:sz w:val="13"/>
                <w:szCs w:val="13"/>
                <w:b w:val="1"/>
                <w:bCs w:val="1"/>
                <w:color w:val="auto"/>
              </w:rPr>
              <w:t>(209)</w:t>
            </w:r>
          </w:p>
        </w:tc>
        <w:tc>
          <w:tcPr>
            <w:tcW w:w="5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line="176" w:lineRule="exact"/>
              <w:rPr>
                <w:sz w:val="20"/>
                <w:szCs w:val="20"/>
                <w:color w:val="auto"/>
              </w:rPr>
            </w:pPr>
            <w:r>
              <w:rPr>
                <w:rFonts w:ascii="Arial" w:cs="Arial" w:eastAsia="Arial" w:hAnsi="Arial"/>
                <w:sz w:val="13"/>
                <w:szCs w:val="13"/>
                <w:color w:val="auto"/>
              </w:rPr>
              <w:t>Income tax adjustments</w:t>
            </w:r>
            <w:r>
              <w:rPr>
                <w:rFonts w:ascii="Arial" w:cs="Arial" w:eastAsia="Arial" w:hAnsi="Arial"/>
                <w:sz w:val="16"/>
                <w:szCs w:val="16"/>
                <w:color w:val="auto"/>
                <w:vertAlign w:val="superscript"/>
              </w:rPr>
              <w:t>(4)</w:t>
            </w:r>
          </w:p>
        </w:tc>
        <w:tc>
          <w:tcPr>
            <w:tcW w:w="9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b w:val="1"/>
                <w:bCs w:val="1"/>
                <w:color w:val="auto"/>
              </w:rPr>
              <w:t>(68)</w:t>
            </w:r>
          </w:p>
        </w:tc>
        <w:tc>
          <w:tcPr>
            <w:tcW w:w="5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(0.01)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17"/>
              <w:spacing w:after="0"/>
              <w:rPr>
                <w:sz w:val="20"/>
                <w:szCs w:val="20"/>
                <w:color w:val="auto"/>
              </w:rPr>
            </w:pPr>
            <w:r>
              <w:rPr>
                <w:rFonts w:ascii="Arial" w:cs="Arial" w:eastAsia="Arial" w:hAnsi="Arial"/>
                <w:sz w:val="13"/>
                <w:szCs w:val="13"/>
                <w:b w:val="1"/>
                <w:bCs w:val="1"/>
                <w:color w:val="auto"/>
              </w:rPr>
              <w:t>(68)</w:t>
            </w:r>
          </w:p>
        </w:tc>
        <w:tc>
          <w:tcPr>
            <w:tcW w:w="5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line="176" w:lineRule="exact"/>
              <w:rPr>
                <w:sz w:val="20"/>
                <w:szCs w:val="20"/>
                <w:color w:val="auto"/>
              </w:rPr>
            </w:pPr>
            <w:r>
              <w:rPr>
                <w:rFonts w:ascii="Arial" w:cs="Arial" w:eastAsia="Arial" w:hAnsi="Arial"/>
                <w:sz w:val="13"/>
                <w:szCs w:val="13"/>
                <w:color w:val="auto"/>
              </w:rPr>
              <w:t>Gains on sales of businesses and investments</w:t>
            </w:r>
            <w:r>
              <w:rPr>
                <w:rFonts w:ascii="Arial" w:cs="Arial" w:eastAsia="Arial" w:hAnsi="Arial"/>
                <w:sz w:val="16"/>
                <w:szCs w:val="16"/>
                <w:color w:val="auto"/>
                <w:vertAlign w:val="superscript"/>
              </w:rPr>
              <w:t>(5)</w:t>
            </w:r>
          </w:p>
        </w:tc>
        <w:tc>
          <w:tcPr>
            <w:tcW w:w="9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b w:val="1"/>
                <w:bCs w:val="1"/>
                <w:color w:val="auto"/>
              </w:rPr>
              <w:t>(65)</w:t>
            </w:r>
          </w:p>
        </w:tc>
        <w:tc>
          <w:tcPr>
            <w:tcW w:w="5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(0.01)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97"/>
              <w:spacing w:after="0"/>
              <w:rPr>
                <w:sz w:val="20"/>
                <w:szCs w:val="20"/>
                <w:color w:val="auto"/>
              </w:rPr>
            </w:pPr>
            <w:r>
              <w:rPr>
                <w:rFonts w:ascii="Arial" w:cs="Arial" w:eastAsia="Arial" w:hAnsi="Arial"/>
                <w:sz w:val="13"/>
                <w:szCs w:val="13"/>
                <w:color w:val="auto"/>
              </w:rPr>
              <w:t>(67)</w:t>
            </w:r>
          </w:p>
        </w:tc>
        <w:tc>
          <w:tcPr>
            <w:tcW w:w="560" w:type="dxa"/>
            <w:vAlign w:val="bottom"/>
          </w:tcPr>
          <w:p>
            <w:pPr>
              <w:jc w:val="right"/>
              <w:spacing w:after="0"/>
              <w:rPr>
                <w:sz w:val="20"/>
                <w:szCs w:val="20"/>
                <w:color w:val="auto"/>
              </w:rPr>
            </w:pPr>
            <w:r>
              <w:rPr>
                <w:rFonts w:ascii="Arial" w:cs="Arial" w:eastAsia="Arial" w:hAnsi="Arial"/>
                <w:sz w:val="13"/>
                <w:szCs w:val="13"/>
                <w:color w:val="auto"/>
              </w:rPr>
              <w:t>(0.02)</w:t>
            </w:r>
          </w:p>
        </w:tc>
        <w:tc>
          <w:tcPr>
            <w:tcW w:w="160" w:type="dxa"/>
            <w:vAlign w:val="bottom"/>
          </w:tcPr>
          <w:p>
            <w:pPr>
              <w:spacing w:after="0"/>
              <w:rPr>
                <w:sz w:val="15"/>
                <w:szCs w:val="15"/>
                <w:color w:val="auto"/>
              </w:rPr>
            </w:pPr>
          </w:p>
        </w:tc>
        <w:tc>
          <w:tcPr>
            <w:tcW w:w="980" w:type="dxa"/>
            <w:vAlign w:val="bottom"/>
          </w:tcPr>
          <w:p>
            <w:pPr>
              <w:jc w:val="right"/>
              <w:ind w:right="217"/>
              <w:spacing w:after="0"/>
              <w:rPr>
                <w:sz w:val="20"/>
                <w:szCs w:val="20"/>
                <w:color w:val="auto"/>
              </w:rPr>
            </w:pPr>
            <w:r>
              <w:rPr>
                <w:rFonts w:ascii="Arial" w:cs="Arial" w:eastAsia="Arial" w:hAnsi="Arial"/>
                <w:sz w:val="13"/>
                <w:szCs w:val="13"/>
                <w:b w:val="1"/>
                <w:bCs w:val="1"/>
                <w:color w:val="auto"/>
              </w:rPr>
              <w:t>(65)</w:t>
            </w:r>
          </w:p>
        </w:tc>
        <w:tc>
          <w:tcPr>
            <w:tcW w:w="5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80" w:type="dxa"/>
            <w:vAlign w:val="bottom"/>
          </w:tcPr>
          <w:p>
            <w:pPr>
              <w:spacing w:after="0" w:line="157" w:lineRule="exact"/>
              <w:rPr>
                <w:sz w:val="20"/>
                <w:szCs w:val="20"/>
                <w:color w:val="auto"/>
              </w:rPr>
            </w:pPr>
            <w:r>
              <w:rPr>
                <w:rFonts w:ascii="Arial" w:cs="Arial" w:eastAsia="Arial" w:hAnsi="Arial"/>
                <w:sz w:val="13"/>
                <w:szCs w:val="13"/>
                <w:color w:val="auto"/>
              </w:rPr>
              <w:t>Legal settlement</w:t>
            </w:r>
            <w:r>
              <w:rPr>
                <w:rFonts w:ascii="Arial" w:cs="Arial" w:eastAsia="Arial" w:hAnsi="Arial"/>
                <w:sz w:val="16"/>
                <w:szCs w:val="16"/>
                <w:color w:val="auto"/>
                <w:vertAlign w:val="superscript"/>
              </w:rPr>
              <w:t>(6)</w:t>
            </w:r>
          </w:p>
        </w:tc>
        <w:tc>
          <w:tcPr>
            <w:tcW w:w="9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57"/>
              <w:spacing w:after="0"/>
              <w:rPr>
                <w:sz w:val="20"/>
                <w:szCs w:val="20"/>
                <w:color w:val="auto"/>
              </w:rPr>
            </w:pPr>
            <w:r>
              <w:rPr>
                <w:rFonts w:ascii="Arial" w:cs="Arial" w:eastAsia="Arial" w:hAnsi="Arial"/>
                <w:sz w:val="13"/>
                <w:szCs w:val="13"/>
                <w:b w:val="1"/>
                <w:bCs w:val="1"/>
                <w:color w:val="auto"/>
              </w:rPr>
              <w:t>157</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0.03</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77"/>
              <w:spacing w:after="0"/>
              <w:rPr>
                <w:sz w:val="20"/>
                <w:szCs w:val="20"/>
                <w:color w:val="auto"/>
              </w:rPr>
            </w:pPr>
            <w:r>
              <w:rPr>
                <w:rFonts w:ascii="Arial" w:cs="Arial" w:eastAsia="Arial" w:hAnsi="Arial"/>
                <w:sz w:val="13"/>
                <w:szCs w:val="13"/>
                <w:b w:val="1"/>
                <w:bCs w:val="1"/>
                <w:color w:val="auto"/>
              </w:rPr>
              <w:t>157</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80" w:type="dxa"/>
            <w:vAlign w:val="bottom"/>
          </w:tcPr>
          <w:p>
            <w:pPr>
              <w:spacing w:after="0"/>
              <w:rPr>
                <w:sz w:val="20"/>
                <w:szCs w:val="20"/>
                <w:color w:val="auto"/>
              </w:rPr>
            </w:pPr>
            <w:r>
              <w:rPr>
                <w:rFonts w:ascii="Arial" w:cs="Arial" w:eastAsia="Arial" w:hAnsi="Arial"/>
                <w:sz w:val="13"/>
                <w:szCs w:val="13"/>
                <w:b w:val="1"/>
                <w:bCs w:val="1"/>
                <w:color w:val="auto"/>
              </w:rPr>
              <w:t>Net income attributable to Comcast Corporation (excluding adjustments)</w:t>
            </w:r>
          </w:p>
        </w:tc>
        <w:tc>
          <w:tcPr>
            <w:tcW w:w="9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$2,237</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$0.46</w:t>
            </w:r>
          </w:p>
        </w:tc>
        <w:tc>
          <w:tcPr>
            <w:tcW w:w="1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$2,465</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$0.52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$6,332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1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$7,544</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3"/>
                <w:szCs w:val="13"/>
                <w:i w:val="1"/>
                <w:iCs w:val="1"/>
                <w:color w:val="auto"/>
              </w:rPr>
              <w:t>Growth %</w:t>
            </w: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880" w:type="dxa"/>
            <w:vAlign w:val="bottom"/>
            <w:vMerge w:val="continue"/>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ind w:right="197"/>
              <w:spacing w:after="0" w:line="145" w:lineRule="exact"/>
              <w:rPr>
                <w:sz w:val="20"/>
                <w:szCs w:val="20"/>
                <w:color w:val="auto"/>
              </w:rPr>
            </w:pPr>
            <w:r>
              <w:rPr>
                <w:rFonts w:ascii="Arial" w:cs="Arial" w:eastAsia="Arial" w:hAnsi="Arial"/>
                <w:sz w:val="13"/>
                <w:szCs w:val="13"/>
                <w:i w:val="1"/>
                <w:iCs w:val="1"/>
                <w:color w:val="auto"/>
              </w:rPr>
              <w:t>10.2%</w:t>
            </w:r>
          </w:p>
        </w:tc>
        <w:tc>
          <w:tcPr>
            <w:tcW w:w="540" w:type="dxa"/>
            <w:vAlign w:val="bottom"/>
            <w:tcBorders>
              <w:top w:val="single" w:sz="8" w:color="auto"/>
            </w:tcBorders>
          </w:tcPr>
          <w:p>
            <w:pPr>
              <w:jc w:val="center"/>
              <w:ind w:left="117"/>
              <w:spacing w:after="0" w:line="145" w:lineRule="exact"/>
              <w:rPr>
                <w:sz w:val="20"/>
                <w:szCs w:val="20"/>
                <w:color w:val="auto"/>
              </w:rPr>
            </w:pPr>
            <w:r>
              <w:rPr>
                <w:rFonts w:ascii="Arial" w:cs="Arial" w:eastAsia="Arial" w:hAnsi="Arial"/>
                <w:sz w:val="13"/>
                <w:szCs w:val="13"/>
                <w:i w:val="1"/>
                <w:iCs w:val="1"/>
                <w:color w:val="auto"/>
                <w:w w:val="97"/>
              </w:rPr>
              <w:t>13.0%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ind w:right="217"/>
              <w:spacing w:after="0" w:line="145" w:lineRule="exact"/>
              <w:rPr>
                <w:sz w:val="20"/>
                <w:szCs w:val="20"/>
                <w:color w:val="auto"/>
              </w:rPr>
            </w:pPr>
            <w:r>
              <w:rPr>
                <w:rFonts w:ascii="Arial" w:cs="Arial" w:eastAsia="Arial" w:hAnsi="Arial"/>
                <w:sz w:val="13"/>
                <w:szCs w:val="13"/>
                <w:i w:val="1"/>
                <w:iCs w:val="1"/>
                <w:color w:val="auto"/>
              </w:rPr>
              <w:t>19.2%</w:t>
            </w:r>
          </w:p>
        </w:tc>
        <w:tc>
          <w:tcPr>
            <w:tcW w:w="540" w:type="dxa"/>
            <w:vAlign w:val="bottom"/>
            <w:tcBorders>
              <w:top w:val="single" w:sz="8" w:color="auto"/>
            </w:tcBorders>
          </w:tcPr>
          <w:p>
            <w:pPr>
              <w:jc w:val="center"/>
              <w:ind w:left="117"/>
              <w:spacing w:after="0" w:line="145" w:lineRule="exact"/>
              <w:rPr>
                <w:sz w:val="20"/>
                <w:szCs w:val="20"/>
                <w:color w:val="auto"/>
              </w:rPr>
            </w:pPr>
            <w:r>
              <w:rPr>
                <w:rFonts w:ascii="Arial" w:cs="Arial" w:eastAsia="Arial" w:hAnsi="Arial"/>
                <w:sz w:val="13"/>
                <w:szCs w:val="13"/>
                <w:i w:val="1"/>
                <w:iCs w:val="1"/>
                <w:color w:val="auto"/>
                <w:w w:val="97"/>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1"/>
          <w:szCs w:val="11"/>
          <w:color w:val="auto"/>
        </w:rPr>
      </w:pPr>
      <w:r>
        <w:rPr>
          <w:rFonts w:ascii="Arial" w:cs="Arial" w:eastAsia="Arial" w:hAnsi="Arial"/>
          <w:sz w:val="11"/>
          <w:szCs w:val="11"/>
          <w:color w:val="auto"/>
        </w:rPr>
        <w:t>Other (income) expense items, net include interest expense, investment income (loss), equity in net income (losses) of investees, and other income (expense), net (as stated in our Statement of Income).</w:t>
      </w:r>
    </w:p>
    <w:p>
      <w:pPr>
        <w:spacing w:after="0" w:line="76" w:lineRule="exact"/>
        <w:rPr>
          <w:rFonts w:ascii="Arial" w:cs="Arial" w:eastAsia="Arial" w:hAnsi="Arial"/>
          <w:sz w:val="11"/>
          <w:szCs w:val="11"/>
          <w:color w:val="auto"/>
        </w:rPr>
      </w:pPr>
    </w:p>
    <w:p>
      <w:pPr>
        <w:ind w:left="200" w:hanging="192"/>
        <w:spacing w:after="0"/>
        <w:tabs>
          <w:tab w:leader="none" w:pos="200" w:val="left"/>
        </w:tabs>
        <w:numPr>
          <w:ilvl w:val="0"/>
          <w:numId w:val="5"/>
        </w:numPr>
        <w:rPr>
          <w:rFonts w:ascii="Arial" w:cs="Arial" w:eastAsia="Arial" w:hAnsi="Arial"/>
          <w:sz w:val="11"/>
          <w:szCs w:val="11"/>
          <w:color w:val="auto"/>
        </w:rPr>
      </w:pPr>
      <w:r>
        <w:rPr>
          <w:rFonts w:ascii="Arial" w:cs="Arial" w:eastAsia="Arial" w:hAnsi="Arial"/>
          <w:sz w:val="11"/>
          <w:szCs w:val="11"/>
          <w:color w:val="auto"/>
        </w:rPr>
        <w:t>3rd quarter 2017 Adjusted EBITDA excludes $250 million of other operating and administrative expense related to a legal settlement.</w:t>
      </w:r>
    </w:p>
    <w:p>
      <w:pPr>
        <w:spacing w:after="0" w:line="76" w:lineRule="exact"/>
        <w:rPr>
          <w:rFonts w:ascii="Arial" w:cs="Arial" w:eastAsia="Arial" w:hAnsi="Arial"/>
          <w:sz w:val="11"/>
          <w:szCs w:val="11"/>
          <w:color w:val="auto"/>
        </w:rPr>
      </w:pPr>
    </w:p>
    <w:p>
      <w:pPr>
        <w:ind w:left="200" w:hanging="192"/>
        <w:spacing w:after="0" w:line="238" w:lineRule="auto"/>
        <w:tabs>
          <w:tab w:leader="none" w:pos="211" w:val="left"/>
        </w:tabs>
        <w:numPr>
          <w:ilvl w:val="0"/>
          <w:numId w:val="5"/>
        </w:numPr>
        <w:rPr>
          <w:rFonts w:ascii="Arial" w:cs="Arial" w:eastAsia="Arial" w:hAnsi="Arial"/>
          <w:sz w:val="11"/>
          <w:szCs w:val="11"/>
          <w:color w:val="auto"/>
        </w:rPr>
      </w:pPr>
      <w:r>
        <w:rPr>
          <w:rFonts w:ascii="Arial" w:cs="Arial" w:eastAsia="Arial" w:hAnsi="Arial"/>
          <w:sz w:val="11"/>
          <w:szCs w:val="11"/>
          <w:color w:val="auto"/>
        </w:rPr>
        <w:t>3rd quarter 2017 net income attributable to Comcast Corporation includes $337 million of other operating gains, $209 million net of tax, recognized in connection with NBCUniversal’s relinquishment of certain spectrum rights in the FCC’s spectrum auction.</w:t>
      </w:r>
    </w:p>
    <w:p>
      <w:pPr>
        <w:spacing w:after="0" w:line="73" w:lineRule="exact"/>
        <w:rPr>
          <w:rFonts w:ascii="Arial" w:cs="Arial" w:eastAsia="Arial" w:hAnsi="Arial"/>
          <w:sz w:val="11"/>
          <w:szCs w:val="11"/>
          <w:color w:val="auto"/>
        </w:rPr>
      </w:pPr>
    </w:p>
    <w:p>
      <w:pPr>
        <w:ind w:left="200" w:hanging="192"/>
        <w:spacing w:after="0"/>
        <w:tabs>
          <w:tab w:leader="none" w:pos="200" w:val="left"/>
        </w:tabs>
        <w:numPr>
          <w:ilvl w:val="0"/>
          <w:numId w:val="5"/>
        </w:numPr>
        <w:rPr>
          <w:rFonts w:ascii="Arial" w:cs="Arial" w:eastAsia="Arial" w:hAnsi="Arial"/>
          <w:sz w:val="11"/>
          <w:szCs w:val="11"/>
          <w:color w:val="auto"/>
        </w:rPr>
      </w:pPr>
      <w:r>
        <w:rPr>
          <w:rFonts w:ascii="Arial" w:cs="Arial" w:eastAsia="Arial" w:hAnsi="Arial"/>
          <w:sz w:val="11"/>
          <w:szCs w:val="11"/>
          <w:color w:val="auto"/>
        </w:rPr>
        <w:t>3rd quarter 2017 net income attributable to Comcast Corporation includes $68 million of income tax adjustments related to an internal legal reorganization offset by the impact of certain state tax law changes.</w:t>
      </w:r>
    </w:p>
    <w:p>
      <w:pPr>
        <w:spacing w:after="0" w:line="76" w:lineRule="exact"/>
        <w:rPr>
          <w:rFonts w:ascii="Arial" w:cs="Arial" w:eastAsia="Arial" w:hAnsi="Arial"/>
          <w:sz w:val="11"/>
          <w:szCs w:val="11"/>
          <w:color w:val="auto"/>
        </w:rPr>
      </w:pPr>
    </w:p>
    <w:p>
      <w:pPr>
        <w:ind w:left="200" w:hanging="192"/>
        <w:spacing w:after="0" w:line="238" w:lineRule="auto"/>
        <w:tabs>
          <w:tab w:leader="none" w:pos="211" w:val="left"/>
        </w:tabs>
        <w:numPr>
          <w:ilvl w:val="0"/>
          <w:numId w:val="5"/>
        </w:numPr>
        <w:rPr>
          <w:rFonts w:ascii="Arial" w:cs="Arial" w:eastAsia="Arial" w:hAnsi="Arial"/>
          <w:sz w:val="11"/>
          <w:szCs w:val="11"/>
          <w:color w:val="auto"/>
        </w:rPr>
      </w:pPr>
      <w:r>
        <w:rPr>
          <w:rFonts w:ascii="Arial" w:cs="Arial" w:eastAsia="Arial" w:hAnsi="Arial"/>
          <w:sz w:val="11"/>
          <w:szCs w:val="11"/>
          <w:color w:val="auto"/>
        </w:rPr>
        <w:t>3rd quarter 2017 net income attributable to Comcast Corporation includes $105 million of other operating gains, $65 million net of tax, resulting from the sale of a business. 2016 year to date net income attributable to Comcast Corporation includes $108 million of other income, $67 million net of tax, resulting from a gain on the sale of our investment in The Weather Channel’s product and technology business.</w:t>
      </w:r>
    </w:p>
    <w:p>
      <w:pPr>
        <w:spacing w:after="0" w:line="73" w:lineRule="exact"/>
        <w:rPr>
          <w:rFonts w:ascii="Arial" w:cs="Arial" w:eastAsia="Arial" w:hAnsi="Arial"/>
          <w:sz w:val="11"/>
          <w:szCs w:val="11"/>
          <w:color w:val="auto"/>
        </w:rPr>
      </w:pPr>
    </w:p>
    <w:p>
      <w:pPr>
        <w:ind w:left="200" w:hanging="192"/>
        <w:spacing w:after="0"/>
        <w:tabs>
          <w:tab w:leader="none" w:pos="200" w:val="left"/>
        </w:tabs>
        <w:numPr>
          <w:ilvl w:val="0"/>
          <w:numId w:val="5"/>
        </w:numPr>
        <w:rPr>
          <w:rFonts w:ascii="Arial" w:cs="Arial" w:eastAsia="Arial" w:hAnsi="Arial"/>
          <w:sz w:val="11"/>
          <w:szCs w:val="11"/>
          <w:color w:val="auto"/>
        </w:rPr>
      </w:pPr>
      <w:r>
        <w:rPr>
          <w:rFonts w:ascii="Arial" w:cs="Arial" w:eastAsia="Arial" w:hAnsi="Arial"/>
          <w:sz w:val="11"/>
          <w:szCs w:val="11"/>
          <w:color w:val="auto"/>
        </w:rPr>
        <w:t>3rd quarter 2017 net income attributable to Comcast Corporation includes $250 million of other operating and administrative expense, $157 million net of tax, related to a legal settlement.</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Note: Minor differences may exist due to rounding.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-136525</wp:posOffset>
            </wp:positionV>
            <wp:extent cx="960755" cy="394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C9C9C9"/>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7320" w:type="dxa"/>
            <w:vAlign w:val="bottom"/>
          </w:tcPr>
          <w:p>
            <w:pPr>
              <w:spacing w:after="0"/>
              <w:rPr>
                <w:sz w:val="3"/>
                <w:szCs w:val="3"/>
                <w:color w:val="auto"/>
              </w:rPr>
            </w:pPr>
          </w:p>
        </w:tc>
        <w:tc>
          <w:tcPr>
            <w:tcW w:w="20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7"/>
              </w:rPr>
              <w:t>Three Months Ended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92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line="20" w:lineRule="exact"/>
              <w:rPr>
                <w:sz w:val="1"/>
                <w:szCs w:val="1"/>
                <w:color w:val="auto"/>
              </w:rPr>
            </w:pPr>
          </w:p>
        </w:tc>
      </w:tr>
      <w:tr>
        <w:trPr>
          <w:trHeight w:val="113"/>
        </w:trPr>
        <w:tc>
          <w:tcPr>
            <w:tcW w:w="7320" w:type="dxa"/>
            <w:vAlign w:val="bottom"/>
          </w:tcPr>
          <w:p>
            <w:pPr>
              <w:spacing w:after="0"/>
              <w:rPr>
                <w:sz w:val="9"/>
                <w:szCs w:val="9"/>
                <w:color w:val="auto"/>
              </w:rPr>
            </w:pPr>
          </w:p>
        </w:tc>
        <w:tc>
          <w:tcPr>
            <w:tcW w:w="20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32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6"/>
              </w:rPr>
              <w:t>September 30,</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219"/>
        </w:trPr>
        <w:tc>
          <w:tcPr>
            <w:tcW w:w="7320" w:type="dxa"/>
            <w:vAlign w:val="bottom"/>
          </w:tcPr>
          <w:p>
            <w:pPr>
              <w:spacing w:after="0"/>
              <w:rPr>
                <w:sz w:val="20"/>
                <w:szCs w:val="20"/>
                <w:color w:val="auto"/>
              </w:rPr>
            </w:pPr>
            <w:r>
              <w:rPr>
                <w:rFonts w:ascii="Arial" w:cs="Arial" w:eastAsia="Arial" w:hAnsi="Arial"/>
                <w:sz w:val="13"/>
                <w:szCs w:val="13"/>
                <w:color w:val="auto"/>
              </w:rPr>
              <w:t>(in millions)</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Arial" w:cs="Arial" w:eastAsia="Arial" w:hAnsi="Arial"/>
                <w:sz w:val="13"/>
                <w:szCs w:val="13"/>
                <w:b w:val="1"/>
                <w:bCs w:val="1"/>
                <w:color w:val="auto"/>
              </w:rPr>
              <w:t>Net cash provided by operating activities</w:t>
            </w:r>
          </w:p>
        </w:tc>
        <w:tc>
          <w:tcPr>
            <w:tcW w:w="920" w:type="dxa"/>
            <w:vAlign w:val="bottom"/>
          </w:tcPr>
          <w:p>
            <w:pPr>
              <w:jc w:val="right"/>
              <w:spacing w:after="0"/>
              <w:rPr>
                <w:sz w:val="20"/>
                <w:szCs w:val="20"/>
                <w:color w:val="auto"/>
              </w:rPr>
            </w:pPr>
            <w:r>
              <w:rPr>
                <w:rFonts w:ascii="Arial" w:cs="Arial" w:eastAsia="Arial" w:hAnsi="Arial"/>
                <w:sz w:val="13"/>
                <w:szCs w:val="13"/>
                <w:color w:val="auto"/>
              </w:rPr>
              <w:t>$4,195</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$5,147</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$13,989</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$15,961</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Capital expenditures</w:t>
            </w:r>
          </w:p>
        </w:tc>
        <w:tc>
          <w:tcPr>
            <w:tcW w:w="920" w:type="dxa"/>
            <w:vAlign w:val="bottom"/>
          </w:tcPr>
          <w:p>
            <w:pPr>
              <w:jc w:val="right"/>
              <w:spacing w:after="0"/>
              <w:rPr>
                <w:sz w:val="20"/>
                <w:szCs w:val="20"/>
                <w:color w:val="auto"/>
              </w:rPr>
            </w:pPr>
            <w:r>
              <w:rPr>
                <w:rFonts w:ascii="Arial" w:cs="Arial" w:eastAsia="Arial" w:hAnsi="Arial"/>
                <w:sz w:val="13"/>
                <w:szCs w:val="13"/>
                <w:color w:val="auto"/>
              </w:rPr>
              <w:t>(2,406)</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(2,434)</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(6,562)</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(6,839)</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Cash paid for capitalized software and other intangible assets</w:t>
            </w:r>
          </w:p>
        </w:tc>
        <w:tc>
          <w:tcPr>
            <w:tcW w:w="920" w:type="dxa"/>
            <w:vAlign w:val="bottom"/>
          </w:tcPr>
          <w:p>
            <w:pPr>
              <w:jc w:val="right"/>
              <w:spacing w:after="0"/>
              <w:rPr>
                <w:sz w:val="20"/>
                <w:szCs w:val="20"/>
                <w:color w:val="auto"/>
              </w:rPr>
            </w:pPr>
            <w:r>
              <w:rPr>
                <w:rFonts w:ascii="Arial" w:cs="Arial" w:eastAsia="Arial" w:hAnsi="Arial"/>
                <w:sz w:val="13"/>
                <w:szCs w:val="13"/>
                <w:color w:val="auto"/>
              </w:rPr>
              <w:t>(426)</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(404)</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(1,163)</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(1,240)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Principal payments on capital leases</w:t>
            </w:r>
          </w:p>
        </w:tc>
        <w:tc>
          <w:tcPr>
            <w:tcW w:w="92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(25)</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Distributions to noncontrolling interests and dividends for redeemable subsidiary preferred stock</w:t>
            </w:r>
          </w:p>
        </w:tc>
        <w:tc>
          <w:tcPr>
            <w:tcW w:w="92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(61)</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(198)</w:t>
            </w:r>
          </w:p>
        </w:tc>
        <w:tc>
          <w:tcPr>
            <w:tcW w:w="0" w:type="dxa"/>
            <w:vAlign w:val="bottom"/>
          </w:tcPr>
          <w:p>
            <w:pPr>
              <w:spacing w:after="0"/>
              <w:rPr>
                <w:sz w:val="1"/>
                <w:szCs w:val="1"/>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3"/>
                <w:szCs w:val="13"/>
                <w:color w:val="auto"/>
              </w:rPr>
              <w:t>Nonoperating items</w:t>
            </w:r>
            <w:r>
              <w:rPr>
                <w:rFonts w:ascii="Arial" w:cs="Arial" w:eastAsia="Arial" w:hAnsi="Arial"/>
                <w:sz w:val="16"/>
                <w:szCs w:val="16"/>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109</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139</w:t>
            </w:r>
          </w:p>
        </w:tc>
        <w:tc>
          <w:tcPr>
            <w:tcW w:w="0" w:type="dxa"/>
            <w:vAlign w:val="bottom"/>
          </w:tcPr>
          <w:p>
            <w:pPr>
              <w:spacing w:after="0"/>
              <w:rPr>
                <w:sz w:val="1"/>
                <w:szCs w:val="1"/>
                <w:color w:val="auto"/>
              </w:rPr>
            </w:pPr>
          </w:p>
        </w:tc>
      </w:tr>
      <w:tr>
        <w:trPr>
          <w:trHeight w:val="157"/>
        </w:trPr>
        <w:tc>
          <w:tcPr>
            <w:tcW w:w="7320" w:type="dxa"/>
            <w:vAlign w:val="bottom"/>
          </w:tcPr>
          <w:p>
            <w:pPr>
              <w:spacing w:after="0" w:line="157" w:lineRule="exact"/>
              <w:rPr>
                <w:sz w:val="20"/>
                <w:szCs w:val="20"/>
                <w:color w:val="auto"/>
              </w:rPr>
            </w:pPr>
            <w:r>
              <w:rPr>
                <w:rFonts w:ascii="Arial" w:cs="Arial" w:eastAsia="Arial" w:hAnsi="Arial"/>
                <w:sz w:val="13"/>
                <w:szCs w:val="13"/>
                <w:color w:val="auto"/>
              </w:rPr>
              <w:t>Impact of share-based compensation accounting change</w:t>
            </w:r>
            <w:r>
              <w:rPr>
                <w:rFonts w:ascii="Arial" w:cs="Arial" w:eastAsia="Arial" w:hAnsi="Arial"/>
                <w:sz w:val="16"/>
                <w:szCs w:val="16"/>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Arial" w:cs="Arial" w:eastAsia="Arial" w:hAnsi="Arial"/>
                <w:sz w:val="13"/>
                <w:szCs w:val="13"/>
                <w:color w:val="auto"/>
              </w:rPr>
              <w:t>Free cash flow (including Economic Stimulus Packages)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1,415</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2,349</w:t>
            </w:r>
          </w:p>
        </w:tc>
        <w:tc>
          <w:tcPr>
            <w:tcW w:w="12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5,747</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7,798</w:t>
            </w:r>
          </w:p>
        </w:tc>
        <w:tc>
          <w:tcPr>
            <w:tcW w:w="0" w:type="dxa"/>
            <w:vAlign w:val="bottom"/>
          </w:tcPr>
          <w:p>
            <w:pPr>
              <w:spacing w:after="0"/>
              <w:rPr>
                <w:sz w:val="1"/>
                <w:szCs w:val="1"/>
                <w:color w:val="auto"/>
              </w:rPr>
            </w:pPr>
          </w:p>
        </w:tc>
      </w:tr>
      <w:tr>
        <w:trPr>
          <w:trHeight w:val="165"/>
        </w:trPr>
        <w:tc>
          <w:tcPr>
            <w:tcW w:w="7320" w:type="dxa"/>
            <w:vAlign w:val="bottom"/>
          </w:tcPr>
          <w:p>
            <w:pPr>
              <w:spacing w:after="0" w:line="165" w:lineRule="exact"/>
              <w:rPr>
                <w:sz w:val="20"/>
                <w:szCs w:val="20"/>
                <w:color w:val="auto"/>
              </w:rPr>
            </w:pPr>
            <w:r>
              <w:rPr>
                <w:rFonts w:ascii="Arial" w:cs="Arial" w:eastAsia="Arial" w:hAnsi="Arial"/>
                <w:sz w:val="13"/>
                <w:szCs w:val="13"/>
                <w:color w:val="auto"/>
              </w:rPr>
              <w:t>Economic Stimulus Packages</w:t>
            </w:r>
            <w:r>
              <w:rPr>
                <w:rFonts w:ascii="Arial" w:cs="Arial" w:eastAsia="Arial" w:hAnsi="Arial"/>
                <w:sz w:val="16"/>
                <w:szCs w:val="16"/>
                <w:color w:val="auto"/>
                <w:vertAlign w:val="superscript"/>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w:t>
            </w:r>
          </w:p>
        </w:tc>
        <w:tc>
          <w:tcPr>
            <w:tcW w:w="1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(225)</w:t>
            </w:r>
          </w:p>
        </w:tc>
        <w:tc>
          <w:tcPr>
            <w:tcW w:w="0" w:type="dxa"/>
            <w:vAlign w:val="bottom"/>
          </w:tcPr>
          <w:p>
            <w:pPr>
              <w:spacing w:after="0"/>
              <w:rPr>
                <w:sz w:val="1"/>
                <w:szCs w:val="1"/>
                <w:color w:val="auto"/>
              </w:rPr>
            </w:pPr>
          </w:p>
        </w:tc>
      </w:tr>
      <w:tr>
        <w:trPr>
          <w:trHeight w:val="142"/>
        </w:trPr>
        <w:tc>
          <w:tcPr>
            <w:tcW w:w="7320" w:type="dxa"/>
            <w:vAlign w:val="bottom"/>
          </w:tcPr>
          <w:p>
            <w:pPr>
              <w:spacing w:after="0" w:line="143" w:lineRule="exact"/>
              <w:rPr>
                <w:sz w:val="20"/>
                <w:szCs w:val="20"/>
                <w:color w:val="auto"/>
              </w:rPr>
            </w:pPr>
            <w:r>
              <w:rPr>
                <w:rFonts w:ascii="Arial" w:cs="Arial" w:eastAsia="Arial" w:hAnsi="Arial"/>
                <w:sz w:val="13"/>
                <w:szCs w:val="13"/>
                <w:b w:val="1"/>
                <w:bCs w:val="1"/>
                <w:color w:val="auto"/>
              </w:rPr>
              <w:t>Total free cash flow</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$1,371</w:t>
            </w: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$2,275</w:t>
            </w:r>
          </w:p>
        </w:tc>
        <w:tc>
          <w:tcPr>
            <w:tcW w:w="1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$5,596</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$7,573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C9C9C9"/>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7320" w:type="dxa"/>
            <w:vAlign w:val="bottom"/>
          </w:tcPr>
          <w:p>
            <w:pPr>
              <w:spacing w:after="0"/>
              <w:rPr>
                <w:sz w:val="3"/>
                <w:szCs w:val="3"/>
                <w:color w:val="auto"/>
              </w:rPr>
            </w:pPr>
          </w:p>
        </w:tc>
        <w:tc>
          <w:tcPr>
            <w:tcW w:w="20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7"/>
              </w:rPr>
              <w:t>Three Months Ended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92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line="20" w:lineRule="exact"/>
              <w:rPr>
                <w:sz w:val="1"/>
                <w:szCs w:val="1"/>
                <w:color w:val="auto"/>
              </w:rPr>
            </w:pPr>
          </w:p>
        </w:tc>
      </w:tr>
      <w:tr>
        <w:trPr>
          <w:trHeight w:val="113"/>
        </w:trPr>
        <w:tc>
          <w:tcPr>
            <w:tcW w:w="7320" w:type="dxa"/>
            <w:vAlign w:val="bottom"/>
          </w:tcPr>
          <w:p>
            <w:pPr>
              <w:spacing w:after="0"/>
              <w:rPr>
                <w:sz w:val="9"/>
                <w:szCs w:val="9"/>
                <w:color w:val="auto"/>
              </w:rPr>
            </w:pPr>
          </w:p>
        </w:tc>
        <w:tc>
          <w:tcPr>
            <w:tcW w:w="20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32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6"/>
              </w:rPr>
              <w:t>September 30,</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219"/>
        </w:trPr>
        <w:tc>
          <w:tcPr>
            <w:tcW w:w="7320" w:type="dxa"/>
            <w:vAlign w:val="bottom"/>
          </w:tcPr>
          <w:p>
            <w:pPr>
              <w:spacing w:after="0"/>
              <w:rPr>
                <w:sz w:val="20"/>
                <w:szCs w:val="20"/>
                <w:color w:val="auto"/>
              </w:rPr>
            </w:pPr>
            <w:r>
              <w:rPr>
                <w:rFonts w:ascii="Arial" w:cs="Arial" w:eastAsia="Arial" w:hAnsi="Arial"/>
                <w:sz w:val="13"/>
                <w:szCs w:val="13"/>
                <w:color w:val="auto"/>
              </w:rPr>
              <w:t>(in millions)</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920" w:type="dxa"/>
            <w:vAlign w:val="bottom"/>
          </w:tcPr>
          <w:p>
            <w:pPr>
              <w:jc w:val="right"/>
              <w:spacing w:after="0"/>
              <w:rPr>
                <w:sz w:val="20"/>
                <w:szCs w:val="20"/>
                <w:color w:val="auto"/>
              </w:rPr>
            </w:pPr>
            <w:r>
              <w:rPr>
                <w:rFonts w:ascii="Arial" w:cs="Arial" w:eastAsia="Arial" w:hAnsi="Arial"/>
                <w:sz w:val="13"/>
                <w:szCs w:val="13"/>
                <w:color w:val="auto"/>
              </w:rPr>
              <w:t>$6,835</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$7,180</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$19,657</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$21,311</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Capital expenditures</w:t>
            </w:r>
          </w:p>
        </w:tc>
        <w:tc>
          <w:tcPr>
            <w:tcW w:w="920" w:type="dxa"/>
            <w:vAlign w:val="bottom"/>
          </w:tcPr>
          <w:p>
            <w:pPr>
              <w:jc w:val="right"/>
              <w:spacing w:after="0"/>
              <w:rPr>
                <w:sz w:val="20"/>
                <w:szCs w:val="20"/>
                <w:color w:val="auto"/>
              </w:rPr>
            </w:pPr>
            <w:r>
              <w:rPr>
                <w:rFonts w:ascii="Arial" w:cs="Arial" w:eastAsia="Arial" w:hAnsi="Arial"/>
                <w:sz w:val="13"/>
                <w:szCs w:val="13"/>
                <w:color w:val="auto"/>
              </w:rPr>
              <w:t>(2,406)</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(2,434)</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(6,562)</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(6,839)</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Cash paid for capitalized software and other intangible assets</w:t>
            </w:r>
          </w:p>
        </w:tc>
        <w:tc>
          <w:tcPr>
            <w:tcW w:w="920" w:type="dxa"/>
            <w:vAlign w:val="bottom"/>
          </w:tcPr>
          <w:p>
            <w:pPr>
              <w:jc w:val="right"/>
              <w:spacing w:after="0"/>
              <w:rPr>
                <w:sz w:val="20"/>
                <w:szCs w:val="20"/>
                <w:color w:val="auto"/>
              </w:rPr>
            </w:pPr>
            <w:r>
              <w:rPr>
                <w:rFonts w:ascii="Arial" w:cs="Arial" w:eastAsia="Arial" w:hAnsi="Arial"/>
                <w:sz w:val="13"/>
                <w:szCs w:val="13"/>
                <w:color w:val="auto"/>
              </w:rPr>
              <w:t>(426)</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(404)</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(1,163)</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(1,240)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Cash interest expense</w:t>
            </w:r>
          </w:p>
        </w:tc>
        <w:tc>
          <w:tcPr>
            <w:tcW w:w="920" w:type="dxa"/>
            <w:vAlign w:val="bottom"/>
          </w:tcPr>
          <w:p>
            <w:pPr>
              <w:jc w:val="right"/>
              <w:spacing w:after="0"/>
              <w:rPr>
                <w:sz w:val="20"/>
                <w:szCs w:val="20"/>
                <w:color w:val="auto"/>
              </w:rPr>
            </w:pPr>
            <w:r>
              <w:rPr>
                <w:rFonts w:ascii="Arial" w:cs="Arial" w:eastAsia="Arial" w:hAnsi="Arial"/>
                <w:sz w:val="13"/>
                <w:szCs w:val="13"/>
                <w:color w:val="auto"/>
              </w:rPr>
              <w:t>(808)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(905)</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(2,043)</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(2,277)</w:t>
            </w:r>
          </w:p>
        </w:tc>
        <w:tc>
          <w:tcPr>
            <w:tcW w:w="0" w:type="dxa"/>
            <w:vAlign w:val="bottom"/>
          </w:tcPr>
          <w:p>
            <w:pPr>
              <w:spacing w:after="0"/>
              <w:rPr>
                <w:sz w:val="1"/>
                <w:szCs w:val="1"/>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3"/>
                <w:szCs w:val="13"/>
                <w:color w:val="auto"/>
              </w:rPr>
              <w:t>Cash taxes on operating items (including Economic Stimulus Packages)</w:t>
            </w:r>
            <w:r>
              <w:rPr>
                <w:rFonts w:ascii="Arial" w:cs="Arial" w:eastAsia="Arial" w:hAnsi="Arial"/>
                <w:sz w:val="16"/>
                <w:szCs w:val="16"/>
                <w:color w:val="auto"/>
                <w:vertAlign w:val="superscript"/>
              </w:rPr>
              <w:t>(2,3)</w:t>
            </w:r>
          </w:p>
        </w:tc>
        <w:tc>
          <w:tcPr>
            <w:tcW w:w="920" w:type="dxa"/>
            <w:vAlign w:val="bottom"/>
          </w:tcPr>
          <w:p>
            <w:pPr>
              <w:jc w:val="right"/>
              <w:spacing w:after="0"/>
              <w:rPr>
                <w:sz w:val="20"/>
                <w:szCs w:val="20"/>
                <w:color w:val="auto"/>
              </w:rPr>
            </w:pPr>
            <w:r>
              <w:rPr>
                <w:rFonts w:ascii="Arial" w:cs="Arial" w:eastAsia="Arial" w:hAnsi="Arial"/>
                <w:sz w:val="13"/>
                <w:szCs w:val="13"/>
                <w:color w:val="auto"/>
              </w:rPr>
              <w:t>(969)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(1,097)</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(2,670)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(3,276)</w:t>
            </w:r>
          </w:p>
        </w:tc>
        <w:tc>
          <w:tcPr>
            <w:tcW w:w="0" w:type="dxa"/>
            <w:vAlign w:val="bottom"/>
          </w:tcPr>
          <w:p>
            <w:pPr>
              <w:spacing w:after="0"/>
              <w:rPr>
                <w:sz w:val="1"/>
                <w:szCs w:val="1"/>
                <w:color w:val="auto"/>
              </w:rPr>
            </w:pP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3"/>
                <w:szCs w:val="13"/>
                <w:color w:val="auto"/>
              </w:rPr>
              <w:t>Changes in operating assets and liabilities</w:t>
            </w:r>
            <w:r>
              <w:rPr>
                <w:rFonts w:ascii="Arial" w:cs="Arial" w:eastAsia="Arial" w:hAnsi="Arial"/>
                <w:sz w:val="16"/>
                <w:szCs w:val="16"/>
                <w:color w:val="auto"/>
                <w:vertAlign w:val="superscript"/>
              </w:rPr>
              <w:t>(3,4)</w:t>
            </w:r>
          </w:p>
        </w:tc>
        <w:tc>
          <w:tcPr>
            <w:tcW w:w="920" w:type="dxa"/>
            <w:vAlign w:val="bottom"/>
          </w:tcPr>
          <w:p>
            <w:pPr>
              <w:jc w:val="right"/>
              <w:spacing w:after="0"/>
              <w:rPr>
                <w:sz w:val="20"/>
                <w:szCs w:val="20"/>
                <w:color w:val="auto"/>
              </w:rPr>
            </w:pPr>
            <w:r>
              <w:rPr>
                <w:rFonts w:ascii="Arial" w:cs="Arial" w:eastAsia="Arial" w:hAnsi="Arial"/>
                <w:sz w:val="13"/>
                <w:szCs w:val="13"/>
                <w:color w:val="auto"/>
              </w:rPr>
              <w:t>(871)</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(175)</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(1,429)</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(418)</w:t>
            </w:r>
          </w:p>
        </w:tc>
        <w:tc>
          <w:tcPr>
            <w:tcW w:w="0" w:type="dxa"/>
            <w:vAlign w:val="bottom"/>
          </w:tcPr>
          <w:p>
            <w:pPr>
              <w:spacing w:after="0"/>
              <w:rPr>
                <w:sz w:val="1"/>
                <w:szCs w:val="1"/>
                <w:color w:val="auto"/>
              </w:rPr>
            </w:pPr>
          </w:p>
        </w:tc>
      </w:tr>
      <w:tr>
        <w:trPr>
          <w:trHeight w:val="168"/>
        </w:trPr>
        <w:tc>
          <w:tcPr>
            <w:tcW w:w="7320" w:type="dxa"/>
            <w:vAlign w:val="bottom"/>
          </w:tcPr>
          <w:p>
            <w:pPr>
              <w:spacing w:after="0"/>
              <w:rPr>
                <w:sz w:val="20"/>
                <w:szCs w:val="20"/>
                <w:color w:val="auto"/>
              </w:rPr>
            </w:pPr>
            <w:r>
              <w:rPr>
                <w:rFonts w:ascii="Arial" w:cs="Arial" w:eastAsia="Arial" w:hAnsi="Arial"/>
                <w:sz w:val="13"/>
                <w:szCs w:val="13"/>
                <w:color w:val="auto"/>
              </w:rPr>
              <w:t>Noncash share-based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203</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594</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Distributions to noncontrolling interests and dividends for redeemable subsidiary preferred stock</w:t>
            </w:r>
          </w:p>
        </w:tc>
        <w:tc>
          <w:tcPr>
            <w:tcW w:w="92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(61)</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(198)</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Arial" w:cs="Arial" w:eastAsia="Arial" w:hAnsi="Arial"/>
                <w:sz w:val="13"/>
                <w:szCs w:val="13"/>
                <w:color w:val="auto"/>
              </w:rPr>
              <w:t>Other</w:t>
            </w:r>
          </w:p>
        </w:tc>
        <w:tc>
          <w:tcPr>
            <w:tcW w:w="92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42</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141</w:t>
            </w:r>
          </w:p>
        </w:tc>
        <w:tc>
          <w:tcPr>
            <w:tcW w:w="0" w:type="dxa"/>
            <w:vAlign w:val="bottom"/>
          </w:tcPr>
          <w:p>
            <w:pPr>
              <w:spacing w:after="0"/>
              <w:rPr>
                <w:sz w:val="1"/>
                <w:szCs w:val="1"/>
                <w:color w:val="auto"/>
              </w:rPr>
            </w:pPr>
          </w:p>
        </w:tc>
      </w:tr>
      <w:tr>
        <w:trPr>
          <w:trHeight w:val="165"/>
        </w:trPr>
        <w:tc>
          <w:tcPr>
            <w:tcW w:w="7320" w:type="dxa"/>
            <w:vAlign w:val="bottom"/>
          </w:tcPr>
          <w:p>
            <w:pPr>
              <w:spacing w:after="0" w:line="165" w:lineRule="exact"/>
              <w:rPr>
                <w:sz w:val="20"/>
                <w:szCs w:val="20"/>
                <w:color w:val="auto"/>
              </w:rPr>
            </w:pPr>
            <w:r>
              <w:rPr>
                <w:rFonts w:ascii="Arial" w:cs="Arial" w:eastAsia="Arial" w:hAnsi="Arial"/>
                <w:sz w:val="13"/>
                <w:szCs w:val="13"/>
                <w:color w:val="auto"/>
              </w:rPr>
              <w:t>Impact of share-based compensation accounting change</w:t>
            </w:r>
            <w:r>
              <w:rPr>
                <w:rFonts w:ascii="Arial" w:cs="Arial" w:eastAsia="Arial" w:hAnsi="Arial"/>
                <w:sz w:val="16"/>
                <w:szCs w:val="16"/>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Arial" w:cs="Arial" w:eastAsia="Arial" w:hAnsi="Arial"/>
                <w:sz w:val="13"/>
                <w:szCs w:val="13"/>
                <w:color w:val="auto"/>
              </w:rPr>
              <w:t>Free cash flow (including Economic Stimulus Packages)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1,415</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2,349</w:t>
            </w:r>
          </w:p>
        </w:tc>
        <w:tc>
          <w:tcPr>
            <w:tcW w:w="12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5,747</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7,798</w:t>
            </w:r>
          </w:p>
        </w:tc>
        <w:tc>
          <w:tcPr>
            <w:tcW w:w="0" w:type="dxa"/>
            <w:vAlign w:val="bottom"/>
          </w:tcPr>
          <w:p>
            <w:pPr>
              <w:spacing w:after="0"/>
              <w:rPr>
                <w:sz w:val="1"/>
                <w:szCs w:val="1"/>
                <w:color w:val="auto"/>
              </w:rPr>
            </w:pPr>
          </w:p>
        </w:tc>
      </w:tr>
      <w:tr>
        <w:trPr>
          <w:trHeight w:val="165"/>
        </w:trPr>
        <w:tc>
          <w:tcPr>
            <w:tcW w:w="7320" w:type="dxa"/>
            <w:vAlign w:val="bottom"/>
          </w:tcPr>
          <w:p>
            <w:pPr>
              <w:spacing w:after="0" w:line="165" w:lineRule="exact"/>
              <w:rPr>
                <w:sz w:val="20"/>
                <w:szCs w:val="20"/>
                <w:color w:val="auto"/>
              </w:rPr>
            </w:pPr>
            <w:r>
              <w:rPr>
                <w:rFonts w:ascii="Arial" w:cs="Arial" w:eastAsia="Arial" w:hAnsi="Arial"/>
                <w:sz w:val="13"/>
                <w:szCs w:val="13"/>
                <w:color w:val="auto"/>
              </w:rPr>
              <w:t>Economic Stimulus Packages</w:t>
            </w:r>
            <w:r>
              <w:rPr>
                <w:rFonts w:ascii="Arial" w:cs="Arial" w:eastAsia="Arial" w:hAnsi="Arial"/>
                <w:sz w:val="16"/>
                <w:szCs w:val="16"/>
                <w:color w:val="auto"/>
                <w:vertAlign w:val="superscript"/>
              </w:rPr>
              <w:t>(2)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w:t>
            </w:r>
          </w:p>
        </w:tc>
        <w:tc>
          <w:tcPr>
            <w:tcW w:w="1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(225)</w:t>
            </w:r>
          </w:p>
        </w:tc>
        <w:tc>
          <w:tcPr>
            <w:tcW w:w="0" w:type="dxa"/>
            <w:vAlign w:val="bottom"/>
          </w:tcPr>
          <w:p>
            <w:pPr>
              <w:spacing w:after="0"/>
              <w:rPr>
                <w:sz w:val="1"/>
                <w:szCs w:val="1"/>
                <w:color w:val="auto"/>
              </w:rPr>
            </w:pPr>
          </w:p>
        </w:tc>
      </w:tr>
      <w:tr>
        <w:trPr>
          <w:trHeight w:val="91"/>
        </w:trPr>
        <w:tc>
          <w:tcPr>
            <w:tcW w:w="7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4"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20"/>
                <w:szCs w:val="20"/>
                <w:color w:val="auto"/>
              </w:rPr>
            </w:pPr>
            <w:r>
              <w:rPr>
                <w:rFonts w:ascii="Arial" w:cs="Arial" w:eastAsia="Arial" w:hAnsi="Arial"/>
                <w:sz w:val="13"/>
                <w:szCs w:val="13"/>
                <w:b w:val="1"/>
                <w:bCs w:val="1"/>
                <w:color w:val="auto"/>
              </w:rPr>
              <w:t>Total free cash flow</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$2,275</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$5,596</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$7,573</w:t>
            </w: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260" w:hanging="252"/>
        <w:spacing w:after="0" w:line="234" w:lineRule="auto"/>
        <w:tabs>
          <w:tab w:leader="none" w:pos="269" w:val="left"/>
        </w:tabs>
        <w:numPr>
          <w:ilvl w:val="0"/>
          <w:numId w:val="6"/>
        </w:numPr>
        <w:rPr>
          <w:rFonts w:ascii="Arial" w:cs="Arial" w:eastAsia="Arial" w:hAnsi="Arial"/>
          <w:sz w:val="11"/>
          <w:szCs w:val="11"/>
          <w:color w:val="auto"/>
        </w:rPr>
      </w:pPr>
      <w:r>
        <w:rPr>
          <w:rFonts w:ascii="Arial" w:cs="Arial" w:eastAsia="Arial" w:hAnsi="Arial"/>
          <w:sz w:val="11"/>
          <w:szCs w:val="11"/>
          <w:color w:val="auto"/>
        </w:rPr>
        <w:t>Nonoperating items include adjustments for any payments and receipts related to certain nonoperating items, net of estimated tax effects (such as income taxes on investment sales and payments related to income tax and litigation contingencies of acquired companies). Our definition of free cash flow specifically excludes any impact from the Economic Stimulus Packages and these amounts are presented separately. Net cash provided by operating activities for 2016 includes a $146 million payment for the settlement of a tax receivable agreement after the DreamWorks acquisition. For free cash flow purposes, we consider this payment to be nonrecurring in nature and therefore, we excluded this amount from free cash flow as a nonoperating item.</w:t>
      </w:r>
    </w:p>
    <w:p>
      <w:pPr>
        <w:spacing w:after="0" w:line="114" w:lineRule="exact"/>
        <w:rPr>
          <w:rFonts w:ascii="Arial" w:cs="Arial" w:eastAsia="Arial" w:hAnsi="Arial"/>
          <w:sz w:val="11"/>
          <w:szCs w:val="11"/>
          <w:color w:val="auto"/>
        </w:rPr>
      </w:pPr>
    </w:p>
    <w:p>
      <w:pPr>
        <w:ind w:left="260" w:right="20" w:hanging="252"/>
        <w:spacing w:after="0" w:line="238" w:lineRule="auto"/>
        <w:tabs>
          <w:tab w:leader="none" w:pos="256" w:val="left"/>
        </w:tabs>
        <w:numPr>
          <w:ilvl w:val="0"/>
          <w:numId w:val="6"/>
        </w:numPr>
        <w:rPr>
          <w:rFonts w:ascii="Arial" w:cs="Arial" w:eastAsia="Arial" w:hAnsi="Arial"/>
          <w:sz w:val="11"/>
          <w:szCs w:val="11"/>
          <w:color w:val="auto"/>
        </w:rPr>
      </w:pPr>
      <w:r>
        <w:rPr>
          <w:rFonts w:ascii="Arial" w:cs="Arial" w:eastAsia="Arial" w:hAnsi="Arial"/>
          <w:sz w:val="11"/>
          <w:szCs w:val="11"/>
          <w:color w:val="auto"/>
        </w:rPr>
        <w:t>Cash taxes on operating items (including Economic Stimulus Packages) has been adjusted to exclude the impact of nonoperating items, such as for cash taxes paid related to certain investing and financing transactions. Our definition of free cash flow specifically excludes any impact from the Economic Stimulus Packages and these amounts are presented separately.</w:t>
      </w:r>
    </w:p>
    <w:p>
      <w:pPr>
        <w:spacing w:after="0" w:line="109"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7060" w:type="dxa"/>
            <w:vAlign w:val="bottom"/>
          </w:tcPr>
          <w:p>
            <w:pPr>
              <w:spacing w:after="0"/>
              <w:rPr>
                <w:sz w:val="10"/>
                <w:szCs w:val="10"/>
                <w:color w:val="auto"/>
              </w:rPr>
            </w:pPr>
          </w:p>
        </w:tc>
        <w:tc>
          <w:tcPr>
            <w:tcW w:w="21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1"/>
                <w:szCs w:val="11"/>
                <w:color w:val="auto"/>
                <w:w w:val="99"/>
              </w:rPr>
              <w:t>Three Months Ended</w:t>
            </w:r>
          </w:p>
        </w:tc>
        <w:tc>
          <w:tcPr>
            <w:tcW w:w="80" w:type="dxa"/>
            <w:vAlign w:val="bottom"/>
          </w:tcPr>
          <w:p>
            <w:pPr>
              <w:spacing w:after="0"/>
              <w:rPr>
                <w:sz w:val="10"/>
                <w:szCs w:val="10"/>
                <w:color w:val="auto"/>
              </w:rPr>
            </w:pPr>
          </w:p>
        </w:tc>
        <w:tc>
          <w:tcPr>
            <w:tcW w:w="1920" w:type="dxa"/>
            <w:vAlign w:val="bottom"/>
            <w:gridSpan w:val="4"/>
          </w:tcPr>
          <w:p>
            <w:pPr>
              <w:ind w:left="480"/>
              <w:spacing w:after="0"/>
              <w:rPr>
                <w:sz w:val="20"/>
                <w:szCs w:val="20"/>
                <w:color w:val="auto"/>
              </w:rPr>
            </w:pPr>
            <w:r>
              <w:rPr>
                <w:rFonts w:ascii="Arial" w:cs="Arial" w:eastAsia="Arial" w:hAnsi="Arial"/>
                <w:sz w:val="11"/>
                <w:szCs w:val="11"/>
                <w:color w:val="auto"/>
              </w:rPr>
              <w:t>Nine Months Ended</w:t>
            </w:r>
          </w:p>
        </w:tc>
        <w:tc>
          <w:tcPr>
            <w:tcW w:w="0" w:type="dxa"/>
            <w:vAlign w:val="bottom"/>
          </w:tcPr>
          <w:p>
            <w:pPr>
              <w:spacing w:after="0"/>
              <w:rPr>
                <w:sz w:val="1"/>
                <w:szCs w:val="1"/>
                <w:color w:val="auto"/>
              </w:rPr>
            </w:pPr>
          </w:p>
        </w:tc>
      </w:tr>
      <w:tr>
        <w:trPr>
          <w:trHeight w:val="130"/>
        </w:trPr>
        <w:tc>
          <w:tcPr>
            <w:tcW w:w="7060" w:type="dxa"/>
            <w:vAlign w:val="bottom"/>
          </w:tcPr>
          <w:p>
            <w:pPr>
              <w:spacing w:after="0"/>
              <w:rPr>
                <w:sz w:val="11"/>
                <w:szCs w:val="11"/>
                <w:color w:val="auto"/>
              </w:rPr>
            </w:pPr>
          </w:p>
        </w:tc>
        <w:tc>
          <w:tcPr>
            <w:tcW w:w="1360" w:type="dxa"/>
            <w:vAlign w:val="bottom"/>
            <w:gridSpan w:val="3"/>
          </w:tcPr>
          <w:p>
            <w:pPr>
              <w:jc w:val="center"/>
              <w:ind w:left="566"/>
              <w:spacing w:after="0"/>
              <w:rPr>
                <w:sz w:val="20"/>
                <w:szCs w:val="20"/>
                <w:color w:val="auto"/>
              </w:rPr>
            </w:pPr>
            <w:r>
              <w:rPr>
                <w:rFonts w:ascii="Arial" w:cs="Arial" w:eastAsia="Arial" w:hAnsi="Arial"/>
                <w:sz w:val="11"/>
                <w:szCs w:val="11"/>
                <w:color w:val="auto"/>
                <w:w w:val="96"/>
              </w:rPr>
              <w:t>September 30,</w:t>
            </w:r>
          </w:p>
        </w:tc>
        <w:tc>
          <w:tcPr>
            <w:tcW w:w="6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600"/>
              <w:spacing w:after="0"/>
              <w:rPr>
                <w:sz w:val="20"/>
                <w:szCs w:val="20"/>
                <w:color w:val="auto"/>
              </w:rPr>
            </w:pPr>
            <w:r>
              <w:rPr>
                <w:rFonts w:ascii="Arial" w:cs="Arial" w:eastAsia="Arial" w:hAnsi="Arial"/>
                <w:sz w:val="11"/>
                <w:szCs w:val="11"/>
                <w:color w:val="auto"/>
                <w:w w:val="99"/>
              </w:rPr>
              <w:t>September 30,</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7060" w:type="dxa"/>
            <w:vAlign w:val="bottom"/>
            <w:vMerge w:val="restart"/>
          </w:tcPr>
          <w:p>
            <w:pPr>
              <w:spacing w:after="0"/>
              <w:rPr>
                <w:sz w:val="20"/>
                <w:szCs w:val="20"/>
                <w:color w:val="auto"/>
              </w:rPr>
            </w:pPr>
            <w:r>
              <w:rPr>
                <w:rFonts w:ascii="Arial" w:cs="Arial" w:eastAsia="Arial" w:hAnsi="Arial"/>
                <w:sz w:val="11"/>
                <w:szCs w:val="11"/>
                <w:color w:val="auto"/>
              </w:rPr>
              <w:t>Payments of income taxes</w:t>
            </w:r>
          </w:p>
        </w:tc>
        <w:tc>
          <w:tcPr>
            <w:tcW w:w="9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2016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2017</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2016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89"/>
              </w:rPr>
              <w:t>2017</w:t>
            </w:r>
          </w:p>
        </w:tc>
        <w:tc>
          <w:tcPr>
            <w:tcW w:w="0" w:type="dxa"/>
            <w:vAlign w:val="bottom"/>
          </w:tcPr>
          <w:p>
            <w:pPr>
              <w:spacing w:after="0"/>
              <w:rPr>
                <w:sz w:val="1"/>
                <w:szCs w:val="1"/>
                <w:color w:val="auto"/>
              </w:rPr>
            </w:pPr>
          </w:p>
        </w:tc>
      </w:tr>
      <w:tr>
        <w:trPr>
          <w:trHeight w:val="123"/>
        </w:trPr>
        <w:tc>
          <w:tcPr>
            <w:tcW w:w="7060" w:type="dxa"/>
            <w:vAlign w:val="bottom"/>
            <w:vMerge w:val="continue"/>
          </w:tcPr>
          <w:p>
            <w:pPr>
              <w:spacing w:after="0"/>
              <w:rPr>
                <w:sz w:val="10"/>
                <w:szCs w:val="10"/>
                <w:color w:val="auto"/>
              </w:rPr>
            </w:pPr>
          </w:p>
        </w:tc>
        <w:tc>
          <w:tcPr>
            <w:tcW w:w="920" w:type="dxa"/>
            <w:vAlign w:val="bottom"/>
          </w:tcPr>
          <w:p>
            <w:pPr>
              <w:jc w:val="right"/>
              <w:spacing w:after="0" w:line="123" w:lineRule="exact"/>
              <w:rPr>
                <w:sz w:val="20"/>
                <w:szCs w:val="20"/>
                <w:color w:val="auto"/>
              </w:rPr>
            </w:pPr>
            <w:r>
              <w:rPr>
                <w:rFonts w:ascii="Arial" w:cs="Arial" w:eastAsia="Arial" w:hAnsi="Arial"/>
                <w:sz w:val="11"/>
                <w:szCs w:val="11"/>
                <w:color w:val="auto"/>
              </w:rPr>
              <w:t>($1,031)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($1,206)</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500"/>
              <w:spacing w:after="0" w:line="123" w:lineRule="exact"/>
              <w:rPr>
                <w:sz w:val="20"/>
                <w:szCs w:val="20"/>
                <w:color w:val="auto"/>
              </w:rPr>
            </w:pPr>
            <w:r>
              <w:rPr>
                <w:rFonts w:ascii="Arial" w:cs="Arial" w:eastAsia="Arial" w:hAnsi="Arial"/>
                <w:sz w:val="11"/>
                <w:szCs w:val="11"/>
                <w:color w:val="auto"/>
                <w:w w:val="92"/>
              </w:rPr>
              <w:t>($2,716)</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($3,415)</w:t>
            </w:r>
          </w:p>
        </w:tc>
        <w:tc>
          <w:tcPr>
            <w:tcW w:w="0" w:type="dxa"/>
            <w:vAlign w:val="bottom"/>
          </w:tcPr>
          <w:p>
            <w:pPr>
              <w:spacing w:after="0"/>
              <w:rPr>
                <w:sz w:val="1"/>
                <w:szCs w:val="1"/>
                <w:color w:val="auto"/>
              </w:rPr>
            </w:pPr>
          </w:p>
        </w:tc>
      </w:tr>
      <w:tr>
        <w:trPr>
          <w:trHeight w:val="154"/>
        </w:trPr>
        <w:tc>
          <w:tcPr>
            <w:tcW w:w="7060" w:type="dxa"/>
            <w:vAlign w:val="bottom"/>
          </w:tcPr>
          <w:p>
            <w:pPr>
              <w:ind w:left="400"/>
              <w:spacing w:after="0"/>
              <w:rPr>
                <w:sz w:val="20"/>
                <w:szCs w:val="20"/>
                <w:color w:val="auto"/>
              </w:rPr>
            </w:pPr>
            <w:r>
              <w:rPr>
                <w:rFonts w:ascii="Arial" w:cs="Arial" w:eastAsia="Arial" w:hAnsi="Arial"/>
                <w:sz w:val="11"/>
                <w:szCs w:val="11"/>
                <w:color w:val="auto"/>
              </w:rPr>
              <w:t>Nonoperating items</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56"/>
        </w:trPr>
        <w:tc>
          <w:tcPr>
            <w:tcW w:w="7060" w:type="dxa"/>
            <w:vAlign w:val="bottom"/>
          </w:tcPr>
          <w:p>
            <w:pPr>
              <w:spacing w:after="0"/>
              <w:rPr>
                <w:sz w:val="20"/>
                <w:szCs w:val="20"/>
                <w:color w:val="auto"/>
              </w:rPr>
            </w:pPr>
            <w:r>
              <w:rPr>
                <w:rFonts w:ascii="Arial" w:cs="Arial" w:eastAsia="Arial" w:hAnsi="Arial"/>
                <w:sz w:val="11"/>
                <w:szCs w:val="11"/>
                <w:color w:val="auto"/>
              </w:rPr>
              <w:t>Cash taxes on operating items (including Economic Stimulus Packages)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($969)</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($1,097)</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w w:val="92"/>
              </w:rPr>
              <w:t>($2,670)</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($3,276)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left="260" w:hanging="252"/>
        <w:spacing w:after="0" w:line="233" w:lineRule="auto"/>
        <w:tabs>
          <w:tab w:leader="none" w:pos="281"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first quarter 2017, we adopted new accounting guidance related to share-based compensation. The guidance requires excess tax benefits under share-based compensation arrangements to be classified as an operating activity rather than a financing activity as they were under prior guidance. In addition, the new guidance requires when an employer withholds shares upon exercise of options or the vesting of restricted stock for the purpose of meeting withholding tax requirements, that the cash paid for withholding taxes be classified as a financing activity, which we present in Repurchases of Common Stock Under Repurchase Program and Employee Plans. We previously recorded cash paid for withholding taxes as an operating activity in changes in operating assets and liabilities. These changes will prospectively affect our calculation of Free Cash Flow. While we have retrospectively adopted these changes in our Statement of Cash Flows and the components of Free Cash Flow, we have not adjusted Total Free Cash Flow for periods prior to January 1, 2017. The table below summarizes the impact to the components of Free Cash Flow for the share-based compensation accounting change.</w:t>
      </w:r>
    </w:p>
    <w:p>
      <w:pPr>
        <w:spacing w:after="0" w:line="123"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5860" w:type="dxa"/>
            <w:vAlign w:val="bottom"/>
          </w:tcPr>
          <w:p>
            <w:pPr>
              <w:spacing w:after="0"/>
              <w:rPr>
                <w:sz w:val="10"/>
                <w:szCs w:val="10"/>
                <w:color w:val="auto"/>
              </w:rPr>
            </w:pPr>
          </w:p>
        </w:tc>
        <w:tc>
          <w:tcPr>
            <w:tcW w:w="3300" w:type="dxa"/>
            <w:vAlign w:val="bottom"/>
            <w:tcBorders>
              <w:right w:val="single" w:sz="8" w:color="auto"/>
            </w:tcBorders>
            <w:gridSpan w:val="3"/>
          </w:tcPr>
          <w:p>
            <w:pPr>
              <w:jc w:val="center"/>
              <w:ind w:left="1666"/>
              <w:spacing w:after="0"/>
              <w:rPr>
                <w:sz w:val="20"/>
                <w:szCs w:val="20"/>
                <w:color w:val="auto"/>
              </w:rPr>
            </w:pPr>
            <w:r>
              <w:rPr>
                <w:rFonts w:ascii="Arial" w:cs="Arial" w:eastAsia="Arial" w:hAnsi="Arial"/>
                <w:sz w:val="11"/>
                <w:szCs w:val="11"/>
                <w:color w:val="auto"/>
                <w:w w:val="99"/>
              </w:rPr>
              <w:t>Three Months Ended</w:t>
            </w:r>
          </w:p>
        </w:tc>
        <w:tc>
          <w:tcPr>
            <w:tcW w:w="1200" w:type="dxa"/>
            <w:vAlign w:val="bottom"/>
            <w:gridSpan w:val="3"/>
          </w:tcPr>
          <w:p>
            <w:pPr>
              <w:jc w:val="center"/>
              <w:ind w:left="186"/>
              <w:spacing w:after="0"/>
              <w:rPr>
                <w:sz w:val="20"/>
                <w:szCs w:val="20"/>
                <w:color w:val="auto"/>
              </w:rPr>
            </w:pPr>
            <w:r>
              <w:rPr>
                <w:rFonts w:ascii="Arial" w:cs="Arial" w:eastAsia="Arial" w:hAnsi="Arial"/>
                <w:sz w:val="11"/>
                <w:szCs w:val="11"/>
                <w:color w:val="auto"/>
                <w:w w:val="99"/>
              </w:rPr>
              <w:t>Nine Months Ended</w:t>
            </w:r>
          </w:p>
        </w:tc>
      </w:tr>
      <w:tr>
        <w:trPr>
          <w:trHeight w:val="130"/>
        </w:trPr>
        <w:tc>
          <w:tcPr>
            <w:tcW w:w="5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1"/>
                <w:szCs w:val="11"/>
                <w:color w:val="auto"/>
                <w:w w:val="96"/>
              </w:rPr>
              <w:t>September 30,</w:t>
            </w:r>
          </w:p>
        </w:tc>
        <w:tc>
          <w:tcPr>
            <w:tcW w:w="36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September 30,</w:t>
            </w:r>
          </w:p>
        </w:tc>
      </w:tr>
      <w:tr>
        <w:trPr>
          <w:trHeight w:val="211"/>
        </w:trPr>
        <w:tc>
          <w:tcPr>
            <w:tcW w:w="5860" w:type="dxa"/>
            <w:vAlign w:val="bottom"/>
          </w:tcPr>
          <w:p>
            <w:pPr>
              <w:spacing w:after="0"/>
              <w:rPr>
                <w:sz w:val="18"/>
                <w:szCs w:val="18"/>
                <w:color w:val="auto"/>
              </w:rPr>
            </w:pPr>
          </w:p>
        </w:tc>
        <w:tc>
          <w:tcPr>
            <w:tcW w:w="2900" w:type="dxa"/>
            <w:vAlign w:val="bottom"/>
            <w:gridSpan w:val="2"/>
          </w:tcPr>
          <w:p>
            <w:pPr>
              <w:jc w:val="center"/>
              <w:ind w:left="2086"/>
              <w:spacing w:after="0"/>
              <w:rPr>
                <w:sz w:val="20"/>
                <w:szCs w:val="20"/>
                <w:color w:val="auto"/>
              </w:rPr>
            </w:pPr>
            <w:r>
              <w:rPr>
                <w:rFonts w:ascii="Arial" w:cs="Arial" w:eastAsia="Arial" w:hAnsi="Arial"/>
                <w:sz w:val="11"/>
                <w:szCs w:val="11"/>
                <w:color w:val="auto"/>
                <w:w w:val="97"/>
              </w:rPr>
              <w:t>2016</w:t>
            </w:r>
          </w:p>
        </w:tc>
        <w:tc>
          <w:tcPr>
            <w:tcW w:w="400" w:type="dxa"/>
            <w:vAlign w:val="bottom"/>
            <w:tcBorders>
              <w:right w:val="single" w:sz="8" w:color="auto"/>
            </w:tcBorders>
          </w:tcPr>
          <w:p>
            <w:pPr>
              <w:spacing w:after="0"/>
              <w:rPr>
                <w:sz w:val="18"/>
                <w:szCs w:val="18"/>
                <w:color w:val="auto"/>
              </w:rPr>
            </w:pPr>
          </w:p>
        </w:tc>
        <w:tc>
          <w:tcPr>
            <w:tcW w:w="1100" w:type="dxa"/>
            <w:vAlign w:val="bottom"/>
            <w:gridSpan w:val="2"/>
          </w:tcPr>
          <w:p>
            <w:pPr>
              <w:jc w:val="center"/>
              <w:ind w:left="326"/>
              <w:spacing w:after="0"/>
              <w:rPr>
                <w:sz w:val="20"/>
                <w:szCs w:val="20"/>
                <w:color w:val="auto"/>
              </w:rPr>
            </w:pPr>
            <w:r>
              <w:rPr>
                <w:rFonts w:ascii="Arial" w:cs="Arial" w:eastAsia="Arial" w:hAnsi="Arial"/>
                <w:sz w:val="11"/>
                <w:szCs w:val="11"/>
                <w:color w:val="auto"/>
                <w:w w:val="97"/>
              </w:rPr>
              <w:t>2016</w:t>
            </w:r>
          </w:p>
        </w:tc>
        <w:tc>
          <w:tcPr>
            <w:tcW w:w="100" w:type="dxa"/>
            <w:vAlign w:val="bottom"/>
          </w:tcPr>
          <w:p>
            <w:pPr>
              <w:spacing w:after="0"/>
              <w:rPr>
                <w:sz w:val="18"/>
                <w:szCs w:val="18"/>
                <w:color w:val="auto"/>
              </w:rPr>
            </w:pPr>
          </w:p>
        </w:tc>
      </w:tr>
      <w:tr>
        <w:trPr>
          <w:trHeight w:val="123"/>
        </w:trPr>
        <w:tc>
          <w:tcPr>
            <w:tcW w:w="5860" w:type="dxa"/>
            <w:vAlign w:val="bottom"/>
          </w:tcPr>
          <w:p>
            <w:pPr>
              <w:ind w:left="400"/>
              <w:spacing w:after="0" w:line="120" w:lineRule="exact"/>
              <w:rPr>
                <w:sz w:val="20"/>
                <w:szCs w:val="20"/>
                <w:color w:val="auto"/>
              </w:rPr>
            </w:pPr>
            <w:r>
              <w:rPr>
                <w:rFonts w:ascii="Arial" w:cs="Arial" w:eastAsia="Arial" w:hAnsi="Arial"/>
                <w:sz w:val="11"/>
                <w:szCs w:val="11"/>
                <w:color w:val="auto"/>
              </w:rPr>
              <w:t>Cash taxes on operating items (including Economic Stimulus Packages)</w:t>
            </w:r>
          </w:p>
        </w:tc>
        <w:tc>
          <w:tcPr>
            <w:tcW w:w="2120" w:type="dxa"/>
            <w:vAlign w:val="bottom"/>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$33</w:t>
            </w:r>
          </w:p>
        </w:tc>
        <w:tc>
          <w:tcPr>
            <w:tcW w:w="4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$193</w:t>
            </w:r>
          </w:p>
        </w:tc>
        <w:tc>
          <w:tcPr>
            <w:tcW w:w="100" w:type="dxa"/>
            <w:vAlign w:val="bottom"/>
          </w:tcPr>
          <w:p>
            <w:pPr>
              <w:spacing w:after="0"/>
              <w:rPr>
                <w:sz w:val="10"/>
                <w:szCs w:val="10"/>
                <w:color w:val="auto"/>
              </w:rPr>
            </w:pPr>
          </w:p>
        </w:tc>
      </w:tr>
      <w:tr>
        <w:trPr>
          <w:trHeight w:val="154"/>
        </w:trPr>
        <w:tc>
          <w:tcPr>
            <w:tcW w:w="5860" w:type="dxa"/>
            <w:vAlign w:val="bottom"/>
          </w:tcPr>
          <w:p>
            <w:pPr>
              <w:ind w:left="400"/>
              <w:spacing w:after="0"/>
              <w:rPr>
                <w:sz w:val="20"/>
                <w:szCs w:val="20"/>
                <w:color w:val="auto"/>
              </w:rPr>
            </w:pPr>
            <w:r>
              <w:rPr>
                <w:rFonts w:ascii="Arial" w:cs="Arial" w:eastAsia="Arial" w:hAnsi="Arial"/>
                <w:sz w:val="11"/>
                <w:szCs w:val="11"/>
                <w:color w:val="auto"/>
              </w:rPr>
              <w:t>Changes in operating assets and liabilities</w:t>
            </w:r>
          </w:p>
        </w:tc>
        <w:tc>
          <w:tcPr>
            <w:tcW w:w="21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40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13"/>
                <w:szCs w:val="13"/>
                <w:color w:val="auto"/>
              </w:rPr>
            </w:pPr>
          </w:p>
        </w:tc>
      </w:tr>
      <w:tr>
        <w:trPr>
          <w:trHeight w:val="156"/>
        </w:trPr>
        <w:tc>
          <w:tcPr>
            <w:tcW w:w="5860" w:type="dxa"/>
            <w:vAlign w:val="bottom"/>
          </w:tcPr>
          <w:p>
            <w:pPr>
              <w:spacing w:after="0"/>
              <w:rPr>
                <w:sz w:val="20"/>
                <w:szCs w:val="20"/>
                <w:color w:val="auto"/>
              </w:rPr>
            </w:pPr>
            <w:r>
              <w:rPr>
                <w:rFonts w:ascii="Arial" w:cs="Arial" w:eastAsia="Arial" w:hAnsi="Arial"/>
                <w:sz w:val="11"/>
                <w:szCs w:val="11"/>
                <w:color w:val="auto"/>
              </w:rPr>
              <w:t>Impact of share-based compensation accounting change</w:t>
            </w:r>
          </w:p>
        </w:tc>
        <w:tc>
          <w:tcPr>
            <w:tcW w:w="2900" w:type="dxa"/>
            <w:vAlign w:val="bottom"/>
            <w:gridSpan w:val="2"/>
          </w:tcPr>
          <w:p>
            <w:pPr>
              <w:jc w:val="right"/>
              <w:spacing w:after="0"/>
              <w:rPr>
                <w:sz w:val="20"/>
                <w:szCs w:val="20"/>
                <w:color w:val="auto"/>
              </w:rPr>
            </w:pPr>
            <w:r>
              <w:rPr>
                <w:rFonts w:ascii="Arial" w:cs="Arial" w:eastAsia="Arial" w:hAnsi="Arial"/>
                <w:sz w:val="11"/>
                <w:szCs w:val="11"/>
                <w:color w:val="auto"/>
              </w:rPr>
              <w:t>$81</w:t>
            </w:r>
          </w:p>
        </w:tc>
        <w:tc>
          <w:tcPr>
            <w:tcW w:w="400" w:type="dxa"/>
            <w:vAlign w:val="bottom"/>
            <w:tcBorders>
              <w:right w:val="single" w:sz="8" w:color="auto"/>
            </w:tcBorders>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$492</w:t>
            </w:r>
          </w:p>
        </w:tc>
        <w:tc>
          <w:tcPr>
            <w:tcW w:w="100" w:type="dxa"/>
            <w:vAlign w:val="bottom"/>
          </w:tcPr>
          <w:p>
            <w:pPr>
              <w:spacing w:after="0"/>
              <w:rPr>
                <w:sz w:val="13"/>
                <w:szCs w:val="13"/>
                <w:color w:val="auto"/>
              </w:rPr>
            </w:pPr>
          </w:p>
        </w:tc>
      </w:tr>
      <w:tr>
        <w:trPr>
          <w:trHeight w:val="20"/>
        </w:trPr>
        <w:tc>
          <w:tcPr>
            <w:tcW w:w="5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260" w:hanging="252"/>
        <w:spacing w:after="0" w:line="234" w:lineRule="auto"/>
        <w:tabs>
          <w:tab w:leader="none" w:pos="277" w:val="left"/>
        </w:tabs>
        <w:numPr>
          <w:ilvl w:val="0"/>
          <w:numId w:val="8"/>
        </w:numPr>
        <w:rPr>
          <w:rFonts w:ascii="Arial" w:cs="Arial" w:eastAsia="Arial" w:hAnsi="Arial"/>
          <w:sz w:val="11"/>
          <w:szCs w:val="11"/>
          <w:color w:val="auto"/>
        </w:rPr>
      </w:pPr>
      <w:r>
        <w:rPr>
          <w:rFonts w:ascii="Arial" w:cs="Arial" w:eastAsia="Arial" w:hAnsi="Arial"/>
          <w:sz w:val="11"/>
          <w:szCs w:val="11"/>
          <w:color w:val="auto"/>
        </w:rPr>
        <w:t>Net cash provided by operating activities for 2016 includes a $146 million decrease in August 2016 resulting from a payment for the settlement of a tax receivable agreement immediately after the DreamWorks acquisition. For free cash flow purposes, we consider the settlement payment to be nonrecurring in nature and therefore we excluded the amount from free cash flow. Because the amount has no impact on free cash flow, it is not included in the changes in operating assets and liabilities for this presentation. Changes in operating assets and liabilities for this presentation also excludes an increase of $250 million related to a legal settlement in the third quarter 2017, as the expense is not included in Adjusted EBITDA.</w:t>
      </w:r>
    </w:p>
    <w:p>
      <w:pPr>
        <w:spacing w:after="0" w:line="195" w:lineRule="exact"/>
        <w:rPr>
          <w:sz w:val="20"/>
          <w:szCs w:val="20"/>
          <w:color w:val="auto"/>
        </w:rPr>
      </w:pPr>
    </w:p>
    <w:p>
      <w:pPr>
        <w:spacing w:after="0"/>
        <w:rPr>
          <w:sz w:val="20"/>
          <w:szCs w:val="20"/>
          <w:color w:val="auto"/>
        </w:rPr>
      </w:pPr>
      <w:r>
        <w:rPr>
          <w:rFonts w:ascii="Arial" w:cs="Arial" w:eastAsia="Arial" w:hAnsi="Arial"/>
          <w:sz w:val="11"/>
          <w:szCs w:val="11"/>
          <w:color w:val="auto"/>
        </w:rPr>
        <w:t>Note: Minor differences may exist due to rounding.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-139065</wp:posOffset>
            </wp:positionV>
            <wp:extent cx="995045" cy="43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Revenue Excluding 2016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00" w:type="dxa"/>
            <w:vAlign w:val="bottom"/>
            <w:gridSpan w:val="6"/>
          </w:tcPr>
          <w:p>
            <w:pPr>
              <w:jc w:val="center"/>
              <w:ind w:left="74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Growth</w:t>
            </w:r>
          </w:p>
        </w:tc>
      </w:tr>
      <w:tr>
        <w:trPr>
          <w:trHeight w:val="25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$21,319</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$20,983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$59,378</w:t>
            </w:r>
          </w:p>
        </w:tc>
        <w:tc>
          <w:tcPr>
            <w:tcW w:w="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$62,611</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28"/>
        </w:trPr>
        <w:tc>
          <w:tcPr>
            <w:tcW w:w="4600" w:type="dxa"/>
            <w:vAlign w:val="bottom"/>
          </w:tcPr>
          <w:p>
            <w:pPr>
              <w:spacing w:after="0"/>
              <w:rPr>
                <w:sz w:val="20"/>
                <w:szCs w:val="20"/>
                <w:color w:val="auto"/>
              </w:rPr>
            </w:pPr>
            <w:r>
              <w:rPr>
                <w:rFonts w:ascii="Arial" w:cs="Arial" w:eastAsia="Arial" w:hAnsi="Arial"/>
                <w:sz w:val="14"/>
                <w:szCs w:val="14"/>
                <w:color w:val="auto"/>
              </w:rPr>
              <w:t>2016 Olympics</w:t>
            </w:r>
            <w:r>
              <w:rPr>
                <w:rFonts w:ascii="Arial" w:cs="Arial" w:eastAsia="Arial" w:hAnsi="Arial"/>
                <w:sz w:val="16"/>
                <w:szCs w:val="16"/>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(1,485)</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$20,983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$57,893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$62,611</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Revenue and Adjusted EBITDA Excluding 2016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00" w:type="dxa"/>
            <w:vAlign w:val="bottom"/>
            <w:gridSpan w:val="6"/>
          </w:tcPr>
          <w:p>
            <w:pPr>
              <w:jc w:val="center"/>
              <w:ind w:left="74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40" w:type="dxa"/>
            <w:vAlign w:val="bottom"/>
          </w:tcPr>
          <w:p>
            <w:pPr>
              <w:ind w:left="1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292"/>
        </w:trPr>
        <w:tc>
          <w:tcPr>
            <w:tcW w:w="4740" w:type="dxa"/>
            <w:vAlign w:val="bottom"/>
          </w:tcPr>
          <w:p>
            <w:pPr>
              <w:ind w:left="140"/>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$9,178</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$8,014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$23,142</w:t>
            </w:r>
          </w:p>
        </w:tc>
        <w:tc>
          <w:tcPr>
            <w:tcW w:w="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$24,213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9"/>
        </w:trPr>
        <w:tc>
          <w:tcPr>
            <w:tcW w:w="4740" w:type="dxa"/>
            <w:vAlign w:val="bottom"/>
          </w:tcPr>
          <w:p>
            <w:pPr>
              <w:ind w:left="140"/>
              <w:spacing w:after="0"/>
              <w:rPr>
                <w:sz w:val="20"/>
                <w:szCs w:val="20"/>
                <w:color w:val="auto"/>
              </w:rPr>
            </w:pPr>
            <w:r>
              <w:rPr>
                <w:rFonts w:ascii="Arial" w:cs="Arial" w:eastAsia="Arial" w:hAnsi="Arial"/>
                <w:sz w:val="14"/>
                <w:szCs w:val="14"/>
                <w:color w:val="auto"/>
              </w:rPr>
              <w:t>2016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(1,620)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(1,620)</w:t>
            </w:r>
          </w:p>
        </w:tc>
        <w:tc>
          <w:tcPr>
            <w:tcW w:w="220" w:type="dxa"/>
            <w:vAlign w:val="bottom"/>
          </w:tcPr>
          <w:p>
            <w:pPr>
              <w:spacing w:after="0"/>
              <w:rPr>
                <w:sz w:val="23"/>
                <w:szCs w:val="2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14"/>
                <w:szCs w:val="14"/>
                <w:color w:val="auto"/>
              </w:rPr>
              <w:t>Revenue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$7,558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$8,014</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$21,522</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$24,213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4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292"/>
        </w:trPr>
        <w:tc>
          <w:tcPr>
            <w:tcW w:w="4740" w:type="dxa"/>
            <w:vAlign w:val="bottom"/>
          </w:tcPr>
          <w:p>
            <w:pPr>
              <w:ind w:left="140"/>
              <w:spacing w:after="0"/>
              <w:rPr>
                <w:sz w:val="20"/>
                <w:szCs w:val="20"/>
                <w:color w:val="auto"/>
              </w:rPr>
            </w:pPr>
            <w:r>
              <w:rPr>
                <w:rFonts w:ascii="Arial" w:cs="Arial" w:eastAsia="Arial" w:hAnsi="Arial"/>
                <w:sz w:val="14"/>
                <w:szCs w:val="14"/>
                <w:color w:val="auto"/>
              </w:rPr>
              <w:t>Adjusted EBITDA</w:t>
            </w:r>
          </w:p>
        </w:tc>
        <w:tc>
          <w:tcPr>
            <w:tcW w:w="920" w:type="dxa"/>
            <w:vAlign w:val="bottom"/>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$2,274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$5,457</w:t>
            </w:r>
          </w:p>
        </w:tc>
        <w:tc>
          <w:tcPr>
            <w:tcW w:w="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$6,362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69"/>
        </w:trPr>
        <w:tc>
          <w:tcPr>
            <w:tcW w:w="4740" w:type="dxa"/>
            <w:vAlign w:val="bottom"/>
          </w:tcPr>
          <w:p>
            <w:pPr>
              <w:ind w:left="140"/>
              <w:spacing w:after="0"/>
              <w:rPr>
                <w:sz w:val="20"/>
                <w:szCs w:val="20"/>
                <w:color w:val="auto"/>
              </w:rPr>
            </w:pPr>
            <w:r>
              <w:rPr>
                <w:rFonts w:ascii="Arial" w:cs="Arial" w:eastAsia="Arial" w:hAnsi="Arial"/>
                <w:sz w:val="14"/>
                <w:szCs w:val="14"/>
                <w:color w:val="auto"/>
              </w:rPr>
              <w:t>2016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23"/>
                <w:szCs w:val="2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14"/>
                <w:szCs w:val="14"/>
                <w:color w:val="auto"/>
              </w:rPr>
              <w:t>Adjusted EBITDA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$6,362</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140" w:type="dxa"/>
            <w:vAlign w:val="bottom"/>
            <w:tcBorders>
              <w:bottom w:val="single" w:sz="8" w:color="0050B9"/>
            </w:tcBorders>
            <w:gridSpan w:val="7"/>
          </w:tcPr>
          <w:p>
            <w:pPr>
              <w:spacing w:after="0"/>
              <w:rPr>
                <w:sz w:val="20"/>
                <w:szCs w:val="20"/>
                <w:color w:val="auto"/>
              </w:rPr>
            </w:pPr>
            <w:r>
              <w:rPr>
                <w:rFonts w:ascii="Arial" w:cs="Arial" w:eastAsia="Arial" w:hAnsi="Arial"/>
                <w:sz w:val="18"/>
                <w:szCs w:val="18"/>
                <w:b w:val="1"/>
                <w:bCs w:val="1"/>
                <w:color w:val="C9C9C9"/>
              </w:rPr>
              <w:t>Reconciliation of Cable Networks Revenue Excluding 2016 Olympics (Unaudited)</w:t>
            </w:r>
          </w:p>
        </w:tc>
        <w:tc>
          <w:tcPr>
            <w:tcW w:w="800" w:type="dxa"/>
            <w:vAlign w:val="bottom"/>
            <w:tcBorders>
              <w:bottom w:val="single" w:sz="8" w:color="0050B9"/>
            </w:tcBorders>
          </w:tcPr>
          <w:p>
            <w:pPr>
              <w:spacing w:after="0"/>
              <w:rPr>
                <w:sz w:val="24"/>
                <w:szCs w:val="24"/>
                <w:color w:val="auto"/>
              </w:rPr>
            </w:pPr>
          </w:p>
        </w:tc>
        <w:tc>
          <w:tcPr>
            <w:tcW w:w="140" w:type="dxa"/>
            <w:vAlign w:val="bottom"/>
            <w:tcBorders>
              <w:bottom w:val="single" w:sz="8" w:color="0050B9"/>
            </w:tcBorders>
          </w:tcPr>
          <w:p>
            <w:pPr>
              <w:spacing w:after="0"/>
              <w:rPr>
                <w:sz w:val="24"/>
                <w:szCs w:val="24"/>
                <w:color w:val="auto"/>
              </w:rPr>
            </w:pPr>
          </w:p>
        </w:tc>
        <w:tc>
          <w:tcPr>
            <w:tcW w:w="80" w:type="dxa"/>
            <w:vAlign w:val="bottom"/>
            <w:tcBorders>
              <w:bottom w:val="single" w:sz="8" w:color="0050B9"/>
            </w:tcBorders>
          </w:tcPr>
          <w:p>
            <w:pPr>
              <w:spacing w:after="0"/>
              <w:rPr>
                <w:sz w:val="24"/>
                <w:szCs w:val="24"/>
                <w:color w:val="auto"/>
              </w:rPr>
            </w:pPr>
          </w:p>
        </w:tc>
        <w:tc>
          <w:tcPr>
            <w:tcW w:w="920" w:type="dxa"/>
            <w:vAlign w:val="bottom"/>
            <w:tcBorders>
              <w:bottom w:val="single" w:sz="8" w:color="0050B9"/>
            </w:tcBorders>
          </w:tcPr>
          <w:p>
            <w:pPr>
              <w:spacing w:after="0"/>
              <w:rPr>
                <w:sz w:val="24"/>
                <w:szCs w:val="24"/>
                <w:color w:val="auto"/>
              </w:rPr>
            </w:pPr>
          </w:p>
        </w:tc>
        <w:tc>
          <w:tcPr>
            <w:tcW w:w="20" w:type="dxa"/>
            <w:vAlign w:val="bottom"/>
            <w:tcBorders>
              <w:bottom w:val="single" w:sz="8" w:color="0050B9"/>
            </w:tcBorders>
          </w:tcPr>
          <w:p>
            <w:pPr>
              <w:spacing w:after="0"/>
              <w:rPr>
                <w:sz w:val="24"/>
                <w:szCs w:val="24"/>
                <w:color w:val="auto"/>
              </w:rPr>
            </w:pPr>
          </w:p>
        </w:tc>
        <w:tc>
          <w:tcPr>
            <w:tcW w:w="220" w:type="dxa"/>
            <w:vAlign w:val="bottom"/>
            <w:tcBorders>
              <w:bottom w:val="single" w:sz="8" w:color="0050B9"/>
            </w:tcBorders>
          </w:tcPr>
          <w:p>
            <w:pPr>
              <w:spacing w:after="0"/>
              <w:rPr>
                <w:sz w:val="24"/>
                <w:szCs w:val="24"/>
                <w:color w:val="auto"/>
              </w:rPr>
            </w:pPr>
          </w:p>
        </w:tc>
        <w:tc>
          <w:tcPr>
            <w:tcW w:w="920" w:type="dxa"/>
            <w:vAlign w:val="bottom"/>
            <w:tcBorders>
              <w:bottom w:val="single" w:sz="8" w:color="0050B9"/>
            </w:tcBorders>
          </w:tcPr>
          <w:p>
            <w:pPr>
              <w:spacing w:after="0"/>
              <w:rPr>
                <w:sz w:val="24"/>
                <w:szCs w:val="24"/>
                <w:color w:val="auto"/>
              </w:rPr>
            </w:pPr>
          </w:p>
        </w:tc>
        <w:tc>
          <w:tcPr>
            <w:tcW w:w="240" w:type="dxa"/>
            <w:vAlign w:val="bottom"/>
            <w:tcBorders>
              <w:bottom w:val="single" w:sz="8" w:color="0050B9"/>
            </w:tcBorders>
          </w:tcPr>
          <w:p>
            <w:pPr>
              <w:spacing w:after="0"/>
              <w:rPr>
                <w:sz w:val="24"/>
                <w:szCs w:val="24"/>
                <w:color w:val="auto"/>
              </w:rPr>
            </w:pPr>
          </w:p>
        </w:tc>
        <w:tc>
          <w:tcPr>
            <w:tcW w:w="94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2400" w:type="dxa"/>
            <w:vAlign w:val="bottom"/>
            <w:gridSpan w:val="6"/>
            <w:vMerge w:val="restart"/>
          </w:tcPr>
          <w:p>
            <w:pPr>
              <w:jc w:val="center"/>
              <w:ind w:left="74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400" w:type="dxa"/>
            <w:vAlign w:val="bottom"/>
            <w:gridSpan w:val="6"/>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40" w:type="dxa"/>
            <w:vAlign w:val="bottom"/>
          </w:tcPr>
          <w:p>
            <w:pPr>
              <w:ind w:left="1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252"/>
        </w:trPr>
        <w:tc>
          <w:tcPr>
            <w:tcW w:w="4740" w:type="dxa"/>
            <w:vAlign w:val="bottom"/>
          </w:tcPr>
          <w:p>
            <w:pPr>
              <w:ind w:left="140"/>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$2,603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$7,961</w:t>
            </w:r>
          </w:p>
        </w:tc>
        <w:tc>
          <w:tcPr>
            <w:tcW w:w="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$7,940</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8"/>
        </w:trPr>
        <w:tc>
          <w:tcPr>
            <w:tcW w:w="4740" w:type="dxa"/>
            <w:vAlign w:val="bottom"/>
          </w:tcPr>
          <w:p>
            <w:pPr>
              <w:ind w:left="140"/>
              <w:spacing w:after="0"/>
              <w:rPr>
                <w:sz w:val="20"/>
                <w:szCs w:val="20"/>
                <w:color w:val="auto"/>
              </w:rPr>
            </w:pPr>
            <w:r>
              <w:rPr>
                <w:rFonts w:ascii="Arial" w:cs="Arial" w:eastAsia="Arial" w:hAnsi="Arial"/>
                <w:sz w:val="14"/>
                <w:szCs w:val="14"/>
                <w:color w:val="auto"/>
              </w:rPr>
              <w:t>2016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(432)</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14"/>
                <w:szCs w:val="14"/>
                <w:color w:val="auto"/>
              </w:rPr>
              <w:t>Revenue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$7,529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$7,940</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160" w:type="dxa"/>
            <w:vAlign w:val="bottom"/>
            <w:tcBorders>
              <w:bottom w:val="single" w:sz="8" w:color="0050B9"/>
            </w:tcBorders>
            <w:gridSpan w:val="10"/>
          </w:tcPr>
          <w:p>
            <w:pPr>
              <w:spacing w:after="0"/>
              <w:rPr>
                <w:sz w:val="20"/>
                <w:szCs w:val="20"/>
                <w:color w:val="auto"/>
              </w:rPr>
            </w:pPr>
            <w:r>
              <w:rPr>
                <w:rFonts w:ascii="Arial" w:cs="Arial" w:eastAsia="Arial" w:hAnsi="Arial"/>
                <w:sz w:val="18"/>
                <w:szCs w:val="18"/>
                <w:b w:val="1"/>
                <w:bCs w:val="1"/>
                <w:color w:val="C9C9C9"/>
              </w:rPr>
              <w:t>Reconciliation of Broadcast Television Revenue Excluding 2016 Olympics (Unaudited)</w:t>
            </w:r>
          </w:p>
        </w:tc>
        <w:tc>
          <w:tcPr>
            <w:tcW w:w="920" w:type="dxa"/>
            <w:vAlign w:val="bottom"/>
            <w:tcBorders>
              <w:bottom w:val="single" w:sz="8" w:color="0050B9"/>
            </w:tcBorders>
          </w:tcPr>
          <w:p>
            <w:pPr>
              <w:spacing w:after="0"/>
              <w:rPr>
                <w:sz w:val="24"/>
                <w:szCs w:val="24"/>
                <w:color w:val="auto"/>
              </w:rPr>
            </w:pPr>
          </w:p>
        </w:tc>
        <w:tc>
          <w:tcPr>
            <w:tcW w:w="20" w:type="dxa"/>
            <w:vAlign w:val="bottom"/>
            <w:tcBorders>
              <w:bottom w:val="single" w:sz="8" w:color="0050B9"/>
            </w:tcBorders>
          </w:tcPr>
          <w:p>
            <w:pPr>
              <w:spacing w:after="0"/>
              <w:rPr>
                <w:sz w:val="24"/>
                <w:szCs w:val="24"/>
                <w:color w:val="auto"/>
              </w:rPr>
            </w:pPr>
          </w:p>
        </w:tc>
        <w:tc>
          <w:tcPr>
            <w:tcW w:w="220" w:type="dxa"/>
            <w:vAlign w:val="bottom"/>
            <w:tcBorders>
              <w:bottom w:val="single" w:sz="8" w:color="0050B9"/>
            </w:tcBorders>
          </w:tcPr>
          <w:p>
            <w:pPr>
              <w:spacing w:after="0"/>
              <w:rPr>
                <w:sz w:val="24"/>
                <w:szCs w:val="24"/>
                <w:color w:val="auto"/>
              </w:rPr>
            </w:pPr>
          </w:p>
        </w:tc>
        <w:tc>
          <w:tcPr>
            <w:tcW w:w="920" w:type="dxa"/>
            <w:vAlign w:val="bottom"/>
            <w:tcBorders>
              <w:bottom w:val="single" w:sz="8" w:color="0050B9"/>
            </w:tcBorders>
          </w:tcPr>
          <w:p>
            <w:pPr>
              <w:spacing w:after="0"/>
              <w:rPr>
                <w:sz w:val="24"/>
                <w:szCs w:val="24"/>
                <w:color w:val="auto"/>
              </w:rPr>
            </w:pPr>
          </w:p>
        </w:tc>
        <w:tc>
          <w:tcPr>
            <w:tcW w:w="240" w:type="dxa"/>
            <w:vAlign w:val="bottom"/>
            <w:tcBorders>
              <w:bottom w:val="single" w:sz="8" w:color="0050B9"/>
            </w:tcBorders>
          </w:tcPr>
          <w:p>
            <w:pPr>
              <w:spacing w:after="0"/>
              <w:rPr>
                <w:sz w:val="24"/>
                <w:szCs w:val="24"/>
                <w:color w:val="auto"/>
              </w:rPr>
            </w:pPr>
          </w:p>
        </w:tc>
        <w:tc>
          <w:tcPr>
            <w:tcW w:w="94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2400" w:type="dxa"/>
            <w:vAlign w:val="bottom"/>
            <w:gridSpan w:val="6"/>
            <w:vMerge w:val="restart"/>
          </w:tcPr>
          <w:p>
            <w:pPr>
              <w:jc w:val="center"/>
              <w:ind w:left="74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400" w:type="dxa"/>
            <w:vAlign w:val="bottom"/>
            <w:gridSpan w:val="6"/>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40" w:type="dxa"/>
            <w:vAlign w:val="bottom"/>
          </w:tcPr>
          <w:p>
            <w:pPr>
              <w:ind w:left="1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252"/>
        </w:trPr>
        <w:tc>
          <w:tcPr>
            <w:tcW w:w="4740" w:type="dxa"/>
            <w:vAlign w:val="bottom"/>
          </w:tcPr>
          <w:p>
            <w:pPr>
              <w:ind w:left="140"/>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$3,087</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$2,133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$7,299</w:t>
            </w:r>
          </w:p>
        </w:tc>
        <w:tc>
          <w:tcPr>
            <w:tcW w:w="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$6,582</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28"/>
        </w:trPr>
        <w:tc>
          <w:tcPr>
            <w:tcW w:w="4740" w:type="dxa"/>
            <w:vAlign w:val="bottom"/>
          </w:tcPr>
          <w:p>
            <w:pPr>
              <w:ind w:left="140"/>
              <w:spacing w:after="0"/>
              <w:rPr>
                <w:sz w:val="20"/>
                <w:szCs w:val="20"/>
                <w:color w:val="auto"/>
              </w:rPr>
            </w:pPr>
            <w:r>
              <w:rPr>
                <w:rFonts w:ascii="Arial" w:cs="Arial" w:eastAsia="Arial" w:hAnsi="Arial"/>
                <w:sz w:val="14"/>
                <w:szCs w:val="14"/>
                <w:color w:val="auto"/>
              </w:rPr>
              <w:t>2016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(1,188)</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14"/>
                <w:szCs w:val="14"/>
                <w:color w:val="auto"/>
              </w:rPr>
              <w:t>Revenue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$6,582</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260" w:right="40" w:hanging="252"/>
        <w:spacing w:after="0" w:line="258" w:lineRule="auto"/>
        <w:tabs>
          <w:tab w:leader="none" w:pos="257" w:val="left"/>
        </w:tabs>
        <w:numPr>
          <w:ilvl w:val="0"/>
          <w:numId w:val="9"/>
        </w:numPr>
        <w:rPr>
          <w:rFonts w:ascii="Arial" w:cs="Arial" w:eastAsia="Arial" w:hAnsi="Arial"/>
          <w:sz w:val="14"/>
          <w:szCs w:val="14"/>
          <w:color w:val="auto"/>
        </w:rPr>
      </w:pPr>
      <w:r>
        <w:rPr>
          <w:rFonts w:ascii="Arial" w:cs="Arial" w:eastAsia="Arial" w:hAnsi="Arial"/>
          <w:sz w:val="14"/>
          <w:szCs w:val="14"/>
          <w:color w:val="auto"/>
        </w:rPr>
        <w:t>2016 Olympics revenue on a consolidated basis gives effect to intercompany eliminations of $135 million. Historically, we presented this number on a combined segment basis without intercompany eliminations.</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Note: Minor differences may exist due to rounding.</w:t>
      </w:r>
    </w:p>
    <w:p>
      <w:pPr>
        <w:spacing w:after="0" w:line="199"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296"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is the primary basis used to measure the operational strength and performance of our businesses. Free Cash Flow is an additional performance measure used as an indicator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Adjusted EBITDA is defined as net income attributable to Comcast Corporation before net (income) loss attributable to noncontrolling interests and redeemable subsidiary preferred stock, income tax expense, other income (expense) items, net,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Other income (expense) items, net include interest expense, investment income (loss), equity in net income (losses) of investees, and other income (expense), net (as stated in our Consolidated Statement of Income).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Adjusted EBITDA as the measure of profit or loss for our segments, and we reconcile it to income before income taxes in the business segment footnote to our quarterly and annual consolidated financial statements. We believe our measure of Adjusted EBITDA for our segments is not a “non-GAAP financial measure” as contemplated by Regulation G adopted by the Securities and Exchange Commission. Consolidated Adjusted EBITDA is a non-GAAP financial measure.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 We believe that Free Cash Flow is also useful to investors as the basis for comparing our performance and coverage ratios with other companies in our industries, although our measure of Free Cash Flow may not be directly comparable to similar measures used by other companies.</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certain circumstances, we also present “adjusted” data, to exclude the impact of certain events and certain gains, losses or other charges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Non-GAAP financial measures should not be considered as substitutes for operating income (loss), net income (loss), net income (loss) attributable to Comcast Corporation, earnings per common share attributable to Comcast Corporation shareholders, net cash provided by operating activities or other measures of performance or liquidity reported in accordance with GAAP.</w:t>
      </w:r>
    </w:p>
    <w:p>
      <w:pPr>
        <w:spacing w:after="0" w:line="201"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9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Exhibit 99.1 to this Current Report on Form 8-K, we provide reconciliations of Adjusted EBITDA in Table 4 and Free Cash Flow in Table 5 and pro forma and “adjusted” data, when applicable, in these and additional Tables to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2019-12-29T04:02:57Z</dcterms:created>
  <dcterms:modified xsi:type="dcterms:W3CDTF">2019-12-29T04:02:57Z</dcterms:modified>
</cp:coreProperties>
</file>