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444500</wp:posOffset>
            </wp:positionV>
            <wp:extent cx="158623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86230" cy="634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x ANNUAL REPORT PURSUANT TO SECTION 15(d) OF THE SECURITIES EXCHANGE ACT OF 1934.</w:t>
      </w:r>
    </w:p>
    <w:p>
      <w:pPr>
        <w:spacing w:after="0" w:line="215" w:lineRule="exact"/>
        <w:rPr>
          <w:sz w:val="24"/>
          <w:szCs w:val="24"/>
          <w:color w:val="auto"/>
        </w:rPr>
      </w:pPr>
    </w:p>
    <w:p>
      <w:pPr>
        <w:ind w:left="400"/>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spacing w:after="0"/>
        <w:tabs>
          <w:tab w:leader="none" w:pos="280" w:val="left"/>
        </w:tabs>
        <w:rPr>
          <w:sz w:val="20"/>
          <w:szCs w:val="20"/>
          <w:color w:val="auto"/>
        </w:rPr>
      </w:pPr>
      <w:r>
        <w:rPr>
          <w:rFonts w:ascii="Arial" w:cs="Arial" w:eastAsia="Arial" w:hAnsi="Arial"/>
          <w:sz w:val="22"/>
          <w:szCs w:val="22"/>
          <w:b w:val="1"/>
          <w:bCs w:val="1"/>
          <w:color w:val="auto"/>
        </w:rPr>
        <w:t>o</w:t>
      </w:r>
      <w:r>
        <w:rPr>
          <w:sz w:val="20"/>
          <w:szCs w:val="20"/>
          <w:color w:val="auto"/>
        </w:rPr>
        <w:tab/>
      </w:r>
      <w:r>
        <w:rPr>
          <w:rFonts w:ascii="Arial" w:cs="Arial" w:eastAsia="Arial" w:hAnsi="Arial"/>
          <w:sz w:val="21"/>
          <w:szCs w:val="21"/>
          <w:b w:val="1"/>
          <w:bCs w:val="1"/>
          <w:color w:val="auto"/>
        </w:rPr>
        <w:t>TRANSITION REPORT PURSUANT TO SECTION 15(d) OF THE SECURITIES EXCHANGE ACT OF 1934.</w:t>
      </w:r>
    </w:p>
    <w:p>
      <w:pPr>
        <w:spacing w:after="0" w:line="215" w:lineRule="exact"/>
        <w:rPr>
          <w:sz w:val="24"/>
          <w:szCs w:val="24"/>
          <w:color w:val="auto"/>
        </w:rPr>
      </w:pPr>
    </w:p>
    <w:p>
      <w:pPr>
        <w:ind w:left="400"/>
        <w:spacing w:after="0"/>
        <w:tabs>
          <w:tab w:leader="none" w:pos="37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Full title of the plan and the address of the plan, if different from that of the issuer named below:</w:t>
      </w:r>
    </w:p>
    <w:p>
      <w:pPr>
        <w:spacing w:after="0" w:line="221" w:lineRule="exact"/>
        <w:rPr>
          <w:rFonts w:ascii="Arial" w:cs="Arial" w:eastAsia="Arial" w:hAnsi="Arial"/>
          <w:sz w:val="18"/>
          <w:szCs w:val="18"/>
          <w:color w:val="auto"/>
        </w:rPr>
      </w:pPr>
    </w:p>
    <w:p>
      <w:pPr>
        <w:ind w:left="3020"/>
        <w:spacing w:after="0"/>
        <w:rPr>
          <w:rFonts w:ascii="Arial" w:cs="Arial" w:eastAsia="Arial" w:hAnsi="Arial"/>
          <w:sz w:val="18"/>
          <w:szCs w:val="18"/>
          <w:color w:val="auto"/>
        </w:rPr>
      </w:pPr>
      <w:r>
        <w:rPr>
          <w:rFonts w:ascii="Arial" w:cs="Arial" w:eastAsia="Arial" w:hAnsi="Arial"/>
          <w:sz w:val="18"/>
          <w:szCs w:val="18"/>
          <w:b w:val="1"/>
          <w:bCs w:val="1"/>
          <w:color w:val="auto"/>
        </w:rPr>
        <w:t>COMCAST CORPORATION RETIREMENT-INVESTMENT PLAN</w:t>
      </w:r>
    </w:p>
    <w:p>
      <w:pPr>
        <w:spacing w:after="0" w:line="229" w:lineRule="exact"/>
        <w:rPr>
          <w:rFonts w:ascii="Arial" w:cs="Arial" w:eastAsia="Arial" w:hAnsi="Arial"/>
          <w:sz w:val="18"/>
          <w:szCs w:val="18"/>
          <w:color w:val="auto"/>
        </w:rPr>
      </w:pPr>
    </w:p>
    <w:p>
      <w:pPr>
        <w:ind w:left="400" w:hanging="392"/>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Comcast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Comcast Center</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Philadelphia, PA 19103-2838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TABLE OF CONTENTS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0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Page</w:t>
            </w:r>
          </w:p>
        </w:tc>
      </w:tr>
      <w:tr>
        <w:trPr>
          <w:trHeight w:val="385"/>
        </w:trPr>
        <w:tc>
          <w:tcPr>
            <w:tcW w:w="1040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3"/>
        </w:trPr>
        <w:tc>
          <w:tcPr>
            <w:tcW w:w="58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FINANCIAL STATEMENTS:</w:t>
            </w:r>
          </w:p>
        </w:tc>
        <w:tc>
          <w:tcPr>
            <w:tcW w:w="4600" w:type="dxa"/>
            <w:vAlign w:val="bottom"/>
            <w:gridSpan w:val="3"/>
          </w:tcPr>
          <w:p>
            <w:pPr>
              <w:spacing w:after="0"/>
              <w:rPr>
                <w:sz w:val="24"/>
                <w:szCs w:val="24"/>
                <w:color w:val="auto"/>
              </w:rPr>
            </w:pPr>
          </w:p>
        </w:tc>
        <w:tc>
          <w:tcPr>
            <w:tcW w:w="1020" w:type="dxa"/>
            <w:vAlign w:val="bottom"/>
          </w:tcPr>
          <w:p>
            <w:pPr>
              <w:spacing w:after="0"/>
              <w:rPr>
                <w:sz w:val="24"/>
                <w:szCs w:val="24"/>
                <w:color w:val="auto"/>
              </w:rPr>
            </w:pPr>
          </w:p>
        </w:tc>
      </w:tr>
      <w:tr>
        <w:trPr>
          <w:trHeight w:val="392"/>
        </w:trPr>
        <w:tc>
          <w:tcPr>
            <w:tcW w:w="340" w:type="dxa"/>
            <w:vAlign w:val="bottom"/>
          </w:tcPr>
          <w:p>
            <w:pPr>
              <w:spacing w:after="0"/>
              <w:rPr>
                <w:sz w:val="24"/>
                <w:szCs w:val="24"/>
                <w:color w:val="auto"/>
              </w:rPr>
            </w:pPr>
          </w:p>
        </w:tc>
        <w:tc>
          <w:tcPr>
            <w:tcW w:w="100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 as of December 31, 2016 and 2015</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384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0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Statement of Changes in Net Assets Available for Benefits for the Year Ended December 31, 2016</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340" w:type="dxa"/>
            <w:vAlign w:val="bottom"/>
          </w:tcPr>
          <w:p>
            <w:pPr>
              <w:spacing w:after="0"/>
              <w:rPr>
                <w:sz w:val="24"/>
                <w:szCs w:val="24"/>
                <w:color w:val="auto"/>
              </w:rPr>
            </w:pPr>
          </w:p>
        </w:tc>
        <w:tc>
          <w:tcPr>
            <w:tcW w:w="706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30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0"/>
        </w:trPr>
        <w:tc>
          <w:tcPr>
            <w:tcW w:w="340" w:type="dxa"/>
            <w:vAlign w:val="bottom"/>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7920" w:type="dxa"/>
            <w:vAlign w:val="bottom"/>
            <w:gridSpan w:val="4"/>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53"/>
        </w:trPr>
        <w:tc>
          <w:tcPr>
            <w:tcW w:w="10400" w:type="dxa"/>
            <w:vAlign w:val="bottom"/>
            <w:gridSpan w:val="6"/>
          </w:tcPr>
          <w:p>
            <w:pPr>
              <w:spacing w:after="0"/>
              <w:rPr>
                <w:sz w:val="20"/>
                <w:szCs w:val="20"/>
                <w:color w:val="auto"/>
              </w:rPr>
            </w:pPr>
            <w:r>
              <w:rPr>
                <w:rFonts w:ascii="Arial" w:cs="Arial" w:eastAsia="Arial" w:hAnsi="Arial"/>
                <w:sz w:val="18"/>
                <w:szCs w:val="18"/>
                <w:color w:val="auto"/>
              </w:rPr>
              <w:t>SUPPLEMENTAL SCHEDULE:</w:t>
            </w:r>
          </w:p>
        </w:tc>
        <w:tc>
          <w:tcPr>
            <w:tcW w:w="1020" w:type="dxa"/>
            <w:vAlign w:val="bottom"/>
          </w:tcPr>
          <w:p>
            <w:pPr>
              <w:spacing w:after="0"/>
              <w:rPr>
                <w:sz w:val="24"/>
                <w:szCs w:val="24"/>
                <w:color w:val="auto"/>
              </w:rPr>
            </w:pPr>
          </w:p>
        </w:tc>
      </w:tr>
    </w:tbl>
    <w:p>
      <w:pPr>
        <w:sectPr>
          <w:pgSz w:w="11900" w:h="16838" w:orient="portrait"/>
          <w:cols w:equalWidth="0" w:num="1">
            <w:col w:w="11420"/>
          </w:cols>
          <w:pgMar w:left="240" w:top="233" w:right="239" w:bottom="0" w:gutter="0" w:footer="0" w:header="0"/>
        </w:sectPr>
      </w:pPr>
    </w:p>
    <w:bookmarkStart w:id="1" w:name="page2"/>
    <w:bookmarkEnd w:id="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80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Form 5500, Schedule H—Part IV, Line 4i—Schedule of Assets (Held at End of Year) as of December 31, 2016</w:t>
              </w:r>
            </w:hyperlink>
          </w:p>
        </w:tc>
        <w:tc>
          <w:tcPr>
            <w:tcW w:w="30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12"/>
        </w:trPr>
        <w:tc>
          <w:tcPr>
            <w:tcW w:w="596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9">
              <w:r>
                <w:rPr>
                  <w:rFonts w:ascii="Arial" w:cs="Arial" w:eastAsia="Arial" w:hAnsi="Arial"/>
                  <w:sz w:val="18"/>
                  <w:szCs w:val="18"/>
                  <w:color w:val="0000EE"/>
                  <w:w w:val="95"/>
                </w:rPr>
                <w:t>CONSENT OF INDEPENDENT REGISTERED PUBLIC ACCOUNTING FIRM</w:t>
              </w:r>
            </w:hyperlink>
          </w:p>
        </w:tc>
        <w:tc>
          <w:tcPr>
            <w:tcW w:w="2380" w:type="dxa"/>
            <w:vAlign w:val="bottom"/>
          </w:tcPr>
          <w:p>
            <w:pPr>
              <w:spacing w:after="0"/>
              <w:rPr>
                <w:sz w:val="24"/>
                <w:szCs w:val="24"/>
                <w:color w:val="auto"/>
              </w:rPr>
            </w:pPr>
          </w:p>
        </w:tc>
        <w:tc>
          <w:tcPr>
            <w:tcW w:w="30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12"/>
        </w:trPr>
        <w:tc>
          <w:tcPr>
            <w:tcW w:w="8340" w:type="dxa"/>
            <w:vAlign w:val="bottom"/>
            <w:gridSpan w:val="4"/>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SIGNATURE</w:t>
              </w:r>
            </w:hyperlink>
          </w:p>
        </w:tc>
        <w:tc>
          <w:tcPr>
            <w:tcW w:w="30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3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r>
    </w:tbl>
    <w:p>
      <w:pPr>
        <w:spacing w:after="0" w:line="229" w:lineRule="exact"/>
        <w:rPr>
          <w:sz w:val="20"/>
          <w:szCs w:val="20"/>
          <w:color w:val="auto"/>
        </w:rPr>
      </w:pPr>
    </w:p>
    <w:p>
      <w:pPr>
        <w:ind w:left="880" w:right="200"/>
        <w:spacing w:after="0" w:line="277" w:lineRule="auto"/>
        <w:rPr>
          <w:sz w:val="20"/>
          <w:szCs w:val="20"/>
          <w:color w:val="auto"/>
        </w:rPr>
      </w:pPr>
      <w:r>
        <w:rPr>
          <w:rFonts w:ascii="Arial" w:cs="Arial" w:eastAsia="Arial" w:hAnsi="Arial"/>
          <w:sz w:val="18"/>
          <w:szCs w:val="18"/>
          <w:color w:val="auto"/>
        </w:rPr>
        <w:t>NOTE: All other schedules required by Section 2520.103-10 of the Department of Labor’s Rules and Regulations for Reporting and Disclosure under the Employee Retirement Income Security Act of 1974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Trustee and Participants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 Retirement-Investment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1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Comcast Corporation Retirement-Investment Plan (the “Plan”) as of December 31, 2016 and 2015, and the related statement of changes in net assets available for benefits for the year ended December 31, 2016. These financial statements are the responsibility of the Plan’s management. Our responsibility is to express an opinion on these financial statements based on our audits.</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conducted our audits in accordance with standards of the Public Company Accounting Oversight Board (United States). Those standards require that we plan and perform the audit to obtain reasonable assurance about whether the financial statements are free of material misstatement. The Plan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our opinion, such financial statements present fairly, in all material respects, the net assets available for benefits of the Plan as of December 31, 2016 and 2015, and the changes in net assets available for benefits for the year ended December 31, 2016 in conformity with accounting principles generally accepted in the United States of America.</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supplemental schedule of assets (held at end of year) as of December 31, 2016 has been subjected to audit procedures performed in conjunction with the audit of the Plan’s financial statements. The supplemental schedule is the responsibility of the Plan’s management. Our audit procedures included determining whether the supplemental schedule reconciles to the financial statements or the underlying accounting and other records, as applicable, and performing procedures to test the completeness and accuracy of the information presented in the supplemental schedule. In forming our opinion on the supplemental schedule, we evaluated whether the supplemental schedule, including its form and content, is presented in compliance with the Department of Labor’s Rules and Regulations for Reporting and Disclosure under the Employee Retirement Income Security Act of 1974. In our opinion, such schedule is fairly stated, in all material respects, in relation to the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NET ASSETS AVAILABLE FOR BENEFITS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80" w:type="dxa"/>
            <w:vAlign w:val="bottom"/>
          </w:tcPr>
          <w:p>
            <w:pPr>
              <w:ind w:left="160"/>
              <w:spacing w:after="0" w:line="201" w:lineRule="exact"/>
              <w:rPr>
                <w:sz w:val="20"/>
                <w:szCs w:val="20"/>
                <w:color w:val="auto"/>
              </w:rPr>
            </w:pPr>
            <w:r>
              <w:rPr>
                <w:rFonts w:ascii="Arial" w:cs="Arial" w:eastAsia="Arial" w:hAnsi="Arial"/>
                <w:sz w:val="18"/>
                <w:szCs w:val="18"/>
                <w:color w:val="auto"/>
                <w:w w:val="98"/>
              </w:rPr>
              <w:t>Plan interest in Comcast Corporation Employee Savings Plans Master Trust participant-directed</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investments:</w:t>
            </w: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At fair value</w:t>
            </w:r>
          </w:p>
        </w:tc>
        <w:tc>
          <w:tcPr>
            <w:tcW w:w="9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7,177,174</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At contract value</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567,671</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527,263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6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7,744,845</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6,713,275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160"/>
              <w:spacing w:after="0"/>
              <w:rPr>
                <w:sz w:val="20"/>
                <w:szCs w:val="20"/>
                <w:color w:val="auto"/>
              </w:rPr>
            </w:pPr>
            <w:r>
              <w:rPr>
                <w:rFonts w:ascii="Arial" w:cs="Arial" w:eastAsia="Arial" w:hAnsi="Arial"/>
                <w:sz w:val="18"/>
                <w:szCs w:val="18"/>
                <w:color w:val="auto"/>
              </w:rPr>
              <w:t>Receivables: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 from participants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236,205</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tcPr>
          <w:p>
            <w:pPr>
              <w:ind w:left="340"/>
              <w:spacing w:after="0"/>
              <w:rPr>
                <w:sz w:val="20"/>
                <w:szCs w:val="20"/>
                <w:color w:val="auto"/>
              </w:rPr>
            </w:pPr>
            <w:r>
              <w:rPr>
                <w:rFonts w:ascii="Arial" w:cs="Arial" w:eastAsia="Arial" w:hAnsi="Arial"/>
                <w:sz w:val="18"/>
                <w:szCs w:val="18"/>
                <w:color w:val="auto"/>
              </w:rPr>
              <w:t>Contributions receivable from participants</w:t>
            </w: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Contributions receivable from employer</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116,557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receivables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352,831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328,475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6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8,097,676</w:t>
            </w:r>
          </w:p>
        </w:tc>
        <w:tc>
          <w:tcPr>
            <w:tcW w:w="28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7,041,750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0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324" w:right="239" w:bottom="0" w:gutter="0" w:footer="0" w:header="0"/>
        </w:sectPr>
      </w:pPr>
    </w:p>
    <w:bookmarkStart w:id="2" w:name="page3"/>
    <w:bookmarkEnd w:id="2"/>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right="5320"/>
        <w:spacing w:after="0" w:line="263" w:lineRule="auto"/>
        <w:rPr>
          <w:sz w:val="20"/>
          <w:szCs w:val="20"/>
          <w:color w:val="auto"/>
        </w:rPr>
      </w:pPr>
      <w:r>
        <w:rPr>
          <w:rFonts w:ascii="Arial" w:cs="Arial" w:eastAsia="Arial" w:hAnsi="Arial"/>
          <w:sz w:val="18"/>
          <w:szCs w:val="18"/>
          <w:b w:val="1"/>
          <w:bCs w:val="1"/>
          <w:u w:val="single" w:color="auto"/>
          <w:color w:val="auto"/>
        </w:rPr>
        <w:t xml:space="preserve">COMCAST CORPORATION RETIREMENT-INVESTMENT PLAN </w:t>
      </w:r>
      <w:r>
        <w:rPr>
          <w:rFonts w:ascii="Arial" w:cs="Arial" w:eastAsia="Arial" w:hAnsi="Arial"/>
          <w:sz w:val="18"/>
          <w:szCs w:val="18"/>
          <w:b w:val="1"/>
          <w:bCs w:val="1"/>
          <w:color w:val="auto"/>
        </w:rPr>
        <w:t xml:space="preserve">STATEMENT OF CHANGES IN NET ASSETS AVAILABLE FOR BENEFITS FOR THE YEAR ENDED DECEMBER 31, 2016 </w:t>
      </w:r>
      <w:r>
        <w:rPr>
          <w:rFonts w:ascii="Arial" w:cs="Arial" w:eastAsia="Arial" w:hAnsi="Arial"/>
          <w:sz w:val="18"/>
          <w:szCs w:val="18"/>
          <w:color w:val="auto"/>
        </w:rPr>
        <w:t>(in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5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ADDITIONS:</w:t>
            </w:r>
          </w:p>
        </w:tc>
        <w:tc>
          <w:tcPr>
            <w:tcW w:w="2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Investment income:</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interest in Comcast Corporation Employee Savings Plans Master Trust investment income</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Contributions:</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Participant</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519,567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Employer</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411,776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340"/>
              <w:spacing w:after="0"/>
              <w:rPr>
                <w:sz w:val="20"/>
                <w:szCs w:val="20"/>
                <w:color w:val="auto"/>
              </w:rPr>
            </w:pPr>
            <w:r>
              <w:rPr>
                <w:rFonts w:ascii="Arial" w:cs="Arial" w:eastAsia="Arial" w:hAnsi="Arial"/>
                <w:sz w:val="18"/>
                <w:szCs w:val="18"/>
                <w:color w:val="auto"/>
              </w:rPr>
              <w:t>Rollover</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90,316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520"/>
              <w:spacing w:after="0"/>
              <w:rPr>
                <w:sz w:val="20"/>
                <w:szCs w:val="20"/>
                <w:color w:val="auto"/>
              </w:rPr>
            </w:pPr>
            <w:r>
              <w:rPr>
                <w:rFonts w:ascii="Arial" w:cs="Arial" w:eastAsia="Arial" w:hAnsi="Arial"/>
                <w:sz w:val="18"/>
                <w:szCs w:val="18"/>
                <w:color w:val="auto"/>
              </w:rPr>
              <w:t>Total contributions</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1,021,659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Interest income on notes receivable from participants</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9,627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Total additions</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1,653,464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DEDUCTIONS: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Benefits paid to participants</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587,235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Administrative expenses</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10,303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160"/>
              <w:spacing w:after="0"/>
              <w:rPr>
                <w:sz w:val="20"/>
                <w:szCs w:val="20"/>
                <w:color w:val="auto"/>
              </w:rPr>
            </w:pPr>
            <w:r>
              <w:rPr>
                <w:rFonts w:ascii="Arial" w:cs="Arial" w:eastAsia="Arial" w:hAnsi="Arial"/>
                <w:sz w:val="18"/>
                <w:szCs w:val="18"/>
                <w:color w:val="auto"/>
              </w:rPr>
              <w:t>Total deductions</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597,538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5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INCREASE IN NET ASSETS</w:t>
            </w:r>
          </w:p>
        </w:tc>
        <w:tc>
          <w:tcPr>
            <w:tcW w:w="26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1,055,926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2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7,041,750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8,097,676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0" w:type="dxa"/>
            <w:vAlign w:val="bottom"/>
            <w:gridSpan w:val="2"/>
          </w:tcPr>
          <w:p>
            <w:pPr>
              <w:jc w:val="right"/>
              <w:ind w:right="375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958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2016 AND 2015, AND FOR THE YEAR ENDED DECEMBER 31, 2016</w:t>
      </w:r>
    </w:p>
    <w:p>
      <w:pPr>
        <w:spacing w:after="0" w:line="207" w:lineRule="exact"/>
        <w:rPr>
          <w:sz w:val="20"/>
          <w:szCs w:val="20"/>
          <w:color w:val="auto"/>
        </w:rPr>
      </w:pPr>
    </w:p>
    <w:p>
      <w:pPr>
        <w:ind w:left="440" w:right="9220" w:hanging="432"/>
        <w:spacing w:after="0" w:line="503" w:lineRule="auto"/>
        <w:tabs>
          <w:tab w:leader="none" w:pos="44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DESCRIPTION </w:t>
      </w:r>
      <w:r>
        <w:rPr>
          <w:rFonts w:ascii="Arial" w:cs="Arial" w:eastAsia="Arial" w:hAnsi="Arial"/>
          <w:sz w:val="18"/>
          <w:szCs w:val="18"/>
          <w:u w:val="single" w:color="auto"/>
          <w:color w:val="auto"/>
        </w:rPr>
        <w:t>General</w:t>
      </w:r>
    </w:p>
    <w:p>
      <w:pPr>
        <w:ind w:left="440" w:right="1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following description of the Comcast Corporation Retirement-Investment Plan (the “Plan”) provides only general information. Plan participants should refer to the Plan document and applicable amendments for a more complete description of the Plan’s provisions. Copies of these documents are available from the Plan sponsor, Comcast Corporation (“Comcast”, the “Company” or the “Plan Sponsor”).</w:t>
      </w:r>
    </w:p>
    <w:p>
      <w:pPr>
        <w:spacing w:after="0" w:line="165" w:lineRule="exact"/>
        <w:rPr>
          <w:rFonts w:ascii="Arial" w:cs="Arial" w:eastAsia="Arial" w:hAnsi="Arial"/>
          <w:sz w:val="18"/>
          <w:szCs w:val="18"/>
          <w:b w:val="1"/>
          <w:bCs w:val="1"/>
          <w:color w:val="auto"/>
        </w:rPr>
      </w:pPr>
    </w:p>
    <w:p>
      <w:pPr>
        <w:ind w:left="4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Plan is a defined contribution plan qualified under Internal Revenue Code (the “Code”) Sections 401(a), 401(k) and 401(m) and the Plan is subject to the provisions of the Employee Retirement Income Security Act of 1974 (“ERISA”). The original Plan has been amended and restated to reflect mergers of other plans with and into the Plan and to make certain other technical, compliance and design changes.</w:t>
      </w:r>
    </w:p>
    <w:p>
      <w:pPr>
        <w:spacing w:after="0" w:line="165"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Fidelity Management Trust Company is the appointed Trustee of the Plan.</w:t>
      </w:r>
    </w:p>
    <w:p>
      <w:pPr>
        <w:spacing w:after="0" w:line="225" w:lineRule="exact"/>
        <w:rPr>
          <w:rFonts w:ascii="Arial" w:cs="Arial" w:eastAsia="Arial" w:hAnsi="Arial"/>
          <w:sz w:val="18"/>
          <w:szCs w:val="18"/>
          <w:b w:val="1"/>
          <w:bCs w:val="1"/>
          <w:color w:val="auto"/>
        </w:rPr>
      </w:pPr>
    </w:p>
    <w:p>
      <w:pPr>
        <w:ind w:left="44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Effective September 10, 2013, the Company established and the Plan assets were transferred into the Comcast Corporation Employee Savings Plans Master Trust (“Master Trust”). The Master Trust allows the Company to have a uniform investment line-up across its various defined contribution plans while allowing varying provisions in plan design.</w:t>
      </w:r>
    </w:p>
    <w:p>
      <w:pPr>
        <w:spacing w:after="0" w:line="181" w:lineRule="exact"/>
        <w:rPr>
          <w:rFonts w:ascii="Arial" w:cs="Arial" w:eastAsia="Arial" w:hAnsi="Arial"/>
          <w:sz w:val="18"/>
          <w:szCs w:val="18"/>
          <w:b w:val="1"/>
          <w:bCs w:val="1"/>
          <w:color w:val="auto"/>
        </w:rPr>
      </w:pPr>
    </w:p>
    <w:p>
      <w:pPr>
        <w:ind w:left="440" w:right="1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Employees of the Company become eligible to participate in the Plan in the first month after completion of three months of service (or, in the case of employees of NBCUniversal Media, LLC and its subsidiaries (“NBCUniversal”), immediately following their hire date) and are automatically enrolled in the Plan at a contribution rate equal to 3% of eligible compensation on a pre-tax basis unless they opt out of participation. Temporary employees are eligible to participate in the Plan after completing 1,000 hours of service during a twelve-month period. Automatically-enrolled participants may thereafter increase or decrease their contribution at any time. Contribution rates for participants who were automatically enrolled on or after January 1,</w:t>
      </w:r>
    </w:p>
    <w:p>
      <w:pPr>
        <w:sectPr>
          <w:pgSz w:w="11900" w:h="16847" w:orient="portrait"/>
          <w:cols w:equalWidth="0" w:num="1">
            <w:col w:w="11460"/>
          </w:cols>
          <w:pgMar w:left="240" w:top="341" w:right="199" w:bottom="0" w:gutter="0" w:footer="0" w:header="0"/>
        </w:sectPr>
      </w:pPr>
    </w:p>
    <w:bookmarkStart w:id="3" w:name="page4"/>
    <w:bookmarkEnd w:id="3"/>
    <w:p>
      <w:pPr>
        <w:spacing w:after="0" w:line="12" w:lineRule="exact"/>
        <w:rPr>
          <w:sz w:val="20"/>
          <w:szCs w:val="20"/>
          <w:color w:val="auto"/>
        </w:rPr>
      </w:pPr>
    </w:p>
    <w:p>
      <w:pPr>
        <w:ind w:left="440" w:right="20"/>
        <w:spacing w:after="0" w:line="277" w:lineRule="auto"/>
        <w:rPr>
          <w:sz w:val="20"/>
          <w:szCs w:val="20"/>
          <w:color w:val="auto"/>
        </w:rPr>
      </w:pPr>
      <w:r>
        <w:rPr>
          <w:rFonts w:ascii="Arial" w:cs="Arial" w:eastAsia="Arial" w:hAnsi="Arial"/>
          <w:sz w:val="18"/>
          <w:szCs w:val="18"/>
          <w:color w:val="auto"/>
        </w:rPr>
        <w:t>2013, will increase 1% per year up to 10%, subject to certain limits imposed by the Code, unless a participant elects to opt out of the automatic increase program.</w:t>
      </w:r>
    </w:p>
    <w:p>
      <w:pPr>
        <w:spacing w:after="0" w:line="170"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The maximum amount of eligible compensation that may be deferred is 50% (plus an additional 30% of eligible compensation for eligible employees aged 50 or above), subject to certain limits imposed by the Code. The Company matches 100% of the participant’s contributions up to 4.5% of the participant’s eligible compensation for such payroll period. The maximum Company matching contribution for a Plan year is $10,000 for any participant who is a Highly Compensated Employee (as defined in the Plan) and who is eligible to contribute to the Comcast Corporation 2005 Deferred Compensation Plan as of the first day of the Plan year.</w:t>
      </w:r>
    </w:p>
    <w:p>
      <w:pPr>
        <w:spacing w:after="0" w:line="188" w:lineRule="exact"/>
        <w:rPr>
          <w:sz w:val="20"/>
          <w:szCs w:val="20"/>
          <w:color w:val="auto"/>
        </w:rPr>
      </w:pPr>
    </w:p>
    <w:p>
      <w:pPr>
        <w:ind w:left="440"/>
        <w:spacing w:after="0" w:line="255" w:lineRule="auto"/>
        <w:rPr>
          <w:sz w:val="20"/>
          <w:szCs w:val="20"/>
          <w:color w:val="auto"/>
        </w:rPr>
      </w:pPr>
      <w:r>
        <w:rPr>
          <w:rFonts w:ascii="Arial" w:cs="Arial" w:eastAsia="Arial" w:hAnsi="Arial"/>
          <w:sz w:val="18"/>
          <w:szCs w:val="18"/>
          <w:color w:val="auto"/>
        </w:rPr>
        <w:t>Each participant has at all times a 100% non-forfeitable interest in the participant’s contributions and earnings attributable thereto. Company matching contributions are also fully and immediately vested. Effective January 1, 2013, the Company also provides certain eligible NBCUniversal employees an annual retirement contribution equal to 3% of eligible compensation, subject to certain limits imposed by the Code. The Company may make a contribution of up to 1% of eligible compensation on behalf of certain other non-highly compensated employees of the Company eligible to participate in the Plan. In each case, such employer contributions become vested in annual 20% increments based on years of service with the Company and its subsidiaries commencing with the attainment of 2 years of service. Rollover contributions represent participant assets transferred to the Plan from other qualified retirement plans.</w:t>
      </w:r>
    </w:p>
    <w:p>
      <w:pPr>
        <w:spacing w:after="0" w:line="189"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Each participant has the right, in accordance with the provisions of the Plan, to direct the investment by the Trustee of the Plan of all amounts allocated to the separate accounts of the participant under the Plan among any one or more of the investment fund options. The Trustee pays benefits and expenses upon the written direction of the Plan Sponsor. The participants in the Plan are assessed an administrative fee of $27 per Plan year per account.</w:t>
      </w:r>
    </w:p>
    <w:p>
      <w:pPr>
        <w:spacing w:after="0" w:line="187" w:lineRule="exact"/>
        <w:rPr>
          <w:sz w:val="20"/>
          <w:szCs w:val="20"/>
          <w:color w:val="auto"/>
        </w:rPr>
      </w:pPr>
    </w:p>
    <w:p>
      <w:pPr>
        <w:ind w:left="440" w:right="100"/>
        <w:spacing w:after="0" w:line="297" w:lineRule="auto"/>
        <w:rPr>
          <w:sz w:val="20"/>
          <w:szCs w:val="20"/>
          <w:color w:val="auto"/>
        </w:rPr>
      </w:pPr>
      <w:r>
        <w:rPr>
          <w:rFonts w:ascii="Arial" w:cs="Arial" w:eastAsia="Arial" w:hAnsi="Arial"/>
          <w:sz w:val="16"/>
          <w:szCs w:val="16"/>
          <w:color w:val="auto"/>
        </w:rPr>
        <w:t>Forfeitures, consisting of amounts contributed by the Company that are not fully vested upon a participant’s separation from service and amounts related to unclaimed Required Minimum Distributions as defined by the Code, shall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eligible compensation for that Plan year bears to the eligible compensation for all such participants for the Plan year. Forfeitures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right="660"/>
        <w:spacing w:after="0" w:line="277" w:lineRule="auto"/>
        <w:rPr>
          <w:sz w:val="20"/>
          <w:szCs w:val="20"/>
          <w:color w:val="auto"/>
        </w:rPr>
      </w:pPr>
      <w:r>
        <w:rPr>
          <w:rFonts w:ascii="Arial" w:cs="Arial" w:eastAsia="Arial" w:hAnsi="Arial"/>
          <w:sz w:val="18"/>
          <w:szCs w:val="18"/>
          <w:color w:val="auto"/>
        </w:rPr>
        <w:t>used for the year ended December 31, 2016 amounted to $5,290,829. Outstanding forfeitures not yet applied against Company contributions at December 31, 2016 and 2015 were $124,825 and $75,378, respectively.</w:t>
      </w:r>
    </w:p>
    <w:p>
      <w:pPr>
        <w:spacing w:after="0" w:line="170" w:lineRule="exact"/>
        <w:rPr>
          <w:sz w:val="20"/>
          <w:szCs w:val="20"/>
          <w:color w:val="auto"/>
        </w:rPr>
      </w:pPr>
    </w:p>
    <w:p>
      <w:pPr>
        <w:ind w:left="440" w:right="160"/>
        <w:spacing w:after="0" w:line="276" w:lineRule="auto"/>
        <w:rPr>
          <w:sz w:val="20"/>
          <w:szCs w:val="20"/>
          <w:color w:val="auto"/>
        </w:rPr>
      </w:pPr>
      <w:r>
        <w:rPr>
          <w:rFonts w:ascii="Arial" w:cs="Arial" w:eastAsia="Arial" w:hAnsi="Arial"/>
          <w:sz w:val="17"/>
          <w:szCs w:val="17"/>
          <w:color w:val="auto"/>
        </w:rPr>
        <w:t>Any participant who has a separation from service for any reason shall be entitled to receive his/her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annual, quarterly or monthly installments, a rollover into another qualified plan, or any combination of the foregoing.</w:t>
      </w:r>
    </w:p>
    <w:p>
      <w:pPr>
        <w:spacing w:after="0" w:line="173" w:lineRule="exact"/>
        <w:rPr>
          <w:sz w:val="20"/>
          <w:szCs w:val="20"/>
          <w:color w:val="auto"/>
        </w:rPr>
      </w:pPr>
    </w:p>
    <w:p>
      <w:pPr>
        <w:ind w:left="440" w:right="100"/>
        <w:spacing w:after="0" w:line="312" w:lineRule="auto"/>
        <w:rPr>
          <w:sz w:val="20"/>
          <w:szCs w:val="20"/>
          <w:color w:val="auto"/>
        </w:rPr>
      </w:pPr>
      <w:r>
        <w:rPr>
          <w:rFonts w:ascii="Arial" w:cs="Arial" w:eastAsia="Arial" w:hAnsi="Arial"/>
          <w:sz w:val="16"/>
          <w:szCs w:val="16"/>
          <w:color w:val="auto"/>
        </w:rPr>
        <w:t>Effective January 1, 2016, Comcast common stock was no longer available as an investment option under the Plan for new contributions, although participants were able to transfer all or a portion of their existing interest in Comcast common stock to a different investment option. As of January 12, 2017, all shares of Comcast common stock held in the Plan were liquidated and the proceeds were re-invested in other investment options.</w:t>
      </w:r>
    </w:p>
    <w:p>
      <w:pPr>
        <w:spacing w:after="0" w:line="147" w:lineRule="exact"/>
        <w:rPr>
          <w:sz w:val="20"/>
          <w:szCs w:val="20"/>
          <w:color w:val="auto"/>
        </w:rPr>
      </w:pPr>
    </w:p>
    <w:p>
      <w:pPr>
        <w:ind w:left="440" w:right="80"/>
        <w:spacing w:after="0" w:line="277" w:lineRule="auto"/>
        <w:rPr>
          <w:sz w:val="20"/>
          <w:szCs w:val="20"/>
          <w:color w:val="auto"/>
        </w:rPr>
      </w:pPr>
      <w:r>
        <w:rPr>
          <w:rFonts w:ascii="Arial" w:cs="Arial" w:eastAsia="Arial" w:hAnsi="Arial"/>
          <w:sz w:val="18"/>
          <w:szCs w:val="18"/>
          <w:color w:val="auto"/>
        </w:rPr>
        <w:t>Effective January 1, 2016, Strata Marketing, Inc. became a participating company in the Plan and the related investment assets of the Strata Marketing, Inc. Profit Sharing 401(k) Plan merged into the Plan on January 4, 2016.</w:t>
      </w:r>
    </w:p>
    <w:p>
      <w:pPr>
        <w:spacing w:after="0" w:line="166" w:lineRule="exact"/>
        <w:rPr>
          <w:sz w:val="20"/>
          <w:szCs w:val="20"/>
          <w:color w:val="auto"/>
        </w:rPr>
      </w:pPr>
    </w:p>
    <w:p>
      <w:pPr>
        <w:ind w:left="440" w:right="6260" w:hanging="432"/>
        <w:spacing w:after="0" w:line="503" w:lineRule="auto"/>
        <w:tabs>
          <w:tab w:leader="none" w:pos="445"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u w:val="single" w:color="auto"/>
          <w:color w:val="auto"/>
        </w:rPr>
        <w:t>Basis of Accounting and Presentation</w:t>
      </w:r>
    </w:p>
    <w:p>
      <w:pPr>
        <w:ind w:left="44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financial statements of the Plan are presented using the accrual basis of accounting in accordance with generally accepted accounting principles in the United States (“GAAP”).</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Investment Valuation and Income Recognition</w:t>
      </w:r>
    </w:p>
    <w:p>
      <w:pPr>
        <w:spacing w:after="0" w:line="225" w:lineRule="exact"/>
        <w:rPr>
          <w:rFonts w:ascii="Arial" w:cs="Arial" w:eastAsia="Arial" w:hAnsi="Arial"/>
          <w:sz w:val="18"/>
          <w:szCs w:val="18"/>
          <w:b w:val="1"/>
          <w:bCs w:val="1"/>
          <w:color w:val="auto"/>
        </w:rPr>
      </w:pPr>
    </w:p>
    <w:p>
      <w:pPr>
        <w:ind w:left="440" w:right="6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Plan’s investments are stated at fair value, except for investment contracts, which are reported at contract value (see below). Fair value of a financial instrument is the price that would be received to sell an asset or paid to transfer a liability in an orderly transaction between market participants at the measurement date. See Note 5 for discussion on fair value measurements.</w:t>
      </w:r>
    </w:p>
    <w:p>
      <w:pPr>
        <w:spacing w:after="0" w:line="181" w:lineRule="exact"/>
        <w:rPr>
          <w:rFonts w:ascii="Arial" w:cs="Arial" w:eastAsia="Arial" w:hAnsi="Arial"/>
          <w:sz w:val="18"/>
          <w:szCs w:val="18"/>
          <w:b w:val="1"/>
          <w:bCs w:val="1"/>
          <w:color w:val="auto"/>
        </w:rPr>
      </w:pPr>
    </w:p>
    <w:p>
      <w:pPr>
        <w:ind w:left="44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Investment contracts, such as those included in the Comcast Stable Value Fund, are required to be reported at contract value. Contract value is the relevant measure of fully benefit-responsive investment contracts since that is the amount participants would receive if they were to initiate permitted transactions under the terms of the Plan (see Note 4). As required by GAAP, the Statements of Net Assets Available for Benefits and the Statement of Changes in Net Assets Available for Benefits are presented on a contract value basis.</w:t>
      </w:r>
    </w:p>
    <w:p>
      <w:pPr>
        <w:spacing w:after="0" w:line="186" w:lineRule="exact"/>
        <w:rPr>
          <w:rFonts w:ascii="Arial" w:cs="Arial" w:eastAsia="Arial" w:hAnsi="Arial"/>
          <w:sz w:val="18"/>
          <w:szCs w:val="18"/>
          <w:b w:val="1"/>
          <w:bCs w:val="1"/>
          <w:color w:val="auto"/>
        </w:rPr>
      </w:pPr>
    </w:p>
    <w:p>
      <w:pPr>
        <w:ind w:left="4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Net unrealized appreciation or depreciation in the financial statements reflects changes in fair value of investments held at year-end, while net realized gains and losses associated with the disposition of investments are recorded as of the trade date and calculated based on fair value as of such date. Dividends are recorded on the ex-dividend date. Interest income is recorded on the accrual basis. Benefits are recorded when paid.</w:t>
      </w:r>
    </w:p>
    <w:p>
      <w:pPr>
        <w:spacing w:after="0" w:line="146"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Risks and Uncertainties</w:t>
      </w:r>
    </w:p>
    <w:p>
      <w:pPr>
        <w:spacing w:after="0" w:line="225" w:lineRule="exact"/>
        <w:rPr>
          <w:rFonts w:ascii="Arial" w:cs="Arial" w:eastAsia="Arial" w:hAnsi="Arial"/>
          <w:sz w:val="18"/>
          <w:szCs w:val="18"/>
          <w:b w:val="1"/>
          <w:bCs w:val="1"/>
          <w:color w:val="auto"/>
        </w:rPr>
      </w:pPr>
    </w:p>
    <w:p>
      <w:pPr>
        <w:ind w:left="44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such changes could materially affect the amounts reported in the financial statements.</w:t>
      </w:r>
    </w:p>
    <w:p>
      <w:pPr>
        <w:sectPr>
          <w:pgSz w:w="11900" w:h="16850" w:orient="portrait"/>
          <w:cols w:equalWidth="0" w:num="1">
            <w:col w:w="11400"/>
          </w:cols>
          <w:pgMar w:left="240" w:top="125" w:right="259" w:bottom="0" w:gutter="0" w:footer="0" w:header="0"/>
        </w:sectPr>
      </w:pPr>
    </w:p>
    <w:bookmarkStart w:id="4" w:name="page5"/>
    <w:bookmarkEnd w:id="4"/>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ind w:left="440" w:right="20"/>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Plan management to make estimates and assumptions that affect the reported amounts of assets, liabilities, and changes therein, and the related disclosure of contingent assets and liabilities. Actual results could differ from those estimates.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New Accounting Standards</w:t>
      </w:r>
    </w:p>
    <w:p>
      <w:pPr>
        <w:spacing w:after="0" w:line="225" w:lineRule="exact"/>
        <w:rPr>
          <w:sz w:val="20"/>
          <w:szCs w:val="20"/>
          <w:color w:val="auto"/>
        </w:rPr>
      </w:pPr>
    </w:p>
    <w:p>
      <w:pPr>
        <w:ind w:left="440" w:right="160"/>
        <w:spacing w:after="0" w:line="312" w:lineRule="auto"/>
        <w:rPr>
          <w:sz w:val="20"/>
          <w:szCs w:val="20"/>
          <w:color w:val="auto"/>
        </w:rPr>
      </w:pPr>
      <w:r>
        <w:rPr>
          <w:rFonts w:ascii="Arial" w:cs="Arial" w:eastAsia="Arial" w:hAnsi="Arial"/>
          <w:sz w:val="16"/>
          <w:szCs w:val="16"/>
          <w:color w:val="auto"/>
        </w:rPr>
        <w:t>In February 2017, the Financial Accounting Standards Board issued updated guidance to clarify presentation requirements for a plan’s interest in a master trust and require detailed disclosures of the plan’s interest in the master trust. As permitted by the updated guidance, the Plan has early adopted the updated standard and, as required, has applied it retrospectively. The adoption did not have a material impact on the financial statements.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229" w:lineRule="exact"/>
        <w:rPr>
          <w:rFonts w:ascii="Arial" w:cs="Arial" w:eastAsia="Arial" w:hAnsi="Arial"/>
          <w:sz w:val="18"/>
          <w:szCs w:val="18"/>
          <w:b w:val="1"/>
          <w:bCs w:val="1"/>
          <w:color w:val="auto"/>
        </w:rPr>
      </w:pPr>
    </w:p>
    <w:p>
      <w:pPr>
        <w:ind w:left="440" w:right="6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September 10, 2013, Comcast established the Master Trust to manage the assets of a number of Comcast and NBCUniversal defined contribution plans. The Trustee was appointed by Comcast to hold, administer and invest the assets of the Master Trust. As of December 31, 2016, the Master Trust includes the investment assets of the Plan, NBCUniversal Capital Accumulation Plan, Leisure Arts, Inc. 401(k) Savings Plan, Comcast Spectacor 401(k) Plan and Universal Orlando 401(k) Retirement Plan (“UO”), which effective October 3, 2016 became a participating plan within the Master Trust and the related UO investment assets were transferred to the Master Trust. Each of the plans in the Master Trust maintains a segregated asset portfolio within the Master Trust. Investment income, realized gains (losses) on sales of investments, unrealized appreciation (depreciation) of investments, other receipts, other disbursements and administrative expenses are allocated to the segregated asset portfolios within the Master Trust. In accordance with GAAP, the net change in value from participation in the Master Trust is reported as one line item in the Statement of Changes in Net Assets Available for Benefits and the Plan’s interest in the Master Trust is reported as a single line item in the Statements of Net Assets Available for Benefits.</w:t>
      </w:r>
    </w:p>
    <w:p>
      <w:pPr>
        <w:spacing w:after="0" w:line="177" w:lineRule="exact"/>
        <w:rPr>
          <w:rFonts w:ascii="Arial" w:cs="Arial" w:eastAsia="Arial" w:hAnsi="Arial"/>
          <w:sz w:val="18"/>
          <w:szCs w:val="18"/>
          <w:b w:val="1"/>
          <w:bCs w:val="1"/>
          <w:color w:val="auto"/>
        </w:rPr>
      </w:pPr>
    </w:p>
    <w:p>
      <w:pPr>
        <w:jc w:val="both"/>
        <w:ind w:left="44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Because the Plan’s portfolio is segregated from the other plans that participate in the Master Trust, the Plan does not have an undivided interest in each investment in the Master Trust. Rather, the Plan has a specific percentage interest in each investment that differs from the overall percentage interest in the Master Trust.</w:t>
      </w:r>
    </w:p>
    <w:p>
      <w:pPr>
        <w:spacing w:after="0" w:line="181" w:lineRule="exact"/>
        <w:rPr>
          <w:rFonts w:ascii="Arial" w:cs="Arial" w:eastAsia="Arial" w:hAnsi="Arial"/>
          <w:sz w:val="18"/>
          <w:szCs w:val="18"/>
          <w:b w:val="1"/>
          <w:bCs w:val="1"/>
          <w:color w:val="auto"/>
        </w:rPr>
      </w:pPr>
    </w:p>
    <w:p>
      <w:pPr>
        <w:ind w:left="440"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following is a summary of the Master Trust’s Net Assets, and the Plan’s divided interest in the Master Trust, as of December 31, 2016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Participant-directed investments at fair value:</w:t>
            </w:r>
          </w:p>
        </w:tc>
        <w:tc>
          <w:tcPr>
            <w:tcW w:w="1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383,314</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377,114</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0"/>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1,758,819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1,676,481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Separate accounts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1,495,577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1,329,885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collective trusts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3,985,381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3,763,632</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21,321</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19,868</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609,200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567,671</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8,253,612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7,734,651</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10,230</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10,194</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w:t>
            </w:r>
          </w:p>
        </w:tc>
        <w:tc>
          <w:tcPr>
            <w:tcW w:w="1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8,263,842</w:t>
            </w:r>
          </w:p>
        </w:tc>
        <w:tc>
          <w:tcPr>
            <w:tcW w:w="2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7,744,845</w:t>
            </w:r>
          </w:p>
        </w:tc>
        <w:tc>
          <w:tcPr>
            <w:tcW w:w="2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0"/>
              </w:rPr>
              <w:t>93.7%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0" w:type="dxa"/>
            <w:vAlign w:val="bottom"/>
          </w:tcPr>
          <w:p>
            <w:pPr>
              <w:spacing w:after="0"/>
              <w:rPr>
                <w:sz w:val="24"/>
                <w:szCs w:val="24"/>
                <w:color w:val="auto"/>
              </w:rPr>
            </w:pPr>
          </w:p>
        </w:tc>
        <w:tc>
          <w:tcPr>
            <w:tcW w:w="11400" w:type="dxa"/>
            <w:vAlign w:val="bottom"/>
            <w:gridSpan w:val="10"/>
          </w:tcPr>
          <w:p>
            <w:pPr>
              <w:ind w:left="420"/>
              <w:spacing w:after="0"/>
              <w:rPr>
                <w:sz w:val="20"/>
                <w:szCs w:val="20"/>
                <w:color w:val="auto"/>
              </w:rPr>
            </w:pPr>
            <w:r>
              <w:rPr>
                <w:rFonts w:ascii="Arial" w:cs="Arial" w:eastAsia="Arial" w:hAnsi="Arial"/>
                <w:sz w:val="18"/>
                <w:szCs w:val="18"/>
                <w:color w:val="auto"/>
                <w:w w:val="97"/>
              </w:rPr>
              <w:t>The following is a summary of the Master Trust’s Net Assets, and the Plan’s divided interest in the Master Trust, as of December 31, 2015 (in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420"/>
              <w:spacing w:after="0"/>
              <w:rPr>
                <w:sz w:val="20"/>
                <w:szCs w:val="20"/>
                <w:color w:val="auto"/>
              </w:rPr>
            </w:pPr>
            <w:r>
              <w:rPr>
                <w:rFonts w:ascii="Arial" w:cs="Arial" w:eastAsia="Arial" w:hAnsi="Arial"/>
                <w:sz w:val="18"/>
                <w:szCs w:val="18"/>
                <w:color w:val="auto"/>
              </w:rPr>
              <w:t>thousands):</w:t>
            </w:r>
          </w:p>
        </w:tc>
        <w:tc>
          <w:tcPr>
            <w:tcW w:w="1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Plan’s Percent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Master Trust</w:t>
            </w:r>
          </w:p>
        </w:tc>
        <w:tc>
          <w:tcPr>
            <w:tcW w:w="320" w:type="dxa"/>
            <w:vAlign w:val="bottom"/>
          </w:tcPr>
          <w:p>
            <w:pPr>
              <w:spacing w:after="0"/>
              <w:rPr>
                <w:sz w:val="12"/>
                <w:szCs w:val="12"/>
                <w:color w:val="auto"/>
              </w:rPr>
            </w:pPr>
          </w:p>
        </w:tc>
        <w:tc>
          <w:tcPr>
            <w:tcW w:w="13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Plan</w:t>
            </w:r>
          </w:p>
        </w:tc>
        <w:tc>
          <w:tcPr>
            <w:tcW w:w="15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Interest in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Master Trust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Participant-directed investments at fair value:</w:t>
            </w:r>
          </w:p>
        </w:tc>
        <w:tc>
          <w:tcPr>
            <w:tcW w:w="16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448,422</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438,011</w:t>
            </w: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0"/>
              </w:rPr>
              <w:t>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Mutual funds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1,389,991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1,367,057</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Separate accounts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1,342,962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1,279,765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collective trusts</w:t>
            </w:r>
          </w:p>
        </w:tc>
        <w:tc>
          <w:tcPr>
            <w:tcW w:w="1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3,192,890</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3,081,705</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94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34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18,505</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18,066</w:t>
            </w: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Comcast Stable Value Fund at contract value</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540,069</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527,263</w:t>
            </w: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participant-directed investments</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6,932,839</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6,711,867</w:t>
            </w: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1,768</w:t>
            </w: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1,408</w:t>
            </w: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6,934,607</w:t>
            </w: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6,713,275</w:t>
            </w:r>
          </w:p>
        </w:tc>
        <w:tc>
          <w:tcPr>
            <w:tcW w:w="660" w:type="dxa"/>
            <w:vAlign w:val="bottom"/>
            <w:shd w:val="clear" w:color="auto" w:fill="CCEEFF"/>
          </w:tcPr>
          <w:p>
            <w:pPr>
              <w:spacing w:after="0"/>
              <w:rPr>
                <w:sz w:val="18"/>
                <w:szCs w:val="18"/>
                <w:color w:val="auto"/>
              </w:rPr>
            </w:pPr>
          </w:p>
        </w:tc>
        <w:tc>
          <w:tcPr>
            <w:tcW w:w="11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0"/>
              </w:rPr>
              <w:t>96.8%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CCEEFF"/>
            </w:tcBorders>
            <w:vMerge w:val="restart"/>
          </w:tcPr>
          <w:p>
            <w:pPr>
              <w:jc w:val="right"/>
              <w:ind w:right="770"/>
              <w:spacing w:after="0"/>
              <w:rPr>
                <w:sz w:val="20"/>
                <w:szCs w:val="20"/>
                <w:color w:val="auto"/>
              </w:rPr>
            </w:pPr>
            <w:r>
              <w:rPr>
                <w:rFonts w:ascii="Arial" w:cs="Arial" w:eastAsia="Arial" w:hAnsi="Arial"/>
                <w:sz w:val="18"/>
                <w:szCs w:val="18"/>
                <w:color w:val="auto"/>
              </w:rPr>
              <w:t>6</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40" w:type="dxa"/>
            <w:vAlign w:val="bottom"/>
            <w:tcBorders>
              <w:bottom w:val="single" w:sz="8" w:color="808080"/>
            </w:tcBorders>
          </w:tcPr>
          <w:p>
            <w:pPr>
              <w:spacing w:after="0"/>
              <w:rPr>
                <w:sz w:val="11"/>
                <w:szCs w:val="11"/>
                <w:color w:val="auto"/>
              </w:rPr>
            </w:pPr>
          </w:p>
        </w:tc>
        <w:tc>
          <w:tcPr>
            <w:tcW w:w="21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00" w:right="320"/>
        <w:spacing w:after="0" w:line="277" w:lineRule="auto"/>
        <w:rPr>
          <w:sz w:val="20"/>
          <w:szCs w:val="20"/>
          <w:color w:val="auto"/>
        </w:rPr>
      </w:pPr>
      <w:r>
        <w:rPr>
          <w:rFonts w:ascii="Arial" w:cs="Arial" w:eastAsia="Arial" w:hAnsi="Arial"/>
          <w:sz w:val="18"/>
          <w:szCs w:val="18"/>
          <w:color w:val="auto"/>
        </w:rPr>
        <w:t>The following are the changes in net assets for the Master Trust as well as the Plan’s interest in the Master Trust net investment income for 2016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Master Trust investment income:</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340"/>
              <w:spacing w:after="0"/>
              <w:rPr>
                <w:sz w:val="20"/>
                <w:szCs w:val="20"/>
                <w:color w:val="auto"/>
              </w:rPr>
            </w:pPr>
            <w:r>
              <w:rPr>
                <w:rFonts w:ascii="Arial" w:cs="Arial" w:eastAsia="Arial" w:hAnsi="Arial"/>
                <w:sz w:val="18"/>
                <w:szCs w:val="18"/>
                <w:color w:val="auto"/>
              </w:rPr>
              <w:t>Net appreciation in fair value of investments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591,521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and dividends</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ind w:left="520"/>
              <w:spacing w:after="0"/>
              <w:rPr>
                <w:sz w:val="20"/>
                <w:szCs w:val="20"/>
                <w:color w:val="auto"/>
              </w:rPr>
            </w:pPr>
            <w:r>
              <w:rPr>
                <w:rFonts w:ascii="Arial" w:cs="Arial" w:eastAsia="Arial" w:hAnsi="Arial"/>
                <w:sz w:val="18"/>
                <w:szCs w:val="18"/>
                <w:color w:val="auto"/>
              </w:rPr>
              <w:t>Net investment income</w:t>
            </w: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646,476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Transfers in</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1,421,287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160"/>
              <w:spacing w:after="0"/>
              <w:rPr>
                <w:sz w:val="20"/>
                <w:szCs w:val="20"/>
                <w:color w:val="auto"/>
              </w:rPr>
            </w:pPr>
            <w:r>
              <w:rPr>
                <w:rFonts w:ascii="Arial" w:cs="Arial" w:eastAsia="Arial" w:hAnsi="Arial"/>
                <w:sz w:val="18"/>
                <w:szCs w:val="18"/>
                <w:color w:val="auto"/>
              </w:rPr>
              <w:t>Transfers out</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738,528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9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INCREASE IN NET ASSETS</w:t>
            </w:r>
          </w:p>
        </w:tc>
        <w:tc>
          <w:tcPr>
            <w:tcW w:w="3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1,329,235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NET ASSETS: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of year</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6,934,607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 of year</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8,263,842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Plan’s interest in Master Trust net investment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9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940" w:type="dxa"/>
            <w:vAlign w:val="bottom"/>
            <w:shd w:val="clear" w:color="auto" w:fill="CCEEFF"/>
          </w:tcPr>
          <w:p>
            <w:pPr>
              <w:ind w:left="480"/>
              <w:spacing w:after="0" w:line="201" w:lineRule="exact"/>
              <w:rPr>
                <w:sz w:val="20"/>
                <w:szCs w:val="20"/>
                <w:color w:val="auto"/>
              </w:rPr>
            </w:pPr>
            <w:r>
              <w:rPr>
                <w:rFonts w:ascii="Arial" w:cs="Arial" w:eastAsia="Arial" w:hAnsi="Arial"/>
                <w:sz w:val="18"/>
                <w:szCs w:val="18"/>
                <w:color w:val="auto"/>
                <w:w w:val="93"/>
              </w:rPr>
              <w:t>Appreciation of the Plan’s investments during 2016, including investments purchased and sold, as well as held during the year,</w:t>
            </w:r>
          </w:p>
        </w:tc>
        <w:tc>
          <w:tcPr>
            <w:tcW w:w="36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569,071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 thousands):</w:t>
            </w:r>
          </w:p>
        </w:tc>
        <w:tc>
          <w:tcPr>
            <w:tcW w:w="360" w:type="dxa"/>
            <w:vAlign w:val="bottom"/>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COMCAST STABLE VALUE FUND</w:t>
      </w:r>
    </w:p>
    <w:p>
      <w:pPr>
        <w:spacing w:after="0" w:line="229" w:lineRule="exact"/>
        <w:rPr>
          <w:rFonts w:ascii="Arial" w:cs="Arial" w:eastAsia="Arial" w:hAnsi="Arial"/>
          <w:sz w:val="18"/>
          <w:szCs w:val="18"/>
          <w:b w:val="1"/>
          <w:bCs w:val="1"/>
          <w:color w:val="auto"/>
        </w:rPr>
      </w:pPr>
    </w:p>
    <w:p>
      <w:pPr>
        <w:ind w:left="440" w:right="24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described in Note 2, included in the Comcast Stable Value Fund are fully benefit-responsive investment contracts, which are carried at contract value. The rate at which interest is credited to the Plan is that determined under the contract, consistent with reflecting participant balances at contract value as opposed to the market value of the underlying assets. Interest rates are reset quarterly by the issuers of the investment contracts.</w:t>
      </w:r>
    </w:p>
    <w:p>
      <w:pPr>
        <w:spacing w:after="0" w:line="146" w:lineRule="exact"/>
        <w:rPr>
          <w:rFonts w:ascii="Arial" w:cs="Arial" w:eastAsia="Arial" w:hAnsi="Arial"/>
          <w:sz w:val="18"/>
          <w:szCs w:val="18"/>
          <w:b w:val="1"/>
          <w:bCs w:val="1"/>
          <w:color w:val="auto"/>
        </w:rPr>
      </w:pPr>
    </w:p>
    <w:p>
      <w:pPr>
        <w:ind w:left="44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There are certain events, such as the Plan’s failure to qualify under Section 401(a) or 401(k) of the Code, which can limit the fund’s ability to transact at contract value. At this time, the occurrence of any such limiting event is not probable.</w:t>
      </w:r>
    </w:p>
    <w:p>
      <w:pPr>
        <w:spacing w:after="0" w:line="170" w:lineRule="exact"/>
        <w:rPr>
          <w:rFonts w:ascii="Arial" w:cs="Arial" w:eastAsia="Arial" w:hAnsi="Arial"/>
          <w:sz w:val="18"/>
          <w:szCs w:val="18"/>
          <w:b w:val="1"/>
          <w:bCs w:val="1"/>
          <w:color w:val="auto"/>
        </w:rPr>
      </w:pPr>
    </w:p>
    <w:p>
      <w:pPr>
        <w:ind w:left="44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 contract issuer may terminate a contract at any time. Settlement upon termination will be at contract value unless the terms of the contract were not met or the Trustee’s authority over the Plan is limited or terminated.</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rFonts w:ascii="Arial" w:cs="Arial" w:eastAsia="Arial" w:hAnsi="Arial"/>
          <w:sz w:val="18"/>
          <w:szCs w:val="18"/>
          <w:b w:val="1"/>
          <w:bCs w:val="1"/>
          <w:color w:val="auto"/>
        </w:rPr>
      </w:pPr>
    </w:p>
    <w:p>
      <w:pPr>
        <w:ind w:left="440"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ASC 820</w:t>
      </w:r>
      <w:r>
        <w:rPr>
          <w:rFonts w:ascii="Arial" w:cs="Arial" w:eastAsia="Arial" w:hAnsi="Arial"/>
          <w:sz w:val="18"/>
          <w:szCs w:val="18"/>
          <w:i w:val="1"/>
          <w:iCs w:val="1"/>
          <w:color w:val="auto"/>
        </w:rPr>
        <w:t>, Fair Value Measurements and Disclosures,</w:t>
      </w:r>
      <w:r>
        <w:rPr>
          <w:rFonts w:ascii="Arial" w:cs="Arial" w:eastAsia="Arial" w:hAnsi="Arial"/>
          <w:sz w:val="18"/>
          <w:szCs w:val="18"/>
          <w:color w:val="auto"/>
        </w:rPr>
        <w:t xml:space="preserve"> establishes a hierarchy that prioritizes fair value measurements based on the types of inputs used for the various valuation techniques. The levels of the hierarchy are described below:</w:t>
      </w:r>
    </w:p>
    <w:p>
      <w:pPr>
        <w:spacing w:after="0" w:line="170"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Level 1</w:t>
      </w:r>
      <w:r>
        <w:rPr>
          <w:rFonts w:ascii="Arial" w:cs="Arial" w:eastAsia="Arial" w:hAnsi="Arial"/>
          <w:sz w:val="16"/>
          <w:szCs w:val="16"/>
          <w:color w:val="auto"/>
        </w:rPr>
        <w:t>Consists of financial instruments whose values are based on quoted market prices for identical financial instruments in an active market.</w:t>
      </w:r>
    </w:p>
    <w:p>
      <w:pPr>
        <w:spacing w:after="0" w:line="225" w:lineRule="exact"/>
        <w:rPr>
          <w:sz w:val="20"/>
          <w:szCs w:val="20"/>
          <w:color w:val="auto"/>
        </w:rPr>
      </w:pPr>
    </w:p>
    <w:p>
      <w:pPr>
        <w:ind w:left="1420" w:right="700" w:hanging="971"/>
        <w:spacing w:after="0" w:line="277" w:lineRule="auto"/>
        <w:tabs>
          <w:tab w:leader="none" w:pos="140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Consists of financial instruments that are valued using models or other valuation methodologies. These models use inputs that are observable either directly or indirectly and include:</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800" w:hanging="3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225" w:lineRule="exact"/>
        <w:rPr>
          <w:rFonts w:ascii="Arial" w:cs="Arial" w:eastAsia="Arial" w:hAnsi="Arial"/>
          <w:sz w:val="18"/>
          <w:szCs w:val="18"/>
          <w:color w:val="auto"/>
        </w:rPr>
      </w:pPr>
    </w:p>
    <w:p>
      <w:pPr>
        <w:ind w:left="1800" w:hanging="3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Quoted prices for identical or similar assets or liabilities in markets that are not active;</w:t>
      </w:r>
    </w:p>
    <w:p>
      <w:pPr>
        <w:spacing w:after="0" w:line="225" w:lineRule="exact"/>
        <w:rPr>
          <w:rFonts w:ascii="Arial" w:cs="Arial" w:eastAsia="Arial" w:hAnsi="Arial"/>
          <w:sz w:val="18"/>
          <w:szCs w:val="18"/>
          <w:color w:val="auto"/>
        </w:rPr>
      </w:pPr>
    </w:p>
    <w:p>
      <w:pPr>
        <w:ind w:left="1800" w:hanging="378"/>
        <w:spacing w:after="0"/>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models whose inputs are observable for substantially the full term of the financial instrument; and</w:t>
      </w:r>
    </w:p>
    <w:p>
      <w:pPr>
        <w:spacing w:after="0" w:line="225" w:lineRule="exact"/>
        <w:rPr>
          <w:rFonts w:ascii="Arial" w:cs="Arial" w:eastAsia="Arial" w:hAnsi="Arial"/>
          <w:sz w:val="18"/>
          <w:szCs w:val="18"/>
          <w:color w:val="auto"/>
        </w:rPr>
      </w:pPr>
    </w:p>
    <w:p>
      <w:pPr>
        <w:ind w:left="1820" w:right="380" w:hanging="398"/>
        <w:spacing w:after="0" w:line="277" w:lineRule="auto"/>
        <w:tabs>
          <w:tab w:leader="none" w:pos="1788"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models whose inputs are derived principally from or corroborated by observable market data through correlation or other means for substantially the full term of the financial instrument.</w:t>
      </w:r>
    </w:p>
    <w:p>
      <w:pPr>
        <w:sectPr>
          <w:pgSz w:w="11900" w:h="16838" w:orient="portrait"/>
          <w:cols w:equalWidth="0" w:num="1">
            <w:col w:w="11460"/>
          </w:cols>
          <w:pgMar w:left="240" w:top="140" w:right="199" w:bottom="0" w:gutter="0" w:footer="0" w:header="0"/>
        </w:sectPr>
      </w:pPr>
    </w:p>
    <w:bookmarkStart w:id="6" w:name="page7"/>
    <w:bookmarkEnd w:id="6"/>
    <w:p>
      <w:pPr>
        <w:spacing w:after="0" w:line="114" w:lineRule="exact"/>
        <w:rPr>
          <w:sz w:val="20"/>
          <w:szCs w:val="20"/>
          <w:color w:val="auto"/>
        </w:rPr>
      </w:pPr>
    </w:p>
    <w:p>
      <w:pPr>
        <w:ind w:left="1420" w:right="120" w:hanging="971"/>
        <w:spacing w:after="0" w:line="264" w:lineRule="auto"/>
        <w:tabs>
          <w:tab w:leader="none" w:pos="140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judgment or estimation.</w:t>
      </w:r>
    </w:p>
    <w:p>
      <w:pPr>
        <w:spacing w:after="0" w:line="181"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The asset’s or liability’s fair value measurement level within the fair value hierarchy is based on the lowest level of any input that is significant to the fair value measurement.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valuation methodologies used for assets measured at fair value are as follows:</w:t>
      </w:r>
    </w:p>
    <w:p>
      <w:pPr>
        <w:spacing w:after="0" w:line="225" w:lineRule="exact"/>
        <w:rPr>
          <w:sz w:val="20"/>
          <w:szCs w:val="20"/>
          <w:color w:val="auto"/>
        </w:rPr>
      </w:pPr>
    </w:p>
    <w:p>
      <w:pPr>
        <w:ind w:left="880" w:right="740"/>
        <w:spacing w:after="0" w:line="277" w:lineRule="auto"/>
        <w:rPr>
          <w:sz w:val="20"/>
          <w:szCs w:val="20"/>
          <w:color w:val="auto"/>
        </w:rPr>
      </w:pPr>
      <w:r>
        <w:rPr>
          <w:rFonts w:ascii="Arial" w:cs="Arial" w:eastAsia="Arial" w:hAnsi="Arial"/>
          <w:sz w:val="18"/>
          <w:szCs w:val="18"/>
          <w:color w:val="auto"/>
        </w:rPr>
        <w:t>Common stock: Valued at the closing price reported on the last trading day of the Plan year on the active market on which the individual securities are traded, and accordingly, are classified as Level 1 investments.</w:t>
      </w:r>
    </w:p>
    <w:p>
      <w:pPr>
        <w:spacing w:after="0" w:line="170" w:lineRule="exact"/>
        <w:rPr>
          <w:sz w:val="20"/>
          <w:szCs w:val="20"/>
          <w:color w:val="auto"/>
        </w:rPr>
      </w:pPr>
    </w:p>
    <w:p>
      <w:pPr>
        <w:ind w:left="880" w:right="520"/>
        <w:spacing w:after="0" w:line="342" w:lineRule="auto"/>
        <w:rPr>
          <w:sz w:val="20"/>
          <w:szCs w:val="20"/>
          <w:color w:val="auto"/>
        </w:rPr>
      </w:pPr>
      <w:r>
        <w:rPr>
          <w:rFonts w:ascii="Arial" w:cs="Arial" w:eastAsia="Arial" w:hAnsi="Arial"/>
          <w:sz w:val="16"/>
          <w:szCs w:val="16"/>
          <w:color w:val="auto"/>
        </w:rPr>
        <w:t>Mutual funds: Valued at the closing price of shares held by the Plan at year-end. The mutual funds held by the Plan are classified as Level 1 investments as their investment values are based on quoted market prices for identical financial instruments in an active market.</w:t>
      </w:r>
    </w:p>
    <w:p>
      <w:pPr>
        <w:spacing w:after="0" w:line="124" w:lineRule="exact"/>
        <w:rPr>
          <w:sz w:val="20"/>
          <w:szCs w:val="20"/>
          <w:color w:val="auto"/>
        </w:rPr>
      </w:pPr>
    </w:p>
    <w:p>
      <w:pPr>
        <w:ind w:left="880" w:right="80"/>
        <w:spacing w:after="0" w:line="264" w:lineRule="auto"/>
        <w:rPr>
          <w:sz w:val="20"/>
          <w:szCs w:val="20"/>
          <w:color w:val="auto"/>
        </w:rPr>
      </w:pPr>
      <w:r>
        <w:rPr>
          <w:rFonts w:ascii="Arial" w:cs="Arial" w:eastAsia="Arial" w:hAnsi="Arial"/>
          <w:sz w:val="18"/>
          <w:szCs w:val="18"/>
          <w:color w:val="auto"/>
        </w:rPr>
        <w:t>Separate accounts, common collective trusts and money market funds: Valued at the net asset value of shares held by the Plan at year-end. The net asset value as provided by the Trustee is used as a practical expedient to estimate fair value and, as a result, all are included in the investments measured at net asset value.</w:t>
      </w:r>
    </w:p>
    <w:p>
      <w:pPr>
        <w:spacing w:after="0" w:line="181" w:lineRule="exact"/>
        <w:rPr>
          <w:sz w:val="20"/>
          <w:szCs w:val="20"/>
          <w:color w:val="auto"/>
        </w:rPr>
      </w:pPr>
    </w:p>
    <w:p>
      <w:pPr>
        <w:ind w:left="440" w:right="280"/>
        <w:spacing w:after="0" w:line="279" w:lineRule="auto"/>
        <w:rPr>
          <w:sz w:val="20"/>
          <w:szCs w:val="20"/>
          <w:color w:val="auto"/>
        </w:rPr>
      </w:pPr>
      <w:r>
        <w:rPr>
          <w:rFonts w:ascii="Arial" w:cs="Arial" w:eastAsia="Arial" w:hAnsi="Arial"/>
          <w:sz w:val="17"/>
          <w:szCs w:val="17"/>
          <w:color w:val="auto"/>
        </w:rPr>
        <w:t>The methods described above may produce a calculated fair value that may not be indicative of net realizable value or reflective of future fair values. Furthermore, while the Plan believes these valuation methods are appropriate and consistent with other market participants, the use of different methodologies or assumptions to determine the fair value of certain financial instruments could result in a different fair value measurement at the reporting date. There have been no changes in the methodologies used as of December 31, 2016 and 2015.</w:t>
      </w:r>
    </w:p>
    <w:p>
      <w:pPr>
        <w:spacing w:after="0" w:line="171"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The availability of observable market data is monitored to assess the appropriate classification of financial instruments within the fair value hierarchy. Changes in economic conditions or model-based valuation techniques may require the transfer of financial instruments from one fair value level to another. In such instances, the transfer is reported at the beginning of the reporting period. For the years ended December 31, 2016 and 2015, there were no transfers between levels.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2016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383,314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383,314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1,758,819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1,758,819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2,142,133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5,502,279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2,142,133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7,644,412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513"/>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040" w:type="dxa"/>
            <w:vAlign w:val="bottom"/>
            <w:tcBorders>
              <w:bottom w:val="single" w:sz="8" w:color="808080"/>
            </w:tcBorders>
          </w:tcPr>
          <w:p>
            <w:pPr>
              <w:spacing w:after="0"/>
              <w:rPr>
                <w:sz w:val="11"/>
                <w:szCs w:val="11"/>
                <w:color w:val="auto"/>
              </w:rPr>
            </w:pPr>
          </w:p>
        </w:tc>
        <w:tc>
          <w:tcPr>
            <w:tcW w:w="94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table below sets forth by level, within the fair value hierarchy, the Master Trust’s investments at fair value as of December 31, 2015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80" w:type="dxa"/>
            <w:vAlign w:val="bottom"/>
          </w:tcPr>
          <w:p>
            <w:pPr>
              <w:spacing w:after="0"/>
              <w:rPr>
                <w:sz w:val="14"/>
                <w:szCs w:val="14"/>
                <w:color w:val="auto"/>
              </w:rPr>
            </w:pPr>
          </w:p>
        </w:tc>
        <w:tc>
          <w:tcPr>
            <w:tcW w:w="1100" w:type="dxa"/>
            <w:vAlign w:val="bottom"/>
          </w:tcPr>
          <w:p>
            <w:pPr>
              <w:ind w:left="20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3</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448,422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448,422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1,389,991</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assets in the fair value hierarchy</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1,838,413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Investments measured at net asset value (a)</w:t>
            </w: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4,554,357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1,838,413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ind w:left="920"/>
              <w:spacing w:after="0"/>
              <w:rPr>
                <w:sz w:val="20"/>
                <w:szCs w:val="20"/>
                <w:color w:val="auto"/>
              </w:rPr>
            </w:pPr>
            <w:r>
              <w:rPr>
                <w:rFonts w:ascii="Arial" w:cs="Arial" w:eastAsia="Arial" w:hAnsi="Arial"/>
                <w:sz w:val="18"/>
                <w:szCs w:val="18"/>
                <w:color w:val="auto"/>
                <w:w w:val="88"/>
              </w:rPr>
              <w:t>—</w:t>
            </w:r>
          </w:p>
        </w:tc>
        <w:tc>
          <w:tcPr>
            <w:tcW w:w="1320" w:type="dxa"/>
            <w:vAlign w:val="bottom"/>
            <w:gridSpan w:val="2"/>
            <w:shd w:val="clear" w:color="auto" w:fill="CCEEFF"/>
          </w:tcPr>
          <w:p>
            <w:pPr>
              <w:jc w:val="right"/>
              <w:ind w:right="868"/>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6,392,770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328"/>
        <w:spacing w:after="0"/>
        <w:tabs>
          <w:tab w:leader="none" w:pos="660" w:val="left"/>
        </w:tabs>
        <w:numPr>
          <w:ilvl w:val="1"/>
          <w:numId w:val="7"/>
        </w:numPr>
        <w:rPr>
          <w:rFonts w:ascii="Arial" w:cs="Arial" w:eastAsia="Arial" w:hAnsi="Arial"/>
          <w:sz w:val="17"/>
          <w:szCs w:val="17"/>
          <w:color w:val="auto"/>
        </w:rPr>
      </w:pPr>
      <w:r>
        <w:rPr>
          <w:rFonts w:ascii="Arial" w:cs="Arial" w:eastAsia="Arial" w:hAnsi="Arial"/>
          <w:sz w:val="17"/>
          <w:szCs w:val="17"/>
          <w:color w:val="auto"/>
        </w:rPr>
        <w:t>Certain investments that were measured at net asset value per share (or its equivalent) have not been classified in the fair value hierarchy.</w:t>
      </w:r>
    </w:p>
    <w:p>
      <w:pPr>
        <w:spacing w:after="0" w:line="232"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 FROM PARTICIPANTS AND HARDSHIP WITHDRAWALS</w:t>
      </w:r>
    </w:p>
    <w:p>
      <w:pPr>
        <w:spacing w:after="0" w:line="229" w:lineRule="exact"/>
        <w:rPr>
          <w:rFonts w:ascii="Arial" w:cs="Arial" w:eastAsia="Arial" w:hAnsi="Arial"/>
          <w:sz w:val="18"/>
          <w:szCs w:val="18"/>
          <w:b w:val="1"/>
          <w:bCs w:val="1"/>
          <w:color w:val="auto"/>
        </w:rPr>
      </w:pPr>
    </w:p>
    <w:p>
      <w:pPr>
        <w:ind w:left="440" w:right="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A participant may borrow from his/her Plan account subject to the approval of the Plan Sponsor in accordance with applicable regulations issued by the Internal Revenue Service (“IRS”) and the Department of Labor. In general, a participant may borrow a minimum of $500 up to a maximum of the lesser of $50,000 or 50% of the participant’s non-forfeitable accrued benefit on the valuation date (as defined by the Plan) last preceding the date on which the loan request is processed by the Plan Sponsor. The maximum term of a loan made pursuant to the Plan is five years (loans with terms of greater than five years are permissible for the purchase of a primary residence or may exist under the Plan as a result of rollovers from merged plans).</w:t>
      </w:r>
    </w:p>
    <w:p>
      <w:pPr>
        <w:spacing w:after="0" w:line="158" w:lineRule="exact"/>
        <w:rPr>
          <w:rFonts w:ascii="Arial" w:cs="Arial" w:eastAsia="Arial" w:hAnsi="Arial"/>
          <w:sz w:val="18"/>
          <w:szCs w:val="18"/>
          <w:b w:val="1"/>
          <w:bCs w:val="1"/>
          <w:color w:val="auto"/>
        </w:rPr>
      </w:pPr>
    </w:p>
    <w:p>
      <w:pPr>
        <w:ind w:left="440" w:right="12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Interest accrues at the rate of prime plus 1% as of the month the loan application is approved. Principal and interest are paid through payroll deductions or participant-initiated payments. Interest rates ranged from 2.88% to 9.50% as of December 31, 2016. Maturities on outstanding loans ranged from 2017 to 2046 as of December 31, 2016. Loan transactions are treated as a transfer between the investment fund and notes receivable from participants.</w:t>
      </w:r>
    </w:p>
    <w:p>
      <w:pPr>
        <w:sectPr>
          <w:pgSz w:w="11900" w:h="16952" w:orient="portrait"/>
          <w:cols w:equalWidth="0" w:num="1">
            <w:col w:w="11460"/>
          </w:cols>
          <w:pgMar w:left="240" w:top="125" w:right="199" w:bottom="0" w:gutter="0" w:footer="0" w:header="0"/>
        </w:sectPr>
      </w:pPr>
    </w:p>
    <w:bookmarkStart w:id="7" w:name="page8"/>
    <w:bookmarkEnd w:id="7"/>
    <w:p>
      <w:pPr>
        <w:ind w:left="440" w:right="300"/>
        <w:spacing w:after="0" w:line="277" w:lineRule="auto"/>
        <w:rPr>
          <w:sz w:val="20"/>
          <w:szCs w:val="20"/>
          <w:color w:val="auto"/>
        </w:rPr>
      </w:pPr>
      <w:r>
        <w:rPr>
          <w:rFonts w:ascii="Arial" w:cs="Arial" w:eastAsia="Arial" w:hAnsi="Arial"/>
          <w:sz w:val="18"/>
          <w:szCs w:val="18"/>
          <w:color w:val="auto"/>
        </w:rPr>
        <w:t>Effective after a calendar quarter of non-repayment, a loan is considered to be in default. Defaulted loans are treated as distributions for tax purposes and become taxable income to the participant in the year in which the default occurs.</w:t>
      </w:r>
    </w:p>
    <w:p>
      <w:pPr>
        <w:spacing w:after="0" w:line="170"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A participant may withdraw all or a portion of his/her benefits derived from salary reduction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six calendar months.</w:t>
      </w:r>
    </w:p>
    <w:p>
      <w:pPr>
        <w:spacing w:after="0" w:line="1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FINANCIAL STATEMENTS TO FORM 5500</w:t>
      </w:r>
    </w:p>
    <w:p>
      <w:pPr>
        <w:spacing w:after="0" w:line="229" w:lineRule="exact"/>
        <w:rPr>
          <w:rFonts w:ascii="Arial" w:cs="Arial" w:eastAsia="Arial" w:hAnsi="Arial"/>
          <w:sz w:val="18"/>
          <w:szCs w:val="18"/>
          <w:b w:val="1"/>
          <w:bCs w:val="1"/>
          <w:color w:val="auto"/>
        </w:rPr>
      </w:pPr>
    </w:p>
    <w:p>
      <w:pPr>
        <w:ind w:left="44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reconciliation of net assets available for benefits per the financial statements to the total net assets per the Form 5500 as of December 31, 2016 and 2015 and the increase in net assets available for benefits per the financial statements to the net income per the Form 5500 for the year ended December 31, 2016 is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8,097,676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Contributions receivable</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1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Total net assets per the Form 5500</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7,982,390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7,041,750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CEEFF"/>
            </w:tcBorders>
            <w:shd w:val="clear" w:color="auto" w:fill="CCEEFF"/>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Total net assets per the Form 5500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7,046,207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0" w:type="dxa"/>
            <w:vAlign w:val="bottom"/>
            <w:gridSpan w:val="3"/>
            <w:vMerge w:val="restart"/>
          </w:tcPr>
          <w:p>
            <w:pPr>
              <w:jc w:val="right"/>
              <w:ind w:right="3840"/>
              <w:spacing w:after="0"/>
              <w:rPr>
                <w:sz w:val="20"/>
                <w:szCs w:val="20"/>
                <w:color w:val="auto"/>
              </w:rPr>
            </w:pPr>
            <w:r>
              <w:rPr>
                <w:rFonts w:ascii="Arial" w:cs="Arial" w:eastAsia="Arial" w:hAnsi="Arial"/>
                <w:sz w:val="18"/>
                <w:szCs w:val="18"/>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60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808080"/>
            </w:tcBorders>
            <w:gridSpan w:val="2"/>
          </w:tcPr>
          <w:p>
            <w:pPr>
              <w:spacing w:after="0"/>
              <w:rPr>
                <w:sz w:val="11"/>
                <w:szCs w:val="11"/>
                <w:color w:val="auto"/>
              </w:rPr>
            </w:pPr>
          </w:p>
        </w:tc>
        <w:tc>
          <w:tcPr>
            <w:tcW w:w="83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96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8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31, 2016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Increase in net assets available for benefits per the financial statements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1,055,926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contracts—December 31, 2016</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1,736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from contract value to fair value for fully benefit-responsive investment contracts—December 31, 2015</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tcPr>
          <w:p>
            <w:pPr>
              <w:spacing w:after="0"/>
              <w:rPr>
                <w:sz w:val="20"/>
                <w:szCs w:val="20"/>
                <w:color w:val="auto"/>
              </w:rPr>
            </w:pPr>
            <w:r>
              <w:rPr>
                <w:rFonts w:ascii="Arial" w:cs="Arial" w:eastAsia="Arial" w:hAnsi="Arial"/>
                <w:sz w:val="18"/>
                <w:szCs w:val="18"/>
                <w:color w:val="auto"/>
              </w:rPr>
              <w:t>Contributions receivable</w:t>
            </w:r>
          </w:p>
        </w:tc>
        <w:tc>
          <w:tcPr>
            <w:tcW w:w="18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(116,626)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 on notes receivable from participants</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Form 5500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936,183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8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-1716405</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-1716405</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78"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29" w:lineRule="exact"/>
        <w:rPr>
          <w:rFonts w:ascii="Arial" w:cs="Arial" w:eastAsia="Arial" w:hAnsi="Arial"/>
          <w:sz w:val="18"/>
          <w:szCs w:val="18"/>
          <w:b w:val="1"/>
          <w:bCs w:val="1"/>
          <w:color w:val="auto"/>
        </w:rPr>
      </w:pPr>
    </w:p>
    <w:p>
      <w:pPr>
        <w:ind w:left="44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Comcast Investment Committee, as Plan Administrator, has the authority to control and manage the operation and administration of the Plan and may delegate all or a portion of these responsibilities to one or more persons.</w:t>
      </w:r>
    </w:p>
    <w:p>
      <w:pPr>
        <w:spacing w:after="0" w:line="166" w:lineRule="exact"/>
        <w:rPr>
          <w:rFonts w:ascii="Arial" w:cs="Arial" w:eastAsia="Arial" w:hAnsi="Arial"/>
          <w:sz w:val="18"/>
          <w:szCs w:val="18"/>
          <w:b w:val="1"/>
          <w:bCs w:val="1"/>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EXEMPT PARTY-IN-INTEREST TRANSACTIONS</w:t>
      </w:r>
    </w:p>
    <w:p>
      <w:pPr>
        <w:spacing w:after="0" w:line="229" w:lineRule="exact"/>
        <w:rPr>
          <w:rFonts w:ascii="Arial" w:cs="Arial" w:eastAsia="Arial" w:hAnsi="Arial"/>
          <w:sz w:val="18"/>
          <w:szCs w:val="18"/>
          <w:b w:val="1"/>
          <w:bCs w:val="1"/>
          <w:color w:val="auto"/>
        </w:rPr>
      </w:pPr>
    </w:p>
    <w:p>
      <w:pPr>
        <w:ind w:left="4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Plan allows for transactions with certain parties who may perform services or have fiduciary responsibilities to the Plan, including the Company. Certain Plan investments are shares of various mutual funds that are owned and managed by the Trustee, who has been designated investment manager. The Plan invests in Comcast common stock (see Note 1) and issues loans to participants, which are secured by the vested balances in the participants’ accounts.</w:t>
      </w:r>
    </w:p>
    <w:p>
      <w:pPr>
        <w:spacing w:after="0" w:line="182" w:lineRule="exact"/>
        <w:rPr>
          <w:rFonts w:ascii="Arial" w:cs="Arial" w:eastAsia="Arial" w:hAnsi="Arial"/>
          <w:sz w:val="18"/>
          <w:szCs w:val="18"/>
          <w:b w:val="1"/>
          <w:bCs w:val="1"/>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rFonts w:ascii="Arial" w:cs="Arial" w:eastAsia="Arial" w:hAnsi="Arial"/>
          <w:sz w:val="18"/>
          <w:szCs w:val="18"/>
          <w:b w:val="1"/>
          <w:bCs w:val="1"/>
          <w:color w:val="auto"/>
        </w:rPr>
      </w:pPr>
    </w:p>
    <w:p>
      <w:pPr>
        <w:ind w:left="440" w:right="1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Plan termination, each affected participant’s account balance will become fully vested.</w:t>
      </w:r>
    </w:p>
    <w:p>
      <w:pPr>
        <w:spacing w:after="0" w:line="119" w:lineRule="exact"/>
        <w:rPr>
          <w:rFonts w:ascii="Arial" w:cs="Arial" w:eastAsia="Arial" w:hAnsi="Arial"/>
          <w:sz w:val="18"/>
          <w:szCs w:val="18"/>
          <w:b w:val="1"/>
          <w:bCs w:val="1"/>
          <w:color w:val="auto"/>
        </w:rPr>
      </w:pPr>
    </w:p>
    <w:p>
      <w:pPr>
        <w:ind w:left="440" w:hanging="432"/>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FEDERAL TAX CONSIDERATIONS</w:t>
      </w:r>
    </w:p>
    <w:p>
      <w:pPr>
        <w:spacing w:after="0" w:line="229" w:lineRule="exact"/>
        <w:rPr>
          <w:rFonts w:ascii="Arial" w:cs="Arial" w:eastAsia="Arial" w:hAnsi="Arial"/>
          <w:sz w:val="18"/>
          <w:szCs w:val="18"/>
          <w:b w:val="1"/>
          <w:bCs w:val="1"/>
          <w:color w:val="auto"/>
        </w:rPr>
      </w:pPr>
    </w:p>
    <w:p>
      <w:pPr>
        <w:ind w:left="1440" w:right="140" w:hanging="441"/>
        <w:spacing w:after="0" w:line="257" w:lineRule="auto"/>
        <w:tabs>
          <w:tab w:leader="none" w:pos="1434"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Income Tax Status of the Plan</w:t>
      </w:r>
      <w:r>
        <w:rPr>
          <w:rFonts w:ascii="Arial" w:cs="Arial" w:eastAsia="Arial" w:hAnsi="Arial"/>
          <w:sz w:val="18"/>
          <w:szCs w:val="18"/>
          <w:color w:val="auto"/>
        </w:rPr>
        <w:t>—The IRS made a favorable determination on the Plan through a letter dated May 9, 2014 stating that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as amended and restated effective January 1, 2013, is qualified under section 401(a) of the Code and that the trust established under the Plan is tax-exempt. The Plan is required to operate in conformity with the Code to maintain its qualified status. The Plan Sponsor believes the Plan is being operated in compliance with the applicable requirements of the Code and no provision for income taxes has been included in the Plan’s financial statements.</w:t>
      </w:r>
    </w:p>
    <w:p>
      <w:pPr>
        <w:spacing w:after="0" w:line="188" w:lineRule="exact"/>
        <w:rPr>
          <w:rFonts w:ascii="Arial" w:cs="Arial" w:eastAsia="Arial" w:hAnsi="Arial"/>
          <w:sz w:val="18"/>
          <w:szCs w:val="18"/>
          <w:color w:val="auto"/>
        </w:rPr>
      </w:pPr>
    </w:p>
    <w:p>
      <w:pPr>
        <w:jc w:val="both"/>
        <w:ind w:left="1440" w:right="720" w:hanging="441"/>
        <w:spacing w:after="0" w:line="264" w:lineRule="auto"/>
        <w:tabs>
          <w:tab w:leader="none" w:pos="1444" w:val="left"/>
        </w:tabs>
        <w:numPr>
          <w:ilvl w:val="1"/>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Impact on Plan Participants</w:t>
      </w:r>
      <w:r>
        <w:rPr>
          <w:rFonts w:ascii="Arial" w:cs="Arial" w:eastAsia="Arial" w:hAnsi="Arial"/>
          <w:sz w:val="18"/>
          <w:szCs w:val="18"/>
          <w:color w:val="auto"/>
        </w:rPr>
        <w:t>—Employer contributions and salary reduction contributions, as well as earnings on Plan assets,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generally not subject to federal income tax until distributed from a qualified plan that meets the requirements of Sections 401(a), 401(k) and 401(m) of the Code.</w:t>
      </w:r>
    </w:p>
    <w:p>
      <w:pPr>
        <w:spacing w:after="0" w:line="181" w:lineRule="exact"/>
        <w:rPr>
          <w:rFonts w:ascii="Arial" w:cs="Arial" w:eastAsia="Arial" w:hAnsi="Arial"/>
          <w:sz w:val="18"/>
          <w:szCs w:val="18"/>
          <w:color w:val="auto"/>
        </w:rPr>
      </w:pPr>
    </w:p>
    <w:p>
      <w:pPr>
        <w:ind w:left="1440" w:right="160" w:hanging="441"/>
        <w:spacing w:after="0" w:line="342" w:lineRule="auto"/>
        <w:tabs>
          <w:tab w:leader="none" w:pos="1448"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Evaluation of Tax Positions</w:t>
      </w:r>
      <w:r>
        <w:rPr>
          <w:rFonts w:ascii="Arial" w:cs="Arial" w:eastAsia="Arial" w:hAnsi="Arial"/>
          <w:sz w:val="16"/>
          <w:szCs w:val="16"/>
          <w:color w:val="auto"/>
        </w:rPr>
        <w:t>—The Plan is subject to routine audits by taxing jurisdictions; however, there are currently no audits for 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periods in progress. The Plan Sponsor believes the Plan is no longer subject to income tax examinations for years prior to 2013.</w:t>
      </w:r>
    </w:p>
    <w:p>
      <w:pPr>
        <w:sectPr>
          <w:pgSz w:w="11900" w:h="16838" w:orient="portrait"/>
          <w:cols w:equalWidth="0" w:num="1">
            <w:col w:w="11460"/>
          </w:cols>
          <w:pgMar w:left="240" w:top="341" w:right="199" w:bottom="0" w:gutter="0" w:footer="0" w:header="0"/>
        </w:sectPr>
      </w:pPr>
    </w:p>
    <w:bookmarkStart w:id="8" w:name="page9"/>
    <w:bookmarkEnd w:id="8"/>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COMCAST CORPORATION RETIREMENT-INVESTMENT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5500, SCHEDULE H—PART IV, LINE 4i—SCHEDULE OF ASSETS (HELD AT END OF YEAR)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FEIN #27-0000798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rPr>
              <w:t>PLAN #001</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980" w:type="dxa"/>
            <w:vAlign w:val="bottom"/>
            <w:gridSpan w:val="3"/>
          </w:tcPr>
          <w:p>
            <w:pPr>
              <w:jc w:val="center"/>
              <w:ind w:right="479"/>
              <w:spacing w:after="0"/>
              <w:rPr>
                <w:sz w:val="20"/>
                <w:szCs w:val="20"/>
                <w:color w:val="auto"/>
              </w:rPr>
            </w:pPr>
            <w:r>
              <w:rPr>
                <w:rFonts w:ascii="Arial" w:cs="Arial" w:eastAsia="Arial" w:hAnsi="Arial"/>
                <w:sz w:val="14"/>
                <w:szCs w:val="14"/>
                <w:b w:val="1"/>
                <w:bCs w:val="1"/>
                <w:color w:val="auto"/>
                <w:w w:val="92"/>
              </w:rPr>
              <w:t>(c) Description of</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80" w:type="dxa"/>
            <w:vAlign w:val="bottom"/>
            <w:gridSpan w:val="3"/>
          </w:tcPr>
          <w:p>
            <w:pPr>
              <w:jc w:val="center"/>
              <w:ind w:right="459"/>
              <w:spacing w:after="0" w:line="149" w:lineRule="exact"/>
              <w:rPr>
                <w:sz w:val="20"/>
                <w:szCs w:val="20"/>
                <w:color w:val="auto"/>
              </w:rPr>
            </w:pPr>
            <w:r>
              <w:rPr>
                <w:rFonts w:ascii="Arial" w:cs="Arial" w:eastAsia="Arial" w:hAnsi="Arial"/>
                <w:sz w:val="14"/>
                <w:szCs w:val="14"/>
                <w:b w:val="1"/>
                <w:bCs w:val="1"/>
                <w:color w:val="auto"/>
                <w:w w:val="92"/>
              </w:rPr>
              <w:t>Investment,</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80" w:type="dxa"/>
            <w:vAlign w:val="bottom"/>
            <w:gridSpan w:val="3"/>
          </w:tcPr>
          <w:p>
            <w:pPr>
              <w:jc w:val="center"/>
              <w:ind w:right="459"/>
              <w:spacing w:after="0" w:line="149" w:lineRule="exact"/>
              <w:rPr>
                <w:sz w:val="20"/>
                <w:szCs w:val="20"/>
                <w:color w:val="auto"/>
              </w:rPr>
            </w:pPr>
            <w:r>
              <w:rPr>
                <w:rFonts w:ascii="Arial" w:cs="Arial" w:eastAsia="Arial" w:hAnsi="Arial"/>
                <w:sz w:val="14"/>
                <w:szCs w:val="14"/>
                <w:b w:val="1"/>
                <w:bCs w:val="1"/>
                <w:color w:val="auto"/>
                <w:w w:val="98"/>
              </w:rPr>
              <w:t>Including Maturity Date,</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980" w:type="dxa"/>
            <w:vAlign w:val="bottom"/>
            <w:gridSpan w:val="3"/>
          </w:tcPr>
          <w:p>
            <w:pPr>
              <w:jc w:val="center"/>
              <w:ind w:right="459"/>
              <w:spacing w:after="0" w:line="149" w:lineRule="exact"/>
              <w:rPr>
                <w:sz w:val="20"/>
                <w:szCs w:val="20"/>
                <w:color w:val="auto"/>
              </w:rPr>
            </w:pPr>
            <w:r>
              <w:rPr>
                <w:rFonts w:ascii="Arial" w:cs="Arial" w:eastAsia="Arial" w:hAnsi="Arial"/>
                <w:sz w:val="14"/>
                <w:szCs w:val="14"/>
                <w:b w:val="1"/>
                <w:bCs w:val="1"/>
                <w:color w:val="auto"/>
                <w:w w:val="94"/>
              </w:rPr>
              <w:t>Rate of Interest, Collateral,</w:t>
            </w:r>
          </w:p>
        </w:tc>
        <w:tc>
          <w:tcPr>
            <w:tcW w:w="11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4"/>
              </w:rPr>
              <w:t>(e) Current</w:t>
            </w:r>
          </w:p>
        </w:tc>
        <w:tc>
          <w:tcPr>
            <w:tcW w:w="0" w:type="dxa"/>
            <w:vAlign w:val="bottom"/>
          </w:tcPr>
          <w:p>
            <w:pPr>
              <w:spacing w:after="0"/>
              <w:rPr>
                <w:sz w:val="1"/>
                <w:szCs w:val="1"/>
                <w:color w:val="auto"/>
              </w:rPr>
            </w:pPr>
          </w:p>
        </w:tc>
      </w:tr>
      <w:tr>
        <w:trPr>
          <w:trHeight w:val="149"/>
        </w:trPr>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w:t>
            </w:r>
          </w:p>
        </w:tc>
        <w:tc>
          <w:tcPr>
            <w:tcW w:w="240" w:type="dxa"/>
            <w:vAlign w:val="bottom"/>
          </w:tcPr>
          <w:p>
            <w:pPr>
              <w:spacing w:after="0"/>
              <w:rPr>
                <w:sz w:val="12"/>
                <w:szCs w:val="12"/>
                <w:color w:val="auto"/>
              </w:rPr>
            </w:pPr>
          </w:p>
        </w:tc>
        <w:tc>
          <w:tcPr>
            <w:tcW w:w="5600" w:type="dxa"/>
            <w:vAlign w:val="bottom"/>
            <w:gridSpan w:val="2"/>
            <w:vMerge w:val="restart"/>
          </w:tcPr>
          <w:p>
            <w:pPr>
              <w:ind w:left="980"/>
              <w:spacing w:after="0"/>
              <w:rPr>
                <w:sz w:val="20"/>
                <w:szCs w:val="20"/>
                <w:color w:val="auto"/>
              </w:rPr>
            </w:pPr>
            <w:r>
              <w:rPr>
                <w:rFonts w:ascii="Arial" w:cs="Arial" w:eastAsia="Arial" w:hAnsi="Arial"/>
                <w:sz w:val="14"/>
                <w:szCs w:val="14"/>
                <w:b w:val="1"/>
                <w:bCs w:val="1"/>
                <w:color w:val="auto"/>
              </w:rPr>
              <w:t>(b) Identity of Issue, Borrower, Lessor, or Similar Party</w:t>
            </w:r>
          </w:p>
        </w:tc>
        <w:tc>
          <w:tcPr>
            <w:tcW w:w="3980" w:type="dxa"/>
            <w:vAlign w:val="bottom"/>
            <w:gridSpan w:val="3"/>
          </w:tcPr>
          <w:p>
            <w:pPr>
              <w:jc w:val="center"/>
              <w:ind w:right="479"/>
              <w:spacing w:after="0" w:line="149" w:lineRule="exact"/>
              <w:rPr>
                <w:sz w:val="20"/>
                <w:szCs w:val="20"/>
                <w:color w:val="auto"/>
              </w:rPr>
            </w:pPr>
            <w:r>
              <w:rPr>
                <w:rFonts w:ascii="Arial" w:cs="Arial" w:eastAsia="Arial" w:hAnsi="Arial"/>
                <w:sz w:val="14"/>
                <w:szCs w:val="14"/>
                <w:b w:val="1"/>
                <w:bCs w:val="1"/>
                <w:color w:val="auto"/>
                <w:w w:val="94"/>
              </w:rPr>
              <w:t>Par, or</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5600" w:type="dxa"/>
            <w:vAlign w:val="bottom"/>
            <w:gridSpan w:val="2"/>
            <w:vMerge w:val="continue"/>
          </w:tcPr>
          <w:p>
            <w:pPr>
              <w:spacing w:after="0"/>
              <w:rPr>
                <w:sz w:val="14"/>
                <w:szCs w:val="14"/>
                <w:color w:val="auto"/>
              </w:rPr>
            </w:pPr>
          </w:p>
        </w:tc>
        <w:tc>
          <w:tcPr>
            <w:tcW w:w="3980" w:type="dxa"/>
            <w:vAlign w:val="bottom"/>
            <w:gridSpan w:val="3"/>
          </w:tcPr>
          <w:p>
            <w:pPr>
              <w:jc w:val="center"/>
              <w:ind w:right="479"/>
              <w:spacing w:after="0"/>
              <w:rPr>
                <w:sz w:val="20"/>
                <w:szCs w:val="20"/>
                <w:color w:val="auto"/>
              </w:rPr>
            </w:pPr>
            <w:r>
              <w:rPr>
                <w:rFonts w:ascii="Arial" w:cs="Arial" w:eastAsia="Arial" w:hAnsi="Arial"/>
                <w:sz w:val="14"/>
                <w:szCs w:val="14"/>
                <w:b w:val="1"/>
                <w:bCs w:val="1"/>
                <w:color w:val="auto"/>
                <w:w w:val="98"/>
              </w:rPr>
              <w:t>Maturity Value</w:t>
            </w:r>
          </w:p>
        </w:tc>
        <w:tc>
          <w:tcPr>
            <w:tcW w:w="11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3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98"/>
              </w:rPr>
              <w:t>Interest in Comcast Corporation Employee Savings Plans Master Trust</w:t>
            </w:r>
          </w:p>
        </w:tc>
        <w:tc>
          <w:tcPr>
            <w:tcW w:w="39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7,744,845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5840" w:type="dxa"/>
            <w:vAlign w:val="bottom"/>
            <w:gridSpan w:val="3"/>
            <w:shd w:val="clear" w:color="auto" w:fill="CCEEFF"/>
          </w:tcPr>
          <w:p>
            <w:pPr>
              <w:ind w:left="240"/>
              <w:spacing w:after="0" w:line="201" w:lineRule="exact"/>
              <w:rPr>
                <w:sz w:val="20"/>
                <w:szCs w:val="20"/>
                <w:color w:val="auto"/>
              </w:rPr>
            </w:pPr>
            <w:r>
              <w:rPr>
                <w:rFonts w:ascii="Arial" w:cs="Arial" w:eastAsia="Arial" w:hAnsi="Arial"/>
                <w:sz w:val="18"/>
                <w:szCs w:val="18"/>
                <w:color w:val="auto"/>
              </w:rPr>
              <w:t>Notes receivable from participants (principal balance plus accrued but</w:t>
            </w:r>
          </w:p>
        </w:tc>
        <w:tc>
          <w:tcPr>
            <w:tcW w:w="3980" w:type="dxa"/>
            <w:vAlign w:val="bottom"/>
            <w:gridSpan w:val="3"/>
            <w:shd w:val="clear" w:color="auto" w:fill="CCEEFF"/>
          </w:tcPr>
          <w:p>
            <w:pPr>
              <w:jc w:val="center"/>
              <w:ind w:right="479"/>
              <w:spacing w:after="0" w:line="201" w:lineRule="exact"/>
              <w:rPr>
                <w:sz w:val="20"/>
                <w:szCs w:val="20"/>
                <w:color w:val="auto"/>
              </w:rPr>
            </w:pPr>
            <w:r>
              <w:rPr>
                <w:rFonts w:ascii="Arial" w:cs="Arial" w:eastAsia="Arial" w:hAnsi="Arial"/>
                <w:sz w:val="18"/>
                <w:szCs w:val="18"/>
                <w:color w:val="auto"/>
                <w:w w:val="91"/>
              </w:rPr>
              <w:t>Interest rates from 2.88% - 9.50%; maturities</w:t>
            </w: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unpaid interest)</w:t>
            </w:r>
          </w:p>
        </w:tc>
        <w:tc>
          <w:tcPr>
            <w:tcW w:w="3980" w:type="dxa"/>
            <w:vAlign w:val="bottom"/>
            <w:gridSpan w:val="3"/>
            <w:shd w:val="clear" w:color="auto" w:fill="CCEEFF"/>
          </w:tcPr>
          <w:p>
            <w:pPr>
              <w:jc w:val="center"/>
              <w:ind w:right="479"/>
              <w:spacing w:after="0"/>
              <w:rPr>
                <w:sz w:val="20"/>
                <w:szCs w:val="20"/>
                <w:color w:val="auto"/>
              </w:rPr>
            </w:pPr>
            <w:r>
              <w:rPr>
                <w:rFonts w:ascii="Arial" w:cs="Arial" w:eastAsia="Arial" w:hAnsi="Arial"/>
                <w:sz w:val="18"/>
                <w:szCs w:val="18"/>
                <w:color w:val="auto"/>
                <w:w w:val="91"/>
              </w:rPr>
              <w:t>from 2017 to 2046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236,205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980" w:type="dxa"/>
            <w:vAlign w:val="bottom"/>
            <w:gridSpan w:val="3"/>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7,981,050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Represents a party-in-interest to the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Column (d) omitted as all investments are participant directed.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333-101295 of Comcast Corporation on Form S-8 of our report dated June 16, 2017, relating to the financial statements and supplemental schedule of the Comcast Corporation Retirement-Investment Plan, appearing in this Annual Report on Form 11-K of the Comcast Corporation Retirement-Investment Plan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170"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COMCAST CORPORATION RETIREMENT-INVESTMENT PLAN</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Comcast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16, 2017</w:t>
      </w:r>
    </w:p>
    <w:p>
      <w:pPr>
        <w:spacing w:after="0" w:line="9"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Daniel C. Murdock</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Senior Vice President, Chief Accounting Officer and Controller</w:t>
      </w:r>
    </w:p>
    <w:p>
      <w:pPr>
        <w:sectPr>
          <w:pgSz w:w="11900" w:h="16838" w:orient="portrait"/>
          <w:cols w:equalWidth="0" w:num="1">
            <w:col w:w="11420"/>
          </w:cols>
          <w:pgMar w:left="240" w:top="125"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3"/>
    </w:lvl>
  </w:abstractNum>
  <w:abstractNum w:abstractNumId="4">
    <w:nsid w:val="79E2A9E3"/>
    <w:multiLevelType w:val="hybridMultilevel"/>
    <w:lvl w:ilvl="0">
      <w:lvlJc w:val="left"/>
      <w:lvlText w:val="%1."/>
      <w:numFmt w:val="decimal"/>
      <w:start w:val="4"/>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6"/>
    </w:lvl>
    <w:lvl w:ilvl="1">
      <w:lvlJc w:val="left"/>
      <w:lvlText w:val="%2"/>
      <w:numFmt w:val="lowerLetter"/>
      <w:start w:val="1"/>
    </w:lvl>
  </w:abstractNum>
  <w:abstractNum w:abstractNumId="8">
    <w:nsid w:val="12200854"/>
    <w:multiLevelType w:val="hybridMultilevel"/>
    <w:lvl w:ilvl="0">
      <w:lvlJc w:val="left"/>
      <w:lvlText w:val="%1."/>
      <w:numFmt w:val="decimal"/>
      <w:start w:val="7"/>
    </w:lvl>
  </w:abstractNum>
  <w:abstractNum w:abstractNumId="9">
    <w:nsid w:val="4DB127F8"/>
    <w:multiLevelType w:val="hybridMultilevel"/>
    <w:lvl w:ilvl="0">
      <w:lvlJc w:val="left"/>
      <w:lvlText w:val="%1."/>
      <w:numFmt w:val="decimal"/>
      <w:start w:val="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2019-12-06T18:07:14Z</dcterms:created>
  <dcterms:modified xsi:type="dcterms:W3CDTF">2019-12-06T18:07:14Z</dcterms:modified>
</cp:coreProperties>
</file>