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Number 333-232941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August 11, 2020</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8040" w:type="dxa"/>
            <w:vAlign w:val="bottom"/>
          </w:tcPr>
          <w:p>
            <w:pPr>
              <w:jc w:val="center"/>
              <w:ind w:right="2990"/>
              <w:spacing w:after="0"/>
              <w:rPr>
                <w:sz w:val="20"/>
                <w:szCs w:val="20"/>
                <w:color w:val="auto"/>
              </w:rPr>
            </w:pPr>
            <w:r>
              <w:rPr>
                <w:rFonts w:ascii="Arial" w:cs="Arial" w:eastAsia="Arial" w:hAnsi="Arial"/>
                <w:sz w:val="18"/>
                <w:szCs w:val="18"/>
                <w:b w:val="1"/>
                <w:bCs w:val="1"/>
                <w:color w:val="auto"/>
              </w:rPr>
              <w:t>COMCAST CORPORATION</w:t>
            </w:r>
          </w:p>
        </w:tc>
      </w:tr>
      <w:tr>
        <w:trPr>
          <w:trHeight w:val="216"/>
        </w:trPr>
        <w:tc>
          <w:tcPr>
            <w:tcW w:w="3100" w:type="dxa"/>
            <w:vAlign w:val="bottom"/>
          </w:tcPr>
          <w:p>
            <w:pPr>
              <w:spacing w:after="0"/>
              <w:rPr>
                <w:sz w:val="18"/>
                <w:szCs w:val="18"/>
                <w:color w:val="auto"/>
              </w:rPr>
            </w:pPr>
          </w:p>
        </w:tc>
        <w:tc>
          <w:tcPr>
            <w:tcW w:w="8040" w:type="dxa"/>
            <w:vAlign w:val="bottom"/>
          </w:tcPr>
          <w:p>
            <w:pPr>
              <w:jc w:val="center"/>
              <w:ind w:right="2990"/>
              <w:spacing w:after="0"/>
              <w:rPr>
                <w:sz w:val="20"/>
                <w:szCs w:val="20"/>
                <w:color w:val="auto"/>
              </w:rPr>
            </w:pPr>
            <w:r>
              <w:rPr>
                <w:rFonts w:ascii="Arial" w:cs="Arial" w:eastAsia="Arial" w:hAnsi="Arial"/>
                <w:sz w:val="18"/>
                <w:szCs w:val="18"/>
                <w:b w:val="1"/>
                <w:bCs w:val="1"/>
                <w:color w:val="auto"/>
                <w:w w:val="93"/>
              </w:rPr>
              <w:t>$1,750,000,000 1.500% NOTES DUE 2031</w:t>
            </w:r>
          </w:p>
        </w:tc>
      </w:tr>
      <w:tr>
        <w:trPr>
          <w:trHeight w:val="216"/>
        </w:trPr>
        <w:tc>
          <w:tcPr>
            <w:tcW w:w="3100" w:type="dxa"/>
            <w:vAlign w:val="bottom"/>
          </w:tcPr>
          <w:p>
            <w:pPr>
              <w:spacing w:after="0"/>
              <w:rPr>
                <w:sz w:val="18"/>
                <w:szCs w:val="18"/>
                <w:color w:val="auto"/>
              </w:rPr>
            </w:pPr>
          </w:p>
        </w:tc>
        <w:tc>
          <w:tcPr>
            <w:tcW w:w="8040" w:type="dxa"/>
            <w:vAlign w:val="bottom"/>
          </w:tcPr>
          <w:p>
            <w:pPr>
              <w:jc w:val="center"/>
              <w:ind w:right="2990"/>
              <w:spacing w:after="0"/>
              <w:rPr>
                <w:sz w:val="20"/>
                <w:szCs w:val="20"/>
                <w:color w:val="auto"/>
              </w:rPr>
            </w:pPr>
            <w:r>
              <w:rPr>
                <w:rFonts w:ascii="Arial" w:cs="Arial" w:eastAsia="Arial" w:hAnsi="Arial"/>
                <w:sz w:val="18"/>
                <w:szCs w:val="18"/>
                <w:b w:val="1"/>
                <w:bCs w:val="1"/>
                <w:color w:val="auto"/>
                <w:w w:val="93"/>
              </w:rPr>
              <w:t>$1,500,000,000 2.450% NOTES DUE 2052</w:t>
            </w:r>
          </w:p>
        </w:tc>
      </w:tr>
      <w:tr>
        <w:trPr>
          <w:trHeight w:val="234"/>
        </w:trPr>
        <w:tc>
          <w:tcPr>
            <w:tcW w:w="3100" w:type="dxa"/>
            <w:vAlign w:val="bottom"/>
          </w:tcPr>
          <w:p>
            <w:pPr>
              <w:spacing w:after="0"/>
              <w:rPr>
                <w:sz w:val="20"/>
                <w:szCs w:val="20"/>
                <w:color w:val="auto"/>
              </w:rPr>
            </w:pPr>
          </w:p>
        </w:tc>
        <w:tc>
          <w:tcPr>
            <w:tcW w:w="8040" w:type="dxa"/>
            <w:vAlign w:val="bottom"/>
          </w:tcPr>
          <w:p>
            <w:pPr>
              <w:jc w:val="center"/>
              <w:ind w:right="2990"/>
              <w:spacing w:after="0"/>
              <w:rPr>
                <w:sz w:val="20"/>
                <w:szCs w:val="20"/>
                <w:color w:val="auto"/>
              </w:rPr>
            </w:pPr>
            <w:r>
              <w:rPr>
                <w:rFonts w:ascii="Arial" w:cs="Arial" w:eastAsia="Arial" w:hAnsi="Arial"/>
                <w:sz w:val="18"/>
                <w:szCs w:val="18"/>
                <w:b w:val="1"/>
                <w:bCs w:val="1"/>
                <w:color w:val="auto"/>
                <w:w w:val="93"/>
              </w:rPr>
              <w:t>$1,250,000,000 2.650% NOTES DUE 2062</w:t>
            </w:r>
          </w:p>
        </w:tc>
      </w:tr>
      <w:tr>
        <w:trPr>
          <w:trHeight w:val="432"/>
        </w:trPr>
        <w:tc>
          <w:tcPr>
            <w:tcW w:w="3100" w:type="dxa"/>
            <w:vAlign w:val="bottom"/>
          </w:tcPr>
          <w:p>
            <w:pPr>
              <w:spacing w:after="0"/>
              <w:rPr>
                <w:sz w:val="24"/>
                <w:szCs w:val="24"/>
                <w:color w:val="auto"/>
              </w:rPr>
            </w:pPr>
          </w:p>
        </w:tc>
        <w:tc>
          <w:tcPr>
            <w:tcW w:w="8040" w:type="dxa"/>
            <w:vAlign w:val="bottom"/>
          </w:tcPr>
          <w:p>
            <w:pPr>
              <w:jc w:val="center"/>
              <w:ind w:right="2990"/>
              <w:spacing w:after="0"/>
              <w:rPr>
                <w:sz w:val="20"/>
                <w:szCs w:val="20"/>
                <w:color w:val="auto"/>
              </w:rPr>
            </w:pPr>
            <w:r>
              <w:rPr>
                <w:rFonts w:ascii="Arial" w:cs="Arial" w:eastAsia="Arial" w:hAnsi="Arial"/>
                <w:sz w:val="18"/>
                <w:szCs w:val="18"/>
                <w:b w:val="1"/>
                <w:bCs w:val="1"/>
                <w:color w:val="auto"/>
                <w:w w:val="90"/>
              </w:rPr>
              <w:t>Final Term Sheet</w:t>
            </w:r>
          </w:p>
        </w:tc>
      </w:tr>
      <w:tr>
        <w:trPr>
          <w:trHeight w:val="432"/>
        </w:trPr>
        <w:tc>
          <w:tcPr>
            <w:tcW w:w="3100" w:type="dxa"/>
            <w:vAlign w:val="bottom"/>
          </w:tcPr>
          <w:p>
            <w:pPr>
              <w:spacing w:after="0"/>
              <w:rPr>
                <w:sz w:val="20"/>
                <w:szCs w:val="20"/>
                <w:color w:val="auto"/>
              </w:rPr>
            </w:pPr>
            <w:r>
              <w:rPr>
                <w:rFonts w:ascii="Arial" w:cs="Arial" w:eastAsia="Arial" w:hAnsi="Arial"/>
                <w:sz w:val="18"/>
                <w:szCs w:val="18"/>
                <w:color w:val="auto"/>
              </w:rPr>
              <w:t>Issuer</w:t>
            </w:r>
          </w:p>
        </w:tc>
        <w:tc>
          <w:tcPr>
            <w:tcW w:w="8040" w:type="dxa"/>
            <w:vAlign w:val="bottom"/>
          </w:tcPr>
          <w:p>
            <w:pPr>
              <w:ind w:left="2640"/>
              <w:spacing w:after="0"/>
              <w:rPr>
                <w:sz w:val="20"/>
                <w:szCs w:val="20"/>
                <w:color w:val="auto"/>
              </w:rPr>
            </w:pPr>
            <w:r>
              <w:rPr>
                <w:rFonts w:ascii="Arial" w:cs="Arial" w:eastAsia="Arial" w:hAnsi="Arial"/>
                <w:sz w:val="18"/>
                <w:szCs w:val="18"/>
                <w:color w:val="auto"/>
              </w:rPr>
              <w:t>Comcast Corporation (the “</w:t>
            </w:r>
            <w:r>
              <w:rPr>
                <w:rFonts w:ascii="Arial" w:cs="Arial" w:eastAsia="Arial" w:hAnsi="Arial"/>
                <w:sz w:val="18"/>
                <w:szCs w:val="18"/>
                <w:b w:val="1"/>
                <w:bCs w:val="1"/>
                <w:color w:val="auto"/>
              </w:rPr>
              <w:t>Company</w:t>
            </w:r>
            <w:r>
              <w:rPr>
                <w:rFonts w:ascii="Arial" w:cs="Arial" w:eastAsia="Arial" w:hAnsi="Arial"/>
                <w:sz w:val="18"/>
                <w:szCs w:val="18"/>
                <w:color w:val="auto"/>
              </w:rPr>
              <w:t>”)</w:t>
            </w:r>
          </w:p>
        </w:tc>
      </w:tr>
      <w:tr>
        <w:trPr>
          <w:trHeight w:val="392"/>
        </w:trPr>
        <w:tc>
          <w:tcPr>
            <w:tcW w:w="3100" w:type="dxa"/>
            <w:vAlign w:val="bottom"/>
          </w:tcPr>
          <w:p>
            <w:pPr>
              <w:spacing w:after="0"/>
              <w:rPr>
                <w:sz w:val="20"/>
                <w:szCs w:val="20"/>
                <w:color w:val="auto"/>
              </w:rPr>
            </w:pPr>
            <w:r>
              <w:rPr>
                <w:rFonts w:ascii="Arial" w:cs="Arial" w:eastAsia="Arial" w:hAnsi="Arial"/>
                <w:sz w:val="18"/>
                <w:szCs w:val="18"/>
                <w:color w:val="auto"/>
              </w:rPr>
              <w:t>Guarantors</w:t>
            </w:r>
          </w:p>
        </w:tc>
        <w:tc>
          <w:tcPr>
            <w:tcW w:w="8040" w:type="dxa"/>
            <w:vAlign w:val="bottom"/>
          </w:tcPr>
          <w:p>
            <w:pPr>
              <w:ind w:left="2640"/>
              <w:spacing w:after="0"/>
              <w:rPr>
                <w:sz w:val="20"/>
                <w:szCs w:val="20"/>
                <w:color w:val="auto"/>
              </w:rPr>
            </w:pPr>
            <w:r>
              <w:rPr>
                <w:rFonts w:ascii="Arial" w:cs="Arial" w:eastAsia="Arial" w:hAnsi="Arial"/>
                <w:sz w:val="18"/>
                <w:szCs w:val="18"/>
                <w:color w:val="auto"/>
                <w:w w:val="96"/>
              </w:rPr>
              <w:t>Comcast Cable Communications, LLC and NBCUniversal Media, LLC</w:t>
            </w:r>
          </w:p>
        </w:tc>
      </w:tr>
      <w:tr>
        <w:trPr>
          <w:trHeight w:val="377"/>
        </w:trPr>
        <w:tc>
          <w:tcPr>
            <w:tcW w:w="3100" w:type="dxa"/>
            <w:vAlign w:val="bottom"/>
          </w:tcPr>
          <w:p>
            <w:pPr>
              <w:spacing w:after="0"/>
              <w:rPr>
                <w:sz w:val="20"/>
                <w:szCs w:val="20"/>
                <w:color w:val="auto"/>
              </w:rPr>
            </w:pPr>
            <w:r>
              <w:rPr>
                <w:rFonts w:ascii="Arial" w:cs="Arial" w:eastAsia="Arial" w:hAnsi="Arial"/>
                <w:sz w:val="18"/>
                <w:szCs w:val="18"/>
                <w:color w:val="auto"/>
              </w:rPr>
              <w:t>Issue of Securities</w:t>
            </w:r>
          </w:p>
        </w:tc>
        <w:tc>
          <w:tcPr>
            <w:tcW w:w="8040" w:type="dxa"/>
            <w:vAlign w:val="bottom"/>
          </w:tcPr>
          <w:p>
            <w:pPr>
              <w:ind w:left="2640"/>
              <w:spacing w:after="0"/>
              <w:rPr>
                <w:sz w:val="20"/>
                <w:szCs w:val="20"/>
                <w:color w:val="auto"/>
              </w:rPr>
            </w:pPr>
            <w:r>
              <w:rPr>
                <w:rFonts w:ascii="Arial" w:cs="Arial" w:eastAsia="Arial" w:hAnsi="Arial"/>
                <w:sz w:val="18"/>
                <w:szCs w:val="18"/>
                <w:color w:val="auto"/>
              </w:rPr>
              <w:t>1.500% Notes due 2031</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rPr>
              <w:t>2.450% Notes due 2052</w:t>
            </w:r>
          </w:p>
        </w:tc>
      </w:tr>
      <w:tr>
        <w:trPr>
          <w:trHeight w:val="230"/>
        </w:trPr>
        <w:tc>
          <w:tcPr>
            <w:tcW w:w="3100" w:type="dxa"/>
            <w:vAlign w:val="bottom"/>
          </w:tcPr>
          <w:p>
            <w:pPr>
              <w:spacing w:after="0"/>
              <w:rPr>
                <w:sz w:val="20"/>
                <w:szCs w:val="20"/>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rPr>
              <w:t>2.650% Notes due 2062</w:t>
            </w:r>
          </w:p>
        </w:tc>
      </w:tr>
      <w:tr>
        <w:trPr>
          <w:trHeight w:val="392"/>
        </w:trPr>
        <w:tc>
          <w:tcPr>
            <w:tcW w:w="3100" w:type="dxa"/>
            <w:vAlign w:val="bottom"/>
          </w:tcPr>
          <w:p>
            <w:pPr>
              <w:spacing w:after="0"/>
              <w:rPr>
                <w:sz w:val="20"/>
                <w:szCs w:val="20"/>
                <w:color w:val="auto"/>
              </w:rPr>
            </w:pPr>
            <w:r>
              <w:rPr>
                <w:rFonts w:ascii="Arial" w:cs="Arial" w:eastAsia="Arial" w:hAnsi="Arial"/>
                <w:sz w:val="18"/>
                <w:szCs w:val="18"/>
                <w:color w:val="auto"/>
              </w:rPr>
              <w:t>Denominations</w:t>
            </w:r>
          </w:p>
        </w:tc>
        <w:tc>
          <w:tcPr>
            <w:tcW w:w="8040" w:type="dxa"/>
            <w:vAlign w:val="bottom"/>
          </w:tcPr>
          <w:p>
            <w:pPr>
              <w:ind w:left="2640"/>
              <w:spacing w:after="0"/>
              <w:rPr>
                <w:sz w:val="20"/>
                <w:szCs w:val="20"/>
                <w:color w:val="auto"/>
              </w:rPr>
            </w:pPr>
            <w:r>
              <w:rPr>
                <w:rFonts w:ascii="Arial" w:cs="Arial" w:eastAsia="Arial" w:hAnsi="Arial"/>
                <w:sz w:val="18"/>
                <w:szCs w:val="18"/>
                <w:color w:val="auto"/>
              </w:rPr>
              <w:t>$2,000 and multiples of $1,000 in excess thereof</w:t>
            </w:r>
          </w:p>
        </w:tc>
      </w:tr>
      <w:tr>
        <w:trPr>
          <w:trHeight w:val="377"/>
        </w:trPr>
        <w:tc>
          <w:tcPr>
            <w:tcW w:w="3100" w:type="dxa"/>
            <w:vAlign w:val="bottom"/>
          </w:tcPr>
          <w:p>
            <w:pPr>
              <w:spacing w:after="0"/>
              <w:rPr>
                <w:sz w:val="20"/>
                <w:szCs w:val="20"/>
                <w:color w:val="auto"/>
              </w:rPr>
            </w:pPr>
            <w:r>
              <w:rPr>
                <w:rFonts w:ascii="Arial" w:cs="Arial" w:eastAsia="Arial" w:hAnsi="Arial"/>
                <w:sz w:val="18"/>
                <w:szCs w:val="18"/>
                <w:color w:val="auto"/>
              </w:rPr>
              <w:t>Use of Proceeds</w:t>
            </w:r>
          </w:p>
        </w:tc>
        <w:tc>
          <w:tcPr>
            <w:tcW w:w="8040" w:type="dxa"/>
            <w:vAlign w:val="bottom"/>
          </w:tcPr>
          <w:p>
            <w:pPr>
              <w:ind w:left="2640"/>
              <w:spacing w:after="0"/>
              <w:rPr>
                <w:sz w:val="20"/>
                <w:szCs w:val="20"/>
                <w:color w:val="auto"/>
              </w:rPr>
            </w:pPr>
            <w:r>
              <w:rPr>
                <w:rFonts w:ascii="Arial" w:cs="Arial" w:eastAsia="Arial" w:hAnsi="Arial"/>
                <w:sz w:val="18"/>
                <w:szCs w:val="18"/>
                <w:color w:val="auto"/>
                <w:w w:val="90"/>
              </w:rPr>
              <w:t>The Company intends to use the net proceeds from the offering entirely for</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4"/>
              </w:rPr>
              <w:t>the refinancing of outstanding debt, including its 3.125% notes due July</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2"/>
              </w:rPr>
              <w:t>15, 2022 ($1.0 billion principal amount outstanding as of the date hereof),</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8"/>
              </w:rPr>
              <w:t>its 2.85% notes due January 15, 2023 ($750 million principal amount</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4"/>
              </w:rPr>
              <w:t>outstanding as of the date hereof), NBCUniversal Media, LLC’s 2.875%</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2"/>
              </w:rPr>
              <w:t>notes due January 15, 2023 ($1.0 billion principal amount outstanding as</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rPr>
              <w:t>of the date hereof), its 2.75% notes due March 1, 2023 ($1.1 billion</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0"/>
              </w:rPr>
              <w:t>principal amount outstanding as of the date hereof), and certain of its other</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8"/>
              </w:rPr>
              <w:t>debt with near term maturities. Affiliates of certain of the underwriters</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2"/>
              </w:rPr>
              <w:t>may be holders of the 3.125% notes due July 15, 2022, 2.85% notes due</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89"/>
              </w:rPr>
              <w:t>January 15, 2023, 2.875% notes due January 15, 2023 or 2.75% notes due</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6"/>
              </w:rPr>
              <w:t>March 1, 2023, accordingly, may receive a portion of the net proceeds</w:t>
            </w:r>
          </w:p>
        </w:tc>
      </w:tr>
      <w:tr>
        <w:trPr>
          <w:trHeight w:val="230"/>
        </w:trPr>
        <w:tc>
          <w:tcPr>
            <w:tcW w:w="3100" w:type="dxa"/>
            <w:vAlign w:val="bottom"/>
          </w:tcPr>
          <w:p>
            <w:pPr>
              <w:spacing w:after="0"/>
              <w:rPr>
                <w:sz w:val="20"/>
                <w:szCs w:val="20"/>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rPr>
              <w:t>from this offering.</w:t>
            </w:r>
          </w:p>
        </w:tc>
      </w:tr>
      <w:tr>
        <w:trPr>
          <w:trHeight w:val="377"/>
        </w:trPr>
        <w:tc>
          <w:tcPr>
            <w:tcW w:w="3100" w:type="dxa"/>
            <w:vAlign w:val="bottom"/>
          </w:tcPr>
          <w:p>
            <w:pPr>
              <w:spacing w:after="0"/>
              <w:rPr>
                <w:sz w:val="20"/>
                <w:szCs w:val="20"/>
                <w:color w:val="auto"/>
              </w:rPr>
            </w:pPr>
            <w:r>
              <w:rPr>
                <w:rFonts w:ascii="Arial" w:cs="Arial" w:eastAsia="Arial" w:hAnsi="Arial"/>
                <w:sz w:val="18"/>
                <w:szCs w:val="18"/>
                <w:color w:val="auto"/>
              </w:rPr>
              <w:t>Indenture</w:t>
            </w:r>
          </w:p>
        </w:tc>
        <w:tc>
          <w:tcPr>
            <w:tcW w:w="8040" w:type="dxa"/>
            <w:vAlign w:val="bottom"/>
          </w:tcPr>
          <w:p>
            <w:pPr>
              <w:ind w:left="2640"/>
              <w:spacing w:after="0"/>
              <w:rPr>
                <w:sz w:val="20"/>
                <w:szCs w:val="20"/>
                <w:color w:val="auto"/>
              </w:rPr>
            </w:pPr>
            <w:r>
              <w:rPr>
                <w:rFonts w:ascii="Arial" w:cs="Arial" w:eastAsia="Arial" w:hAnsi="Arial"/>
                <w:sz w:val="18"/>
                <w:szCs w:val="18"/>
                <w:color w:val="auto"/>
                <w:w w:val="89"/>
              </w:rPr>
              <w:t>Indenture dated as of September 18, 2013 by and among the Company, the</w:t>
            </w:r>
          </w:p>
        </w:tc>
      </w:tr>
      <w:tr>
        <w:trPr>
          <w:trHeight w:val="212"/>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3"/>
              </w:rPr>
              <w:t>guarantors named therein and The Bank of New York Mellon, as trustee</w:t>
            </w:r>
          </w:p>
        </w:tc>
      </w:tr>
      <w:tr>
        <w:trPr>
          <w:trHeight w:val="220"/>
        </w:trPr>
        <w:tc>
          <w:tcPr>
            <w:tcW w:w="3100" w:type="dxa"/>
            <w:vAlign w:val="bottom"/>
          </w:tcPr>
          <w:p>
            <w:pPr>
              <w:spacing w:after="0"/>
              <w:rPr>
                <w:sz w:val="19"/>
                <w:szCs w:val="19"/>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0"/>
              </w:rPr>
              <w:t>(the “</w:t>
            </w:r>
            <w:r>
              <w:rPr>
                <w:rFonts w:ascii="Arial" w:cs="Arial" w:eastAsia="Arial" w:hAnsi="Arial"/>
                <w:sz w:val="18"/>
                <w:szCs w:val="18"/>
                <w:b w:val="1"/>
                <w:bCs w:val="1"/>
                <w:color w:val="auto"/>
                <w:w w:val="90"/>
              </w:rPr>
              <w:t>Trustee</w:t>
            </w:r>
            <w:r>
              <w:rPr>
                <w:rFonts w:ascii="Arial" w:cs="Arial" w:eastAsia="Arial" w:hAnsi="Arial"/>
                <w:sz w:val="18"/>
                <w:szCs w:val="18"/>
                <w:color w:val="auto"/>
                <w:w w:val="90"/>
              </w:rPr>
              <w:t>”), as amended by the First Supplemental Indenture dated as</w:t>
            </w:r>
          </w:p>
        </w:tc>
      </w:tr>
      <w:tr>
        <w:trPr>
          <w:trHeight w:val="216"/>
        </w:trPr>
        <w:tc>
          <w:tcPr>
            <w:tcW w:w="3100" w:type="dxa"/>
            <w:vAlign w:val="bottom"/>
          </w:tcPr>
          <w:p>
            <w:pPr>
              <w:spacing w:after="0"/>
              <w:rPr>
                <w:sz w:val="18"/>
                <w:szCs w:val="18"/>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w w:val="90"/>
              </w:rPr>
              <w:t>of November 17, 2015 by and among the Company, the guarantors named</w:t>
            </w:r>
          </w:p>
        </w:tc>
      </w:tr>
      <w:tr>
        <w:trPr>
          <w:trHeight w:val="230"/>
        </w:trPr>
        <w:tc>
          <w:tcPr>
            <w:tcW w:w="3100" w:type="dxa"/>
            <w:vAlign w:val="bottom"/>
          </w:tcPr>
          <w:p>
            <w:pPr>
              <w:spacing w:after="0"/>
              <w:rPr>
                <w:sz w:val="20"/>
                <w:szCs w:val="20"/>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rPr>
              <w:t>therein and the Trustee.</w:t>
            </w:r>
          </w:p>
        </w:tc>
      </w:tr>
      <w:tr>
        <w:trPr>
          <w:trHeight w:val="392"/>
        </w:trPr>
        <w:tc>
          <w:tcPr>
            <w:tcW w:w="3100" w:type="dxa"/>
            <w:vAlign w:val="bottom"/>
          </w:tcPr>
          <w:p>
            <w:pPr>
              <w:spacing w:after="0"/>
              <w:rPr>
                <w:sz w:val="20"/>
                <w:szCs w:val="20"/>
                <w:color w:val="auto"/>
              </w:rPr>
            </w:pPr>
            <w:r>
              <w:rPr>
                <w:rFonts w:ascii="Arial" w:cs="Arial" w:eastAsia="Arial" w:hAnsi="Arial"/>
                <w:sz w:val="18"/>
                <w:szCs w:val="18"/>
                <w:color w:val="auto"/>
              </w:rPr>
              <w:t>Trustee</w:t>
            </w:r>
          </w:p>
        </w:tc>
        <w:tc>
          <w:tcPr>
            <w:tcW w:w="8040" w:type="dxa"/>
            <w:vAlign w:val="bottom"/>
          </w:tcPr>
          <w:p>
            <w:pPr>
              <w:ind w:left="2640"/>
              <w:spacing w:after="0"/>
              <w:rPr>
                <w:sz w:val="20"/>
                <w:szCs w:val="20"/>
                <w:color w:val="auto"/>
              </w:rPr>
            </w:pPr>
            <w:r>
              <w:rPr>
                <w:rFonts w:ascii="Arial" w:cs="Arial" w:eastAsia="Arial" w:hAnsi="Arial"/>
                <w:sz w:val="18"/>
                <w:szCs w:val="18"/>
                <w:color w:val="auto"/>
              </w:rPr>
              <w:t>The Bank of New York Mellon</w:t>
            </w:r>
          </w:p>
        </w:tc>
      </w:tr>
      <w:tr>
        <w:trPr>
          <w:trHeight w:val="555"/>
        </w:trPr>
        <w:tc>
          <w:tcPr>
            <w:tcW w:w="3100" w:type="dxa"/>
            <w:vAlign w:val="bottom"/>
          </w:tcPr>
          <w:p>
            <w:pPr>
              <w:spacing w:after="0"/>
              <w:rPr>
                <w:sz w:val="20"/>
                <w:szCs w:val="20"/>
                <w:color w:val="auto"/>
              </w:rPr>
            </w:pPr>
            <w:r>
              <w:rPr>
                <w:rFonts w:ascii="Arial" w:cs="Arial" w:eastAsia="Arial" w:hAnsi="Arial"/>
                <w:sz w:val="18"/>
                <w:szCs w:val="18"/>
                <w:color w:val="auto"/>
              </w:rPr>
              <w:t>Expected Ratings</w:t>
            </w:r>
            <w:r>
              <w:rPr>
                <w:rFonts w:ascii="Arial" w:cs="Arial" w:eastAsia="Arial" w:hAnsi="Arial"/>
                <w:sz w:val="29"/>
                <w:szCs w:val="29"/>
                <w:color w:val="auto"/>
                <w:vertAlign w:val="superscript"/>
              </w:rPr>
              <w:t>1</w:t>
            </w:r>
          </w:p>
        </w:tc>
        <w:tc>
          <w:tcPr>
            <w:tcW w:w="8040" w:type="dxa"/>
            <w:vAlign w:val="bottom"/>
          </w:tcPr>
          <w:p>
            <w:pPr>
              <w:ind w:left="2640"/>
              <w:spacing w:after="0"/>
              <w:rPr>
                <w:sz w:val="20"/>
                <w:szCs w:val="20"/>
                <w:color w:val="auto"/>
              </w:rPr>
            </w:pPr>
            <w:r>
              <w:rPr>
                <w:rFonts w:ascii="Arial" w:cs="Arial" w:eastAsia="Arial" w:hAnsi="Arial"/>
                <w:sz w:val="18"/>
                <w:szCs w:val="18"/>
                <w:color w:val="auto"/>
              </w:rPr>
              <w:t>Moody’s: A3; S&amp;P: A-; Fitch: A-</w:t>
            </w:r>
          </w:p>
        </w:tc>
      </w:tr>
      <w:tr>
        <w:trPr>
          <w:trHeight w:val="254"/>
        </w:trPr>
        <w:tc>
          <w:tcPr>
            <w:tcW w:w="3100" w:type="dxa"/>
            <w:vAlign w:val="bottom"/>
          </w:tcPr>
          <w:p>
            <w:pPr>
              <w:spacing w:after="0"/>
              <w:rPr>
                <w:sz w:val="20"/>
                <w:szCs w:val="20"/>
                <w:color w:val="auto"/>
              </w:rPr>
            </w:pPr>
            <w:r>
              <w:rPr>
                <w:rFonts w:ascii="Arial" w:cs="Arial" w:eastAsia="Arial" w:hAnsi="Arial"/>
                <w:sz w:val="18"/>
                <w:szCs w:val="18"/>
                <w:color w:val="auto"/>
              </w:rPr>
              <w:t>Joint Book-Running Managers</w:t>
            </w:r>
          </w:p>
        </w:tc>
        <w:tc>
          <w:tcPr>
            <w:tcW w:w="8040" w:type="dxa"/>
            <w:vAlign w:val="bottom"/>
          </w:tcPr>
          <w:p>
            <w:pPr>
              <w:ind w:left="2640"/>
              <w:spacing w:after="0"/>
              <w:rPr>
                <w:sz w:val="20"/>
                <w:szCs w:val="20"/>
                <w:color w:val="auto"/>
              </w:rPr>
            </w:pPr>
            <w:r>
              <w:rPr>
                <w:rFonts w:ascii="Arial" w:cs="Arial" w:eastAsia="Arial" w:hAnsi="Arial"/>
                <w:sz w:val="18"/>
                <w:szCs w:val="18"/>
                <w:color w:val="auto"/>
              </w:rPr>
              <w:t>BofA Securities, Inc.</w:t>
            </w:r>
          </w:p>
        </w:tc>
      </w:tr>
      <w:tr>
        <w:trPr>
          <w:trHeight w:val="230"/>
        </w:trPr>
        <w:tc>
          <w:tcPr>
            <w:tcW w:w="3100" w:type="dxa"/>
            <w:vAlign w:val="bottom"/>
          </w:tcPr>
          <w:p>
            <w:pPr>
              <w:spacing w:after="0"/>
              <w:rPr>
                <w:sz w:val="20"/>
                <w:szCs w:val="20"/>
                <w:color w:val="auto"/>
              </w:rPr>
            </w:pPr>
          </w:p>
        </w:tc>
        <w:tc>
          <w:tcPr>
            <w:tcW w:w="8040" w:type="dxa"/>
            <w:vAlign w:val="bottom"/>
          </w:tcPr>
          <w:p>
            <w:pPr>
              <w:ind w:left="2640"/>
              <w:spacing w:after="0"/>
              <w:rPr>
                <w:sz w:val="20"/>
                <w:szCs w:val="20"/>
                <w:color w:val="auto"/>
              </w:rPr>
            </w:pPr>
            <w:r>
              <w:rPr>
                <w:rFonts w:ascii="Arial" w:cs="Arial" w:eastAsia="Arial" w:hAnsi="Arial"/>
                <w:sz w:val="18"/>
                <w:szCs w:val="18"/>
                <w:color w:val="auto"/>
              </w:rPr>
              <w:t>Goldman Sachs &amp; Co.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4"/>
          <w:szCs w:val="24"/>
          <w:color w:val="auto"/>
        </w:rPr>
      </w:pPr>
    </w:p>
    <w:p>
      <w:pPr>
        <w:jc w:val="center"/>
        <w:ind w:left="5540" w:right="440" w:hanging="4924"/>
        <w:spacing w:after="0" w:line="497" w:lineRule="auto"/>
        <w:tabs>
          <w:tab w:leader="none" w:pos="729" w:val="left"/>
        </w:tabs>
        <w:numPr>
          <w:ilvl w:val="0"/>
          <w:numId w:val="1"/>
        </w:numPr>
        <w:rPr>
          <w:rFonts w:ascii="Arial" w:cs="Arial" w:eastAsia="Arial" w:hAnsi="Arial"/>
          <w:sz w:val="30"/>
          <w:szCs w:val="30"/>
          <w:b w:val="1"/>
          <w:bCs w:val="1"/>
          <w:color w:val="auto"/>
          <w:vertAlign w:val="superscript"/>
        </w:rPr>
      </w:pPr>
      <w:r>
        <w:rPr>
          <w:rFonts w:ascii="Arial" w:cs="Arial" w:eastAsia="Arial" w:hAnsi="Arial"/>
          <w:sz w:val="18"/>
          <w:szCs w:val="18"/>
          <w:b w:val="1"/>
          <w:bCs w:val="1"/>
          <w:color w:val="auto"/>
        </w:rPr>
        <w:t xml:space="preserve">A securities rating is not a recommendation to buy, sell or hold securities and may be subject to revision or withdrawal at any time. </w:t>
      </w: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Morgan Stanley &amp; Co.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Wells Fargo Securities,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Citigroup Global Markets Inc.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J.P. Morgan Securities LLC</w:t>
            </w:r>
          </w:p>
        </w:tc>
      </w:tr>
      <w:tr>
        <w:trPr>
          <w:trHeight w:val="230"/>
        </w:trPr>
        <w:tc>
          <w:tcPr>
            <w:tcW w:w="4000" w:type="dxa"/>
            <w:vAlign w:val="bottom"/>
          </w:tcPr>
          <w:p>
            <w:pPr>
              <w:spacing w:after="0"/>
              <w:rPr>
                <w:sz w:val="20"/>
                <w:szCs w:val="20"/>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Mizuho Securities USA LLC</w:t>
            </w:r>
          </w:p>
        </w:tc>
      </w:tr>
      <w:tr>
        <w:trPr>
          <w:trHeight w:val="377"/>
        </w:trPr>
        <w:tc>
          <w:tcPr>
            <w:tcW w:w="4000" w:type="dxa"/>
            <w:vAlign w:val="bottom"/>
          </w:tcPr>
          <w:p>
            <w:pPr>
              <w:ind w:left="40"/>
              <w:spacing w:after="0"/>
              <w:rPr>
                <w:sz w:val="20"/>
                <w:szCs w:val="20"/>
                <w:color w:val="auto"/>
              </w:rPr>
            </w:pPr>
            <w:r>
              <w:rPr>
                <w:rFonts w:ascii="Arial" w:cs="Arial" w:eastAsia="Arial" w:hAnsi="Arial"/>
                <w:sz w:val="18"/>
                <w:szCs w:val="18"/>
                <w:color w:val="auto"/>
              </w:rPr>
              <w:t>Co-Managers</w:t>
            </w:r>
          </w:p>
        </w:tc>
        <w:tc>
          <w:tcPr>
            <w:tcW w:w="7240" w:type="dxa"/>
            <w:vAlign w:val="bottom"/>
          </w:tcPr>
          <w:p>
            <w:pPr>
              <w:ind w:left="1780"/>
              <w:spacing w:after="0"/>
              <w:rPr>
                <w:sz w:val="20"/>
                <w:szCs w:val="20"/>
                <w:color w:val="auto"/>
              </w:rPr>
            </w:pPr>
            <w:r>
              <w:rPr>
                <w:rFonts w:ascii="Arial" w:cs="Arial" w:eastAsia="Arial" w:hAnsi="Arial"/>
                <w:sz w:val="18"/>
                <w:szCs w:val="18"/>
                <w:color w:val="auto"/>
              </w:rPr>
              <w:t>Barclays Capital Inc.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Commerz Markets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Deutsche Bank Securities Inc.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RBC Capital Markets,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Santander Investment Securities Inc.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SMBC Nikko Securities America, Inc.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TD Securities (USA)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DNB Markets, Inc.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ICBC Standard Bank Plc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PNC Capital Markets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SG Americas Securities,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U.S. Bancorp Investments, Inc.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Academy Securities, Inc.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Loop Capital Markets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Blaylock Van, LLC</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CastleOak Securities, L.P.</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Samuel A. Ramirez &amp; Company, Inc.</w:t>
            </w:r>
          </w:p>
        </w:tc>
      </w:tr>
      <w:tr>
        <w:trPr>
          <w:trHeight w:val="230"/>
        </w:trPr>
        <w:tc>
          <w:tcPr>
            <w:tcW w:w="4000" w:type="dxa"/>
            <w:vAlign w:val="bottom"/>
          </w:tcPr>
          <w:p>
            <w:pPr>
              <w:spacing w:after="0"/>
              <w:rPr>
                <w:sz w:val="20"/>
                <w:szCs w:val="20"/>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Siebert Williams Shank &amp; Co., LLC</w:t>
            </w:r>
          </w:p>
        </w:tc>
      </w:tr>
      <w:tr>
        <w:trPr>
          <w:trHeight w:val="391"/>
        </w:trPr>
        <w:tc>
          <w:tcPr>
            <w:tcW w:w="4000" w:type="dxa"/>
            <w:vAlign w:val="bottom"/>
          </w:tcPr>
          <w:p>
            <w:pPr>
              <w:ind w:left="40"/>
              <w:spacing w:after="0"/>
              <w:rPr>
                <w:sz w:val="20"/>
                <w:szCs w:val="20"/>
                <w:color w:val="auto"/>
              </w:rPr>
            </w:pPr>
            <w:r>
              <w:rPr>
                <w:rFonts w:ascii="Arial" w:cs="Arial" w:eastAsia="Arial" w:hAnsi="Arial"/>
                <w:sz w:val="18"/>
                <w:szCs w:val="18"/>
                <w:color w:val="auto"/>
              </w:rPr>
              <w:t>Trade Date</w:t>
            </w:r>
          </w:p>
        </w:tc>
        <w:tc>
          <w:tcPr>
            <w:tcW w:w="7240" w:type="dxa"/>
            <w:vAlign w:val="bottom"/>
          </w:tcPr>
          <w:p>
            <w:pPr>
              <w:ind w:left="1780"/>
              <w:spacing w:after="0"/>
              <w:rPr>
                <w:sz w:val="20"/>
                <w:szCs w:val="20"/>
                <w:color w:val="auto"/>
              </w:rPr>
            </w:pPr>
            <w:r>
              <w:rPr>
                <w:rFonts w:ascii="Arial" w:cs="Arial" w:eastAsia="Arial" w:hAnsi="Arial"/>
                <w:sz w:val="18"/>
                <w:szCs w:val="18"/>
                <w:color w:val="auto"/>
              </w:rPr>
              <w:t>August 11, 2020</w:t>
            </w:r>
          </w:p>
        </w:tc>
      </w:tr>
      <w:tr>
        <w:trPr>
          <w:trHeight w:val="391"/>
        </w:trPr>
        <w:tc>
          <w:tcPr>
            <w:tcW w:w="4000" w:type="dxa"/>
            <w:vAlign w:val="bottom"/>
          </w:tcPr>
          <w:p>
            <w:pPr>
              <w:ind w:left="40"/>
              <w:spacing w:after="0"/>
              <w:rPr>
                <w:sz w:val="20"/>
                <w:szCs w:val="20"/>
                <w:color w:val="auto"/>
              </w:rPr>
            </w:pPr>
            <w:r>
              <w:rPr>
                <w:rFonts w:ascii="Arial" w:cs="Arial" w:eastAsia="Arial" w:hAnsi="Arial"/>
                <w:sz w:val="18"/>
                <w:szCs w:val="18"/>
                <w:color w:val="auto"/>
              </w:rPr>
              <w:t>Settlement Date</w:t>
            </w:r>
          </w:p>
        </w:tc>
        <w:tc>
          <w:tcPr>
            <w:tcW w:w="7240" w:type="dxa"/>
            <w:vAlign w:val="bottom"/>
          </w:tcPr>
          <w:p>
            <w:pPr>
              <w:ind w:left="1780"/>
              <w:spacing w:after="0"/>
              <w:rPr>
                <w:sz w:val="20"/>
                <w:szCs w:val="20"/>
                <w:color w:val="auto"/>
              </w:rPr>
            </w:pPr>
            <w:r>
              <w:rPr>
                <w:rFonts w:ascii="Arial" w:cs="Arial" w:eastAsia="Arial" w:hAnsi="Arial"/>
                <w:sz w:val="18"/>
                <w:szCs w:val="18"/>
                <w:color w:val="auto"/>
              </w:rPr>
              <w:t>August 25, 2020 (T+10)</w:t>
            </w:r>
          </w:p>
        </w:tc>
      </w:tr>
      <w:tr>
        <w:trPr>
          <w:trHeight w:val="377"/>
        </w:trPr>
        <w:tc>
          <w:tcPr>
            <w:tcW w:w="4000" w:type="dxa"/>
            <w:vAlign w:val="bottom"/>
          </w:tcPr>
          <w:p>
            <w:pPr>
              <w:ind w:left="40"/>
              <w:spacing w:after="0"/>
              <w:rPr>
                <w:sz w:val="20"/>
                <w:szCs w:val="20"/>
                <w:color w:val="auto"/>
              </w:rPr>
            </w:pPr>
            <w:r>
              <w:rPr>
                <w:rFonts w:ascii="Arial" w:cs="Arial" w:eastAsia="Arial" w:hAnsi="Arial"/>
                <w:sz w:val="18"/>
                <w:szCs w:val="18"/>
                <w:color w:val="auto"/>
              </w:rPr>
              <w:t>Risk Factors</w:t>
            </w:r>
          </w:p>
        </w:tc>
        <w:tc>
          <w:tcPr>
            <w:tcW w:w="7240" w:type="dxa"/>
            <w:vAlign w:val="bottom"/>
          </w:tcPr>
          <w:p>
            <w:pPr>
              <w:ind w:left="1780"/>
              <w:spacing w:after="0"/>
              <w:rPr>
                <w:sz w:val="20"/>
                <w:szCs w:val="20"/>
                <w:color w:val="auto"/>
              </w:rPr>
            </w:pPr>
            <w:r>
              <w:rPr>
                <w:rFonts w:ascii="Arial" w:cs="Arial" w:eastAsia="Arial" w:hAnsi="Arial"/>
                <w:sz w:val="18"/>
                <w:szCs w:val="18"/>
                <w:color w:val="auto"/>
                <w:w w:val="95"/>
              </w:rPr>
              <w:t>Investing in the notes involves certain risks. See “Item 1A-Risk Factors”</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w w:val="93"/>
              </w:rPr>
              <w:t>beginning on page 20 of the Company’s Annual Report on Form 10-K for</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w w:val="96"/>
              </w:rPr>
              <w:t>the year ended December 31, 2019. Please also read carefully the risk</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w w:val="94"/>
              </w:rPr>
              <w:t>factor “The COVID-19 pandemic could have a material adverse effect on</w:t>
            </w:r>
          </w:p>
        </w:tc>
      </w:tr>
      <w:tr>
        <w:trPr>
          <w:trHeight w:val="216"/>
        </w:trPr>
        <w:tc>
          <w:tcPr>
            <w:tcW w:w="4000" w:type="dxa"/>
            <w:vAlign w:val="bottom"/>
          </w:tcPr>
          <w:p>
            <w:pPr>
              <w:spacing w:after="0"/>
              <w:rPr>
                <w:sz w:val="18"/>
                <w:szCs w:val="18"/>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w w:val="95"/>
              </w:rPr>
              <w:t>our businesses and results of operations” on page 35 of the Company’s</w:t>
            </w:r>
          </w:p>
        </w:tc>
      </w:tr>
      <w:tr>
        <w:trPr>
          <w:trHeight w:val="230"/>
        </w:trPr>
        <w:tc>
          <w:tcPr>
            <w:tcW w:w="4000" w:type="dxa"/>
            <w:vAlign w:val="bottom"/>
          </w:tcPr>
          <w:p>
            <w:pPr>
              <w:spacing w:after="0"/>
              <w:rPr>
                <w:sz w:val="20"/>
                <w:szCs w:val="20"/>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w w:val="97"/>
              </w:rPr>
              <w:t>Quarterly Report on Form 10-Q for the quarter ended March 31, 2020.</w:t>
            </w:r>
          </w:p>
        </w:tc>
      </w:tr>
      <w:tr>
        <w:trPr>
          <w:trHeight w:val="391"/>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1.500% Notes Due 2031</w:t>
            </w:r>
          </w:p>
        </w:tc>
        <w:tc>
          <w:tcPr>
            <w:tcW w:w="7240" w:type="dxa"/>
            <w:vAlign w:val="bottom"/>
          </w:tcPr>
          <w:p>
            <w:pPr>
              <w:spacing w:after="0"/>
              <w:rPr>
                <w:sz w:val="24"/>
                <w:szCs w:val="24"/>
                <w:color w:val="auto"/>
              </w:rPr>
            </w:pP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Aggregate Principal Amount</w:t>
            </w:r>
          </w:p>
        </w:tc>
        <w:tc>
          <w:tcPr>
            <w:tcW w:w="7240" w:type="dxa"/>
            <w:vAlign w:val="bottom"/>
          </w:tcPr>
          <w:p>
            <w:pPr>
              <w:ind w:left="1780"/>
              <w:spacing w:after="0"/>
              <w:rPr>
                <w:sz w:val="20"/>
                <w:szCs w:val="20"/>
                <w:color w:val="auto"/>
              </w:rPr>
            </w:pPr>
            <w:r>
              <w:rPr>
                <w:rFonts w:ascii="Arial" w:cs="Arial" w:eastAsia="Arial" w:hAnsi="Arial"/>
                <w:sz w:val="18"/>
                <w:szCs w:val="18"/>
                <w:color w:val="auto"/>
              </w:rPr>
              <w:t>$1,750,000,000</w:t>
            </w:r>
          </w:p>
        </w:tc>
      </w:tr>
      <w:tr>
        <w:trPr>
          <w:trHeight w:val="391"/>
        </w:trPr>
        <w:tc>
          <w:tcPr>
            <w:tcW w:w="4000" w:type="dxa"/>
            <w:vAlign w:val="bottom"/>
          </w:tcPr>
          <w:p>
            <w:pPr>
              <w:ind w:left="40"/>
              <w:spacing w:after="0"/>
              <w:rPr>
                <w:sz w:val="20"/>
                <w:szCs w:val="20"/>
                <w:color w:val="auto"/>
              </w:rPr>
            </w:pPr>
            <w:r>
              <w:rPr>
                <w:rFonts w:ascii="Arial" w:cs="Arial" w:eastAsia="Arial" w:hAnsi="Arial"/>
                <w:sz w:val="18"/>
                <w:szCs w:val="18"/>
                <w:color w:val="auto"/>
              </w:rPr>
              <w:t>Maturity Date</w:t>
            </w:r>
          </w:p>
        </w:tc>
        <w:tc>
          <w:tcPr>
            <w:tcW w:w="7240" w:type="dxa"/>
            <w:vAlign w:val="bottom"/>
          </w:tcPr>
          <w:p>
            <w:pPr>
              <w:ind w:left="1780"/>
              <w:spacing w:after="0"/>
              <w:rPr>
                <w:sz w:val="20"/>
                <w:szCs w:val="20"/>
                <w:color w:val="auto"/>
              </w:rPr>
            </w:pPr>
            <w:r>
              <w:rPr>
                <w:rFonts w:ascii="Arial" w:cs="Arial" w:eastAsia="Arial" w:hAnsi="Arial"/>
                <w:sz w:val="18"/>
                <w:szCs w:val="18"/>
                <w:color w:val="auto"/>
              </w:rPr>
              <w:t>February 15, 2031</w:t>
            </w:r>
          </w:p>
        </w:tc>
      </w:tr>
      <w:tr>
        <w:trPr>
          <w:trHeight w:val="377"/>
        </w:trPr>
        <w:tc>
          <w:tcPr>
            <w:tcW w:w="400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7240" w:type="dxa"/>
            <w:vAlign w:val="bottom"/>
          </w:tcPr>
          <w:p>
            <w:pPr>
              <w:ind w:left="1780"/>
              <w:spacing w:after="0"/>
              <w:rPr>
                <w:sz w:val="20"/>
                <w:szCs w:val="20"/>
                <w:color w:val="auto"/>
              </w:rPr>
            </w:pPr>
            <w:r>
              <w:rPr>
                <w:rFonts w:ascii="Arial" w:cs="Arial" w:eastAsia="Arial" w:hAnsi="Arial"/>
                <w:sz w:val="18"/>
                <w:szCs w:val="18"/>
                <w:color w:val="auto"/>
                <w:w w:val="98"/>
              </w:rPr>
              <w:t>1.500% per annum, accruing from August 25, 2020 (calculated on the</w:t>
            </w:r>
          </w:p>
        </w:tc>
      </w:tr>
      <w:tr>
        <w:trPr>
          <w:trHeight w:val="230"/>
        </w:trPr>
        <w:tc>
          <w:tcPr>
            <w:tcW w:w="4000" w:type="dxa"/>
            <w:vAlign w:val="bottom"/>
          </w:tcPr>
          <w:p>
            <w:pPr>
              <w:spacing w:after="0"/>
              <w:rPr>
                <w:sz w:val="20"/>
                <w:szCs w:val="20"/>
                <w:color w:val="auto"/>
              </w:rPr>
            </w:pPr>
          </w:p>
        </w:tc>
        <w:tc>
          <w:tcPr>
            <w:tcW w:w="7240" w:type="dxa"/>
            <w:vAlign w:val="bottom"/>
          </w:tcPr>
          <w:p>
            <w:pPr>
              <w:ind w:left="1780"/>
              <w:spacing w:after="0"/>
              <w:rPr>
                <w:sz w:val="20"/>
                <w:szCs w:val="20"/>
                <w:color w:val="auto"/>
              </w:rPr>
            </w:pPr>
            <w:r>
              <w:rPr>
                <w:rFonts w:ascii="Arial" w:cs="Arial" w:eastAsia="Arial" w:hAnsi="Arial"/>
                <w:sz w:val="18"/>
                <w:szCs w:val="18"/>
                <w:color w:val="auto"/>
              </w:rPr>
              <w:t>basis of a 360-day year consisting of twelve 30-day months)</w:t>
            </w: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Interest Payment Dates</w:t>
            </w:r>
          </w:p>
        </w:tc>
        <w:tc>
          <w:tcPr>
            <w:tcW w:w="7240" w:type="dxa"/>
            <w:vAlign w:val="bottom"/>
          </w:tcPr>
          <w:p>
            <w:pPr>
              <w:ind w:left="1780"/>
              <w:spacing w:after="0"/>
              <w:rPr>
                <w:sz w:val="20"/>
                <w:szCs w:val="20"/>
                <w:color w:val="auto"/>
              </w:rPr>
            </w:pPr>
            <w:r>
              <w:rPr>
                <w:rFonts w:ascii="Arial" w:cs="Arial" w:eastAsia="Arial" w:hAnsi="Arial"/>
                <w:sz w:val="18"/>
                <w:szCs w:val="18"/>
                <w:color w:val="auto"/>
              </w:rPr>
              <w:t>February 15 and August 15, commencing February 15, 2021</w:t>
            </w:r>
          </w:p>
        </w:tc>
      </w:tr>
      <w:tr>
        <w:trPr>
          <w:trHeight w:val="391"/>
        </w:trPr>
        <w:tc>
          <w:tcPr>
            <w:tcW w:w="4000" w:type="dxa"/>
            <w:vAlign w:val="bottom"/>
          </w:tcPr>
          <w:p>
            <w:pPr>
              <w:ind w:left="40"/>
              <w:spacing w:after="0"/>
              <w:rPr>
                <w:sz w:val="20"/>
                <w:szCs w:val="20"/>
                <w:color w:val="auto"/>
              </w:rPr>
            </w:pPr>
            <w:r>
              <w:rPr>
                <w:rFonts w:ascii="Arial" w:cs="Arial" w:eastAsia="Arial" w:hAnsi="Arial"/>
                <w:sz w:val="18"/>
                <w:szCs w:val="18"/>
                <w:color w:val="auto"/>
              </w:rPr>
              <w:t>Benchmark Treasury</w:t>
            </w:r>
          </w:p>
        </w:tc>
        <w:tc>
          <w:tcPr>
            <w:tcW w:w="7240" w:type="dxa"/>
            <w:vAlign w:val="bottom"/>
          </w:tcPr>
          <w:p>
            <w:pPr>
              <w:ind w:left="1780"/>
              <w:spacing w:after="0"/>
              <w:rPr>
                <w:sz w:val="20"/>
                <w:szCs w:val="20"/>
                <w:color w:val="auto"/>
              </w:rPr>
            </w:pPr>
            <w:r>
              <w:rPr>
                <w:rFonts w:ascii="Arial" w:cs="Arial" w:eastAsia="Arial" w:hAnsi="Arial"/>
                <w:sz w:val="18"/>
                <w:szCs w:val="18"/>
                <w:color w:val="auto"/>
              </w:rPr>
              <w:t>UST 0.625% due May 15, 2030</w:t>
            </w:r>
          </w:p>
        </w:tc>
      </w:tr>
      <w:tr>
        <w:trPr>
          <w:trHeight w:val="392"/>
        </w:trPr>
        <w:tc>
          <w:tcPr>
            <w:tcW w:w="4000" w:type="dxa"/>
            <w:vAlign w:val="bottom"/>
          </w:tcPr>
          <w:p>
            <w:pPr>
              <w:ind w:left="40"/>
              <w:spacing w:after="0"/>
              <w:rPr>
                <w:sz w:val="20"/>
                <w:szCs w:val="20"/>
                <w:color w:val="auto"/>
              </w:rPr>
            </w:pPr>
            <w:r>
              <w:rPr>
                <w:rFonts w:ascii="Arial" w:cs="Arial" w:eastAsia="Arial" w:hAnsi="Arial"/>
                <w:sz w:val="18"/>
                <w:szCs w:val="18"/>
                <w:color w:val="auto"/>
              </w:rPr>
              <w:t>Benchmark Treasury Price/Yield</w:t>
            </w:r>
          </w:p>
        </w:tc>
        <w:tc>
          <w:tcPr>
            <w:tcW w:w="7240" w:type="dxa"/>
            <w:vAlign w:val="bottom"/>
          </w:tcPr>
          <w:p>
            <w:pPr>
              <w:ind w:left="1780"/>
              <w:spacing w:after="0"/>
              <w:rPr>
                <w:sz w:val="20"/>
                <w:szCs w:val="20"/>
                <w:color w:val="auto"/>
              </w:rPr>
            </w:pPr>
            <w:r>
              <w:rPr>
                <w:rFonts w:ascii="Arial" w:cs="Arial" w:eastAsia="Arial" w:hAnsi="Arial"/>
                <w:sz w:val="18"/>
                <w:szCs w:val="18"/>
                <w:color w:val="auto"/>
              </w:rPr>
              <w:t>99-29 / 0.635%</w:t>
            </w:r>
          </w:p>
        </w:tc>
      </w:tr>
      <w:tr>
        <w:trPr>
          <w:trHeight w:val="499"/>
        </w:trPr>
        <w:tc>
          <w:tcPr>
            <w:tcW w:w="4000" w:type="dxa"/>
            <w:vAlign w:val="bottom"/>
            <w:tcBorders>
              <w:bottom w:val="single" w:sz="8" w:color="auto"/>
            </w:tcBorders>
          </w:tcPr>
          <w:p>
            <w:pPr>
              <w:spacing w:after="0"/>
              <w:rPr>
                <w:sz w:val="24"/>
                <w:szCs w:val="24"/>
                <w:color w:val="auto"/>
              </w:rPr>
            </w:pPr>
          </w:p>
        </w:tc>
        <w:tc>
          <w:tcPr>
            <w:tcW w:w="724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240"/>
          </w:cols>
          <w:pgMar w:left="320" w:top="58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Spread to Benchmark Treasury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2.450% Notes Due 2052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Price/Yield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8"/>
          <w:szCs w:val="18"/>
          <w:color w:val="auto"/>
        </w:rPr>
        <w:t>+90 bps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1.535%</w:t>
      </w:r>
    </w:p>
    <w:p>
      <w:pPr>
        <w:spacing w:after="0" w:line="185" w:lineRule="exact"/>
        <w:rPr>
          <w:sz w:val="20"/>
          <w:szCs w:val="20"/>
          <w:color w:val="auto"/>
        </w:rPr>
      </w:pPr>
    </w:p>
    <w:p>
      <w:pPr>
        <w:ind w:left="200"/>
        <w:spacing w:after="0" w:line="285" w:lineRule="auto"/>
        <w:rPr>
          <w:sz w:val="20"/>
          <w:szCs w:val="20"/>
          <w:color w:val="auto"/>
        </w:rPr>
      </w:pPr>
      <w:r>
        <w:rPr>
          <w:rFonts w:ascii="Arial" w:cs="Arial" w:eastAsia="Arial" w:hAnsi="Arial"/>
          <w:sz w:val="16"/>
          <w:szCs w:val="16"/>
          <w:color w:val="auto"/>
        </w:rPr>
        <w:t>The 1.500% Notes due 2031 are redeemable at the option of the Company at any time, in whole or in part, at the “</w:t>
      </w:r>
      <w:r>
        <w:rPr>
          <w:rFonts w:ascii="Arial" w:cs="Arial" w:eastAsia="Arial" w:hAnsi="Arial"/>
          <w:sz w:val="16"/>
          <w:szCs w:val="16"/>
          <w:b w:val="1"/>
          <w:bCs w:val="1"/>
          <w:color w:val="auto"/>
        </w:rPr>
        <w:t>Redemption Price</w:t>
      </w:r>
      <w:r>
        <w:rPr>
          <w:rFonts w:ascii="Arial" w:cs="Arial" w:eastAsia="Arial" w:hAnsi="Arial"/>
          <w:sz w:val="16"/>
          <w:szCs w:val="16"/>
          <w:color w:val="auto"/>
        </w:rPr>
        <w:t>.” The Redemption Price will equal, with respect to the 1.500% Notes due 2031, at any time prior to November 15, 2030 (three months prior to the maturity of the 1.500% Notes due 2031) (the “</w:t>
      </w:r>
      <w:r>
        <w:rPr>
          <w:rFonts w:ascii="Arial" w:cs="Arial" w:eastAsia="Arial" w:hAnsi="Arial"/>
          <w:sz w:val="16"/>
          <w:szCs w:val="16"/>
          <w:b w:val="1"/>
          <w:bCs w:val="1"/>
          <w:color w:val="auto"/>
        </w:rPr>
        <w:t>2031 Par Call Date</w:t>
      </w:r>
      <w:r>
        <w:rPr>
          <w:rFonts w:ascii="Arial" w:cs="Arial" w:eastAsia="Arial" w:hAnsi="Arial"/>
          <w:sz w:val="16"/>
          <w:szCs w:val="16"/>
          <w:color w:val="auto"/>
        </w:rPr>
        <w:t>”), the greater of</w:t>
      </w:r>
    </w:p>
    <w:p>
      <w:pPr>
        <w:spacing w:after="0" w:line="2" w:lineRule="exact"/>
        <w:rPr>
          <w:sz w:val="20"/>
          <w:szCs w:val="20"/>
          <w:color w:val="auto"/>
        </w:rPr>
      </w:pPr>
    </w:p>
    <w:p>
      <w:pPr>
        <w:ind w:left="200" w:right="60" w:firstLine="1"/>
        <w:spacing w:after="0" w:line="286" w:lineRule="auto"/>
        <w:tabs>
          <w:tab w:leader="none" w:pos="415" w:val="left"/>
        </w:tabs>
        <w:numPr>
          <w:ilvl w:val="0"/>
          <w:numId w:val="2"/>
        </w:numPr>
        <w:rPr>
          <w:rFonts w:ascii="Arial" w:cs="Arial" w:eastAsia="Arial" w:hAnsi="Arial"/>
          <w:sz w:val="16"/>
          <w:szCs w:val="16"/>
          <w:color w:val="auto"/>
        </w:rPr>
      </w:pPr>
      <w:r>
        <w:rPr>
          <w:rFonts w:ascii="Arial" w:cs="Arial" w:eastAsia="Arial" w:hAnsi="Arial"/>
          <w:sz w:val="16"/>
          <w:szCs w:val="16"/>
          <w:color w:val="auto"/>
        </w:rPr>
        <w:t>100% of the principal amount of such notes and (ii) the sum of the present values of the principal amount of such notes and the scheduled payments of interest thereon (exclusive of interest accrued to the date of redemption) from the redemption date to the 2031 Par Call Date, in each case discounted to the redemption date on a semiannual basis at the Treasury Rate plus 15 basis points, provided that, if the 1.500% Notes due 2031 are redeemed on or after the 2031 Par Call Date, the Redemption Price will equal 100% of the principal amount of such notes; plus, in each case, accrued and unpaid interest thereon to the date of redemption.</w:t>
      </w:r>
    </w:p>
    <w:p>
      <w:pPr>
        <w:spacing w:after="0" w:line="132"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An unlimited amount of additional 1.500% Notes due 2031 may be issued. The 1.500% Notes due 2031 and any additional 1.500% Notes due 2031 that may be issued may be treated as a single series for all purposes under the Indenture.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20030N DN8 / US20030NDN84</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99.663% plus accrued interest, if any, from August 25, 2020</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0.400%</w:t>
      </w:r>
    </w:p>
    <w:p>
      <w:pPr>
        <w:spacing w:after="0" w:line="185"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99.263% per $1,000 principal amount of 1.500% Notes due 2031; $1,737,102,500 total</w:t>
      </w: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$1,500,000,000</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15, 2052</w:t>
      </w:r>
    </w:p>
    <w:p>
      <w:pPr>
        <w:spacing w:after="0" w:line="185" w:lineRule="exact"/>
        <w:rPr>
          <w:sz w:val="20"/>
          <w:szCs w:val="20"/>
          <w:color w:val="auto"/>
        </w:rPr>
      </w:pPr>
    </w:p>
    <w:p>
      <w:pPr>
        <w:ind w:left="200" w:right="360"/>
        <w:spacing w:after="0" w:line="308" w:lineRule="auto"/>
        <w:rPr>
          <w:sz w:val="20"/>
          <w:szCs w:val="20"/>
          <w:color w:val="auto"/>
        </w:rPr>
      </w:pPr>
      <w:r>
        <w:rPr>
          <w:rFonts w:ascii="Arial" w:cs="Arial" w:eastAsia="Arial" w:hAnsi="Arial"/>
          <w:sz w:val="17"/>
          <w:szCs w:val="17"/>
          <w:color w:val="auto"/>
        </w:rPr>
        <w:t>2.450% per annum, accruing from August 25, 2020 (calculated on the basis of a 360-day year consisting of twelve 30-day months)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15 and August 15, commencing February 15, 2021</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UST 2.000% due February 15, 2050</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116-30 / 1.306%</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+118 bps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820" w:space="720"/>
            <w:col w:w="5600"/>
          </w:cols>
          <w:pgMar w:left="360" w:top="584"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Yield to Maturity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Additional Issuances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CUSIP / ISIN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Public Offering Price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Underwriters’ Discount</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Net Proceeds to Comcast, Before Expenses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2.650% Notes Due 2062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Aggregate Principal Amount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Maturity Date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Interest Rate</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Interest Payment Dates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Benchmark Treasury Price/Yield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Spread to Benchmark Treasury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Yield to Maturity</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Arial" w:cs="Arial" w:eastAsia="Arial" w:hAnsi="Arial"/>
          <w:sz w:val="18"/>
          <w:szCs w:val="18"/>
          <w:color w:val="auto"/>
        </w:rPr>
        <w:t>2.486%</w:t>
      </w:r>
    </w:p>
    <w:p>
      <w:pPr>
        <w:spacing w:after="0" w:line="185"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The 2.450% Notes due 2052 are redeemable at the option of the Company at any time, in whole or in part, at the “</w:t>
      </w:r>
      <w:r>
        <w:rPr>
          <w:rFonts w:ascii="Arial" w:cs="Arial" w:eastAsia="Arial" w:hAnsi="Arial"/>
          <w:sz w:val="16"/>
          <w:szCs w:val="16"/>
          <w:b w:val="1"/>
          <w:bCs w:val="1"/>
          <w:color w:val="auto"/>
        </w:rPr>
        <w:t>Redemption Price</w:t>
      </w:r>
      <w:r>
        <w:rPr>
          <w:rFonts w:ascii="Arial" w:cs="Arial" w:eastAsia="Arial" w:hAnsi="Arial"/>
          <w:sz w:val="16"/>
          <w:szCs w:val="16"/>
          <w:color w:val="auto"/>
        </w:rPr>
        <w:t>.” The Redemption Price will equal, with respect to the 2.450% Notes due 2052, at any time prior to February 15, 2052 (six months prior to the maturity of the 2.450% Notes due 2052) (the “</w:t>
      </w:r>
      <w:r>
        <w:rPr>
          <w:rFonts w:ascii="Arial" w:cs="Arial" w:eastAsia="Arial" w:hAnsi="Arial"/>
          <w:sz w:val="16"/>
          <w:szCs w:val="16"/>
          <w:b w:val="1"/>
          <w:bCs w:val="1"/>
          <w:color w:val="auto"/>
        </w:rPr>
        <w:t>2052 Par Call Date</w:t>
      </w:r>
      <w:r>
        <w:rPr>
          <w:rFonts w:ascii="Arial" w:cs="Arial" w:eastAsia="Arial" w:hAnsi="Arial"/>
          <w:sz w:val="16"/>
          <w:szCs w:val="16"/>
          <w:color w:val="auto"/>
        </w:rPr>
        <w:t>”), the greater of (i) 100% of the principal amount of such notes and (ii) the sum of the present values of the principal amount of such notes and the scheduled payments of interest thereon (exclusive of interest accrued to the date of redemption) from the redemption date to the 2052 Par Call Date, in each case discounted to the redemption date on a semiannual basis at the Treasury Rate plus 20 basis points, provided that, if the 2.450% Notes due 2052 are redeemed on or after the 2052 Par Call Date, the Redemption Price will equal 100% of the principal amount of such notes; plus, in each case, accrued and unpaid interest thereon to the date of redemption.</w:t>
      </w:r>
    </w:p>
    <w:p>
      <w:pPr>
        <w:spacing w:after="0" w:line="13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An unlimited amount of additional 2.450% Notes due 2052 may be issued. The 2.450% Notes due 2052 and any additional 2.450% Notes due 2052 that may be issued may be treated as a single series for all purposes under the Indenture.</w:t>
      </w:r>
    </w:p>
    <w:p>
      <w:pPr>
        <w:spacing w:after="0" w:line="1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20030N DP3 / US20030NDP33</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99.210% of principal amount plus accrued interest, if any, from August 25,</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2020</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0.750%</w:t>
      </w:r>
    </w:p>
    <w:p>
      <w:pPr>
        <w:spacing w:after="0" w:line="185" w:lineRule="exact"/>
        <w:rPr>
          <w:sz w:val="20"/>
          <w:szCs w:val="20"/>
          <w:color w:val="auto"/>
        </w:rPr>
      </w:pPr>
    </w:p>
    <w:p>
      <w:pPr>
        <w:ind w:left="200" w:right="660"/>
        <w:spacing w:after="0" w:line="277" w:lineRule="auto"/>
        <w:rPr>
          <w:sz w:val="20"/>
          <w:szCs w:val="20"/>
          <w:color w:val="auto"/>
        </w:rPr>
      </w:pPr>
      <w:r>
        <w:rPr>
          <w:rFonts w:ascii="Arial" w:cs="Arial" w:eastAsia="Arial" w:hAnsi="Arial"/>
          <w:sz w:val="18"/>
          <w:szCs w:val="18"/>
          <w:color w:val="auto"/>
        </w:rPr>
        <w:t>98.460% per $1,000 principal amount of 2.450% Notes due 2052; $1,476,900,000 total</w:t>
      </w: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$1,250,000,000</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August 15, 2062</w:t>
      </w:r>
    </w:p>
    <w:p>
      <w:pPr>
        <w:spacing w:after="0" w:line="185" w:lineRule="exact"/>
        <w:rPr>
          <w:sz w:val="20"/>
          <w:szCs w:val="20"/>
          <w:color w:val="auto"/>
        </w:rPr>
      </w:pPr>
    </w:p>
    <w:p>
      <w:pPr>
        <w:ind w:left="200" w:right="360"/>
        <w:spacing w:after="0" w:line="308" w:lineRule="auto"/>
        <w:rPr>
          <w:sz w:val="20"/>
          <w:szCs w:val="20"/>
          <w:color w:val="auto"/>
        </w:rPr>
      </w:pPr>
      <w:r>
        <w:rPr>
          <w:rFonts w:ascii="Arial" w:cs="Arial" w:eastAsia="Arial" w:hAnsi="Arial"/>
          <w:sz w:val="17"/>
          <w:szCs w:val="17"/>
          <w:color w:val="auto"/>
        </w:rPr>
        <w:t>2.650% per annum, accruing from August 25, 2020 (calculated on the basis of a 360-day year consisting of twelve 30-day months)</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15 and August 15, commencing February 15, 2021</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UST 2.000% due February 15, 2050</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116-30 / 1.306%</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+138 bps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2.686%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820" w:space="720"/>
            <w:col w:w="5600"/>
          </w:cols>
          <w:pgMar w:left="360" w:top="584"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2"/>
        </w:trPr>
        <w:tc>
          <w:tcPr>
            <w:tcW w:w="4380" w:type="dxa"/>
            <w:vAlign w:val="bottom"/>
          </w:tcPr>
          <w:p>
            <w:pPr>
              <w:ind w:left="40"/>
              <w:spacing w:after="0"/>
              <w:rPr>
                <w:sz w:val="20"/>
                <w:szCs w:val="20"/>
                <w:color w:val="auto"/>
              </w:rPr>
            </w:pPr>
            <w:r>
              <w:rPr>
                <w:rFonts w:ascii="Arial" w:cs="Arial" w:eastAsia="Arial" w:hAnsi="Arial"/>
                <w:sz w:val="18"/>
                <w:szCs w:val="18"/>
                <w:color w:val="auto"/>
              </w:rPr>
              <w:t>Optional Redemption</w:t>
            </w:r>
          </w:p>
        </w:tc>
        <w:tc>
          <w:tcPr>
            <w:tcW w:w="6860" w:type="dxa"/>
            <w:vAlign w:val="bottom"/>
          </w:tcPr>
          <w:p>
            <w:pPr>
              <w:ind w:left="1400"/>
              <w:spacing w:after="0"/>
              <w:rPr>
                <w:sz w:val="20"/>
                <w:szCs w:val="20"/>
                <w:color w:val="auto"/>
              </w:rPr>
            </w:pPr>
            <w:r>
              <w:rPr>
                <w:rFonts w:ascii="Arial" w:cs="Arial" w:eastAsia="Arial" w:hAnsi="Arial"/>
                <w:sz w:val="18"/>
                <w:szCs w:val="18"/>
                <w:color w:val="auto"/>
                <w:w w:val="91"/>
              </w:rPr>
              <w:t>The 2.650% Notes due 2062 are redeemable at the option of the Company</w:t>
            </w:r>
          </w:p>
        </w:tc>
      </w:tr>
      <w:tr>
        <w:trPr>
          <w:trHeight w:val="220"/>
        </w:trPr>
        <w:tc>
          <w:tcPr>
            <w:tcW w:w="4380" w:type="dxa"/>
            <w:vAlign w:val="bottom"/>
          </w:tcPr>
          <w:p>
            <w:pPr>
              <w:spacing w:after="0"/>
              <w:rPr>
                <w:sz w:val="19"/>
                <w:szCs w:val="19"/>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rPr>
              <w:t>at any time, in whole or in part, at the “</w:t>
            </w:r>
            <w:r>
              <w:rPr>
                <w:rFonts w:ascii="Arial" w:cs="Arial" w:eastAsia="Arial" w:hAnsi="Arial"/>
                <w:sz w:val="18"/>
                <w:szCs w:val="18"/>
                <w:b w:val="1"/>
                <w:bCs w:val="1"/>
                <w:color w:val="auto"/>
              </w:rPr>
              <w:t>Redemption Price</w:t>
            </w:r>
            <w:r>
              <w:rPr>
                <w:rFonts w:ascii="Arial" w:cs="Arial" w:eastAsia="Arial" w:hAnsi="Arial"/>
                <w:sz w:val="18"/>
                <w:szCs w:val="18"/>
                <w:color w:val="auto"/>
              </w:rPr>
              <w:t>.” The</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3"/>
              </w:rPr>
              <w:t>Redemption Price will equal, with respect to the 2.650% Notes due 2062,</w:t>
            </w:r>
          </w:p>
        </w:tc>
      </w:tr>
      <w:tr>
        <w:trPr>
          <w:trHeight w:val="212"/>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4"/>
              </w:rPr>
              <w:t>at any time prior to February 15, 2062 (six months prior to the maturity of</w:t>
            </w:r>
          </w:p>
        </w:tc>
      </w:tr>
      <w:tr>
        <w:trPr>
          <w:trHeight w:val="220"/>
        </w:trPr>
        <w:tc>
          <w:tcPr>
            <w:tcW w:w="4380" w:type="dxa"/>
            <w:vAlign w:val="bottom"/>
          </w:tcPr>
          <w:p>
            <w:pPr>
              <w:spacing w:after="0"/>
              <w:rPr>
                <w:sz w:val="19"/>
                <w:szCs w:val="19"/>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3"/>
              </w:rPr>
              <w:t>the 2.650% Notes due 2062) (the “</w:t>
            </w:r>
            <w:r>
              <w:rPr>
                <w:rFonts w:ascii="Arial" w:cs="Arial" w:eastAsia="Arial" w:hAnsi="Arial"/>
                <w:sz w:val="18"/>
                <w:szCs w:val="18"/>
                <w:b w:val="1"/>
                <w:bCs w:val="1"/>
                <w:color w:val="auto"/>
                <w:w w:val="93"/>
              </w:rPr>
              <w:t>2062 Par Call Date</w:t>
            </w:r>
            <w:r>
              <w:rPr>
                <w:rFonts w:ascii="Arial" w:cs="Arial" w:eastAsia="Arial" w:hAnsi="Arial"/>
                <w:sz w:val="18"/>
                <w:szCs w:val="18"/>
                <w:color w:val="auto"/>
                <w:w w:val="93"/>
              </w:rPr>
              <w:t>”), the greater of (i)</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2"/>
              </w:rPr>
              <w:t>100% of the principal amount of such notes and (ii) the sum of the present</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2"/>
              </w:rPr>
              <w:t>values of the principal amount of such notes and the scheduled payments</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1"/>
              </w:rPr>
              <w:t>of interest thereon (exclusive of interest accrued to the date of redemption)</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rPr>
              <w:t>from the redemption date to the 2062 Par Call Date, in each case</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3"/>
              </w:rPr>
              <w:t>discounted to the redemption date on a semiannual basis at the Treasury</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1"/>
              </w:rPr>
              <w:t>Rate plus 25 basis points, provided that, if the 2.650% Notes due 2062 are</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5"/>
              </w:rPr>
              <w:t>redeemed on or after the 2062 Par Call Date, the Redemption Price will</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8"/>
              </w:rPr>
              <w:t>equal 100% of the principal amount of such notes; plus, in each case,</w:t>
            </w:r>
          </w:p>
        </w:tc>
      </w:tr>
      <w:tr>
        <w:trPr>
          <w:trHeight w:val="230"/>
        </w:trPr>
        <w:tc>
          <w:tcPr>
            <w:tcW w:w="4380" w:type="dxa"/>
            <w:vAlign w:val="bottom"/>
          </w:tcPr>
          <w:p>
            <w:pPr>
              <w:spacing w:after="0"/>
              <w:rPr>
                <w:sz w:val="20"/>
                <w:szCs w:val="20"/>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rPr>
              <w:t>accrued and unpaid interest thereon to the date of redemption.</w:t>
            </w:r>
          </w:p>
        </w:tc>
      </w:tr>
      <w:tr>
        <w:trPr>
          <w:trHeight w:val="377"/>
        </w:trPr>
        <w:tc>
          <w:tcPr>
            <w:tcW w:w="4380" w:type="dxa"/>
            <w:vAlign w:val="bottom"/>
          </w:tcPr>
          <w:p>
            <w:pPr>
              <w:ind w:left="40"/>
              <w:spacing w:after="0"/>
              <w:rPr>
                <w:sz w:val="20"/>
                <w:szCs w:val="20"/>
                <w:color w:val="auto"/>
              </w:rPr>
            </w:pPr>
            <w:r>
              <w:rPr>
                <w:rFonts w:ascii="Arial" w:cs="Arial" w:eastAsia="Arial" w:hAnsi="Arial"/>
                <w:sz w:val="18"/>
                <w:szCs w:val="18"/>
                <w:color w:val="auto"/>
              </w:rPr>
              <w:t>Additional Issuances</w:t>
            </w:r>
          </w:p>
        </w:tc>
        <w:tc>
          <w:tcPr>
            <w:tcW w:w="6860" w:type="dxa"/>
            <w:vAlign w:val="bottom"/>
          </w:tcPr>
          <w:p>
            <w:pPr>
              <w:ind w:left="1400"/>
              <w:spacing w:after="0"/>
              <w:rPr>
                <w:sz w:val="20"/>
                <w:szCs w:val="20"/>
                <w:color w:val="auto"/>
              </w:rPr>
            </w:pPr>
            <w:r>
              <w:rPr>
                <w:rFonts w:ascii="Arial" w:cs="Arial" w:eastAsia="Arial" w:hAnsi="Arial"/>
                <w:sz w:val="18"/>
                <w:szCs w:val="18"/>
                <w:color w:val="auto"/>
                <w:w w:val="92"/>
              </w:rPr>
              <w:t>An unlimited amount of additional 2.650% Notes due 2062 may be issued.</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4"/>
              </w:rPr>
              <w:t>The 2.650% Notes due 2062 and any additional 2.650% Notes due 2062</w:t>
            </w:r>
          </w:p>
        </w:tc>
      </w:tr>
      <w:tr>
        <w:trPr>
          <w:trHeight w:val="216"/>
        </w:trPr>
        <w:tc>
          <w:tcPr>
            <w:tcW w:w="4380" w:type="dxa"/>
            <w:vAlign w:val="bottom"/>
          </w:tcPr>
          <w:p>
            <w:pPr>
              <w:spacing w:after="0"/>
              <w:rPr>
                <w:sz w:val="18"/>
                <w:szCs w:val="18"/>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w w:val="90"/>
              </w:rPr>
              <w:t>that may be issued may be treated as a single series for all purposes under</w:t>
            </w:r>
          </w:p>
        </w:tc>
      </w:tr>
      <w:tr>
        <w:trPr>
          <w:trHeight w:val="230"/>
        </w:trPr>
        <w:tc>
          <w:tcPr>
            <w:tcW w:w="4380" w:type="dxa"/>
            <w:vAlign w:val="bottom"/>
          </w:tcPr>
          <w:p>
            <w:pPr>
              <w:spacing w:after="0"/>
              <w:rPr>
                <w:sz w:val="20"/>
                <w:szCs w:val="20"/>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rPr>
              <w:t>the Indenture.</w:t>
            </w:r>
          </w:p>
        </w:tc>
      </w:tr>
      <w:tr>
        <w:trPr>
          <w:trHeight w:val="392"/>
        </w:trPr>
        <w:tc>
          <w:tcPr>
            <w:tcW w:w="4380" w:type="dxa"/>
            <w:vAlign w:val="bottom"/>
          </w:tcPr>
          <w:p>
            <w:pPr>
              <w:ind w:left="40"/>
              <w:spacing w:after="0"/>
              <w:rPr>
                <w:sz w:val="20"/>
                <w:szCs w:val="20"/>
                <w:color w:val="auto"/>
              </w:rPr>
            </w:pPr>
            <w:r>
              <w:rPr>
                <w:rFonts w:ascii="Arial" w:cs="Arial" w:eastAsia="Arial" w:hAnsi="Arial"/>
                <w:sz w:val="18"/>
                <w:szCs w:val="18"/>
                <w:color w:val="auto"/>
              </w:rPr>
              <w:t>CUSIP / ISIN</w:t>
            </w:r>
          </w:p>
        </w:tc>
        <w:tc>
          <w:tcPr>
            <w:tcW w:w="6860" w:type="dxa"/>
            <w:vAlign w:val="bottom"/>
          </w:tcPr>
          <w:p>
            <w:pPr>
              <w:ind w:left="1400"/>
              <w:spacing w:after="0"/>
              <w:rPr>
                <w:sz w:val="20"/>
                <w:szCs w:val="20"/>
                <w:color w:val="auto"/>
              </w:rPr>
            </w:pPr>
            <w:r>
              <w:rPr>
                <w:rFonts w:ascii="Arial" w:cs="Arial" w:eastAsia="Arial" w:hAnsi="Arial"/>
                <w:sz w:val="18"/>
                <w:szCs w:val="18"/>
                <w:color w:val="auto"/>
              </w:rPr>
              <w:t>20030N DQ1 / US20030NDQ16</w:t>
            </w:r>
          </w:p>
        </w:tc>
      </w:tr>
      <w:tr>
        <w:trPr>
          <w:trHeight w:val="392"/>
        </w:trPr>
        <w:tc>
          <w:tcPr>
            <w:tcW w:w="4380" w:type="dxa"/>
            <w:vAlign w:val="bottom"/>
          </w:tcPr>
          <w:p>
            <w:pPr>
              <w:ind w:left="40"/>
              <w:spacing w:after="0"/>
              <w:rPr>
                <w:sz w:val="20"/>
                <w:szCs w:val="20"/>
                <w:color w:val="auto"/>
              </w:rPr>
            </w:pPr>
            <w:r>
              <w:rPr>
                <w:rFonts w:ascii="Arial" w:cs="Arial" w:eastAsia="Arial" w:hAnsi="Arial"/>
                <w:sz w:val="18"/>
                <w:szCs w:val="18"/>
                <w:color w:val="auto"/>
              </w:rPr>
              <w:t>Public Offering Price</w:t>
            </w:r>
          </w:p>
        </w:tc>
        <w:tc>
          <w:tcPr>
            <w:tcW w:w="6860" w:type="dxa"/>
            <w:vAlign w:val="bottom"/>
          </w:tcPr>
          <w:p>
            <w:pPr>
              <w:ind w:left="1400"/>
              <w:spacing w:after="0"/>
              <w:rPr>
                <w:sz w:val="20"/>
                <w:szCs w:val="20"/>
                <w:color w:val="auto"/>
              </w:rPr>
            </w:pPr>
            <w:r>
              <w:rPr>
                <w:rFonts w:ascii="Arial" w:cs="Arial" w:eastAsia="Arial" w:hAnsi="Arial"/>
                <w:sz w:val="18"/>
                <w:szCs w:val="18"/>
                <w:color w:val="auto"/>
              </w:rPr>
              <w:t>99.098% plus accrued interest, if any, from August 25, 2020</w:t>
            </w:r>
          </w:p>
        </w:tc>
      </w:tr>
      <w:tr>
        <w:trPr>
          <w:trHeight w:val="392"/>
        </w:trPr>
        <w:tc>
          <w:tcPr>
            <w:tcW w:w="4380" w:type="dxa"/>
            <w:vAlign w:val="bottom"/>
          </w:tcPr>
          <w:p>
            <w:pPr>
              <w:ind w:left="40"/>
              <w:spacing w:after="0"/>
              <w:rPr>
                <w:sz w:val="20"/>
                <w:szCs w:val="20"/>
                <w:color w:val="auto"/>
              </w:rPr>
            </w:pPr>
            <w:r>
              <w:rPr>
                <w:rFonts w:ascii="Arial" w:cs="Arial" w:eastAsia="Arial" w:hAnsi="Arial"/>
                <w:sz w:val="18"/>
                <w:szCs w:val="18"/>
                <w:color w:val="auto"/>
              </w:rPr>
              <w:t>Underwriters’ Discount</w:t>
            </w:r>
          </w:p>
        </w:tc>
        <w:tc>
          <w:tcPr>
            <w:tcW w:w="6860" w:type="dxa"/>
            <w:vAlign w:val="bottom"/>
          </w:tcPr>
          <w:p>
            <w:pPr>
              <w:ind w:left="1400"/>
              <w:spacing w:after="0"/>
              <w:rPr>
                <w:sz w:val="20"/>
                <w:szCs w:val="20"/>
                <w:color w:val="auto"/>
              </w:rPr>
            </w:pPr>
            <w:r>
              <w:rPr>
                <w:rFonts w:ascii="Arial" w:cs="Arial" w:eastAsia="Arial" w:hAnsi="Arial"/>
                <w:sz w:val="18"/>
                <w:szCs w:val="18"/>
                <w:color w:val="auto"/>
              </w:rPr>
              <w:t>0.800%</w:t>
            </w:r>
          </w:p>
        </w:tc>
      </w:tr>
      <w:tr>
        <w:trPr>
          <w:trHeight w:val="377"/>
        </w:trPr>
        <w:tc>
          <w:tcPr>
            <w:tcW w:w="4380" w:type="dxa"/>
            <w:vAlign w:val="bottom"/>
          </w:tcPr>
          <w:p>
            <w:pPr>
              <w:ind w:left="40"/>
              <w:spacing w:after="0"/>
              <w:rPr>
                <w:sz w:val="20"/>
                <w:szCs w:val="20"/>
                <w:color w:val="auto"/>
              </w:rPr>
            </w:pPr>
            <w:r>
              <w:rPr>
                <w:rFonts w:ascii="Arial" w:cs="Arial" w:eastAsia="Arial" w:hAnsi="Arial"/>
                <w:sz w:val="18"/>
                <w:szCs w:val="18"/>
                <w:color w:val="auto"/>
              </w:rPr>
              <w:t>Net Proceeds to Comcast, Before Expenses</w:t>
            </w:r>
          </w:p>
        </w:tc>
        <w:tc>
          <w:tcPr>
            <w:tcW w:w="6860" w:type="dxa"/>
            <w:vAlign w:val="bottom"/>
          </w:tcPr>
          <w:p>
            <w:pPr>
              <w:ind w:left="1400"/>
              <w:spacing w:after="0"/>
              <w:rPr>
                <w:sz w:val="20"/>
                <w:szCs w:val="20"/>
                <w:color w:val="auto"/>
              </w:rPr>
            </w:pPr>
            <w:r>
              <w:rPr>
                <w:rFonts w:ascii="Arial" w:cs="Arial" w:eastAsia="Arial" w:hAnsi="Arial"/>
                <w:sz w:val="18"/>
                <w:szCs w:val="18"/>
                <w:color w:val="auto"/>
              </w:rPr>
              <w:t>98.298% per $1,000 principal amount of 2.650% Notes due 2062;</w:t>
            </w:r>
          </w:p>
        </w:tc>
      </w:tr>
      <w:tr>
        <w:trPr>
          <w:trHeight w:val="230"/>
        </w:trPr>
        <w:tc>
          <w:tcPr>
            <w:tcW w:w="4380" w:type="dxa"/>
            <w:vAlign w:val="bottom"/>
          </w:tcPr>
          <w:p>
            <w:pPr>
              <w:spacing w:after="0"/>
              <w:rPr>
                <w:sz w:val="20"/>
                <w:szCs w:val="20"/>
                <w:color w:val="auto"/>
              </w:rPr>
            </w:pPr>
          </w:p>
        </w:tc>
        <w:tc>
          <w:tcPr>
            <w:tcW w:w="6860" w:type="dxa"/>
            <w:vAlign w:val="bottom"/>
          </w:tcPr>
          <w:p>
            <w:pPr>
              <w:ind w:left="1400"/>
              <w:spacing w:after="0"/>
              <w:rPr>
                <w:sz w:val="20"/>
                <w:szCs w:val="20"/>
                <w:color w:val="auto"/>
              </w:rPr>
            </w:pPr>
            <w:r>
              <w:rPr>
                <w:rFonts w:ascii="Arial" w:cs="Arial" w:eastAsia="Arial" w:hAnsi="Arial"/>
                <w:sz w:val="18"/>
                <w:szCs w:val="18"/>
                <w:color w:val="auto"/>
              </w:rPr>
              <w:t>$1,228,725,000 total</w:t>
            </w:r>
          </w:p>
        </w:tc>
      </w:tr>
      <w:tr>
        <w:trPr>
          <w:trHeight w:val="500"/>
        </w:trPr>
        <w:tc>
          <w:tcPr>
            <w:tcW w:w="4380" w:type="dxa"/>
            <w:vAlign w:val="bottom"/>
            <w:tcBorders>
              <w:bottom w:val="single" w:sz="8" w:color="auto"/>
            </w:tcBorders>
          </w:tcPr>
          <w:p>
            <w:pPr>
              <w:spacing w:after="0"/>
              <w:rPr>
                <w:sz w:val="24"/>
                <w:szCs w:val="24"/>
                <w:color w:val="auto"/>
              </w:rPr>
            </w:pPr>
          </w:p>
        </w:tc>
        <w:tc>
          <w:tcPr>
            <w:tcW w:w="68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240"/>
          </w:cols>
          <w:pgMar w:left="320" w:top="584" w:right="339" w:bottom="1440" w:gutter="0" w:footer="0" w:header="0"/>
        </w:sectPr>
      </w:pPr>
    </w:p>
    <w:bookmarkStart w:id="5" w:name="page6"/>
    <w:bookmarkEnd w:id="5"/>
    <w:p>
      <w:pPr>
        <w:ind w:right="40" w:firstLine="324"/>
        <w:spacing w:after="0" w:line="255" w:lineRule="auto"/>
        <w:rPr>
          <w:sz w:val="20"/>
          <w:szCs w:val="20"/>
          <w:color w:val="auto"/>
        </w:rPr>
      </w:pPr>
      <w:r>
        <w:rPr>
          <w:rFonts w:ascii="Arial" w:cs="Arial" w:eastAsia="Arial" w:hAnsi="Arial"/>
          <w:sz w:val="18"/>
          <w:szCs w:val="18"/>
          <w:color w:val="auto"/>
        </w:rPr>
        <w:t>It is expected that delivery of the notes will be made against payment therefor on or about August 25, 2020, which is the tenth business day following the date hereof (such settlement cycle being referred to as “T+10”).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prior to the settlement date will be required, by virtue of the fact that the notes initially will settle in T+10, to specify an alternative settlement cycle at the time of any such trade to prevent failed settlement and should consult their own advisors.</w:t>
      </w:r>
    </w:p>
    <w:p>
      <w:pPr>
        <w:spacing w:after="0" w:line="19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u w:val="single" w:color="auto"/>
          <w:color w:val="0000FF"/>
        </w:rPr>
        <w:t>www.sec.gov.</w:t>
      </w:r>
      <w:r>
        <w:rPr>
          <w:rFonts w:ascii="Arial" w:cs="Arial" w:eastAsia="Arial" w:hAnsi="Arial"/>
          <w:sz w:val="18"/>
          <w:szCs w:val="18"/>
          <w:color w:val="auto"/>
        </w:rPr>
        <w:t xml:space="preserve"> Alternatively, the issuer, any underwriter or any dealer participating in the offering will arrange to send you the prospectus if you request it by calling BofA Securities, Inc. at 1-800-294-1322 (or emailing dg.prospectus_requests@bofa.com), Goldman Sachs &amp; Co. LLC at 1-866-471-2526, Morgan Stanley &amp; Co. LLC at 866-718-1649 and Wells Fargo Securities, LLC at 1-800-645-3751.</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58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2020-08-11T16:30:49Z</dcterms:created>
  <dcterms:modified xsi:type="dcterms:W3CDTF">2020-08-11T16:30:49Z</dcterms:modified>
</cp:coreProperties>
</file>