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78105</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58"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52" w:lineRule="exact"/>
        <w:rPr>
          <w:sz w:val="24"/>
          <w:szCs w:val="24"/>
          <w:color w:val="auto"/>
        </w:rPr>
      </w:pPr>
    </w:p>
    <w:p>
      <w:pPr>
        <w:ind w:left="4000" w:right="3400" w:hanging="3087"/>
        <w:spacing w:after="0" w:line="307" w:lineRule="auto"/>
        <w:tabs>
          <w:tab w:leader="none" w:pos="135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2012</w:t>
      </w:r>
    </w:p>
    <w:p>
      <w:pPr>
        <w:spacing w:after="0" w:line="169" w:lineRule="exact"/>
        <w:rPr>
          <w:sz w:val="24"/>
          <w:szCs w:val="24"/>
          <w:color w:val="auto"/>
        </w:rPr>
      </w:pPr>
    </w:p>
    <w:p>
      <w:pPr>
        <w:ind w:left="1360" w:hanging="447"/>
        <w:spacing w:after="0"/>
        <w:tabs>
          <w:tab w:leader="none" w:pos="13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1" w:lineRule="exact"/>
        <w:rPr>
          <w:sz w:val="24"/>
          <w:szCs w:val="24"/>
          <w:color w:val="auto"/>
        </w:rPr>
      </w:pPr>
    </w:p>
    <w:tbl>
      <w:tblPr>
        <w:tblLayout w:type="fixed"/>
        <w:tblInd w:w="3600" w:type="dxa"/>
        <w:tblCellMar>
          <w:top w:w="0" w:type="dxa"/>
          <w:left w:w="0" w:type="dxa"/>
          <w:bottom w:w="0" w:type="dxa"/>
          <w:right w:w="0" w:type="dxa"/>
        </w:tblCellMar>
      </w:tblPr>
      <w:tr>
        <w:trPr>
          <w:trHeight w:val="178"/>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w:t>
            </w:r>
          </w:p>
        </w:tc>
        <w:tc>
          <w:tcPr>
            <w:tcW w:w="620" w:type="dxa"/>
            <w:vAlign w:val="bottom"/>
          </w:tcPr>
          <w:p>
            <w:pPr>
              <w:spacing w:after="0"/>
              <w:rPr>
                <w:sz w:val="20"/>
                <w:szCs w:val="20"/>
                <w:color w:val="auto"/>
              </w:rPr>
            </w:pPr>
            <w:r>
              <w:rPr>
                <w:rFonts w:ascii="Arial" w:cs="Arial" w:eastAsia="Arial" w:hAnsi="Arial"/>
                <w:sz w:val="14"/>
                <w:szCs w:val="14"/>
                <w:b w:val="1"/>
                <w:bCs w:val="1"/>
                <w:color w:val="auto"/>
              </w:rPr>
              <w:t>TO</w:t>
            </w:r>
          </w:p>
        </w:tc>
      </w:tr>
      <w:tr>
        <w:trPr>
          <w:trHeight w:val="186"/>
        </w:trPr>
        <w:tc>
          <w:tcPr>
            <w:tcW w:w="360" w:type="dxa"/>
            <w:vAlign w:val="bottom"/>
          </w:tcPr>
          <w:p>
            <w:pPr>
              <w:spacing w:after="0"/>
              <w:rPr>
                <w:sz w:val="16"/>
                <w:szCs w:val="16"/>
                <w:color w:val="auto"/>
              </w:rPr>
            </w:pPr>
          </w:p>
        </w:tc>
        <w:tc>
          <w:tcPr>
            <w:tcW w:w="2900" w:type="dxa"/>
            <w:vAlign w:val="bottom"/>
          </w:tcPr>
          <w:p>
            <w:pPr>
              <w:ind w:left="620"/>
              <w:spacing w:after="0"/>
              <w:rPr>
                <w:sz w:val="20"/>
                <w:szCs w:val="20"/>
                <w:color w:val="auto"/>
              </w:rPr>
            </w:pPr>
            <w:r>
              <w:rPr>
                <w:rFonts w:ascii="Arial" w:cs="Arial" w:eastAsia="Arial" w:hAnsi="Arial"/>
                <w:sz w:val="14"/>
                <w:szCs w:val="14"/>
                <w:b w:val="1"/>
                <w:bCs w:val="1"/>
                <w:color w:val="auto"/>
                <w:w w:val="96"/>
              </w:rPr>
              <w:t>Commission file number 001-32871</w:t>
            </w:r>
          </w:p>
        </w:tc>
        <w:tc>
          <w:tcPr>
            <w:tcW w:w="620" w:type="dxa"/>
            <w:vAlign w:val="bottom"/>
          </w:tcPr>
          <w:p>
            <w:pPr>
              <w:spacing w:after="0"/>
              <w:rPr>
                <w:sz w:val="16"/>
                <w:szCs w:val="16"/>
                <w:color w:val="auto"/>
              </w:rPr>
            </w:pPr>
          </w:p>
        </w:tc>
      </w:tr>
      <w:tr>
        <w:trPr>
          <w:trHeight w:val="122"/>
        </w:trPr>
        <w:tc>
          <w:tcPr>
            <w:tcW w:w="360" w:type="dxa"/>
            <w:vAlign w:val="bottom"/>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51435</wp:posOffset>
            </wp:positionV>
            <wp:extent cx="139763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3960" w:type="dxa"/>
            <w:vAlign w:val="bottom"/>
          </w:tcPr>
          <w:p>
            <w:pPr>
              <w:spacing w:after="0"/>
              <w:rPr>
                <w:sz w:val="23"/>
                <w:szCs w:val="23"/>
                <w:color w:val="auto"/>
              </w:rPr>
            </w:pPr>
          </w:p>
        </w:tc>
        <w:tc>
          <w:tcPr>
            <w:tcW w:w="3340" w:type="dxa"/>
            <w:vAlign w:val="bottom"/>
          </w:tcPr>
          <w:p>
            <w:pPr>
              <w:jc w:val="center"/>
              <w:ind w:left="92"/>
              <w:spacing w:after="0"/>
              <w:rPr>
                <w:sz w:val="20"/>
                <w:szCs w:val="20"/>
                <w:color w:val="auto"/>
              </w:rPr>
            </w:pPr>
            <w:r>
              <w:rPr>
                <w:rFonts w:ascii="Arial" w:cs="Arial" w:eastAsia="Arial" w:hAnsi="Arial"/>
                <w:sz w:val="22"/>
                <w:szCs w:val="22"/>
                <w:b w:val="1"/>
                <w:bCs w:val="1"/>
                <w:color w:val="auto"/>
                <w:w w:val="97"/>
              </w:rPr>
              <w:t>COMCAST CORPORATION</w:t>
            </w:r>
          </w:p>
        </w:tc>
        <w:tc>
          <w:tcPr>
            <w:tcW w:w="1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162"/>
        </w:trPr>
        <w:tc>
          <w:tcPr>
            <w:tcW w:w="3960" w:type="dxa"/>
            <w:vAlign w:val="bottom"/>
          </w:tcPr>
          <w:p>
            <w:pPr>
              <w:spacing w:after="0"/>
              <w:rPr>
                <w:sz w:val="14"/>
                <w:szCs w:val="14"/>
                <w:color w:val="auto"/>
              </w:rPr>
            </w:pPr>
          </w:p>
        </w:tc>
        <w:tc>
          <w:tcPr>
            <w:tcW w:w="3340" w:type="dxa"/>
            <w:vAlign w:val="bottom"/>
          </w:tcPr>
          <w:p>
            <w:pPr>
              <w:jc w:val="center"/>
              <w:ind w:left="92"/>
              <w:spacing w:after="0"/>
              <w:rPr>
                <w:sz w:val="20"/>
                <w:szCs w:val="20"/>
                <w:color w:val="auto"/>
              </w:rPr>
            </w:pPr>
            <w:r>
              <w:rPr>
                <w:rFonts w:ascii="Arial" w:cs="Arial" w:eastAsia="Arial" w:hAnsi="Arial"/>
                <w:sz w:val="14"/>
                <w:szCs w:val="14"/>
                <w:color w:val="auto"/>
                <w:w w:val="96"/>
              </w:rPr>
              <w:t>(Exact name of registrant as specified in its charter)</w:t>
            </w:r>
          </w:p>
        </w:tc>
        <w:tc>
          <w:tcPr>
            <w:tcW w:w="18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202"/>
        </w:trPr>
        <w:tc>
          <w:tcPr>
            <w:tcW w:w="7300" w:type="dxa"/>
            <w:vAlign w:val="bottom"/>
            <w:gridSpan w:val="2"/>
          </w:tcPr>
          <w:p>
            <w:pPr>
              <w:jc w:val="center"/>
              <w:ind w:right="1492"/>
              <w:spacing w:after="0"/>
              <w:rPr>
                <w:sz w:val="20"/>
                <w:szCs w:val="20"/>
                <w:color w:val="auto"/>
              </w:rPr>
            </w:pPr>
            <w:r>
              <w:rPr>
                <w:rFonts w:ascii="Arial" w:cs="Arial" w:eastAsia="Arial" w:hAnsi="Arial"/>
                <w:sz w:val="14"/>
                <w:szCs w:val="14"/>
                <w:b w:val="1"/>
                <w:bCs w:val="1"/>
                <w:color w:val="auto"/>
                <w:w w:val="94"/>
              </w:rPr>
              <w:t>PENNSYLVANIA</w:t>
            </w:r>
          </w:p>
        </w:tc>
        <w:tc>
          <w:tcPr>
            <w:tcW w:w="4120" w:type="dxa"/>
            <w:vAlign w:val="bottom"/>
            <w:gridSpan w:val="2"/>
          </w:tcPr>
          <w:p>
            <w:pPr>
              <w:jc w:val="center"/>
              <w:ind w:right="1292"/>
              <w:spacing w:after="0"/>
              <w:rPr>
                <w:sz w:val="20"/>
                <w:szCs w:val="20"/>
                <w:color w:val="auto"/>
              </w:rPr>
            </w:pPr>
            <w:r>
              <w:rPr>
                <w:rFonts w:ascii="Arial" w:cs="Arial" w:eastAsia="Arial" w:hAnsi="Arial"/>
                <w:sz w:val="14"/>
                <w:szCs w:val="14"/>
                <w:b w:val="1"/>
                <w:bCs w:val="1"/>
                <w:color w:val="auto"/>
                <w:w w:val="96"/>
              </w:rPr>
              <w:t>27-0000798</w:t>
            </w:r>
          </w:p>
        </w:tc>
      </w:tr>
      <w:tr>
        <w:trPr>
          <w:trHeight w:val="149"/>
        </w:trPr>
        <w:tc>
          <w:tcPr>
            <w:tcW w:w="7300" w:type="dxa"/>
            <w:vAlign w:val="bottom"/>
            <w:gridSpan w:val="2"/>
          </w:tcPr>
          <w:p>
            <w:pPr>
              <w:jc w:val="center"/>
              <w:ind w:right="1492"/>
              <w:spacing w:after="0" w:line="149" w:lineRule="exact"/>
              <w:rPr>
                <w:sz w:val="20"/>
                <w:szCs w:val="20"/>
                <w:color w:val="auto"/>
              </w:rPr>
            </w:pPr>
            <w:r>
              <w:rPr>
                <w:rFonts w:ascii="Arial" w:cs="Arial" w:eastAsia="Arial" w:hAnsi="Arial"/>
                <w:sz w:val="14"/>
                <w:szCs w:val="14"/>
                <w:color w:val="auto"/>
                <w:w w:val="95"/>
              </w:rPr>
              <w:t>(State or other jurisdiction of</w:t>
            </w:r>
          </w:p>
        </w:tc>
        <w:tc>
          <w:tcPr>
            <w:tcW w:w="180" w:type="dxa"/>
            <w:vAlign w:val="bottom"/>
          </w:tcPr>
          <w:p>
            <w:pPr>
              <w:spacing w:after="0"/>
              <w:rPr>
                <w:sz w:val="12"/>
                <w:szCs w:val="12"/>
                <w:color w:val="auto"/>
              </w:rPr>
            </w:pPr>
          </w:p>
        </w:tc>
        <w:tc>
          <w:tcPr>
            <w:tcW w:w="3940" w:type="dxa"/>
            <w:vAlign w:val="bottom"/>
          </w:tcPr>
          <w:p>
            <w:pPr>
              <w:jc w:val="center"/>
              <w:ind w:right="1472"/>
              <w:spacing w:after="0" w:line="149" w:lineRule="exact"/>
              <w:rPr>
                <w:sz w:val="20"/>
                <w:szCs w:val="20"/>
                <w:color w:val="auto"/>
              </w:rPr>
            </w:pPr>
            <w:r>
              <w:rPr>
                <w:rFonts w:ascii="Arial" w:cs="Arial" w:eastAsia="Arial" w:hAnsi="Arial"/>
                <w:sz w:val="14"/>
                <w:szCs w:val="14"/>
                <w:color w:val="auto"/>
                <w:w w:val="96"/>
              </w:rPr>
              <w:t>(I.R.S. Employer Identification No.)</w:t>
            </w:r>
          </w:p>
        </w:tc>
      </w:tr>
      <w:tr>
        <w:trPr>
          <w:trHeight w:val="162"/>
        </w:trPr>
        <w:tc>
          <w:tcPr>
            <w:tcW w:w="7300" w:type="dxa"/>
            <w:vAlign w:val="bottom"/>
            <w:gridSpan w:val="2"/>
          </w:tcPr>
          <w:p>
            <w:pPr>
              <w:jc w:val="center"/>
              <w:ind w:right="1492"/>
              <w:spacing w:after="0"/>
              <w:rPr>
                <w:sz w:val="20"/>
                <w:szCs w:val="20"/>
                <w:color w:val="auto"/>
              </w:rPr>
            </w:pPr>
            <w:r>
              <w:rPr>
                <w:rFonts w:ascii="Arial" w:cs="Arial" w:eastAsia="Arial" w:hAnsi="Arial"/>
                <w:sz w:val="14"/>
                <w:szCs w:val="14"/>
                <w:color w:val="auto"/>
                <w:w w:val="96"/>
              </w:rPr>
              <w:t>incorporation or organization)</w:t>
            </w:r>
          </w:p>
        </w:tc>
        <w:tc>
          <w:tcPr>
            <w:tcW w:w="18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256"/>
        </w:trPr>
        <w:tc>
          <w:tcPr>
            <w:tcW w:w="7300" w:type="dxa"/>
            <w:vAlign w:val="bottom"/>
            <w:gridSpan w:val="2"/>
          </w:tcPr>
          <w:p>
            <w:pPr>
              <w:jc w:val="center"/>
              <w:ind w:right="1472"/>
              <w:spacing w:after="0"/>
              <w:rPr>
                <w:sz w:val="20"/>
                <w:szCs w:val="20"/>
                <w:color w:val="auto"/>
              </w:rPr>
            </w:pPr>
            <w:r>
              <w:rPr>
                <w:rFonts w:ascii="Arial" w:cs="Arial" w:eastAsia="Arial" w:hAnsi="Arial"/>
                <w:sz w:val="14"/>
                <w:szCs w:val="14"/>
                <w:b w:val="1"/>
                <w:bCs w:val="1"/>
                <w:color w:val="auto"/>
                <w:w w:val="96"/>
              </w:rPr>
              <w:t>One Comcast Center, Philadelphia, PA</w:t>
            </w:r>
          </w:p>
        </w:tc>
        <w:tc>
          <w:tcPr>
            <w:tcW w:w="4120" w:type="dxa"/>
            <w:vAlign w:val="bottom"/>
            <w:gridSpan w:val="2"/>
          </w:tcPr>
          <w:p>
            <w:pPr>
              <w:jc w:val="center"/>
              <w:ind w:right="1292"/>
              <w:spacing w:after="0"/>
              <w:rPr>
                <w:sz w:val="20"/>
                <w:szCs w:val="20"/>
                <w:color w:val="auto"/>
              </w:rPr>
            </w:pPr>
            <w:r>
              <w:rPr>
                <w:rFonts w:ascii="Arial" w:cs="Arial" w:eastAsia="Arial" w:hAnsi="Arial"/>
                <w:sz w:val="14"/>
                <w:szCs w:val="14"/>
                <w:b w:val="1"/>
                <w:bCs w:val="1"/>
                <w:color w:val="auto"/>
                <w:w w:val="96"/>
              </w:rPr>
              <w:t>19103-2838</w:t>
            </w:r>
          </w:p>
        </w:tc>
      </w:tr>
      <w:tr>
        <w:trPr>
          <w:trHeight w:val="162"/>
        </w:trPr>
        <w:tc>
          <w:tcPr>
            <w:tcW w:w="7300" w:type="dxa"/>
            <w:vAlign w:val="bottom"/>
            <w:gridSpan w:val="2"/>
          </w:tcPr>
          <w:p>
            <w:pPr>
              <w:jc w:val="center"/>
              <w:ind w:right="1492"/>
              <w:spacing w:after="0"/>
              <w:rPr>
                <w:sz w:val="20"/>
                <w:szCs w:val="20"/>
                <w:color w:val="auto"/>
              </w:rPr>
            </w:pPr>
            <w:r>
              <w:rPr>
                <w:rFonts w:ascii="Arial" w:cs="Arial" w:eastAsia="Arial" w:hAnsi="Arial"/>
                <w:sz w:val="14"/>
                <w:szCs w:val="14"/>
                <w:color w:val="auto"/>
                <w:w w:val="96"/>
              </w:rPr>
              <w:t>(Address of principal executive offices)</w:t>
            </w:r>
          </w:p>
        </w:tc>
        <w:tc>
          <w:tcPr>
            <w:tcW w:w="180" w:type="dxa"/>
            <w:vAlign w:val="bottom"/>
          </w:tcPr>
          <w:p>
            <w:pPr>
              <w:spacing w:after="0"/>
              <w:rPr>
                <w:sz w:val="14"/>
                <w:szCs w:val="14"/>
                <w:color w:val="auto"/>
              </w:rPr>
            </w:pPr>
          </w:p>
        </w:tc>
        <w:tc>
          <w:tcPr>
            <w:tcW w:w="3940" w:type="dxa"/>
            <w:vAlign w:val="bottom"/>
          </w:tcPr>
          <w:p>
            <w:pPr>
              <w:jc w:val="center"/>
              <w:ind w:right="1472"/>
              <w:spacing w:after="0"/>
              <w:rPr>
                <w:sz w:val="20"/>
                <w:szCs w:val="20"/>
                <w:color w:val="auto"/>
              </w:rPr>
            </w:pPr>
            <w:r>
              <w:rPr>
                <w:rFonts w:ascii="Arial" w:cs="Arial" w:eastAsia="Arial" w:hAnsi="Arial"/>
                <w:sz w:val="14"/>
                <w:szCs w:val="14"/>
                <w:color w:val="auto"/>
                <w:w w:val="96"/>
              </w:rPr>
              <w:t>(Zip Code)</w:t>
            </w:r>
          </w:p>
        </w:tc>
      </w:tr>
      <w:tr>
        <w:trPr>
          <w:trHeight w:val="189"/>
        </w:trPr>
        <w:tc>
          <w:tcPr>
            <w:tcW w:w="11420" w:type="dxa"/>
            <w:vAlign w:val="bottom"/>
            <w:gridSpan w:val="4"/>
          </w:tcPr>
          <w:p>
            <w:pPr>
              <w:jc w:val="center"/>
              <w:spacing w:after="0"/>
              <w:rPr>
                <w:sz w:val="20"/>
                <w:szCs w:val="20"/>
                <w:color w:val="auto"/>
              </w:rPr>
            </w:pPr>
            <w:r>
              <w:rPr>
                <w:rFonts w:ascii="Arial" w:cs="Arial" w:eastAsia="Arial" w:hAnsi="Arial"/>
                <w:sz w:val="14"/>
                <w:szCs w:val="14"/>
                <w:color w:val="auto"/>
                <w:w w:val="96"/>
              </w:rPr>
              <w:t xml:space="preserve">Registrant’s telephone number, including area code: </w:t>
            </w:r>
            <w:r>
              <w:rPr>
                <w:rFonts w:ascii="Arial" w:cs="Arial" w:eastAsia="Arial" w:hAnsi="Arial"/>
                <w:sz w:val="14"/>
                <w:szCs w:val="14"/>
                <w:b w:val="1"/>
                <w:bCs w:val="1"/>
                <w:color w:val="auto"/>
                <w:w w:val="96"/>
              </w:rPr>
              <w:t>(215) 286-1700</w:t>
            </w:r>
          </w:p>
        </w:tc>
      </w:tr>
      <w:tr>
        <w:trPr>
          <w:trHeight w:val="136"/>
        </w:trPr>
        <w:tc>
          <w:tcPr>
            <w:tcW w:w="3960" w:type="dxa"/>
            <w:vAlign w:val="bottom"/>
          </w:tcPr>
          <w:p>
            <w:pPr>
              <w:spacing w:after="0"/>
              <w:rPr>
                <w:sz w:val="11"/>
                <w:szCs w:val="11"/>
                <w:color w:val="auto"/>
              </w:rPr>
            </w:pPr>
          </w:p>
        </w:tc>
        <w:tc>
          <w:tcPr>
            <w:tcW w:w="3520" w:type="dxa"/>
            <w:vAlign w:val="bottom"/>
            <w:tcBorders>
              <w:bottom w:val="single" w:sz="8" w:color="auto"/>
            </w:tcBorders>
            <w:gridSpan w:val="2"/>
          </w:tcPr>
          <w:p>
            <w:pPr>
              <w:spacing w:after="0"/>
              <w:rPr>
                <w:sz w:val="11"/>
                <w:szCs w:val="11"/>
                <w:color w:val="auto"/>
              </w:rPr>
            </w:pPr>
          </w:p>
        </w:tc>
        <w:tc>
          <w:tcPr>
            <w:tcW w:w="3940" w:type="dxa"/>
            <w:vAlign w:val="bottom"/>
          </w:tcPr>
          <w:p>
            <w:pPr>
              <w:spacing w:after="0"/>
              <w:rPr>
                <w:sz w:val="11"/>
                <w:szCs w:val="11"/>
                <w:color w:val="auto"/>
              </w:rPr>
            </w:pPr>
          </w:p>
        </w:tc>
      </w:tr>
      <w:tr>
        <w:trPr>
          <w:trHeight w:val="248"/>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SECURITIES REGISTERED PURSUANT TO SECTION 12(b) OF THE ACT:</w:t>
            </w:r>
          </w:p>
        </w:tc>
      </w:tr>
      <w:tr>
        <w:trPr>
          <w:trHeight w:val="205"/>
        </w:trPr>
        <w:tc>
          <w:tcPr>
            <w:tcW w:w="7300" w:type="dxa"/>
            <w:vAlign w:val="bottom"/>
            <w:tcBorders>
              <w:bottom w:val="single" w:sz="8" w:color="auto"/>
            </w:tcBorders>
            <w:gridSpan w:val="2"/>
          </w:tcPr>
          <w:p>
            <w:pPr>
              <w:jc w:val="center"/>
              <w:ind w:right="1372"/>
              <w:spacing w:after="0"/>
              <w:rPr>
                <w:sz w:val="20"/>
                <w:szCs w:val="20"/>
                <w:color w:val="auto"/>
              </w:rPr>
            </w:pPr>
            <w:r>
              <w:rPr>
                <w:rFonts w:ascii="Arial" w:cs="Arial" w:eastAsia="Arial" w:hAnsi="Arial"/>
                <w:sz w:val="14"/>
                <w:szCs w:val="14"/>
                <w:color w:val="auto"/>
                <w:w w:val="95"/>
              </w:rPr>
              <w:t>Title of Each Class</w:t>
            </w:r>
          </w:p>
        </w:tc>
        <w:tc>
          <w:tcPr>
            <w:tcW w:w="4120" w:type="dxa"/>
            <w:vAlign w:val="bottom"/>
            <w:tcBorders>
              <w:bottom w:val="single" w:sz="8" w:color="auto"/>
            </w:tcBorders>
            <w:gridSpan w:val="2"/>
          </w:tcPr>
          <w:p>
            <w:pPr>
              <w:jc w:val="center"/>
              <w:ind w:right="1172"/>
              <w:spacing w:after="0"/>
              <w:rPr>
                <w:sz w:val="20"/>
                <w:szCs w:val="20"/>
                <w:color w:val="auto"/>
              </w:rPr>
            </w:pPr>
            <w:r>
              <w:rPr>
                <w:rFonts w:ascii="Arial" w:cs="Arial" w:eastAsia="Arial" w:hAnsi="Arial"/>
                <w:sz w:val="14"/>
                <w:szCs w:val="14"/>
                <w:color w:val="auto"/>
                <w:w w:val="96"/>
              </w:rPr>
              <w:t>Name of Each Exchange on which Registered</w:t>
            </w:r>
          </w:p>
        </w:tc>
      </w:tr>
      <w:tr>
        <w:trPr>
          <w:trHeight w:val="141"/>
        </w:trPr>
        <w:tc>
          <w:tcPr>
            <w:tcW w:w="7300" w:type="dxa"/>
            <w:vAlign w:val="bottom"/>
            <w:gridSpan w:val="2"/>
          </w:tcPr>
          <w:p>
            <w:pPr>
              <w:jc w:val="center"/>
              <w:ind w:right="1372"/>
              <w:spacing w:after="0" w:line="141" w:lineRule="exact"/>
              <w:rPr>
                <w:sz w:val="20"/>
                <w:szCs w:val="20"/>
                <w:color w:val="auto"/>
              </w:rPr>
            </w:pPr>
            <w:r>
              <w:rPr>
                <w:rFonts w:ascii="Arial" w:cs="Arial" w:eastAsia="Arial" w:hAnsi="Arial"/>
                <w:sz w:val="14"/>
                <w:szCs w:val="14"/>
                <w:color w:val="auto"/>
                <w:w w:val="96"/>
              </w:rPr>
              <w:t>Class A Common Stock, $0.01 par value</w:t>
            </w:r>
          </w:p>
        </w:tc>
        <w:tc>
          <w:tcPr>
            <w:tcW w:w="180" w:type="dxa"/>
            <w:vAlign w:val="bottom"/>
          </w:tcPr>
          <w:p>
            <w:pPr>
              <w:spacing w:after="0"/>
              <w:rPr>
                <w:sz w:val="12"/>
                <w:szCs w:val="12"/>
                <w:color w:val="auto"/>
              </w:rPr>
            </w:pPr>
          </w:p>
        </w:tc>
        <w:tc>
          <w:tcPr>
            <w:tcW w:w="3940" w:type="dxa"/>
            <w:vAlign w:val="bottom"/>
          </w:tcPr>
          <w:p>
            <w:pPr>
              <w:jc w:val="center"/>
              <w:ind w:right="1372"/>
              <w:spacing w:after="0" w:line="141"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7300" w:type="dxa"/>
            <w:vAlign w:val="bottom"/>
            <w:gridSpan w:val="2"/>
          </w:tcPr>
          <w:p>
            <w:pPr>
              <w:jc w:val="center"/>
              <w:ind w:right="1372"/>
              <w:spacing w:after="0" w:line="149" w:lineRule="exact"/>
              <w:rPr>
                <w:sz w:val="20"/>
                <w:szCs w:val="20"/>
                <w:color w:val="auto"/>
              </w:rPr>
            </w:pPr>
            <w:r>
              <w:rPr>
                <w:rFonts w:ascii="Arial" w:cs="Arial" w:eastAsia="Arial" w:hAnsi="Arial"/>
                <w:sz w:val="14"/>
                <w:szCs w:val="14"/>
                <w:color w:val="auto"/>
                <w:w w:val="96"/>
              </w:rPr>
              <w:t>Class A Special Common Stock, $0.01 par value</w:t>
            </w:r>
          </w:p>
        </w:tc>
        <w:tc>
          <w:tcPr>
            <w:tcW w:w="180" w:type="dxa"/>
            <w:vAlign w:val="bottom"/>
          </w:tcPr>
          <w:p>
            <w:pPr>
              <w:spacing w:after="0"/>
              <w:rPr>
                <w:sz w:val="12"/>
                <w:szCs w:val="12"/>
                <w:color w:val="auto"/>
              </w:rPr>
            </w:pPr>
          </w:p>
        </w:tc>
        <w:tc>
          <w:tcPr>
            <w:tcW w:w="3940" w:type="dxa"/>
            <w:vAlign w:val="bottom"/>
          </w:tcPr>
          <w:p>
            <w:pPr>
              <w:jc w:val="center"/>
              <w:ind w:right="1372"/>
              <w:spacing w:after="0" w:line="149"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7300" w:type="dxa"/>
            <w:vAlign w:val="bottom"/>
            <w:gridSpan w:val="2"/>
          </w:tcPr>
          <w:p>
            <w:pPr>
              <w:jc w:val="center"/>
              <w:ind w:right="1392"/>
              <w:spacing w:after="0" w:line="149" w:lineRule="exact"/>
              <w:rPr>
                <w:sz w:val="20"/>
                <w:szCs w:val="20"/>
                <w:color w:val="auto"/>
              </w:rPr>
            </w:pPr>
            <w:r>
              <w:rPr>
                <w:rFonts w:ascii="Arial" w:cs="Arial" w:eastAsia="Arial" w:hAnsi="Arial"/>
                <w:sz w:val="14"/>
                <w:szCs w:val="14"/>
                <w:color w:val="auto"/>
                <w:w w:val="96"/>
              </w:rPr>
              <w:t>2.0% Exchangeable Subordinated Debentures due 2029</w:t>
            </w:r>
          </w:p>
        </w:tc>
        <w:tc>
          <w:tcPr>
            <w:tcW w:w="180" w:type="dxa"/>
            <w:vAlign w:val="bottom"/>
          </w:tcPr>
          <w:p>
            <w:pPr>
              <w:spacing w:after="0"/>
              <w:rPr>
                <w:sz w:val="12"/>
                <w:szCs w:val="12"/>
                <w:color w:val="auto"/>
              </w:rPr>
            </w:pPr>
          </w:p>
        </w:tc>
        <w:tc>
          <w:tcPr>
            <w:tcW w:w="3940" w:type="dxa"/>
            <w:vAlign w:val="bottom"/>
          </w:tcPr>
          <w:p>
            <w:pPr>
              <w:jc w:val="center"/>
              <w:ind w:right="135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7300" w:type="dxa"/>
            <w:vAlign w:val="bottom"/>
            <w:gridSpan w:val="2"/>
          </w:tcPr>
          <w:p>
            <w:pPr>
              <w:jc w:val="center"/>
              <w:ind w:right="1372"/>
              <w:spacing w:after="0" w:line="149" w:lineRule="exact"/>
              <w:rPr>
                <w:sz w:val="20"/>
                <w:szCs w:val="20"/>
                <w:color w:val="auto"/>
              </w:rPr>
            </w:pPr>
            <w:r>
              <w:rPr>
                <w:rFonts w:ascii="Arial" w:cs="Arial" w:eastAsia="Arial" w:hAnsi="Arial"/>
                <w:sz w:val="14"/>
                <w:szCs w:val="14"/>
                <w:color w:val="auto"/>
                <w:w w:val="95"/>
              </w:rPr>
              <w:t>5.00% Notes due 2061</w:t>
            </w:r>
          </w:p>
        </w:tc>
        <w:tc>
          <w:tcPr>
            <w:tcW w:w="180" w:type="dxa"/>
            <w:vAlign w:val="bottom"/>
          </w:tcPr>
          <w:p>
            <w:pPr>
              <w:spacing w:after="0"/>
              <w:rPr>
                <w:sz w:val="12"/>
                <w:szCs w:val="12"/>
                <w:color w:val="auto"/>
              </w:rPr>
            </w:pPr>
          </w:p>
        </w:tc>
        <w:tc>
          <w:tcPr>
            <w:tcW w:w="3940" w:type="dxa"/>
            <w:vAlign w:val="bottom"/>
          </w:tcPr>
          <w:p>
            <w:pPr>
              <w:jc w:val="center"/>
              <w:ind w:right="135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7300" w:type="dxa"/>
            <w:vAlign w:val="bottom"/>
            <w:gridSpan w:val="2"/>
          </w:tcPr>
          <w:p>
            <w:pPr>
              <w:jc w:val="center"/>
              <w:ind w:right="1372"/>
              <w:spacing w:after="0" w:line="149" w:lineRule="exact"/>
              <w:rPr>
                <w:sz w:val="20"/>
                <w:szCs w:val="20"/>
                <w:color w:val="auto"/>
              </w:rPr>
            </w:pPr>
            <w:r>
              <w:rPr>
                <w:rFonts w:ascii="Arial" w:cs="Arial" w:eastAsia="Arial" w:hAnsi="Arial"/>
                <w:sz w:val="14"/>
                <w:szCs w:val="14"/>
                <w:color w:val="auto"/>
                <w:w w:val="95"/>
              </w:rPr>
              <w:t>5.50% Notes due 2029</w:t>
            </w:r>
          </w:p>
        </w:tc>
        <w:tc>
          <w:tcPr>
            <w:tcW w:w="180" w:type="dxa"/>
            <w:vAlign w:val="bottom"/>
          </w:tcPr>
          <w:p>
            <w:pPr>
              <w:spacing w:after="0"/>
              <w:rPr>
                <w:sz w:val="12"/>
                <w:szCs w:val="12"/>
                <w:color w:val="auto"/>
              </w:rPr>
            </w:pPr>
          </w:p>
        </w:tc>
        <w:tc>
          <w:tcPr>
            <w:tcW w:w="3940" w:type="dxa"/>
            <w:vAlign w:val="bottom"/>
          </w:tcPr>
          <w:p>
            <w:pPr>
              <w:jc w:val="center"/>
              <w:ind w:right="135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7300" w:type="dxa"/>
            <w:vAlign w:val="bottom"/>
            <w:gridSpan w:val="2"/>
          </w:tcPr>
          <w:p>
            <w:pPr>
              <w:jc w:val="center"/>
              <w:ind w:right="1372"/>
              <w:spacing w:after="0" w:line="149" w:lineRule="exact"/>
              <w:rPr>
                <w:sz w:val="20"/>
                <w:szCs w:val="20"/>
                <w:color w:val="auto"/>
              </w:rPr>
            </w:pPr>
            <w:r>
              <w:rPr>
                <w:rFonts w:ascii="Arial" w:cs="Arial" w:eastAsia="Arial" w:hAnsi="Arial"/>
                <w:sz w:val="14"/>
                <w:szCs w:val="14"/>
                <w:color w:val="auto"/>
                <w:w w:val="96"/>
              </w:rPr>
              <w:t>8.375% Guaranteed Notes due 2013</w:t>
            </w:r>
          </w:p>
        </w:tc>
        <w:tc>
          <w:tcPr>
            <w:tcW w:w="180" w:type="dxa"/>
            <w:vAlign w:val="bottom"/>
          </w:tcPr>
          <w:p>
            <w:pPr>
              <w:spacing w:after="0"/>
              <w:rPr>
                <w:sz w:val="12"/>
                <w:szCs w:val="12"/>
                <w:color w:val="auto"/>
              </w:rPr>
            </w:pPr>
          </w:p>
        </w:tc>
        <w:tc>
          <w:tcPr>
            <w:tcW w:w="3940" w:type="dxa"/>
            <w:vAlign w:val="bottom"/>
          </w:tcPr>
          <w:p>
            <w:pPr>
              <w:jc w:val="center"/>
              <w:ind w:right="135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62"/>
        </w:trPr>
        <w:tc>
          <w:tcPr>
            <w:tcW w:w="7300" w:type="dxa"/>
            <w:vAlign w:val="bottom"/>
            <w:gridSpan w:val="2"/>
          </w:tcPr>
          <w:p>
            <w:pPr>
              <w:jc w:val="center"/>
              <w:ind w:right="1372"/>
              <w:spacing w:after="0"/>
              <w:rPr>
                <w:sz w:val="20"/>
                <w:szCs w:val="20"/>
                <w:color w:val="auto"/>
              </w:rPr>
            </w:pPr>
            <w:r>
              <w:rPr>
                <w:rFonts w:ascii="Arial" w:cs="Arial" w:eastAsia="Arial" w:hAnsi="Arial"/>
                <w:sz w:val="14"/>
                <w:szCs w:val="14"/>
                <w:color w:val="auto"/>
                <w:w w:val="96"/>
              </w:rPr>
              <w:t>9.455% Guaranteed Notes due 2022</w:t>
            </w:r>
          </w:p>
        </w:tc>
        <w:tc>
          <w:tcPr>
            <w:tcW w:w="180" w:type="dxa"/>
            <w:vAlign w:val="bottom"/>
          </w:tcPr>
          <w:p>
            <w:pPr>
              <w:spacing w:after="0"/>
              <w:rPr>
                <w:sz w:val="14"/>
                <w:szCs w:val="14"/>
                <w:color w:val="auto"/>
              </w:rPr>
            </w:pPr>
          </w:p>
        </w:tc>
        <w:tc>
          <w:tcPr>
            <w:tcW w:w="3940" w:type="dxa"/>
            <w:vAlign w:val="bottom"/>
          </w:tcPr>
          <w:p>
            <w:pPr>
              <w:jc w:val="center"/>
              <w:ind w:right="1352"/>
              <w:spacing w:after="0"/>
              <w:rPr>
                <w:sz w:val="20"/>
                <w:szCs w:val="20"/>
                <w:color w:val="auto"/>
              </w:rPr>
            </w:pPr>
            <w:r>
              <w:rPr>
                <w:rFonts w:ascii="Arial" w:cs="Arial" w:eastAsia="Arial" w:hAnsi="Arial"/>
                <w:sz w:val="14"/>
                <w:szCs w:val="14"/>
                <w:color w:val="auto"/>
                <w:w w:val="96"/>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86360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78105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 w:lineRule="exact"/>
        <w:rPr>
          <w:sz w:val="24"/>
          <w:szCs w:val="24"/>
          <w:color w:val="auto"/>
        </w:rPr>
      </w:pPr>
    </w:p>
    <w:p>
      <w:pPr>
        <w:ind w:left="5240"/>
        <w:spacing w:after="0" w:line="161" w:lineRule="exact"/>
        <w:tabs>
          <w:tab w:leader="none" w:pos="58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 w:lineRule="exact"/>
        <w:rPr>
          <w:sz w:val="24"/>
          <w:szCs w:val="24"/>
          <w:color w:val="auto"/>
        </w:rPr>
      </w:pPr>
    </w:p>
    <w:p>
      <w:pPr>
        <w:ind w:left="5240"/>
        <w:spacing w:after="0" w:line="161" w:lineRule="exact"/>
        <w:tabs>
          <w:tab w:leader="none" w:pos="58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20"/>
        <w:spacing w:after="0" w:line="23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61" w:lineRule="exact"/>
        <w:tabs>
          <w:tab w:leader="none" w:pos="1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20"/>
        <w:spacing w:after="0" w:line="231"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jc w:val="center"/>
        <w:spacing w:after="0" w:line="161" w:lineRule="exact"/>
        <w:tabs>
          <w:tab w:leader="none" w:pos="1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20"/>
        <w:spacing w:after="0" w:line="16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4"/>
          <w:szCs w:val="14"/>
          <w:color w:val="auto"/>
        </w:rPr>
        <w:t>☐</w:t>
      </w:r>
    </w:p>
    <w:p>
      <w:pPr>
        <w:spacing w:after="0" w:line="13" w:lineRule="exact"/>
        <w:rPr>
          <w:sz w:val="24"/>
          <w:szCs w:val="24"/>
          <w:color w:val="auto"/>
        </w:rPr>
      </w:pPr>
    </w:p>
    <w:p>
      <w:pPr>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6" w:lineRule="exact"/>
        <w:rPr>
          <w:sz w:val="24"/>
          <w:szCs w:val="24"/>
          <w:color w:val="auto"/>
        </w:rPr>
      </w:pPr>
    </w:p>
    <w:p>
      <w:pPr>
        <w:ind w:right="860"/>
        <w:spacing w:after="0" w:line="194"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is a shell company (as defined in Rule 12b-2 of the Act).</w:t>
      </w:r>
    </w:p>
    <w:p>
      <w:pPr>
        <w:jc w:val="center"/>
        <w:spacing w:after="0" w:line="161" w:lineRule="exact"/>
        <w:tabs>
          <w:tab w:leader="none" w:pos="1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231" w:lineRule="auto"/>
        <w:rPr>
          <w:sz w:val="20"/>
          <w:szCs w:val="20"/>
          <w:color w:val="auto"/>
        </w:rPr>
      </w:pPr>
      <w:r>
        <w:rPr>
          <w:rFonts w:ascii="Arial" w:cs="Arial" w:eastAsia="Arial" w:hAnsi="Arial"/>
          <w:sz w:val="14"/>
          <w:szCs w:val="14"/>
          <w:color w:val="auto"/>
        </w:rPr>
        <w:t>As of June 30, 2012, the aggregate market value of the Class A common stock and Class A Special common stock held by non-affiliates of the Registrant was $67.542 billion and $16.992 billion, respectively.</w:t>
      </w:r>
    </w:p>
    <w:p>
      <w:pPr>
        <w:spacing w:after="0" w:line="28" w:lineRule="exact"/>
        <w:rPr>
          <w:sz w:val="24"/>
          <w:szCs w:val="24"/>
          <w:color w:val="auto"/>
        </w:rPr>
      </w:pPr>
    </w:p>
    <w:p>
      <w:pPr>
        <w:spacing w:after="0" w:line="231" w:lineRule="auto"/>
        <w:rPr>
          <w:sz w:val="20"/>
          <w:szCs w:val="20"/>
          <w:color w:val="auto"/>
        </w:rPr>
      </w:pPr>
      <w:r>
        <w:rPr>
          <w:rFonts w:ascii="Arial" w:cs="Arial" w:eastAsia="Arial" w:hAnsi="Arial"/>
          <w:sz w:val="14"/>
          <w:szCs w:val="14"/>
          <w:color w:val="auto"/>
        </w:rPr>
        <w:t>As of December 31, 2012, there were 2,122,278,635 shares of Class A common stock, 507,769,463 shares of Class A Special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86360</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54"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Part III — The Registrant’s definitive Proxy Statement for its annual meeting of shareholders presently scheduled to be held in May 2013.</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2012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color w:val="3E499A"/>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w:t>
            </w:r>
          </w:p>
        </w:tc>
        <w:tc>
          <w:tcPr>
            <w:tcW w:w="720" w:type="dxa"/>
            <w:vAlign w:val="bottom"/>
            <w:tcBorders>
              <w:bottom w:val="single" w:sz="8" w:color="0000EE"/>
            </w:tcBorders>
            <w:gridSpan w:val="2"/>
          </w:tcPr>
          <w:p>
            <w:pPr>
              <w:spacing w:after="0" w:line="172"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Business</w:t>
              </w:r>
            </w:hyperlink>
          </w:p>
        </w:tc>
        <w:tc>
          <w:tcPr>
            <w:tcW w:w="7100" w:type="dxa"/>
            <w:vAlign w:val="bottom"/>
            <w:gridSpan w:val="19"/>
          </w:tcPr>
          <w:p>
            <w:pPr>
              <w:spacing w:after="0"/>
              <w:rPr>
                <w:sz w:val="14"/>
                <w:szCs w:val="14"/>
                <w:color w:val="auto"/>
              </w:rPr>
            </w:pPr>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7820" w:type="dxa"/>
            <w:vAlign w:val="bottom"/>
            <w:gridSpan w:val="21"/>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1B</w:t>
            </w:r>
          </w:p>
        </w:tc>
        <w:tc>
          <w:tcPr>
            <w:tcW w:w="220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Unresolved Staff Comments</w:t>
              </w:r>
            </w:hyperlink>
          </w:p>
        </w:tc>
        <w:tc>
          <w:tcPr>
            <w:tcW w:w="5620" w:type="dxa"/>
            <w:vAlign w:val="bottom"/>
            <w:gridSpan w:val="11"/>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7820" w:type="dxa"/>
            <w:vAlign w:val="bottom"/>
            <w:gridSpan w:val="21"/>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Legal Proceedings</w:t>
              </w:r>
            </w:hyperlink>
          </w:p>
        </w:tc>
        <w:tc>
          <w:tcPr>
            <w:tcW w:w="6360" w:type="dxa"/>
            <w:vAlign w:val="bottom"/>
            <w:gridSpan w:val="15"/>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7820" w:type="dxa"/>
            <w:vAlign w:val="bottom"/>
            <w:gridSpan w:val="21"/>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5</w:t>
            </w:r>
          </w:p>
        </w:tc>
        <w:tc>
          <w:tcPr>
            <w:tcW w:w="6240" w:type="dxa"/>
            <w:vAlign w:val="bottom"/>
            <w:tcBorders>
              <w:bottom w:val="single" w:sz="8" w:color="0000EE"/>
            </w:tcBorders>
            <w:gridSpan w:val="18"/>
          </w:tcPr>
          <w:p>
            <w:pPr>
              <w:spacing w:after="0" w:line="172"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Market for Registrant’s Common Equity, Related Stockholder Matters and Issuer</w:t>
              </w:r>
            </w:hyperlink>
          </w:p>
        </w:tc>
        <w:tc>
          <w:tcPr>
            <w:tcW w:w="1580" w:type="dxa"/>
            <w:vAlign w:val="bottom"/>
            <w:gridSpan w:val="3"/>
          </w:tcPr>
          <w:p>
            <w:pPr>
              <w:spacing w:after="0"/>
              <w:rPr>
                <w:sz w:val="14"/>
                <w:szCs w:val="14"/>
                <w:color w:val="auto"/>
              </w:rPr>
            </w:pPr>
          </w:p>
        </w:tc>
        <w:tc>
          <w:tcPr>
            <w:tcW w:w="2500" w:type="dxa"/>
            <w:vAlign w:val="bottom"/>
          </w:tcPr>
          <w:p>
            <w:pPr>
              <w:spacing w:after="0"/>
              <w:rPr>
                <w:sz w:val="14"/>
                <w:szCs w:val="14"/>
                <w:color w:val="auto"/>
              </w:rPr>
            </w:pPr>
          </w:p>
        </w:tc>
      </w:tr>
      <w:tr>
        <w:trPr>
          <w:trHeight w:val="183"/>
        </w:trPr>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0" w:type="dxa"/>
            <w:vAlign w:val="bottom"/>
            <w:gridSpan w:val="20"/>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Purchases of Equity Securities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86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Selected Financial Data</w:t>
              </w:r>
            </w:hyperlink>
          </w:p>
        </w:tc>
        <w:tc>
          <w:tcPr>
            <w:tcW w:w="5960" w:type="dxa"/>
            <w:vAlign w:val="bottom"/>
            <w:gridSpan w:val="14"/>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w:t>
            </w:r>
          </w:p>
        </w:tc>
        <w:tc>
          <w:tcPr>
            <w:tcW w:w="692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Management’s Discussion and Analysis of Financial Condition and Results of Operations</w:t>
              </w:r>
            </w:hyperlink>
          </w:p>
        </w:tc>
        <w:tc>
          <w:tcPr>
            <w:tcW w:w="900" w:type="dxa"/>
            <w:vAlign w:val="bottom"/>
            <w:gridSpan w:val="2"/>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7A</w:t>
            </w:r>
          </w:p>
        </w:tc>
        <w:tc>
          <w:tcPr>
            <w:tcW w:w="7820" w:type="dxa"/>
            <w:vAlign w:val="bottom"/>
            <w:gridSpan w:val="21"/>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8</w:t>
            </w:r>
          </w:p>
        </w:tc>
        <w:tc>
          <w:tcPr>
            <w:tcW w:w="364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Financial Statements and Supplementary Data</w:t>
              </w:r>
            </w:hyperlink>
          </w:p>
        </w:tc>
        <w:tc>
          <w:tcPr>
            <w:tcW w:w="960" w:type="dxa"/>
            <w:vAlign w:val="bottom"/>
            <w:tcBorders>
              <w:top w:val="single" w:sz="8" w:color="0000EE"/>
            </w:tcBorders>
            <w:gridSpan w:val="2"/>
          </w:tcPr>
          <w:p>
            <w:pPr>
              <w:spacing w:after="0"/>
              <w:rPr>
                <w:sz w:val="15"/>
                <w:szCs w:val="15"/>
                <w:color w:val="auto"/>
              </w:rPr>
            </w:pPr>
          </w:p>
        </w:tc>
        <w:tc>
          <w:tcPr>
            <w:tcW w:w="3220" w:type="dxa"/>
            <w:vAlign w:val="bottom"/>
            <w:gridSpan w:val="5"/>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w:t>
            </w:r>
          </w:p>
        </w:tc>
        <w:tc>
          <w:tcPr>
            <w:tcW w:w="7820" w:type="dxa"/>
            <w:vAlign w:val="bottom"/>
            <w:gridSpan w:val="21"/>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Changes in and Disagreements with Accountants on Accounting and Financial Disclosure</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9A</w:t>
            </w:r>
          </w:p>
        </w:tc>
        <w:tc>
          <w:tcPr>
            <w:tcW w:w="69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Controls and Procedures</w:t>
              </w:r>
            </w:hyperlink>
          </w:p>
        </w:tc>
        <w:tc>
          <w:tcPr>
            <w:tcW w:w="860" w:type="dxa"/>
            <w:vAlign w:val="bottom"/>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9B</w:t>
            </w:r>
          </w:p>
        </w:tc>
        <w:tc>
          <w:tcPr>
            <w:tcW w:w="19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Other Information</w:t>
              </w:r>
            </w:hyperlink>
          </w:p>
        </w:tc>
        <w:tc>
          <w:tcPr>
            <w:tcW w:w="5880" w:type="dxa"/>
            <w:vAlign w:val="bottom"/>
            <w:gridSpan w:val="12"/>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10</w:t>
            </w:r>
          </w:p>
        </w:tc>
        <w:tc>
          <w:tcPr>
            <w:tcW w:w="4400" w:type="dxa"/>
            <w:vAlign w:val="bottom"/>
            <w:tcBorders>
              <w:bottom w:val="single" w:sz="8" w:color="0000EE"/>
            </w:tcBorders>
            <w:gridSpan w:val="15"/>
          </w:tcPr>
          <w:p>
            <w:pPr>
              <w:spacing w:after="0" w:line="172" w:lineRule="exact"/>
              <w:rPr>
                <w:rFonts w:ascii="Arial" w:cs="Arial" w:eastAsia="Arial" w:hAnsi="Arial"/>
                <w:sz w:val="18"/>
                <w:szCs w:val="18"/>
                <w:color w:val="0000EE"/>
                <w:w w:val="97"/>
              </w:rPr>
            </w:pPr>
            <w:hyperlink w:anchor="page130">
              <w:r>
                <w:rPr>
                  <w:rFonts w:ascii="Arial" w:cs="Arial" w:eastAsia="Arial" w:hAnsi="Arial"/>
                  <w:sz w:val="18"/>
                  <w:szCs w:val="18"/>
                  <w:color w:val="0000EE"/>
                  <w:w w:val="97"/>
                </w:rPr>
                <w:t>Directors, Executive Officers and Corporate Governance</w:t>
              </w:r>
            </w:hyperlink>
          </w:p>
        </w:tc>
        <w:tc>
          <w:tcPr>
            <w:tcW w:w="3420" w:type="dxa"/>
            <w:vAlign w:val="bottom"/>
            <w:gridSpan w:val="6"/>
          </w:tcPr>
          <w:p>
            <w:pPr>
              <w:spacing w:after="0"/>
              <w:rPr>
                <w:sz w:val="14"/>
                <w:szCs w:val="14"/>
                <w:color w:val="auto"/>
              </w:rPr>
            </w:pPr>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128</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11</w:t>
            </w:r>
          </w:p>
        </w:tc>
        <w:tc>
          <w:tcPr>
            <w:tcW w:w="7820" w:type="dxa"/>
            <w:vAlign w:val="bottom"/>
            <w:gridSpan w:val="21"/>
          </w:tcPr>
          <w:p>
            <w:pPr>
              <w:spacing w:after="0" w:line="182" w:lineRule="exact"/>
              <w:rPr>
                <w:rFonts w:ascii="Arial" w:cs="Arial" w:eastAsia="Arial" w:hAnsi="Arial"/>
                <w:sz w:val="18"/>
                <w:szCs w:val="18"/>
                <w:color w:val="0000EE"/>
              </w:rPr>
            </w:pPr>
            <w:hyperlink w:anchor="page131">
              <w:r>
                <w:rPr>
                  <w:rFonts w:ascii="Arial" w:cs="Arial" w:eastAsia="Arial" w:hAnsi="Arial"/>
                  <w:sz w:val="18"/>
                  <w:szCs w:val="18"/>
                  <w:color w:val="0000EE"/>
                </w:rPr>
                <w:t>Executive Compensation</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12</w:t>
            </w:r>
          </w:p>
        </w:tc>
        <w:tc>
          <w:tcPr>
            <w:tcW w:w="782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131">
              <w:r>
                <w:rPr>
                  <w:rFonts w:ascii="Arial" w:cs="Arial" w:eastAsia="Arial" w:hAnsi="Arial"/>
                  <w:sz w:val="18"/>
                  <w:szCs w:val="18"/>
                  <w:color w:val="0000EE"/>
                  <w:w w:val="97"/>
                </w:rPr>
                <w:t>Security Ownership of Certain Beneficial Owners and Management and Related Stockholder Matters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13</w:t>
            </w:r>
          </w:p>
        </w:tc>
        <w:tc>
          <w:tcPr>
            <w:tcW w:w="594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131">
              <w:r>
                <w:rPr>
                  <w:rFonts w:ascii="Arial" w:cs="Arial" w:eastAsia="Arial" w:hAnsi="Arial"/>
                  <w:sz w:val="18"/>
                  <w:szCs w:val="18"/>
                  <w:color w:val="0000EE"/>
                  <w:w w:val="97"/>
                </w:rPr>
                <w:t>Certain Relationships and Related Transactions, and Director Independence</w:t>
              </w:r>
            </w:hyperlink>
          </w:p>
        </w:tc>
        <w:tc>
          <w:tcPr>
            <w:tcW w:w="1880" w:type="dxa"/>
            <w:vAlign w:val="bottom"/>
            <w:gridSpan w:val="4"/>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14</w:t>
            </w:r>
          </w:p>
        </w:tc>
        <w:tc>
          <w:tcPr>
            <w:tcW w:w="7820" w:type="dxa"/>
            <w:vAlign w:val="bottom"/>
            <w:gridSpan w:val="21"/>
          </w:tcPr>
          <w:p>
            <w:pPr>
              <w:spacing w:after="0" w:line="182" w:lineRule="exact"/>
              <w:rPr>
                <w:rFonts w:ascii="Arial" w:cs="Arial" w:eastAsia="Arial" w:hAnsi="Arial"/>
                <w:sz w:val="18"/>
                <w:szCs w:val="18"/>
                <w:color w:val="0000EE"/>
              </w:rPr>
            </w:pPr>
            <w:hyperlink w:anchor="page131">
              <w:r>
                <w:rPr>
                  <w:rFonts w:ascii="Arial" w:cs="Arial" w:eastAsia="Arial" w:hAnsi="Arial"/>
                  <w:sz w:val="18"/>
                  <w:szCs w:val="18"/>
                  <w:color w:val="0000EE"/>
                </w:rPr>
                <w:t>Principal Accountant Fees and Services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15</w:t>
            </w:r>
          </w:p>
        </w:tc>
        <w:tc>
          <w:tcPr>
            <w:tcW w:w="7820" w:type="dxa"/>
            <w:vAlign w:val="bottom"/>
            <w:gridSpan w:val="21"/>
          </w:tcPr>
          <w:p>
            <w:pPr>
              <w:spacing w:after="0" w:line="172" w:lineRule="exact"/>
              <w:rPr>
                <w:rFonts w:ascii="Arial" w:cs="Arial" w:eastAsia="Arial" w:hAnsi="Arial"/>
                <w:sz w:val="18"/>
                <w:szCs w:val="18"/>
                <w:color w:val="0000EE"/>
              </w:rPr>
            </w:pPr>
            <w:hyperlink w:anchor="page132">
              <w:r>
                <w:rPr>
                  <w:rFonts w:ascii="Arial" w:cs="Arial" w:eastAsia="Arial" w:hAnsi="Arial"/>
                  <w:sz w:val="18"/>
                  <w:szCs w:val="18"/>
                  <w:color w:val="0000EE"/>
                </w:rPr>
                <w:t>Exhibits and Financial Statement Schedules</w:t>
              </w:r>
            </w:hyperlink>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130</w:t>
            </w:r>
          </w:p>
        </w:tc>
      </w:tr>
      <w:tr>
        <w:trPr>
          <w:trHeight w:val="183"/>
        </w:trPr>
        <w:tc>
          <w:tcPr>
            <w:tcW w:w="880" w:type="dxa"/>
            <w:vAlign w:val="bottom"/>
            <w:gridSpan w:val="2"/>
          </w:tcPr>
          <w:p>
            <w:pPr>
              <w:spacing w:after="0" w:line="182" w:lineRule="exact"/>
              <w:rPr>
                <w:rFonts w:ascii="Arial" w:cs="Arial" w:eastAsia="Arial" w:hAnsi="Arial"/>
                <w:sz w:val="18"/>
                <w:szCs w:val="18"/>
                <w:color w:val="0000EE"/>
                <w:w w:val="99"/>
              </w:rPr>
            </w:pPr>
            <w:hyperlink w:anchor="page137">
              <w:r>
                <w:rPr>
                  <w:rFonts w:ascii="Arial" w:cs="Arial" w:eastAsia="Arial" w:hAnsi="Arial"/>
                  <w:sz w:val="18"/>
                  <w:szCs w:val="18"/>
                  <w:color w:val="0000EE"/>
                  <w:w w:val="99"/>
                </w:rPr>
                <w:t>Signatures</w:t>
              </w:r>
            </w:hyperlink>
          </w:p>
        </w:tc>
        <w:tc>
          <w:tcPr>
            <w:tcW w:w="2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r>
      <w:tr>
        <w:trPr>
          <w:trHeight w:val="20"/>
        </w:trPr>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Annual Report on Form 10-K is for the year ended December 31, 2012. This Annual Report on Form 10-K modifies and supersedes documents filed before it.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Throughout this Annual Report on Form 10-K, we refer to Comcast Corporation as “Comcast;” Comcast and its consolidated subsidiaries, including NBC Universal, Inc. (now named NBCUniversal Media, LLC (“NBCUniversal”)) following the close of our transaction on January 28, 2011, as “we,” “us” and “our;” Comcast Cable Communications, LLC and its subsidiaries as “Comcast Cable;” Comcast Holdings Corporation as “Comcast Holdings;” and NBCUniversal, LLC as “NBCUniversal Holdings.”</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registered trademarks include Comcast, NBCUniversal and the Comcast and NBCUniversal logos. This Annual Report on Form 10-K also contains other trademarks, service marks and trade names owned by us, as well as those owned by others.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3E499A"/>
        </w:rPr>
        <w:t>Item 1: Business</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We were incorporated under the laws of Pennsylvania in December 2001. Through our predecessors, we have developed, managed and operated cable systems since 1963, and in 2011, we acquired control of the businesses of NBCUniversal. We present our operations in the following five reportable business segments:</w:t>
      </w:r>
    </w:p>
    <w:p>
      <w:pPr>
        <w:spacing w:after="0" w:line="61" w:lineRule="exact"/>
        <w:rPr>
          <w:sz w:val="20"/>
          <w:szCs w:val="20"/>
          <w:color w:val="auto"/>
        </w:rPr>
      </w:pPr>
    </w:p>
    <w:p>
      <w:pPr>
        <w:jc w:val="both"/>
        <w:ind w:left="1020" w:right="1240" w:hanging="215"/>
        <w:spacing w:after="0" w:line="24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the nation’s largest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video, high-speed Internet and voice services (“cable services”) to residential customers under the XFINITY brand, and we also provide these services to businesses.</w:t>
      </w:r>
    </w:p>
    <w:p>
      <w:pPr>
        <w:spacing w:after="0" w:line="85" w:lineRule="exact"/>
        <w:rPr>
          <w:rFonts w:ascii="Arial" w:cs="Arial" w:eastAsia="Arial" w:hAnsi="Arial"/>
          <w:sz w:val="18"/>
          <w:szCs w:val="18"/>
          <w:color w:val="auto"/>
        </w:rPr>
      </w:pPr>
    </w:p>
    <w:p>
      <w:pPr>
        <w:ind w:left="1020" w:right="1260" w:hanging="215"/>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cable networks, our cable television production studio, and our related digital media properties.</w:t>
      </w:r>
    </w:p>
    <w:p>
      <w:pPr>
        <w:spacing w:after="0" w:line="71" w:lineRule="exact"/>
        <w:rPr>
          <w:rFonts w:ascii="Arial" w:cs="Arial" w:eastAsia="Arial" w:hAnsi="Arial"/>
          <w:sz w:val="18"/>
          <w:szCs w:val="18"/>
          <w:color w:val="auto"/>
        </w:rPr>
      </w:pPr>
    </w:p>
    <w:p>
      <w:pPr>
        <w:jc w:val="both"/>
        <w:ind w:left="1020" w:right="1240" w:hanging="215"/>
        <w:spacing w:after="0" w:line="24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w:t>
      </w:r>
      <w:r>
        <w:rPr>
          <w:rFonts w:ascii="Arial" w:cs="Arial" w:eastAsia="Arial" w:hAnsi="Arial"/>
          <w:sz w:val="18"/>
          <w:szCs w:val="18"/>
          <w:b w:val="1"/>
          <w:bCs w:val="1"/>
          <w:color w:val="auto"/>
        </w:rPr>
        <w:t xml:space="preserve"> </w:t>
      </w:r>
      <w:r>
        <w:rPr>
          <w:rFonts w:ascii="Arial" w:cs="Arial" w:eastAsia="Arial" w:hAnsi="Arial"/>
          <w:sz w:val="18"/>
          <w:szCs w:val="18"/>
          <w:color w:val="auto"/>
        </w:rPr>
        <w:t>owned local broadcast television stations, our broadcast television production operations, and our related digital media properties.</w:t>
      </w:r>
    </w:p>
    <w:p>
      <w:pPr>
        <w:spacing w:after="0" w:line="85" w:lineRule="exact"/>
        <w:rPr>
          <w:rFonts w:ascii="Arial" w:cs="Arial" w:eastAsia="Arial" w:hAnsi="Arial"/>
          <w:sz w:val="18"/>
          <w:szCs w:val="18"/>
          <w:color w:val="auto"/>
        </w:rPr>
      </w:pPr>
    </w:p>
    <w:p>
      <w:pPr>
        <w:ind w:left="1020" w:right="1260" w:hanging="215"/>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distributes filmed entertainment worldwide.</w:t>
      </w:r>
    </w:p>
    <w:p>
      <w:pPr>
        <w:spacing w:after="0" w:line="71"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2012, our Cable Communications segment generated 63% of our consolidated revenue and more than 80% of our operating income before depreciation and amortization. The Cable Networks, Broadcast Television, Filmed Entertainment and Theme Parks segments comprise the NBCUniversal businesses and are collectively referred to as the “NBCUniversal segments.”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financial and other information about our reportable segments, refer to Note 19 to our consolidated financial statements included in this Annual Report on Form 10-K.</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Available Information and Websites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phone number is (215) 286-1700, and our principal executive offices are located at One Comcast Center, Philadelphia, PA 19103-2838. The public may read and copy any materials we file with the SEC at the SEC’s Public Reference Room at 100 F Street, NE, Washington, DC 20549. The public may obtain information on the operation of the Public Reference Room by calling the SEC at 1-800-SEC-0330.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website at www.comcastcorporation.com as soon as reasonably practicable after such reports are electronically filed with the SEC. The information posted on our website is not incorporated into our SEC filings.</w:t>
      </w:r>
    </w:p>
    <w:p>
      <w:pPr>
        <w:spacing w:after="0" w:line="325"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General Developments of Our Businesses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2012:</w:t>
      </w:r>
    </w:p>
    <w:p>
      <w:pPr>
        <w:spacing w:after="0" w:line="117" w:lineRule="exact"/>
        <w:rPr>
          <w:sz w:val="20"/>
          <w:szCs w:val="20"/>
          <w:color w:val="auto"/>
        </w:rPr>
      </w:pPr>
    </w:p>
    <w:p>
      <w:pPr>
        <w:ind w:left="1020" w:right="124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consolidated revenue of 12.0% to $62.6 billion and an increase in consolidated operating income of 13.6% to $12.2 billion</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Cable Communications segment revenue of 6.4% to $39.6 billion and an increase in Cable Communications segment operating income before depreciation and amortization of 6.3% to $16.3 billion</w:t>
      </w:r>
    </w:p>
    <w:p>
      <w:pPr>
        <w:spacing w:after="0" w:line="114" w:lineRule="exact"/>
        <w:rPr>
          <w:rFonts w:ascii="Arial" w:cs="Arial" w:eastAsia="Arial" w:hAnsi="Arial"/>
          <w:sz w:val="18"/>
          <w:szCs w:val="18"/>
          <w:color w:val="auto"/>
        </w:rPr>
      </w:pPr>
    </w:p>
    <w:p>
      <w:pPr>
        <w:jc w:val="both"/>
        <w:ind w:left="1020" w:right="1240" w:hanging="215"/>
        <w:spacing w:after="0" w:line="23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total NBCUniversal revenue to $23.8 billion, which represents a 12.7% increase on a pro forma basis and includes $1.4 billion related to our broadcasts of the 2012 London Olympics and the 2012 Super Bowl, and an increase in total NBCUniversal operating income before depreciation and amortization to $4.1 billion, which represents a 9.0% increase on a pro forma basis</w:t>
      </w:r>
    </w:p>
    <w:p>
      <w:pPr>
        <w:spacing w:after="0" w:line="114" w:lineRule="exact"/>
        <w:rPr>
          <w:rFonts w:ascii="Arial" w:cs="Arial" w:eastAsia="Arial" w:hAnsi="Arial"/>
          <w:sz w:val="18"/>
          <w:szCs w:val="18"/>
          <w:color w:val="auto"/>
        </w:rPr>
      </w:pPr>
    </w:p>
    <w:p>
      <w:pPr>
        <w:jc w:val="both"/>
        <w:ind w:left="1020" w:right="1240" w:hanging="215"/>
        <w:spacing w:after="0" w:line="23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completion of SpectrumCo’s transaction to sell its advanced wireless services (“AWS”) spectrum licenses to Verizon Wireless for $3.6 billion, of which our portion of the proceeds was $2.3 billion, and the commencement of sales under our agency agreements with Verizon Wireless, which provide for, among other things, the sale of our cable services by Verizon Wireless and our sale of Verizon Wireless products and services (the “SpectrumCo transaction”)</w:t>
      </w:r>
    </w:p>
    <w:p>
      <w:pPr>
        <w:spacing w:after="0" w:line="116"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redemption by A&amp;E Television Networks LLC (“A&amp;E Television Networks”) of NBCUniversal’s 15.8% equity interest in A&amp;E Television Networks for $3 billion in cash proceeds (the “A&amp;E Television Networks transaction”)</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Recent Developments</w:t>
      </w:r>
    </w:p>
    <w:p>
      <w:pPr>
        <w:spacing w:after="0" w:line="1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February 12, 2013, we entered into an agreement to acquire GE’s 49% common equity interest in NBCUniversal Holdings for approximately $16.7 billion. In addition, NBCUniversal agreed to acquire from GE the portion of 30 Rockefeller Plaza in New York City that NBCUniversal occupies and CNBC’s headquarters in Englewood Cliffs, New Jersey for approximately $1.4 billion. The transactions, which are subject to customary closing conditions, are expected to close by the end of March 2013.</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consideration will consist of $11.4 billion of cash on hand; $4 billion of senior unsecured debt securities issued by a holding company (“HoldCo”), whose sole asset is its interests in NBCUniversal Holdings; $2 billion of cash funded through a combination of Comcast’s existing credit facility and NBCUniversal’s credit facility, which is expected to be amended, among other things, to substitute HoldCo as the sole borrower; and $725 million of Holdco preferred stock. After closing, we will control and consolidate HoldCo and own all of its capital stock other than the preferred stock. HoldCo’s debt securities and credit facility will be guaranteed by us and the cable holding company subsidiaries that guarantee our senior indebtedness. The preferred stock will pay dividends at a fixed rate and can be put to HoldCo for redemption at par on the later of seven years following the issuance of the preferred stock and three years following the sale by GE of shares to unaffiliated third parties, and thereafter, every third anniversary of such date (a “Put Date”). Shares of preferred stock can be called for redemption by HoldCo at par one year following each Put Date applicable to such shares.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Description of Our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certain customer and penetration data for our cable system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2009</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5420" w:type="dxa"/>
            <w:vAlign w:val="bottom"/>
          </w:tcPr>
          <w:p>
            <w:pPr>
              <w:spacing w:after="0" w:line="200" w:lineRule="exact"/>
              <w:rPr>
                <w:sz w:val="20"/>
                <w:szCs w:val="20"/>
                <w:color w:val="auto"/>
              </w:rPr>
            </w:pPr>
            <w:r>
              <w:rPr>
                <w:rFonts w:ascii="Arial" w:cs="Arial" w:eastAsia="Arial" w:hAnsi="Arial"/>
                <w:sz w:val="18"/>
                <w:szCs w:val="18"/>
                <w:color w:val="auto"/>
              </w:rPr>
              <w:t>Homes and businesses passed</w:t>
            </w:r>
            <w:r>
              <w:rPr>
                <w:rFonts w:ascii="Arial" w:cs="Arial" w:eastAsia="Arial" w:hAnsi="Arial"/>
                <w:sz w:val="22"/>
                <w:szCs w:val="22"/>
                <w:color w:val="auto"/>
                <w:vertAlign w:val="superscript"/>
              </w:rPr>
              <w:t>(a)</w:t>
            </w:r>
          </w:p>
        </w:tc>
        <w:tc>
          <w:tcPr>
            <w:tcW w:w="3180" w:type="dxa"/>
            <w:vAlign w:val="bottom"/>
          </w:tcPr>
          <w:p>
            <w:pPr>
              <w:jc w:val="right"/>
              <w:ind w:right="174"/>
              <w:spacing w:after="0" w:line="200" w:lineRule="exact"/>
              <w:rPr>
                <w:sz w:val="20"/>
                <w:szCs w:val="20"/>
                <w:color w:val="auto"/>
              </w:rPr>
            </w:pPr>
            <w:r>
              <w:rPr>
                <w:rFonts w:ascii="Arial" w:cs="Arial" w:eastAsia="Arial" w:hAnsi="Arial"/>
                <w:sz w:val="18"/>
                <w:szCs w:val="18"/>
                <w:b w:val="1"/>
                <w:bCs w:val="1"/>
                <w:color w:val="auto"/>
              </w:rPr>
              <w:t>53.2</w:t>
            </w:r>
          </w:p>
        </w:tc>
        <w:tc>
          <w:tcPr>
            <w:tcW w:w="720" w:type="dxa"/>
            <w:vAlign w:val="bottom"/>
          </w:tcPr>
          <w:p>
            <w:pPr>
              <w:jc w:val="right"/>
              <w:ind w:right="174"/>
              <w:spacing w:after="0" w:line="200" w:lineRule="exact"/>
              <w:rPr>
                <w:sz w:val="20"/>
                <w:szCs w:val="20"/>
                <w:color w:val="auto"/>
              </w:rPr>
            </w:pPr>
            <w:r>
              <w:rPr>
                <w:rFonts w:ascii="Arial" w:cs="Arial" w:eastAsia="Arial" w:hAnsi="Arial"/>
                <w:sz w:val="18"/>
                <w:szCs w:val="18"/>
                <w:color w:val="auto"/>
              </w:rPr>
              <w:t>52.5</w:t>
            </w:r>
          </w:p>
        </w:tc>
        <w:tc>
          <w:tcPr>
            <w:tcW w:w="720" w:type="dxa"/>
            <w:vAlign w:val="bottom"/>
          </w:tcPr>
          <w:p>
            <w:pPr>
              <w:jc w:val="right"/>
              <w:ind w:right="174"/>
              <w:spacing w:after="0" w:line="200" w:lineRule="exact"/>
              <w:rPr>
                <w:sz w:val="20"/>
                <w:szCs w:val="20"/>
                <w:color w:val="auto"/>
              </w:rPr>
            </w:pPr>
            <w:r>
              <w:rPr>
                <w:rFonts w:ascii="Arial" w:cs="Arial" w:eastAsia="Arial" w:hAnsi="Arial"/>
                <w:sz w:val="18"/>
                <w:szCs w:val="18"/>
                <w:color w:val="auto"/>
              </w:rPr>
              <w:t>51.9</w:t>
            </w:r>
          </w:p>
        </w:tc>
        <w:tc>
          <w:tcPr>
            <w:tcW w:w="72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51.2</w:t>
            </w:r>
          </w:p>
        </w:tc>
        <w:tc>
          <w:tcPr>
            <w:tcW w:w="660" w:type="dxa"/>
            <w:vAlign w:val="bottom"/>
          </w:tcPr>
          <w:p>
            <w:pPr>
              <w:jc w:val="right"/>
              <w:ind w:right="134"/>
              <w:spacing w:after="0" w:line="200" w:lineRule="exact"/>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Video</w:t>
            </w:r>
          </w:p>
        </w:tc>
        <w:tc>
          <w:tcPr>
            <w:tcW w:w="318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22.0</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6"/>
                <w:szCs w:val="16"/>
                <w:color w:val="auto"/>
              </w:rPr>
              <w:t>Video customers</w:t>
            </w:r>
            <w:r>
              <w:rPr>
                <w:rFonts w:ascii="Arial" w:cs="Arial" w:eastAsia="Arial" w:hAnsi="Arial"/>
                <w:sz w:val="20"/>
                <w:szCs w:val="20"/>
                <w:color w:val="auto"/>
                <w:vertAlign w:val="superscript"/>
              </w:rPr>
              <w:t>(b)</w:t>
            </w:r>
          </w:p>
        </w:tc>
        <w:tc>
          <w:tcPr>
            <w:tcW w:w="318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22.3</w:t>
            </w: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22.8</w:t>
            </w:r>
          </w:p>
        </w:tc>
        <w:tc>
          <w:tcPr>
            <w:tcW w:w="720" w:type="dxa"/>
            <w:vAlign w:val="bottom"/>
          </w:tcPr>
          <w:p>
            <w:pPr>
              <w:jc w:val="right"/>
              <w:ind w:right="194"/>
              <w:spacing w:after="0" w:line="181" w:lineRule="exact"/>
              <w:rPr>
                <w:sz w:val="20"/>
                <w:szCs w:val="20"/>
                <w:color w:val="auto"/>
              </w:rPr>
            </w:pPr>
            <w:r>
              <w:rPr>
                <w:rFonts w:ascii="Arial" w:cs="Arial" w:eastAsia="Arial" w:hAnsi="Arial"/>
                <w:sz w:val="18"/>
                <w:szCs w:val="18"/>
                <w:color w:val="auto"/>
              </w:rPr>
              <w:t>23.6</w:t>
            </w:r>
          </w:p>
        </w:tc>
        <w:tc>
          <w:tcPr>
            <w:tcW w:w="66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3" w:lineRule="exact"/>
              <w:rPr>
                <w:sz w:val="20"/>
                <w:szCs w:val="20"/>
                <w:color w:val="auto"/>
              </w:rPr>
            </w:pPr>
            <w:r>
              <w:rPr>
                <w:rFonts w:ascii="Arial" w:cs="Arial" w:eastAsia="Arial" w:hAnsi="Arial"/>
                <w:sz w:val="18"/>
                <w:szCs w:val="18"/>
                <w:color w:val="auto"/>
              </w:rPr>
              <w:t>Video penetration</w:t>
            </w:r>
            <w:r>
              <w:rPr>
                <w:rFonts w:ascii="Arial" w:cs="Arial" w:eastAsia="Arial" w:hAnsi="Arial"/>
                <w:sz w:val="22"/>
                <w:szCs w:val="22"/>
                <w:color w:val="auto"/>
                <w:vertAlign w:val="superscript"/>
              </w:rPr>
              <w:t>(c)</w:t>
            </w:r>
          </w:p>
        </w:tc>
        <w:tc>
          <w:tcPr>
            <w:tcW w:w="31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41.4%</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42.5%</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43.9%</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46.0%</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3" w:lineRule="exact"/>
              <w:rPr>
                <w:sz w:val="20"/>
                <w:szCs w:val="20"/>
                <w:color w:val="auto"/>
              </w:rPr>
            </w:pPr>
            <w:r>
              <w:rPr>
                <w:rFonts w:ascii="Arial" w:cs="Arial" w:eastAsia="Arial" w:hAnsi="Arial"/>
                <w:sz w:val="18"/>
                <w:szCs w:val="18"/>
                <w:color w:val="auto"/>
              </w:rPr>
              <w:t>Digital video customers</w:t>
            </w:r>
            <w:r>
              <w:rPr>
                <w:rFonts w:ascii="Arial" w:cs="Arial" w:eastAsia="Arial" w:hAnsi="Arial"/>
                <w:sz w:val="22"/>
                <w:szCs w:val="22"/>
                <w:color w:val="auto"/>
                <w:vertAlign w:val="superscript"/>
              </w:rPr>
              <w:t>(d)</w:t>
            </w:r>
          </w:p>
        </w:tc>
        <w:tc>
          <w:tcPr>
            <w:tcW w:w="318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21.2</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20.6</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19.7</w:t>
            </w:r>
          </w:p>
        </w:tc>
        <w:tc>
          <w:tcPr>
            <w:tcW w:w="7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18.4</w:t>
            </w: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5"/>
        </w:trPr>
        <w:tc>
          <w:tcPr>
            <w:tcW w:w="5420" w:type="dxa"/>
            <w:vAlign w:val="bottom"/>
          </w:tcPr>
          <w:p>
            <w:pPr>
              <w:ind w:left="220"/>
              <w:spacing w:after="0" w:line="225" w:lineRule="exact"/>
              <w:rPr>
                <w:sz w:val="20"/>
                <w:szCs w:val="20"/>
                <w:color w:val="auto"/>
              </w:rPr>
            </w:pPr>
            <w:r>
              <w:rPr>
                <w:rFonts w:ascii="Arial" w:cs="Arial" w:eastAsia="Arial" w:hAnsi="Arial"/>
                <w:sz w:val="18"/>
                <w:szCs w:val="18"/>
                <w:color w:val="auto"/>
              </w:rPr>
              <w:t>Digital video penetration</w:t>
            </w:r>
            <w:r>
              <w:rPr>
                <w:rFonts w:ascii="Arial" w:cs="Arial" w:eastAsia="Arial" w:hAnsi="Arial"/>
                <w:sz w:val="22"/>
                <w:szCs w:val="22"/>
                <w:color w:val="auto"/>
                <w:vertAlign w:val="superscript"/>
              </w:rPr>
              <w:t>(d)</w:t>
            </w:r>
          </w:p>
        </w:tc>
        <w:tc>
          <w:tcPr>
            <w:tcW w:w="3180" w:type="dxa"/>
            <w:vAlign w:val="bottom"/>
          </w:tcPr>
          <w:p>
            <w:pPr>
              <w:jc w:val="right"/>
              <w:ind w:right="14"/>
              <w:spacing w:after="0"/>
              <w:rPr>
                <w:sz w:val="20"/>
                <w:szCs w:val="20"/>
                <w:color w:val="auto"/>
              </w:rPr>
            </w:pPr>
            <w:r>
              <w:rPr>
                <w:rFonts w:ascii="Arial" w:cs="Arial" w:eastAsia="Arial" w:hAnsi="Arial"/>
                <w:sz w:val="18"/>
                <w:szCs w:val="18"/>
                <w:b w:val="1"/>
                <w:bCs w:val="1"/>
                <w:color w:val="auto"/>
              </w:rPr>
              <w:t>96.6%</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92.0%</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86.6%</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78.2%</w:t>
            </w:r>
          </w:p>
        </w:tc>
        <w:tc>
          <w:tcPr>
            <w:tcW w:w="660" w:type="dxa"/>
            <w:vAlign w:val="bottom"/>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318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19.4</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8"/>
                <w:szCs w:val="18"/>
                <w:color w:val="auto"/>
              </w:rPr>
              <w:t>High-speed Internet customers</w:t>
            </w:r>
          </w:p>
        </w:tc>
        <w:tc>
          <w:tcPr>
            <w:tcW w:w="318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18.1</w:t>
            </w: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17.0</w:t>
            </w:r>
          </w:p>
        </w:tc>
        <w:tc>
          <w:tcPr>
            <w:tcW w:w="720" w:type="dxa"/>
            <w:vAlign w:val="bottom"/>
          </w:tcPr>
          <w:p>
            <w:pPr>
              <w:jc w:val="right"/>
              <w:ind w:right="194"/>
              <w:spacing w:after="0" w:line="181" w:lineRule="exact"/>
              <w:rPr>
                <w:sz w:val="20"/>
                <w:szCs w:val="20"/>
                <w:color w:val="auto"/>
              </w:rPr>
            </w:pPr>
            <w:r>
              <w:rPr>
                <w:rFonts w:ascii="Arial" w:cs="Arial" w:eastAsia="Arial" w:hAnsi="Arial"/>
                <w:sz w:val="18"/>
                <w:szCs w:val="18"/>
                <w:color w:val="auto"/>
              </w:rPr>
              <w:t>15.9</w:t>
            </w:r>
          </w:p>
        </w:tc>
        <w:tc>
          <w:tcPr>
            <w:tcW w:w="66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5"/>
        </w:trPr>
        <w:tc>
          <w:tcPr>
            <w:tcW w:w="5420" w:type="dxa"/>
            <w:vAlign w:val="bottom"/>
          </w:tcPr>
          <w:p>
            <w:pPr>
              <w:ind w:left="220"/>
              <w:spacing w:after="0" w:line="225" w:lineRule="exact"/>
              <w:rPr>
                <w:sz w:val="20"/>
                <w:szCs w:val="20"/>
                <w:color w:val="auto"/>
              </w:rPr>
            </w:pPr>
            <w:r>
              <w:rPr>
                <w:rFonts w:ascii="Arial" w:cs="Arial" w:eastAsia="Arial" w:hAnsi="Arial"/>
                <w:sz w:val="18"/>
                <w:szCs w:val="18"/>
                <w:color w:val="auto"/>
              </w:rPr>
              <w:t>High-speed Internet penetration</w:t>
            </w:r>
            <w:r>
              <w:rPr>
                <w:rFonts w:ascii="Arial" w:cs="Arial" w:eastAsia="Arial" w:hAnsi="Arial"/>
                <w:sz w:val="22"/>
                <w:szCs w:val="22"/>
                <w:color w:val="auto"/>
                <w:vertAlign w:val="superscript"/>
              </w:rPr>
              <w:t>(c)</w:t>
            </w:r>
          </w:p>
        </w:tc>
        <w:tc>
          <w:tcPr>
            <w:tcW w:w="3180" w:type="dxa"/>
            <w:vAlign w:val="bottom"/>
          </w:tcPr>
          <w:p>
            <w:pPr>
              <w:jc w:val="right"/>
              <w:ind w:right="14"/>
              <w:spacing w:after="0"/>
              <w:rPr>
                <w:sz w:val="20"/>
                <w:szCs w:val="20"/>
                <w:color w:val="auto"/>
              </w:rPr>
            </w:pPr>
            <w:r>
              <w:rPr>
                <w:rFonts w:ascii="Arial" w:cs="Arial" w:eastAsia="Arial" w:hAnsi="Arial"/>
                <w:sz w:val="18"/>
                <w:szCs w:val="18"/>
                <w:b w:val="1"/>
                <w:bCs w:val="1"/>
                <w:color w:val="auto"/>
              </w:rPr>
              <w:t>36.4%</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34.6%</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32.7%</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31.1%</w:t>
            </w:r>
          </w:p>
        </w:tc>
        <w:tc>
          <w:tcPr>
            <w:tcW w:w="66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Voice</w:t>
            </w:r>
          </w:p>
        </w:tc>
        <w:tc>
          <w:tcPr>
            <w:tcW w:w="318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10.0</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8"/>
                <w:szCs w:val="18"/>
                <w:color w:val="auto"/>
              </w:rPr>
              <w:t>Voice customers</w:t>
            </w:r>
          </w:p>
        </w:tc>
        <w:tc>
          <w:tcPr>
            <w:tcW w:w="318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9.3</w:t>
            </w: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8.6</w:t>
            </w:r>
          </w:p>
        </w:tc>
        <w:tc>
          <w:tcPr>
            <w:tcW w:w="720" w:type="dxa"/>
            <w:vAlign w:val="bottom"/>
          </w:tcPr>
          <w:p>
            <w:pPr>
              <w:jc w:val="right"/>
              <w:ind w:right="194"/>
              <w:spacing w:after="0" w:line="181" w:lineRule="exact"/>
              <w:rPr>
                <w:sz w:val="20"/>
                <w:szCs w:val="20"/>
                <w:color w:val="auto"/>
              </w:rPr>
            </w:pPr>
            <w:r>
              <w:rPr>
                <w:rFonts w:ascii="Arial" w:cs="Arial" w:eastAsia="Arial" w:hAnsi="Arial"/>
                <w:sz w:val="18"/>
                <w:szCs w:val="18"/>
                <w:color w:val="auto"/>
              </w:rPr>
              <w:t>7.6</w:t>
            </w:r>
          </w:p>
        </w:tc>
        <w:tc>
          <w:tcPr>
            <w:tcW w:w="66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auto"/>
            </w:tcBorders>
          </w:tcPr>
          <w:p>
            <w:pPr>
              <w:ind w:left="220"/>
              <w:spacing w:after="0" w:line="222" w:lineRule="exact"/>
              <w:rPr>
                <w:sz w:val="20"/>
                <w:szCs w:val="20"/>
                <w:color w:val="auto"/>
              </w:rPr>
            </w:pPr>
            <w:r>
              <w:rPr>
                <w:rFonts w:ascii="Arial" w:cs="Arial" w:eastAsia="Arial" w:hAnsi="Arial"/>
                <w:sz w:val="18"/>
                <w:szCs w:val="18"/>
                <w:color w:val="auto"/>
              </w:rPr>
              <w:t>Voice penetration</w:t>
            </w:r>
            <w:r>
              <w:rPr>
                <w:rFonts w:ascii="Arial" w:cs="Arial" w:eastAsia="Arial" w:hAnsi="Arial"/>
                <w:sz w:val="22"/>
                <w:szCs w:val="22"/>
                <w:color w:val="auto"/>
                <w:vertAlign w:val="superscript"/>
              </w:rPr>
              <w:t>(c)</w:t>
            </w:r>
          </w:p>
        </w:tc>
        <w:tc>
          <w:tcPr>
            <w:tcW w:w="3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18.7%</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17.8%</w:t>
            </w: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16.6%</w:t>
            </w: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Basis of Presentation: Customer metrics include our residential and business customers. Information related to cable system acquisitions is included from the date acquired. Information related to cable systems sold or exchanged is excluded for all periods presented. All percentages are calculated based on actual amounts. Minor differences may exist due to rounding.</w:t>
      </w:r>
    </w:p>
    <w:p>
      <w:pPr>
        <w:spacing w:after="0" w:line="55" w:lineRule="exact"/>
        <w:rPr>
          <w:sz w:val="20"/>
          <w:szCs w:val="20"/>
          <w:color w:val="auto"/>
        </w:rPr>
      </w:pPr>
    </w:p>
    <w:p>
      <w:pPr>
        <w:ind w:left="300" w:hanging="292"/>
        <w:spacing w:after="0" w:line="231"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Homes and businesses are considered passed if we can connect them to our distribution system without further extending the transmission lines. Homes and businesses passed is an estimate based on the best available information.</w:t>
      </w:r>
    </w:p>
    <w:p>
      <w:pPr>
        <w:spacing w:after="0" w:line="54" w:lineRule="exact"/>
        <w:rPr>
          <w:rFonts w:ascii="Arial" w:cs="Arial" w:eastAsia="Arial" w:hAnsi="Arial"/>
          <w:sz w:val="14"/>
          <w:szCs w:val="14"/>
          <w:color w:val="auto"/>
        </w:rPr>
      </w:pPr>
    </w:p>
    <w:p>
      <w:pPr>
        <w:ind w:left="300" w:right="20" w:hanging="292"/>
        <w:spacing w:after="0" w:line="300"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Generally, a home or business receiving video programming from our distribution system counts as one video customer. In the case of some multiple dwelling units (“MDUs”), we count video customers on an FCC equivalent basis by dividing total monthly revenue received from a contract with an MDU by the standard monthly residential rate where the MDU is located.</w:t>
      </w:r>
    </w:p>
    <w:p>
      <w:pPr>
        <w:spacing w:after="0" w:line="19" w:lineRule="exact"/>
        <w:rPr>
          <w:rFonts w:ascii="Arial" w:cs="Arial" w:eastAsia="Arial" w:hAnsi="Arial"/>
          <w:sz w:val="12"/>
          <w:szCs w:val="12"/>
          <w:color w:val="auto"/>
        </w:rPr>
      </w:pPr>
    </w:p>
    <w:p>
      <w:pPr>
        <w:ind w:left="280" w:hanging="272"/>
        <w:spacing w:after="0"/>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customers by the number of homes and businesses passed.</w:t>
      </w:r>
    </w:p>
    <w:p>
      <w:pPr>
        <w:spacing w:after="0" w:line="55"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Digital video customers include customers receiving digital signals through any means, including CableCARDs and digital transport adapters. Digital video penetration is calculated by dividing the number of digital video customers by total video customers.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Services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offer a variety of cable services over our cable distribution system to residential and business customers. Subscription rates and related charges vary according to the services and features customers receive and the type of equipment they use, and customers are typically billed in advance on a monthly basis. Residential customers may generally discontinue service at any time, while business customers may only discontinue service in accordance with the terms of their contracts, which typically have 2 to 5 year terms.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Video Services</w:t>
      </w:r>
    </w:p>
    <w:p>
      <w:pPr>
        <w:jc w:val="both"/>
        <w:spacing w:after="0" w:line="236" w:lineRule="auto"/>
        <w:rPr>
          <w:sz w:val="20"/>
          <w:szCs w:val="20"/>
          <w:color w:val="auto"/>
        </w:rPr>
      </w:pPr>
      <w:r>
        <w:rPr>
          <w:rFonts w:ascii="Arial" w:cs="Arial" w:eastAsia="Arial" w:hAnsi="Arial"/>
          <w:sz w:val="18"/>
          <w:szCs w:val="18"/>
          <w:color w:val="auto"/>
        </w:rPr>
        <w:t>We offer a broad variety of video services with access to hundreds of channels depending on the level of service selected. Our levels of service typically range from a limited basic service with access to between 20 and 40 channels of video programming to a full digital service with access to over 300 channels. Our video services generally include programming provided by national broadcast networks, local broadcast stations, and national and regional cable networks, as well as governmental and public access programming. Our digital video services generally include access to our On Demand service and an interactive, on-screen program guide. We also offer packages that include extensive amounts of foreign-language programming, and we offer other specialty tiers of programming with sports, family and international themes. We tailor our video services offerings serving a particular geographic area according to applicable local and federal regulatory requirements, programming preferences and demographics.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video customers may also subscribe to premium network programming. Premium networks include cable networks such as HBO, Showtime, Starz and Cinemax that generally offer, without commercial interruption, movies, original programming, live and taped sporting events and concerts, and other features.</w:t>
      </w:r>
    </w:p>
    <w:p>
      <w:pPr>
        <w:spacing w:after="0" w:line="323"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On Demand service provides our digital video customers with more than 30,000 standard-definition and high-definition programming choices. A substantial portion of our On Demand content is available to our digital video customers at no additional charge. Digital video customers subscribing to a premium network have access to the premium network’s On Demand content without additional fees. Our On Demand service allows our video customers to access or order, including some for a specified fee, individual new release and library movies and special-event programs, such as sporting events and concerts. We plan to continue increasing the number of On Demand choices available, including HD programming.</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HD video service provides customers that have an HD set-top box with high-resolution picture quality, improved audio quality and a wide-screen format. Our HD service includes a broad selection of HD programming choices, including major broadcast networks, leading national cable networks, premium networks and regional sports networks. In addition, our On Demand service provides HD video customers with a selection of up to 6,000 HD programming choices in select markets over the course of a month. We also offer select programming in 3-D format, on both linear channels and through On Demand, to our HD customers who have 3-D capable TV sets. Our DVR service allows digital video customers to select, record and store programs on their set-top box and play them at whatever time is convenient. Our DVR service also provides the ability to pause and rewind “live” television.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video customers also have the ability to use XFINITY.net or our mobile apps for smartphones and tablets to view certain live programming and some of our On Demand content, browse program listings, and, in select markets, schedule and manage DVR recordings. In 2012, we launched our Streampix subscription video service that allows video customers to view additional movies and other content through On Demand or XFINITY.net or by using our mobile apps.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High-Speed Internet Services</w:t>
      </w:r>
    </w:p>
    <w:p>
      <w:pPr>
        <w:jc w:val="both"/>
        <w:spacing w:after="0" w:line="237" w:lineRule="auto"/>
        <w:rPr>
          <w:sz w:val="20"/>
          <w:szCs w:val="20"/>
          <w:color w:val="auto"/>
        </w:rPr>
      </w:pPr>
      <w:r>
        <w:rPr>
          <w:rFonts w:ascii="Arial" w:cs="Arial" w:eastAsia="Arial" w:hAnsi="Arial"/>
          <w:sz w:val="18"/>
          <w:szCs w:val="18"/>
          <w:color w:val="auto"/>
        </w:rPr>
        <w:t>We offer a variety of high-speed Internet services with downstream speeds of up to 105 Mbps, subject to geographic market availability, and we also have introduced speeds of up to 305 Mbps in limited markets. These services also include our Internet portal, XFINITY.net, which provides access to email, an address book, online storage and online security features. Our customers also have the ability to access these services, including manage their email accounts and security features, using our mobile apps for smartphones and tablets.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Voice Services</w:t>
      </w:r>
    </w:p>
    <w:p>
      <w:pPr>
        <w:jc w:val="both"/>
        <w:spacing w:after="0" w:line="275" w:lineRule="auto"/>
        <w:rPr>
          <w:sz w:val="20"/>
          <w:szCs w:val="20"/>
          <w:color w:val="auto"/>
        </w:rPr>
      </w:pPr>
      <w:r>
        <w:rPr>
          <w:rFonts w:ascii="Arial" w:cs="Arial" w:eastAsia="Arial" w:hAnsi="Arial"/>
          <w:sz w:val="16"/>
          <w:szCs w:val="16"/>
          <w:color w:val="auto"/>
        </w:rPr>
        <w:t>We offer voice service plans using an interconnected Voice over Internet Protocol (“VoIP”) technology that provide either usage-based or unlimited local and domestic long-distance calling and include options for international calling plans, voicemail, voicemail transcriptions, text messaging, caller ID and call waiting. For customers with our high-speed Internet services, our voice services also provide customers with the ability to access and manage voicemail, text messaging and other account features through XFINITY.net or by using our mobile apps for smartphones and tablets.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3E499A"/>
        </w:rPr>
        <w:t>Business Services</w:t>
      </w:r>
    </w:p>
    <w:p>
      <w:pPr>
        <w:jc w:val="both"/>
        <w:spacing w:after="0" w:line="237" w:lineRule="auto"/>
        <w:rPr>
          <w:sz w:val="20"/>
          <w:szCs w:val="20"/>
          <w:color w:val="auto"/>
        </w:rPr>
      </w:pPr>
      <w:r>
        <w:rPr>
          <w:rFonts w:ascii="Arial" w:cs="Arial" w:eastAsia="Arial" w:hAnsi="Arial"/>
          <w:sz w:val="18"/>
          <w:szCs w:val="18"/>
          <w:color w:val="auto"/>
        </w:rPr>
        <w:t>We offer our cable services to small (up to 20 employees) and medium-sized (up to 500 employees) businesses (“business services”). In addition to the features provided to our residential cable services customers, our services for business customers include a website hosting service, an interactive tool that allows customers to share, coordinate and store documents online, hosted voice services using cloud network servers, a business directory listing, and the added capacity for multiple phone lines that meet the needs of our business customers.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2012, we began increasing the number of services we offer to medium-sized business customers, including adding advanced voice services and our metro Ethernet network services. We also provide cellular backhaul services to mobile network operators, which help our customers manage continued growth in demand for network bandwidth.</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the cable networks that we may sell to local, regional and national advertisers. In most cases, the available advertising time is sold by our sales force. In some cases, we work with representation firms as an extension of our sales force to sell a portion of the advertising time allocated to us. We also coordinate the advertising sales efforts of other multichannel video providers in some markets. In addition, we generate revenue from the sale of advertising online and on our On Demand service.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 Sources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receive revenue related to cable franchise and other regulatory fees. We also receive revenue related to our digital media center, commissions from electronic retailing networks, and fees from other newer services, such as our home security and automation services and expanded technical support services. Our cable franchise and regulatory fees represent the fees required to be paid to federal, state and local authorities that we pass through to our customers. Under the terms of our franchise agreements, we are generally required to pay to the cable franchising authority an amount based on our gross video revenue. Our home security and automation offering provides home monitoring services to our customers as well as the ability to manage other functions within the home, such as lighting and climate control, through XFINITY.net or our mobile apps for smartphones and tablets.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distribution system uses a hybrid fiber-optic and coaxial cable network that we believe is sufficiently flexible and scalable to support our future technology requirements. This network provides the two-way transmissions that are essential to providing interactive video services, such as On Demand, and high-speed Internet and voice services. We are also leveraging our network to develop and deliver innovative services to our customers efficiently and in an accelerated fashion.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develop and launch new technology initiatives, such as:</w:t>
      </w:r>
    </w:p>
    <w:p>
      <w:pPr>
        <w:spacing w:after="0" w:line="117" w:lineRule="exact"/>
        <w:rPr>
          <w:sz w:val="20"/>
          <w:szCs w:val="20"/>
          <w:color w:val="auto"/>
        </w:rPr>
      </w:pPr>
    </w:p>
    <w:p>
      <w:pPr>
        <w:ind w:left="1020" w:right="1260" w:hanging="215"/>
        <w:spacing w:after="0" w:line="23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launching next-generation media and content delivery platforms, such as our new X1 platform, that use IP technology and our own cloud network servers to deliver video and advanced search capabilities</w:t>
      </w:r>
    </w:p>
    <w:p>
      <w:pPr>
        <w:spacing w:after="0" w:line="114" w:lineRule="exact"/>
        <w:rPr>
          <w:rFonts w:ascii="Arial" w:cs="Arial" w:eastAsia="Arial" w:hAnsi="Arial"/>
          <w:sz w:val="18"/>
          <w:szCs w:val="18"/>
          <w:color w:val="auto"/>
        </w:rPr>
      </w:pPr>
    </w:p>
    <w:p>
      <w:pPr>
        <w:ind w:left="1020" w:right="1260" w:hanging="215"/>
        <w:spacing w:after="0" w:line="299"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enabling a variety of consumer electronic devices, including computers, tablets, smartphones and Internet-connected televisions, to search, control and display the programming and other content we provide to our video customers</w:t>
      </w:r>
    </w:p>
    <w:p>
      <w:pPr>
        <w:spacing w:after="0" w:line="68" w:lineRule="exact"/>
        <w:rPr>
          <w:rFonts w:ascii="Arial" w:cs="Arial" w:eastAsia="Arial" w:hAnsi="Arial"/>
          <w:sz w:val="16"/>
          <w:szCs w:val="16"/>
          <w:color w:val="auto"/>
        </w:rPr>
      </w:pPr>
    </w:p>
    <w:p>
      <w:pPr>
        <w:ind w:left="1020" w:right="1260" w:hanging="215"/>
        <w:spacing w:after="0" w:line="23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the use of our network to launch new services, including providing services to medium-sized businesses and offering home security and automation services</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wireless options to extend our services outside the home to provide mobility through the use of apps for smartphones and tablets, deploying Wi-Fi in portions of our service areas and marketing Verizon Wireless services with our cable services offerings in select markets</w:t>
      </w:r>
    </w:p>
    <w:p>
      <w:pPr>
        <w:spacing w:after="0" w:line="11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multiple tools to recapture bandwidth and optimize our network, including using advanced video encoding and digital compression technologies</w:t>
      </w:r>
    </w:p>
    <w:p>
      <w:pPr>
        <w:spacing w:after="0" w:line="114"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technology and software that allow customers to better identify problems with our cable services and provide for better integration of our software with third-party software</w:t>
      </w:r>
    </w:p>
    <w:p>
      <w:pPr>
        <w:spacing w:after="0" w:line="324"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offer our video services, we license a substantial portion of our programming from cable and broadcast networks, as well as local broadcast television stations. We attempt to secure long-term programming distribution agreements with our content providers. We also license individual programs or packages of programs from programming suppliers for our On Demand and streaming services. We seek to include in our distribution arrangements the rights to offer such programming to our subscribers through multiple delivery platforms that may be used in a variety of locations, such as through On Demand and XFINITY.net and through our mobile apps for smartphones and tablets.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video programming expenses are affected by the programming license fees charged by cable networks and fees for retransmission of local broadcast television stations’ signals and by the number of video customers we serve and the amount of content we provide. We anticipate that our programming expenses will continue to increase.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purchase from a limited number of suppliers a significant number of set-top boxes, network equipment and services that we use in providing our cable services.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our high-speed Internet services, we license software products (such as email and security software) and content (such as news feeds) for our portal, XFINITY.net, from a variety of suppliers under contracts in which we generally pay on a fixed-fee basis, on a per subscriber basis in the case of software product licenses or on a video advertising revenue share basis in the case of content licenses.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For our voice services, we license software products (such as voicemail and text messaging) from a variety of suppliers under multiyear contracts.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fees we pay are generally based on the consumption of the related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use two vendors to provide customer billing for our cable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Technical Services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 service call centers provide 24/7 call-answering capability, telemarketing and other services. Our technical services group performs various tasks, including installations, plant maintenance and upgrades to our cable distribution system.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offer our services directly to residential and business customers through our call centers, door-to-door selling, direct mail advertising, television advertising, Internet advertising, local media advertising, telemarketing and retail outlets. We market our cable services both individually and as bundled services. In addition, in 2012, Verizon Wireless became an agent to sell our cable services in many of the markets in which we provide our cable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2011, we closed the NBCUniversal and Universal Orlando transactions in which we acquired control of the businesses of NBCUniversal and Universal Orlando, respectively. For additional information on the NBCUniversal and Universal Orlando transactions, refer to Note 4 to our consolidated financial statements included in this Annual Report on Form 10-K.</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of a diversified portfolio of 15 national cable networks, 11 regional sports and news networks, various international channels, our cable television production studio, and our related digital media properties, which are primarily brand-aligned and other websites. The table below presents a summary of our national cable networks.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400" w:type="dxa"/>
            <w:vAlign w:val="bottom"/>
          </w:tcPr>
          <w:p>
            <w:pPr>
              <w:jc w:val="right"/>
              <w:ind w:right="377"/>
              <w:spacing w:after="0"/>
              <w:rPr>
                <w:sz w:val="20"/>
                <w:szCs w:val="20"/>
                <w:color w:val="auto"/>
              </w:rPr>
            </w:pPr>
            <w:r>
              <w:rPr>
                <w:rFonts w:ascii="Arial" w:cs="Arial" w:eastAsia="Arial" w:hAnsi="Arial"/>
                <w:sz w:val="14"/>
                <w:szCs w:val="14"/>
                <w:color w:val="auto"/>
              </w:rPr>
              <w:t>Approximate U.S.</w:t>
            </w:r>
          </w:p>
        </w:tc>
        <w:tc>
          <w:tcPr>
            <w:tcW w:w="4640" w:type="dxa"/>
            <w:vAlign w:val="bottom"/>
          </w:tcPr>
          <w:p>
            <w:pPr>
              <w:spacing w:after="0"/>
              <w:rPr>
                <w:sz w:val="14"/>
                <w:szCs w:val="14"/>
                <w:color w:val="auto"/>
              </w:rPr>
            </w:pPr>
          </w:p>
        </w:tc>
      </w:tr>
      <w:tr>
        <w:trPr>
          <w:trHeight w:val="149"/>
        </w:trPr>
        <w:tc>
          <w:tcPr>
            <w:tcW w:w="3380" w:type="dxa"/>
            <w:vAlign w:val="bottom"/>
          </w:tcPr>
          <w:p>
            <w:pPr>
              <w:spacing w:after="0"/>
              <w:rPr>
                <w:sz w:val="12"/>
                <w:szCs w:val="12"/>
                <w:color w:val="auto"/>
              </w:rPr>
            </w:pPr>
          </w:p>
        </w:tc>
        <w:tc>
          <w:tcPr>
            <w:tcW w:w="3400" w:type="dxa"/>
            <w:vAlign w:val="bottom"/>
          </w:tcPr>
          <w:p>
            <w:pPr>
              <w:jc w:val="right"/>
              <w:ind w:right="377"/>
              <w:spacing w:after="0" w:line="149" w:lineRule="exact"/>
              <w:rPr>
                <w:sz w:val="20"/>
                <w:szCs w:val="20"/>
                <w:color w:val="auto"/>
              </w:rPr>
            </w:pPr>
            <w:r>
              <w:rPr>
                <w:rFonts w:ascii="Arial" w:cs="Arial" w:eastAsia="Arial" w:hAnsi="Arial"/>
                <w:sz w:val="14"/>
                <w:szCs w:val="14"/>
                <w:color w:val="auto"/>
              </w:rPr>
              <w:t>Subscribers at</w:t>
            </w:r>
          </w:p>
        </w:tc>
        <w:tc>
          <w:tcPr>
            <w:tcW w:w="4640" w:type="dxa"/>
            <w:vAlign w:val="bottom"/>
          </w:tcPr>
          <w:p>
            <w:pPr>
              <w:spacing w:after="0"/>
              <w:rPr>
                <w:sz w:val="12"/>
                <w:szCs w:val="12"/>
                <w:color w:val="auto"/>
              </w:rPr>
            </w:pPr>
          </w:p>
        </w:tc>
      </w:tr>
      <w:tr>
        <w:trPr>
          <w:trHeight w:val="128"/>
        </w:trPr>
        <w:tc>
          <w:tcPr>
            <w:tcW w:w="3380" w:type="dxa"/>
            <w:vAlign w:val="bottom"/>
          </w:tcPr>
          <w:p>
            <w:pPr>
              <w:spacing w:after="0"/>
              <w:rPr>
                <w:sz w:val="11"/>
                <w:szCs w:val="11"/>
                <w:color w:val="auto"/>
              </w:rPr>
            </w:pPr>
          </w:p>
        </w:tc>
        <w:tc>
          <w:tcPr>
            <w:tcW w:w="3400" w:type="dxa"/>
            <w:vAlign w:val="bottom"/>
          </w:tcPr>
          <w:p>
            <w:pPr>
              <w:jc w:val="right"/>
              <w:ind w:right="377"/>
              <w:spacing w:after="0" w:line="129" w:lineRule="exact"/>
              <w:rPr>
                <w:sz w:val="20"/>
                <w:szCs w:val="20"/>
                <w:color w:val="auto"/>
              </w:rPr>
            </w:pPr>
            <w:r>
              <w:rPr>
                <w:rFonts w:ascii="Arial" w:cs="Arial" w:eastAsia="Arial" w:hAnsi="Arial"/>
                <w:sz w:val="14"/>
                <w:szCs w:val="14"/>
                <w:color w:val="auto"/>
              </w:rPr>
              <w:t>December 31, 2012</w:t>
            </w:r>
          </w:p>
        </w:tc>
        <w:tc>
          <w:tcPr>
            <w:tcW w:w="4640" w:type="dxa"/>
            <w:vAlign w:val="bottom"/>
          </w:tcPr>
          <w:p>
            <w:pPr>
              <w:spacing w:after="0"/>
              <w:rPr>
                <w:sz w:val="11"/>
                <w:szCs w:val="11"/>
                <w:color w:val="auto"/>
              </w:rPr>
            </w:pPr>
          </w:p>
        </w:tc>
      </w:tr>
      <w:tr>
        <w:trPr>
          <w:trHeight w:val="169"/>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Cable Network</w:t>
            </w:r>
          </w:p>
        </w:tc>
        <w:tc>
          <w:tcPr>
            <w:tcW w:w="3400" w:type="dxa"/>
            <w:vAlign w:val="bottom"/>
            <w:tcBorders>
              <w:bottom w:val="single" w:sz="8" w:color="auto"/>
            </w:tcBorders>
          </w:tcPr>
          <w:p>
            <w:pPr>
              <w:jc w:val="right"/>
              <w:ind w:right="377"/>
              <w:spacing w:after="0" w:line="170" w:lineRule="exact"/>
              <w:rPr>
                <w:sz w:val="20"/>
                <w:szCs w:val="20"/>
                <w:color w:val="auto"/>
              </w:rPr>
            </w:pPr>
            <w:r>
              <w:rPr>
                <w:rFonts w:ascii="Arial" w:cs="Arial" w:eastAsia="Arial" w:hAnsi="Arial"/>
                <w:sz w:val="12"/>
                <w:szCs w:val="12"/>
                <w:color w:val="auto"/>
              </w:rPr>
              <w:t>(in millions)</w:t>
            </w:r>
            <w:r>
              <w:rPr>
                <w:rFonts w:ascii="Arial" w:cs="Arial" w:eastAsia="Arial" w:hAnsi="Arial"/>
                <w:sz w:val="19"/>
                <w:szCs w:val="19"/>
                <w:color w:val="auto"/>
                <w:vertAlign w:val="superscript"/>
              </w:rPr>
              <w:t>(a)</w:t>
            </w:r>
          </w:p>
        </w:tc>
        <w:tc>
          <w:tcPr>
            <w:tcW w:w="46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Description of Programming</w:t>
            </w:r>
          </w:p>
        </w:tc>
      </w:tr>
      <w:tr>
        <w:trPr>
          <w:trHeight w:val="199"/>
        </w:trPr>
        <w:tc>
          <w:tcPr>
            <w:tcW w:w="3380" w:type="dxa"/>
            <w:vAlign w:val="bottom"/>
          </w:tcPr>
          <w:p>
            <w:pPr>
              <w:spacing w:after="0" w:line="200" w:lineRule="exact"/>
              <w:rPr>
                <w:sz w:val="20"/>
                <w:szCs w:val="20"/>
                <w:color w:val="auto"/>
              </w:rPr>
            </w:pPr>
            <w:r>
              <w:rPr>
                <w:rFonts w:ascii="Arial" w:cs="Arial" w:eastAsia="Arial" w:hAnsi="Arial"/>
                <w:sz w:val="18"/>
                <w:szCs w:val="18"/>
                <w:color w:val="auto"/>
              </w:rPr>
              <w:t>USA Network</w:t>
            </w:r>
          </w:p>
        </w:tc>
        <w:tc>
          <w:tcPr>
            <w:tcW w:w="3400" w:type="dxa"/>
            <w:vAlign w:val="bottom"/>
          </w:tcPr>
          <w:p>
            <w:pPr>
              <w:jc w:val="right"/>
              <w:ind w:right="377"/>
              <w:spacing w:after="0" w:line="200" w:lineRule="exact"/>
              <w:rPr>
                <w:sz w:val="20"/>
                <w:szCs w:val="20"/>
                <w:color w:val="auto"/>
              </w:rPr>
            </w:pPr>
            <w:r>
              <w:rPr>
                <w:rFonts w:ascii="Arial" w:cs="Arial" w:eastAsia="Arial" w:hAnsi="Arial"/>
                <w:sz w:val="18"/>
                <w:szCs w:val="18"/>
                <w:color w:val="auto"/>
              </w:rPr>
              <w:t>99</w:t>
            </w:r>
          </w:p>
        </w:tc>
        <w:tc>
          <w:tcPr>
            <w:tcW w:w="4640" w:type="dxa"/>
            <w:vAlign w:val="bottom"/>
          </w:tcPr>
          <w:p>
            <w:pPr>
              <w:ind w:left="460"/>
              <w:spacing w:after="0" w:line="200" w:lineRule="exact"/>
              <w:rPr>
                <w:sz w:val="20"/>
                <w:szCs w:val="20"/>
                <w:color w:val="auto"/>
              </w:rPr>
            </w:pPr>
            <w:r>
              <w:rPr>
                <w:rFonts w:ascii="Arial" w:cs="Arial" w:eastAsia="Arial" w:hAnsi="Arial"/>
                <w:sz w:val="18"/>
                <w:szCs w:val="18"/>
                <w:color w:val="auto"/>
              </w:rPr>
              <w:t>General entertainment</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Syfy</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98</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Imagination-based entertainment</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E!</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97</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Entertainment and pop culture</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CNBC</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97</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Business and financial news</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MSNBC</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95</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24 hour news</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Bravo</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95</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Entertainment, culture and arts</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84</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Golf competition and golf entertainment</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Oxygen</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79</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Women’s interests</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NBC Sports Network</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78</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Sports</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Style</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76</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Lifestyle</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G4</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62</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Gamer lifestyle</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Chiller</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43</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Horror and suspense</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CNBC World</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35</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Global financial news</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Cloo</w:t>
            </w:r>
          </w:p>
        </w:tc>
        <w:tc>
          <w:tcPr>
            <w:tcW w:w="340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34</w:t>
            </w:r>
          </w:p>
        </w:tc>
        <w:tc>
          <w:tcPr>
            <w:tcW w:w="4640" w:type="dxa"/>
            <w:vAlign w:val="bottom"/>
          </w:tcPr>
          <w:p>
            <w:pPr>
              <w:ind w:left="460"/>
              <w:spacing w:after="0" w:line="202" w:lineRule="exact"/>
              <w:rPr>
                <w:sz w:val="20"/>
                <w:szCs w:val="20"/>
                <w:color w:val="auto"/>
              </w:rPr>
            </w:pPr>
            <w:r>
              <w:rPr>
                <w:rFonts w:ascii="Arial" w:cs="Arial" w:eastAsia="Arial" w:hAnsi="Arial"/>
                <w:sz w:val="18"/>
                <w:szCs w:val="18"/>
                <w:color w:val="auto"/>
              </w:rPr>
              <w:t>Crime, mystery and suspense</w:t>
            </w:r>
          </w:p>
        </w:tc>
      </w:tr>
      <w:tr>
        <w:trPr>
          <w:trHeight w:val="199"/>
        </w:trPr>
        <w:tc>
          <w:tcPr>
            <w:tcW w:w="33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Universal HD</w:t>
            </w:r>
          </w:p>
        </w:tc>
        <w:tc>
          <w:tcPr>
            <w:tcW w:w="3400" w:type="dxa"/>
            <w:vAlign w:val="bottom"/>
            <w:tcBorders>
              <w:bottom w:val="single" w:sz="8" w:color="auto"/>
            </w:tcBorders>
          </w:tcPr>
          <w:p>
            <w:pPr>
              <w:jc w:val="right"/>
              <w:ind w:right="377"/>
              <w:spacing w:after="0" w:line="200" w:lineRule="exact"/>
              <w:rPr>
                <w:sz w:val="20"/>
                <w:szCs w:val="20"/>
                <w:color w:val="auto"/>
              </w:rPr>
            </w:pPr>
            <w:r>
              <w:rPr>
                <w:rFonts w:ascii="Arial" w:cs="Arial" w:eastAsia="Arial" w:hAnsi="Arial"/>
                <w:sz w:val="18"/>
                <w:szCs w:val="18"/>
                <w:color w:val="auto"/>
              </w:rPr>
              <w:t>27</w:t>
            </w:r>
          </w:p>
        </w:tc>
        <w:tc>
          <w:tcPr>
            <w:tcW w:w="4640" w:type="dxa"/>
            <w:vAlign w:val="bottom"/>
            <w:tcBorders>
              <w:bottom w:val="single" w:sz="8" w:color="auto"/>
            </w:tcBorders>
          </w:tcPr>
          <w:p>
            <w:pPr>
              <w:ind w:left="460"/>
              <w:spacing w:after="0" w:line="200" w:lineRule="exact"/>
              <w:rPr>
                <w:sz w:val="20"/>
                <w:szCs w:val="20"/>
                <w:color w:val="auto"/>
              </w:rPr>
            </w:pPr>
            <w:r>
              <w:rPr>
                <w:rFonts w:ascii="Arial" w:cs="Arial" w:eastAsia="Arial" w:hAnsi="Arial"/>
                <w:sz w:val="18"/>
                <w:szCs w:val="18"/>
                <w:color w:val="auto"/>
              </w:rPr>
              <w:t>General entertainment HD programming</w:t>
            </w:r>
          </w:p>
        </w:tc>
      </w:tr>
    </w:tbl>
    <w:p>
      <w:pPr>
        <w:spacing w:after="0" w:line="67" w:lineRule="exact"/>
        <w:rPr>
          <w:sz w:val="20"/>
          <w:szCs w:val="20"/>
          <w:color w:val="auto"/>
        </w:rPr>
      </w:pPr>
    </w:p>
    <w:p>
      <w:pPr>
        <w:ind w:left="300" w:hanging="292"/>
        <w:spacing w:after="0" w:line="231" w:lineRule="auto"/>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Subscriber data is based on The Nielsen Company’s January 2013 report, which is derived from information available during the period December 19, 2012 through December 25, 2012, except for Universal HD, which is derived from information provided by multichannel video providers.</w:t>
      </w:r>
    </w:p>
    <w:p>
      <w:pPr>
        <w:spacing w:after="0" w:line="15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11 regional sports and news networks serve a combined 39 million subscribers across the United States, including key markets such as Atlanta, Baltimore/Washington, Boston, Chicago, Philadelphia, Portland, Sacramento and San Francisco.</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market and distribute our cable network programming in the United States and internationally to multichannel video providers, as well as to digital distributors, such as Netflix and iTunes. These distributors may exhibit our content on television, including video on demand and pay-per-view, online and through mobile apps for smartphones and tablets.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networks produce their own programs or acquire programming rights from third parties. Our Cable Networks segment includes our production studio, Universal Cable Productions, which identifies, develops and produces original content for cable television and other distribution platforms both for our cable networks and for those of third parties. We license this content to cable networks, broadcast networks and digital distributors.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and from the sale of advertising. Distribution revenue is generated from distribution agreements with multichannel video providers. Advertising revenue is generated from the sale of advertising time on our cable networks and related digital media properties. We also generate content licensing and other revenue primarily from the licensing of our owned programming to various distribution platforms in the United States and internationally.</w:t>
      </w:r>
    </w:p>
    <w:p>
      <w:pPr>
        <w:spacing w:after="0" w:line="324"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Broadcast Television segment operates the NBC and Telemundo broadcast television networks, which together serve audiences and advertisers in all 50 states. Our Broadcast Television segment also includes our owned NBC and Telemundo local broadcast television stations, our broadcast television production operations, and our related digital media properties.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Broadcast Television segment generates revenue primarily from the sale of advertising and from content licensing. Advertising revenue is generated from the sale of advertising time on our broadcast networks, owned local television stations and related digital media properties. Content licensing revenue is generated from the licensing of our owned programming in the United States and internationally, including to cable and broadcast networks and digital distributors, such as Netflix. We also generate revenue from the sale of our owned programming on standard-definition DVDs and Blu ray discs (together, “DVDs”) and through other digital distributors, such as iTunes. In addition, our owned local television stations are beginning to receive fees from multichannel video providers in exchange for retransmission consent that allows carriage of the stations’ signals. We also receive a portion of the retransmission fees received by our NBC affiliated broadcast television stations. We expect these fees to increase in the future as we, as well as our NBC affiliated broadcast television stations, renegotiate distribution agreements with multichannel video providers.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3E499A"/>
        </w:rPr>
        <w:t>NBC Network</w:t>
      </w:r>
    </w:p>
    <w:p>
      <w:pPr>
        <w:jc w:val="both"/>
        <w:spacing w:after="0" w:line="271" w:lineRule="auto"/>
        <w:rPr>
          <w:sz w:val="20"/>
          <w:szCs w:val="20"/>
          <w:color w:val="auto"/>
        </w:rPr>
      </w:pPr>
      <w:r>
        <w:rPr>
          <w:rFonts w:ascii="Arial" w:cs="Arial" w:eastAsia="Arial" w:hAnsi="Arial"/>
          <w:sz w:val="16"/>
          <w:szCs w:val="16"/>
          <w:color w:val="auto"/>
        </w:rPr>
        <w:t>The NBC network distributes more than 5,000 hours of entertainment, news and sports programming annually, and its programs reach viewers in virtually all U.S. television households through more than 200 affiliated stations across the United States, including our 10 NBC owned local television stations. The NBC network develops a broad range of entertainment, news and sports content and also airs a variety of special-events programming. The NBC network’s television library consists of rights of varying nature to more than 100,000 episodes of popular television content, including current and classic titles, unscripted programming, sports, news, long-form and short-form programming, and locally produced programming from around the world. In addition, the NBC network operates various websites that extend its brands and content online.</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NBC network produces its own programs or acquires the rights to programming from third parties. NBCUniversal has various contractual commitments for the licensing of rights to multiyear programming, primarily sports programming. Our most significant sports programming commitments include an agreement with the NFL to produce and broadcast a specified number of regular season and playoff games, including </w:t>
      </w:r>
      <w:r>
        <w:rPr>
          <w:rFonts w:ascii="Arial" w:cs="Arial" w:eastAsia="Arial" w:hAnsi="Arial"/>
          <w:sz w:val="18"/>
          <w:szCs w:val="18"/>
          <w:i w:val="1"/>
          <w:iCs w:val="1"/>
          <w:color w:val="auto"/>
        </w:rPr>
        <w:t xml:space="preserve">Sunday Night Football </w:t>
      </w:r>
      <w:r>
        <w:rPr>
          <w:rFonts w:ascii="Arial" w:cs="Arial" w:eastAsia="Arial" w:hAnsi="Arial"/>
          <w:sz w:val="18"/>
          <w:szCs w:val="18"/>
          <w:color w:val="auto"/>
        </w:rPr>
        <w:t>on NBC through the 2022-23 season and the 2015, 2018 and 2021 Super Bowl games. In addition, the NBC network owns</w:t>
      </w:r>
      <w:r>
        <w:rPr>
          <w:rFonts w:ascii="Arial" w:cs="Arial" w:eastAsia="Arial" w:hAnsi="Arial"/>
          <w:sz w:val="18"/>
          <w:szCs w:val="18"/>
          <w:i w:val="1"/>
          <w:iCs w:val="1"/>
          <w:color w:val="auto"/>
        </w:rPr>
        <w:t xml:space="preserve"> </w:t>
      </w:r>
      <w:r>
        <w:rPr>
          <w:rFonts w:ascii="Arial" w:cs="Arial" w:eastAsia="Arial" w:hAnsi="Arial"/>
          <w:sz w:val="18"/>
          <w:szCs w:val="18"/>
          <w:color w:val="auto"/>
        </w:rPr>
        <w:t>the U.S. broadcast rights for the summer and winter Olympic Games through 2020. We also have broadcast rights to a specified number of NHL games through the 2020-21 season, U.S television rights to English Premier League Soccer beginning in 2013 through the 2015-16 season and certain PGA TOUR golf events through 2021. NBCUniversal’s sports programming agreements also include rights to distribute content on our national cable networks, including NBC Sports Network and Golf Channel, on our regional sports networks where applicable, and also online, including through mobile apps available for smartphones and tablets.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broadcast television production operations develop and produce original content, including scripted and unscripted series and talk shows that are licensed to broadcast networks, cable networks, local broadcast television stations and other distribution platforms owned by us and third parties, as well as through the sale of DVDs, both in the United States and internationally. We also produce “first-run” syndicated shows, which are programs for initial exhibition on local television stations in the United States, on a market-by-market basis, without prior exhibition on a network. We currently distribute some of our television programs after their initial exhibition, as well as older television programs from our library, to local broadcast television stations and cable networks in the off-network syndication market.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3E499A"/>
        </w:rPr>
        <w:t>NBC Local Broadcast Television Stations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own and operate 10 NBC affiliated local television stations that collectively reached 31 million U.S. television households, which represents approximately 27% of all U.S. television households, as of December 31, 2012. In addition to airing the NBC network’s national programming, our local television stations produce news, sports, public affairs and other programming that addresses local needs and acquire syndicated programming from other sources. The table below presents a summary of the NBC affiliated local broadcast television stations that we own and operate.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tcPr>
          <w:p>
            <w:pPr>
              <w:jc w:val="right"/>
              <w:ind w:right="136"/>
              <w:spacing w:after="0"/>
              <w:rPr>
                <w:sz w:val="20"/>
                <w:szCs w:val="20"/>
                <w:color w:val="auto"/>
              </w:rPr>
            </w:pPr>
            <w:r>
              <w:rPr>
                <w:rFonts w:ascii="Arial" w:cs="Arial" w:eastAsia="Arial" w:hAnsi="Arial"/>
                <w:sz w:val="14"/>
                <w:szCs w:val="14"/>
                <w:color w:val="auto"/>
              </w:rPr>
              <w:t>Percentage of U.S.</w:t>
            </w:r>
          </w:p>
        </w:tc>
      </w:tr>
      <w:tr>
        <w:trPr>
          <w:trHeight w:val="169"/>
        </w:trPr>
        <w:tc>
          <w:tcPr>
            <w:tcW w:w="4960" w:type="dxa"/>
            <w:vAlign w:val="bottom"/>
            <w:tcBorders>
              <w:bottom w:val="single" w:sz="8" w:color="auto"/>
            </w:tcBorders>
          </w:tcPr>
          <w:p>
            <w:pPr>
              <w:spacing w:after="0" w:line="170" w:lineRule="exact"/>
              <w:rPr>
                <w:sz w:val="20"/>
                <w:szCs w:val="20"/>
                <w:color w:val="auto"/>
              </w:rPr>
            </w:pPr>
            <w:r>
              <w:rPr>
                <w:rFonts w:ascii="Arial" w:cs="Arial" w:eastAsia="Arial" w:hAnsi="Arial"/>
                <w:sz w:val="12"/>
                <w:szCs w:val="12"/>
                <w:color w:val="auto"/>
              </w:rPr>
              <w:t>DMA Served</w:t>
            </w:r>
            <w:r>
              <w:rPr>
                <w:rFonts w:ascii="Arial" w:cs="Arial" w:eastAsia="Arial" w:hAnsi="Arial"/>
                <w:sz w:val="19"/>
                <w:szCs w:val="19"/>
                <w:color w:val="auto"/>
                <w:vertAlign w:val="superscript"/>
              </w:rPr>
              <w:t>(a)</w:t>
            </w:r>
          </w:p>
        </w:tc>
        <w:tc>
          <w:tcPr>
            <w:tcW w:w="2940" w:type="dxa"/>
            <w:vAlign w:val="bottom"/>
            <w:tcBorders>
              <w:bottom w:val="single" w:sz="8" w:color="auto"/>
            </w:tcBorders>
          </w:tcPr>
          <w:p>
            <w:pPr>
              <w:jc w:val="center"/>
              <w:ind w:left="1834"/>
              <w:spacing w:after="0"/>
              <w:rPr>
                <w:sz w:val="20"/>
                <w:szCs w:val="20"/>
                <w:color w:val="auto"/>
              </w:rPr>
            </w:pPr>
            <w:r>
              <w:rPr>
                <w:rFonts w:ascii="Arial" w:cs="Arial" w:eastAsia="Arial" w:hAnsi="Arial"/>
                <w:sz w:val="14"/>
                <w:szCs w:val="14"/>
                <w:color w:val="auto"/>
                <w:w w:val="96"/>
              </w:rPr>
              <w:t>Station</w:t>
            </w:r>
          </w:p>
        </w:tc>
        <w:tc>
          <w:tcPr>
            <w:tcW w:w="1680" w:type="dxa"/>
            <w:vAlign w:val="bottom"/>
            <w:tcBorders>
              <w:bottom w:val="single" w:sz="8" w:color="auto"/>
            </w:tcBorders>
          </w:tcPr>
          <w:p>
            <w:pPr>
              <w:jc w:val="right"/>
              <w:ind w:right="55"/>
              <w:spacing w:after="0" w:line="170" w:lineRule="exact"/>
              <w:rPr>
                <w:sz w:val="20"/>
                <w:szCs w:val="20"/>
                <w:color w:val="auto"/>
              </w:rPr>
            </w:pPr>
            <w:r>
              <w:rPr>
                <w:rFonts w:ascii="Arial" w:cs="Arial" w:eastAsia="Arial" w:hAnsi="Arial"/>
                <w:sz w:val="12"/>
                <w:szCs w:val="12"/>
                <w:color w:val="auto"/>
              </w:rPr>
              <w:t>General Market Rank</w:t>
            </w:r>
            <w:r>
              <w:rPr>
                <w:rFonts w:ascii="Arial" w:cs="Arial" w:eastAsia="Arial" w:hAnsi="Arial"/>
                <w:sz w:val="19"/>
                <w:szCs w:val="19"/>
                <w:color w:val="auto"/>
                <w:vertAlign w:val="superscript"/>
              </w:rPr>
              <w:t>(b)</w:t>
            </w:r>
          </w:p>
        </w:tc>
        <w:tc>
          <w:tcPr>
            <w:tcW w:w="1840" w:type="dxa"/>
            <w:vAlign w:val="bottom"/>
            <w:tcBorders>
              <w:bottom w:val="single" w:sz="8" w:color="auto"/>
            </w:tcBorders>
          </w:tcPr>
          <w:p>
            <w:pPr>
              <w:jc w:val="right"/>
              <w:ind w:right="136"/>
              <w:spacing w:after="0" w:line="170" w:lineRule="exact"/>
              <w:rPr>
                <w:sz w:val="20"/>
                <w:szCs w:val="20"/>
                <w:color w:val="auto"/>
              </w:rPr>
            </w:pPr>
            <w:r>
              <w:rPr>
                <w:rFonts w:ascii="Arial" w:cs="Arial" w:eastAsia="Arial" w:hAnsi="Arial"/>
                <w:sz w:val="12"/>
                <w:szCs w:val="12"/>
                <w:color w:val="auto"/>
              </w:rPr>
              <w:t>Television Households</w:t>
            </w:r>
            <w:r>
              <w:rPr>
                <w:rFonts w:ascii="Arial" w:cs="Arial" w:eastAsia="Arial" w:hAnsi="Arial"/>
                <w:sz w:val="19"/>
                <w:szCs w:val="19"/>
                <w:color w:val="auto"/>
                <w:vertAlign w:val="superscript"/>
              </w:rPr>
              <w:t>(c)</w:t>
            </w: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color w:val="auto"/>
              </w:rPr>
              <w:t>New York, NY</w:t>
            </w:r>
          </w:p>
        </w:tc>
        <w:tc>
          <w:tcPr>
            <w:tcW w:w="2940" w:type="dxa"/>
            <w:vAlign w:val="bottom"/>
          </w:tcPr>
          <w:p>
            <w:pPr>
              <w:jc w:val="center"/>
              <w:ind w:left="1834"/>
              <w:spacing w:after="0" w:line="200" w:lineRule="exact"/>
              <w:rPr>
                <w:sz w:val="20"/>
                <w:szCs w:val="20"/>
                <w:color w:val="auto"/>
              </w:rPr>
            </w:pPr>
            <w:r>
              <w:rPr>
                <w:rFonts w:ascii="Arial" w:cs="Arial" w:eastAsia="Arial" w:hAnsi="Arial"/>
                <w:sz w:val="18"/>
                <w:szCs w:val="18"/>
                <w:color w:val="auto"/>
                <w:w w:val="98"/>
              </w:rPr>
              <w:t>WNBC</w:t>
            </w:r>
          </w:p>
        </w:tc>
        <w:tc>
          <w:tcPr>
            <w:tcW w:w="168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w:t>
            </w:r>
          </w:p>
        </w:tc>
        <w:tc>
          <w:tcPr>
            <w:tcW w:w="1840" w:type="dxa"/>
            <w:vAlign w:val="bottom"/>
          </w:tcPr>
          <w:p>
            <w:pPr>
              <w:jc w:val="right"/>
              <w:spacing w:after="0" w:line="200" w:lineRule="exact"/>
              <w:rPr>
                <w:sz w:val="20"/>
                <w:szCs w:val="20"/>
                <w:color w:val="auto"/>
              </w:rPr>
            </w:pPr>
            <w:r>
              <w:rPr>
                <w:rFonts w:ascii="Arial" w:cs="Arial" w:eastAsia="Arial" w:hAnsi="Arial"/>
                <w:sz w:val="18"/>
                <w:szCs w:val="18"/>
                <w:color w:val="auto"/>
              </w:rPr>
              <w:t>6%</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Los Angeles, CA</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9"/>
              </w:rPr>
              <w:t>KNBC</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8"/>
              </w:rPr>
              <w:t>WMAQ-TV</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8"/>
              </w:rPr>
              <w:t>WCAU</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6"/>
              </w:rPr>
              <w:t>KXAS-TV</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5"/>
              </w:rPr>
              <w:t>KNTV</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Washington, D.C.</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7"/>
              </w:rPr>
              <w:t>WRC-TV</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Miami-Ft. Lauderdale, FL</w:t>
            </w:r>
          </w:p>
        </w:tc>
        <w:tc>
          <w:tcPr>
            <w:tcW w:w="2940" w:type="dxa"/>
            <w:vAlign w:val="bottom"/>
          </w:tcPr>
          <w:p>
            <w:pPr>
              <w:jc w:val="center"/>
              <w:ind w:left="1814"/>
              <w:spacing w:after="0" w:line="202" w:lineRule="exact"/>
              <w:rPr>
                <w:sz w:val="20"/>
                <w:szCs w:val="20"/>
                <w:color w:val="auto"/>
              </w:rPr>
            </w:pPr>
            <w:r>
              <w:rPr>
                <w:rFonts w:ascii="Arial" w:cs="Arial" w:eastAsia="Arial" w:hAnsi="Arial"/>
                <w:sz w:val="18"/>
                <w:szCs w:val="18"/>
                <w:color w:val="auto"/>
                <w:w w:val="97"/>
              </w:rPr>
              <w:t>WTVJ</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San Diego, CA</w:t>
            </w:r>
          </w:p>
        </w:tc>
        <w:tc>
          <w:tcPr>
            <w:tcW w:w="2940" w:type="dxa"/>
            <w:vAlign w:val="bottom"/>
          </w:tcPr>
          <w:p>
            <w:pPr>
              <w:jc w:val="center"/>
              <w:ind w:left="1834"/>
              <w:spacing w:after="0" w:line="202" w:lineRule="exact"/>
              <w:rPr>
                <w:sz w:val="20"/>
                <w:szCs w:val="20"/>
                <w:color w:val="auto"/>
              </w:rPr>
            </w:pPr>
            <w:r>
              <w:rPr>
                <w:rFonts w:ascii="Arial" w:cs="Arial" w:eastAsia="Arial" w:hAnsi="Arial"/>
                <w:sz w:val="18"/>
                <w:szCs w:val="18"/>
                <w:color w:val="auto"/>
                <w:w w:val="99"/>
              </w:rPr>
              <w:t>KNSD</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28</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49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Hartford, CT</w:t>
            </w:r>
          </w:p>
        </w:tc>
        <w:tc>
          <w:tcPr>
            <w:tcW w:w="2940" w:type="dxa"/>
            <w:vAlign w:val="bottom"/>
            <w:tcBorders>
              <w:bottom w:val="single" w:sz="8" w:color="auto"/>
            </w:tcBorders>
          </w:tcPr>
          <w:p>
            <w:pPr>
              <w:jc w:val="center"/>
              <w:ind w:left="1814"/>
              <w:spacing w:after="0" w:line="200" w:lineRule="exact"/>
              <w:rPr>
                <w:sz w:val="20"/>
                <w:szCs w:val="20"/>
                <w:color w:val="auto"/>
              </w:rPr>
            </w:pPr>
            <w:r>
              <w:rPr>
                <w:rFonts w:ascii="Arial" w:cs="Arial" w:eastAsia="Arial" w:hAnsi="Arial"/>
                <w:sz w:val="18"/>
                <w:szCs w:val="18"/>
                <w:color w:val="auto"/>
                <w:w w:val="97"/>
              </w:rPr>
              <w:t>WVIT</w:t>
            </w:r>
          </w:p>
        </w:tc>
        <w:tc>
          <w:tcPr>
            <w:tcW w:w="1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30</w:t>
            </w:r>
          </w:p>
        </w:tc>
        <w:tc>
          <w:tcPr>
            <w:tcW w:w="1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r>
    </w:tbl>
    <w:p>
      <w:pPr>
        <w:spacing w:after="0" w:line="67"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Designated market area (“DMA”)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General market rank is based on the relative size of the DMA among the 210 generally recognized DMAs in the United States based on Nielsen estimates for the 2012-13 season.</w:t>
      </w:r>
    </w:p>
    <w:p>
      <w:pPr>
        <w:spacing w:after="0" w:line="55" w:lineRule="exact"/>
        <w:rPr>
          <w:rFonts w:ascii="Arial" w:cs="Arial" w:eastAsia="Arial" w:hAnsi="Arial"/>
          <w:sz w:val="14"/>
          <w:szCs w:val="14"/>
          <w:color w:val="auto"/>
        </w:rPr>
      </w:pPr>
    </w:p>
    <w:p>
      <w:pPr>
        <w:ind w:left="280" w:right="20" w:hanging="272"/>
        <w:spacing w:after="0" w:line="231" w:lineRule="auto"/>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Nielsen estimates for the 2012-13 season. The percentage of U.S. television households does not reflect the calculation of national audience reach under the FCC’s national television ownership cap limits. See “Legislation and Regulation – Broadcast Television – Ownership Limits – National Television Ownership.”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3E499A"/>
        </w:rPr>
        <w:t>Telemundo</w:t>
      </w:r>
    </w:p>
    <w:p>
      <w:pPr>
        <w:jc w:val="both"/>
        <w:spacing w:after="0" w:line="238" w:lineRule="auto"/>
        <w:rPr>
          <w:sz w:val="20"/>
          <w:szCs w:val="20"/>
          <w:color w:val="auto"/>
        </w:rPr>
      </w:pPr>
      <w:r>
        <w:rPr>
          <w:rFonts w:ascii="Arial" w:cs="Arial" w:eastAsia="Arial" w:hAnsi="Arial"/>
          <w:sz w:val="18"/>
          <w:szCs w:val="18"/>
          <w:color w:val="auto"/>
        </w:rPr>
        <w:t>Telemundo is a leading Hispanic media company that produces, acquires and distributes Spanish-language content in the United States and internationally. Telemundo’s operations include the Telemundo network, its owned local television stations, the mun2 cable network and brand-aligned digital media properties.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Telemundo network is a leading Spanish-language broadcast television network featuring original telenovelas, theatrical films, news, specials and sporting events. Telemundo develops original programming primarily through its production studio and also acquires the rights to content from third parties. We currently hold the Spanish-language U.S. broadcast rights to FIFA World Cup soccer from 2015 through 2022 and the Spanish-language U.S. broadcast rights for the NFL games that the NBC network will broadcast through the 2022-23 season as part of our agreement with the NFL.</w:t>
      </w:r>
    </w:p>
    <w:p>
      <w:pPr>
        <w:spacing w:after="0" w:line="327"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3E499A"/>
        </w:rPr>
        <w:t>Telemundo Local Broadcast Television Stations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Telemundo owned 15 local television stations, including 14 local television stations affiliated with the Telemundo network and an independent television station in Puerto Rico. The table below presents a summary of these local television stations, which collectively reached approximately 56% of U.S. Hispanic television households as of December 31, 2012.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jc w:val="right"/>
              <w:ind w:right="136"/>
              <w:spacing w:after="0"/>
              <w:rPr>
                <w:sz w:val="20"/>
                <w:szCs w:val="20"/>
                <w:color w:val="auto"/>
              </w:rPr>
            </w:pPr>
            <w:r>
              <w:rPr>
                <w:rFonts w:ascii="Arial" w:cs="Arial" w:eastAsia="Arial" w:hAnsi="Arial"/>
                <w:sz w:val="14"/>
                <w:szCs w:val="14"/>
                <w:color w:val="auto"/>
              </w:rPr>
              <w:t>Percentage of U.S.</w:t>
            </w:r>
          </w:p>
        </w:tc>
      </w:tr>
      <w:tr>
        <w:trPr>
          <w:trHeight w:val="128"/>
        </w:trPr>
        <w:tc>
          <w:tcPr>
            <w:tcW w:w="51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jc w:val="right"/>
              <w:ind w:right="136"/>
              <w:spacing w:after="0" w:line="129" w:lineRule="exact"/>
              <w:rPr>
                <w:sz w:val="20"/>
                <w:szCs w:val="20"/>
                <w:color w:val="auto"/>
              </w:rPr>
            </w:pPr>
            <w:r>
              <w:rPr>
                <w:rFonts w:ascii="Arial" w:cs="Arial" w:eastAsia="Arial" w:hAnsi="Arial"/>
                <w:sz w:val="14"/>
                <w:szCs w:val="14"/>
                <w:color w:val="auto"/>
              </w:rPr>
              <w:t>Hispanic Television</w:t>
            </w:r>
          </w:p>
        </w:tc>
      </w:tr>
      <w:tr>
        <w:trPr>
          <w:trHeight w:val="169"/>
        </w:trPr>
        <w:tc>
          <w:tcPr>
            <w:tcW w:w="5140" w:type="dxa"/>
            <w:vAlign w:val="bottom"/>
            <w:tcBorders>
              <w:bottom w:val="single" w:sz="8" w:color="auto"/>
            </w:tcBorders>
          </w:tcPr>
          <w:p>
            <w:pPr>
              <w:spacing w:after="0" w:line="170" w:lineRule="exact"/>
              <w:rPr>
                <w:sz w:val="20"/>
                <w:szCs w:val="20"/>
                <w:color w:val="auto"/>
              </w:rPr>
            </w:pPr>
            <w:r>
              <w:rPr>
                <w:rFonts w:ascii="Arial" w:cs="Arial" w:eastAsia="Arial" w:hAnsi="Arial"/>
                <w:sz w:val="12"/>
                <w:szCs w:val="12"/>
                <w:color w:val="auto"/>
              </w:rPr>
              <w:t>DMA Served</w:t>
            </w:r>
            <w:r>
              <w:rPr>
                <w:rFonts w:ascii="Arial" w:cs="Arial" w:eastAsia="Arial" w:hAnsi="Arial"/>
                <w:sz w:val="19"/>
                <w:szCs w:val="19"/>
                <w:color w:val="auto"/>
                <w:vertAlign w:val="superscript"/>
              </w:rPr>
              <w:t>(a)</w:t>
            </w:r>
          </w:p>
        </w:tc>
        <w:tc>
          <w:tcPr>
            <w:tcW w:w="3060" w:type="dxa"/>
            <w:vAlign w:val="bottom"/>
            <w:tcBorders>
              <w:bottom w:val="single" w:sz="8" w:color="auto"/>
            </w:tcBorders>
          </w:tcPr>
          <w:p>
            <w:pPr>
              <w:jc w:val="center"/>
              <w:ind w:left="1953"/>
              <w:spacing w:after="0"/>
              <w:rPr>
                <w:sz w:val="20"/>
                <w:szCs w:val="20"/>
                <w:color w:val="auto"/>
              </w:rPr>
            </w:pPr>
            <w:r>
              <w:rPr>
                <w:rFonts w:ascii="Arial" w:cs="Arial" w:eastAsia="Arial" w:hAnsi="Arial"/>
                <w:sz w:val="14"/>
                <w:szCs w:val="14"/>
                <w:color w:val="auto"/>
                <w:w w:val="96"/>
              </w:rPr>
              <w:t>Station</w:t>
            </w:r>
          </w:p>
        </w:tc>
        <w:tc>
          <w:tcPr>
            <w:tcW w:w="1720" w:type="dxa"/>
            <w:vAlign w:val="bottom"/>
            <w:tcBorders>
              <w:bottom w:val="single" w:sz="8" w:color="auto"/>
            </w:tcBorders>
          </w:tcPr>
          <w:p>
            <w:pPr>
              <w:jc w:val="right"/>
              <w:ind w:right="54"/>
              <w:spacing w:after="0" w:line="170" w:lineRule="exact"/>
              <w:rPr>
                <w:sz w:val="20"/>
                <w:szCs w:val="20"/>
                <w:color w:val="auto"/>
              </w:rPr>
            </w:pPr>
            <w:r>
              <w:rPr>
                <w:rFonts w:ascii="Arial" w:cs="Arial" w:eastAsia="Arial" w:hAnsi="Arial"/>
                <w:sz w:val="12"/>
                <w:szCs w:val="12"/>
                <w:color w:val="auto"/>
              </w:rPr>
              <w:t>Hispanic Market Rank</w:t>
            </w:r>
            <w:r>
              <w:rPr>
                <w:rFonts w:ascii="Arial" w:cs="Arial" w:eastAsia="Arial" w:hAnsi="Arial"/>
                <w:sz w:val="19"/>
                <w:szCs w:val="19"/>
                <w:color w:val="auto"/>
                <w:vertAlign w:val="superscript"/>
              </w:rPr>
              <w:t>(b)</w:t>
            </w:r>
          </w:p>
        </w:tc>
        <w:tc>
          <w:tcPr>
            <w:tcW w:w="1500" w:type="dxa"/>
            <w:vAlign w:val="bottom"/>
            <w:tcBorders>
              <w:bottom w:val="single" w:sz="8" w:color="auto"/>
            </w:tcBorders>
          </w:tcPr>
          <w:p>
            <w:pPr>
              <w:jc w:val="right"/>
              <w:ind w:right="136"/>
              <w:spacing w:after="0" w:line="170" w:lineRule="exact"/>
              <w:rPr>
                <w:sz w:val="20"/>
                <w:szCs w:val="20"/>
                <w:color w:val="auto"/>
              </w:rPr>
            </w:pPr>
            <w:r>
              <w:rPr>
                <w:rFonts w:ascii="Arial" w:cs="Arial" w:eastAsia="Arial" w:hAnsi="Arial"/>
                <w:sz w:val="12"/>
                <w:szCs w:val="12"/>
                <w:color w:val="auto"/>
              </w:rPr>
              <w:t>Households</w:t>
            </w:r>
            <w:r>
              <w:rPr>
                <w:rFonts w:ascii="Arial" w:cs="Arial" w:eastAsia="Arial" w:hAnsi="Arial"/>
                <w:sz w:val="19"/>
                <w:szCs w:val="19"/>
                <w:color w:val="auto"/>
                <w:vertAlign w:val="superscript"/>
              </w:rPr>
              <w:t>(c)</w:t>
            </w:r>
          </w:p>
        </w:tc>
      </w:tr>
      <w:tr>
        <w:trPr>
          <w:trHeight w:val="199"/>
        </w:trPr>
        <w:tc>
          <w:tcPr>
            <w:tcW w:w="5140" w:type="dxa"/>
            <w:vAlign w:val="bottom"/>
          </w:tcPr>
          <w:p>
            <w:pPr>
              <w:spacing w:after="0" w:line="200" w:lineRule="exact"/>
              <w:rPr>
                <w:sz w:val="20"/>
                <w:szCs w:val="20"/>
                <w:color w:val="auto"/>
              </w:rPr>
            </w:pPr>
            <w:r>
              <w:rPr>
                <w:rFonts w:ascii="Arial" w:cs="Arial" w:eastAsia="Arial" w:hAnsi="Arial"/>
                <w:sz w:val="18"/>
                <w:szCs w:val="18"/>
                <w:color w:val="auto"/>
              </w:rPr>
              <w:t>Los Angeles, CA</w:t>
            </w:r>
          </w:p>
        </w:tc>
        <w:tc>
          <w:tcPr>
            <w:tcW w:w="3060" w:type="dxa"/>
            <w:vAlign w:val="bottom"/>
          </w:tcPr>
          <w:p>
            <w:pPr>
              <w:jc w:val="center"/>
              <w:ind w:left="1973"/>
              <w:spacing w:after="0" w:line="200" w:lineRule="exact"/>
              <w:rPr>
                <w:sz w:val="20"/>
                <w:szCs w:val="20"/>
                <w:color w:val="auto"/>
              </w:rPr>
            </w:pPr>
            <w:r>
              <w:rPr>
                <w:rFonts w:ascii="Arial" w:cs="Arial" w:eastAsia="Arial" w:hAnsi="Arial"/>
                <w:sz w:val="18"/>
                <w:szCs w:val="18"/>
                <w:color w:val="auto"/>
                <w:w w:val="99"/>
              </w:rPr>
              <w:t>KVEA</w:t>
            </w:r>
          </w:p>
        </w:tc>
        <w:tc>
          <w:tcPr>
            <w:tcW w:w="17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w:t>
            </w:r>
          </w:p>
        </w:tc>
        <w:tc>
          <w:tcPr>
            <w:tcW w:w="1500" w:type="dxa"/>
            <w:vAlign w:val="bottom"/>
          </w:tcPr>
          <w:p>
            <w:pPr>
              <w:jc w:val="right"/>
              <w:spacing w:after="0" w:line="200" w:lineRule="exact"/>
              <w:rPr>
                <w:sz w:val="20"/>
                <w:szCs w:val="20"/>
                <w:color w:val="auto"/>
              </w:rPr>
            </w:pPr>
            <w:r>
              <w:rPr>
                <w:rFonts w:ascii="Arial" w:cs="Arial" w:eastAsia="Arial" w:hAnsi="Arial"/>
                <w:sz w:val="18"/>
                <w:szCs w:val="18"/>
                <w:color w:val="auto"/>
              </w:rPr>
              <w:t>14%</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New York, NY</w:t>
            </w:r>
          </w:p>
        </w:tc>
        <w:tc>
          <w:tcPr>
            <w:tcW w:w="3060" w:type="dxa"/>
            <w:vAlign w:val="bottom"/>
          </w:tcPr>
          <w:p>
            <w:pPr>
              <w:jc w:val="center"/>
              <w:ind w:left="1973"/>
              <w:spacing w:after="0" w:line="202" w:lineRule="exact"/>
              <w:rPr>
                <w:sz w:val="20"/>
                <w:szCs w:val="20"/>
                <w:color w:val="auto"/>
              </w:rPr>
            </w:pPr>
            <w:r>
              <w:rPr>
                <w:rFonts w:ascii="Arial" w:cs="Arial" w:eastAsia="Arial" w:hAnsi="Arial"/>
                <w:sz w:val="18"/>
                <w:szCs w:val="18"/>
                <w:color w:val="auto"/>
                <w:w w:val="99"/>
              </w:rPr>
              <w:t>WNJU</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Miami, FL</w:t>
            </w:r>
          </w:p>
        </w:tc>
        <w:tc>
          <w:tcPr>
            <w:tcW w:w="3060" w:type="dxa"/>
            <w:vAlign w:val="bottom"/>
          </w:tcPr>
          <w:p>
            <w:pPr>
              <w:jc w:val="center"/>
              <w:ind w:left="1973"/>
              <w:spacing w:after="0" w:line="202" w:lineRule="exact"/>
              <w:rPr>
                <w:sz w:val="20"/>
                <w:szCs w:val="20"/>
                <w:color w:val="auto"/>
              </w:rPr>
            </w:pPr>
            <w:r>
              <w:rPr>
                <w:rFonts w:ascii="Arial" w:cs="Arial" w:eastAsia="Arial" w:hAnsi="Arial"/>
                <w:sz w:val="18"/>
                <w:szCs w:val="18"/>
                <w:color w:val="auto"/>
                <w:w w:val="96"/>
              </w:rPr>
              <w:t>WSCV</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Houston, TX</w:t>
            </w:r>
          </w:p>
        </w:tc>
        <w:tc>
          <w:tcPr>
            <w:tcW w:w="3060" w:type="dxa"/>
            <w:vAlign w:val="bottom"/>
          </w:tcPr>
          <w:p>
            <w:pPr>
              <w:jc w:val="center"/>
              <w:ind w:left="1973"/>
              <w:spacing w:after="0" w:line="202" w:lineRule="exact"/>
              <w:rPr>
                <w:sz w:val="20"/>
                <w:szCs w:val="20"/>
                <w:color w:val="auto"/>
              </w:rPr>
            </w:pPr>
            <w:r>
              <w:rPr>
                <w:rFonts w:ascii="Arial" w:cs="Arial" w:eastAsia="Arial" w:hAnsi="Arial"/>
                <w:sz w:val="18"/>
                <w:szCs w:val="18"/>
                <w:color w:val="auto"/>
                <w:w w:val="94"/>
              </w:rPr>
              <w:t>KTMD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3060" w:type="dxa"/>
            <w:vAlign w:val="bottom"/>
          </w:tcPr>
          <w:p>
            <w:pPr>
              <w:jc w:val="center"/>
              <w:ind w:left="1973"/>
              <w:spacing w:after="0" w:line="202" w:lineRule="exact"/>
              <w:rPr>
                <w:sz w:val="20"/>
                <w:szCs w:val="20"/>
                <w:color w:val="auto"/>
              </w:rPr>
            </w:pPr>
            <w:r>
              <w:rPr>
                <w:rFonts w:ascii="Arial" w:cs="Arial" w:eastAsia="Arial" w:hAnsi="Arial"/>
                <w:sz w:val="18"/>
                <w:szCs w:val="18"/>
                <w:color w:val="auto"/>
                <w:w w:val="99"/>
              </w:rPr>
              <w:t>KXTX-TV</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3060" w:type="dxa"/>
            <w:vAlign w:val="bottom"/>
          </w:tcPr>
          <w:p>
            <w:pPr>
              <w:jc w:val="center"/>
              <w:ind w:left="1973"/>
              <w:spacing w:after="0" w:line="202" w:lineRule="exact"/>
              <w:rPr>
                <w:sz w:val="20"/>
                <w:szCs w:val="20"/>
                <w:color w:val="auto"/>
              </w:rPr>
            </w:pPr>
            <w:r>
              <w:rPr>
                <w:rFonts w:ascii="Arial" w:cs="Arial" w:eastAsia="Arial" w:hAnsi="Arial"/>
                <w:sz w:val="18"/>
                <w:szCs w:val="18"/>
                <w:color w:val="auto"/>
                <w:w w:val="96"/>
              </w:rPr>
              <w:t>WSNS-TV</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3060" w:type="dxa"/>
            <w:vAlign w:val="bottom"/>
          </w:tcPr>
          <w:p>
            <w:pPr>
              <w:jc w:val="center"/>
              <w:ind w:left="1953"/>
              <w:spacing w:after="0" w:line="202" w:lineRule="exact"/>
              <w:rPr>
                <w:sz w:val="20"/>
                <w:szCs w:val="20"/>
                <w:color w:val="auto"/>
              </w:rPr>
            </w:pPr>
            <w:r>
              <w:rPr>
                <w:rFonts w:ascii="Arial" w:cs="Arial" w:eastAsia="Arial" w:hAnsi="Arial"/>
                <w:sz w:val="18"/>
                <w:szCs w:val="18"/>
                <w:color w:val="auto"/>
                <w:w w:val="97"/>
              </w:rPr>
              <w:t>KSTS</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San Antonio, TX</w:t>
            </w:r>
          </w:p>
        </w:tc>
        <w:tc>
          <w:tcPr>
            <w:tcW w:w="3060" w:type="dxa"/>
            <w:vAlign w:val="bottom"/>
          </w:tcPr>
          <w:p>
            <w:pPr>
              <w:jc w:val="center"/>
              <w:ind w:left="1973"/>
              <w:spacing w:after="0" w:line="202" w:lineRule="exact"/>
              <w:rPr>
                <w:sz w:val="20"/>
                <w:szCs w:val="20"/>
                <w:color w:val="auto"/>
              </w:rPr>
            </w:pPr>
            <w:r>
              <w:rPr>
                <w:rFonts w:ascii="Arial" w:cs="Arial" w:eastAsia="Arial" w:hAnsi="Arial"/>
                <w:sz w:val="18"/>
                <w:szCs w:val="18"/>
                <w:color w:val="auto"/>
                <w:w w:val="95"/>
              </w:rPr>
              <w:t>KVDA</w:t>
            </w:r>
            <w:r>
              <w:rPr>
                <w:rFonts w:ascii="Arial" w:cs="Arial" w:eastAsia="Arial" w:hAnsi="Arial"/>
                <w:sz w:val="11"/>
                <w:szCs w:val="11"/>
                <w:color w:val="auto"/>
                <w:w w:val="95"/>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Phoenix, AZ</w:t>
            </w:r>
          </w:p>
        </w:tc>
        <w:tc>
          <w:tcPr>
            <w:tcW w:w="3060" w:type="dxa"/>
            <w:vAlign w:val="bottom"/>
          </w:tcPr>
          <w:p>
            <w:pPr>
              <w:jc w:val="center"/>
              <w:ind w:left="1973"/>
              <w:spacing w:after="0" w:line="202" w:lineRule="exact"/>
              <w:rPr>
                <w:sz w:val="20"/>
                <w:szCs w:val="20"/>
                <w:color w:val="auto"/>
              </w:rPr>
            </w:pPr>
            <w:r>
              <w:rPr>
                <w:rFonts w:ascii="Arial" w:cs="Arial" w:eastAsia="Arial" w:hAnsi="Arial"/>
                <w:sz w:val="18"/>
                <w:szCs w:val="18"/>
                <w:color w:val="auto"/>
                <w:w w:val="95"/>
              </w:rPr>
              <w:t>KTAZ</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Fresno, CA</w:t>
            </w:r>
          </w:p>
        </w:tc>
        <w:tc>
          <w:tcPr>
            <w:tcW w:w="3060" w:type="dxa"/>
            <w:vAlign w:val="bottom"/>
          </w:tcPr>
          <w:p>
            <w:pPr>
              <w:jc w:val="center"/>
              <w:ind w:left="1973"/>
              <w:spacing w:after="0" w:line="202" w:lineRule="exact"/>
              <w:rPr>
                <w:sz w:val="20"/>
                <w:szCs w:val="20"/>
                <w:color w:val="auto"/>
              </w:rPr>
            </w:pPr>
            <w:r>
              <w:rPr>
                <w:rFonts w:ascii="Arial" w:cs="Arial" w:eastAsia="Arial" w:hAnsi="Arial"/>
                <w:sz w:val="18"/>
                <w:szCs w:val="18"/>
                <w:color w:val="auto"/>
                <w:w w:val="99"/>
              </w:rPr>
              <w:t>KNSO</w:t>
            </w:r>
            <w:r>
              <w:rPr>
                <w:rFonts w:ascii="Arial" w:cs="Arial" w:eastAsia="Arial" w:hAnsi="Arial"/>
                <w:sz w:val="11"/>
                <w:szCs w:val="11"/>
                <w:color w:val="auto"/>
                <w:w w:val="99"/>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Denver, CO</w:t>
            </w:r>
          </w:p>
        </w:tc>
        <w:tc>
          <w:tcPr>
            <w:tcW w:w="3060" w:type="dxa"/>
            <w:vAlign w:val="bottom"/>
          </w:tcPr>
          <w:p>
            <w:pPr>
              <w:jc w:val="center"/>
              <w:ind w:left="1973"/>
              <w:spacing w:after="0" w:line="202" w:lineRule="exact"/>
              <w:rPr>
                <w:sz w:val="20"/>
                <w:szCs w:val="20"/>
                <w:color w:val="auto"/>
              </w:rPr>
            </w:pPr>
            <w:r>
              <w:rPr>
                <w:rFonts w:ascii="Arial" w:cs="Arial" w:eastAsia="Arial" w:hAnsi="Arial"/>
                <w:sz w:val="18"/>
                <w:szCs w:val="18"/>
                <w:color w:val="auto"/>
                <w:w w:val="96"/>
              </w:rPr>
              <w:t>KDEN-TV</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Las Vegas, NV</w:t>
            </w:r>
          </w:p>
        </w:tc>
        <w:tc>
          <w:tcPr>
            <w:tcW w:w="3060" w:type="dxa"/>
            <w:vAlign w:val="bottom"/>
          </w:tcPr>
          <w:p>
            <w:pPr>
              <w:jc w:val="center"/>
              <w:ind w:left="1953"/>
              <w:spacing w:after="0" w:line="202" w:lineRule="exact"/>
              <w:rPr>
                <w:sz w:val="20"/>
                <w:szCs w:val="20"/>
                <w:color w:val="auto"/>
              </w:rPr>
            </w:pPr>
            <w:r>
              <w:rPr>
                <w:rFonts w:ascii="Arial" w:cs="Arial" w:eastAsia="Arial" w:hAnsi="Arial"/>
                <w:sz w:val="18"/>
                <w:szCs w:val="18"/>
                <w:color w:val="auto"/>
                <w:w w:val="97"/>
              </w:rPr>
              <w:t>KBLR</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Boston, MA</w:t>
            </w:r>
          </w:p>
        </w:tc>
        <w:tc>
          <w:tcPr>
            <w:tcW w:w="3060" w:type="dxa"/>
            <w:vAlign w:val="bottom"/>
          </w:tcPr>
          <w:p>
            <w:pPr>
              <w:jc w:val="center"/>
              <w:ind w:left="1973"/>
              <w:spacing w:after="0" w:line="202" w:lineRule="exact"/>
              <w:rPr>
                <w:sz w:val="20"/>
                <w:szCs w:val="20"/>
                <w:color w:val="auto"/>
              </w:rPr>
            </w:pPr>
            <w:r>
              <w:rPr>
                <w:rFonts w:ascii="Arial" w:cs="Arial" w:eastAsia="Arial" w:hAnsi="Arial"/>
                <w:sz w:val="18"/>
                <w:szCs w:val="18"/>
                <w:color w:val="auto"/>
                <w:w w:val="99"/>
              </w:rPr>
              <w:t>WNEU</w:t>
            </w:r>
            <w:r>
              <w:rPr>
                <w:rFonts w:ascii="Arial" w:cs="Arial" w:eastAsia="Arial" w:hAnsi="Arial"/>
                <w:sz w:val="11"/>
                <w:szCs w:val="11"/>
                <w:color w:val="auto"/>
                <w:w w:val="99"/>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24</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Tucson, AZ</w:t>
            </w:r>
          </w:p>
        </w:tc>
        <w:tc>
          <w:tcPr>
            <w:tcW w:w="3060" w:type="dxa"/>
            <w:vAlign w:val="bottom"/>
          </w:tcPr>
          <w:p>
            <w:pPr>
              <w:jc w:val="center"/>
              <w:ind w:left="1973"/>
              <w:spacing w:after="0" w:line="202" w:lineRule="exact"/>
              <w:rPr>
                <w:sz w:val="20"/>
                <w:szCs w:val="20"/>
                <w:color w:val="auto"/>
              </w:rPr>
            </w:pPr>
            <w:r>
              <w:rPr>
                <w:rFonts w:ascii="Arial" w:cs="Arial" w:eastAsia="Arial" w:hAnsi="Arial"/>
                <w:sz w:val="18"/>
                <w:szCs w:val="18"/>
                <w:color w:val="auto"/>
                <w:w w:val="94"/>
              </w:rPr>
              <w:t>KHRR</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51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Puerto Rico</w:t>
            </w:r>
          </w:p>
        </w:tc>
        <w:tc>
          <w:tcPr>
            <w:tcW w:w="3060" w:type="dxa"/>
            <w:vAlign w:val="bottom"/>
            <w:tcBorders>
              <w:bottom w:val="single" w:sz="8" w:color="auto"/>
            </w:tcBorders>
          </w:tcPr>
          <w:p>
            <w:pPr>
              <w:jc w:val="center"/>
              <w:ind w:left="1953"/>
              <w:spacing w:after="0" w:line="200" w:lineRule="exact"/>
              <w:rPr>
                <w:sz w:val="20"/>
                <w:szCs w:val="20"/>
                <w:color w:val="auto"/>
              </w:rPr>
            </w:pPr>
            <w:r>
              <w:rPr>
                <w:rFonts w:ascii="Arial" w:cs="Arial" w:eastAsia="Arial" w:hAnsi="Arial"/>
                <w:sz w:val="18"/>
                <w:szCs w:val="18"/>
                <w:color w:val="auto"/>
                <w:w w:val="97"/>
              </w:rPr>
              <w:t>WKAQ-TV</w:t>
            </w:r>
          </w:p>
        </w:tc>
        <w:tc>
          <w:tcPr>
            <w:tcW w:w="17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Hispanic market rank is based on the relative size of the DMA among approximately 14 million U.S. Hispanic households as of December 31, 2012.</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Nielsen estimates for the 2012-13 season. The percentage of U.S. Hispanic television households does not reflect the calculation of national audience reach under the FCC’s national television ownership cap limits. See “Legislation and Regulation – Broadcast Television – Ownership Limits – National Television Ownership.”</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Operated by a third party that provides certain non-network programming and operations services under a time brokerage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Filmed Entertainment segment produces, acquires, markets and distributes both live-action and animated filmed entertainment worldwide. We also develop, produce and license live stage plays.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produce films both on our own and jointly with other studios or production companies, as well as with other entities. Our films are produced primarily under the Universal Pictures, Focus Features and Illumination names. Our films are marketed and distributed worldwide primarily through our own marketing and distribution companies. We also acquire distribution rights to films produced by others, which may be limited to particular geographic regions, specific forms of media or certain periods of time. Our content consists of theatrical films, direct-to-video titles and our film library, which is comprised of more than 5,000 titles in a variety of genres.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entered,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majority of our produced and acquired films are initially distributed for exhibition in movie theaters. After their release in movie theaters, we sell and license our films through various methods. We distribute our films globally by selling them in DVD format to retail stores, rental kiosks and subscription by mail services, and through digital distributors. We also license our films, including selections from our film library to cable, broadcast and premium networks, digital distributors and to video-on-demand and pay-per-view services.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volume of our content that is made available through digital distributors is increasing as consumers continue to seek alternative ways to view our content. These methods include the sale of our films through online retailers, such as iTunes, that allow for the video downloading of a digital copy of a film, and also the licensing of our films to Internet video streaming services, such as Netflix.</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produced and acquired films for exhibition in movie theaters, the sale of our owned and acquired films on home entertainment formats, such as DVDs, and the licensing of our owned and acquired films. We also generate revenue from producing and licensing live stage plays and distributing filmed entertainment produced by third parties.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Theme Parks segment consists primarily of our Universal theme parks in Orlando and Hollywood. Universal Orlando includes two theme parks, Universal Studios Florida and Universal’s Islands of Adventure, as well as CityWalk, a dining, retail and entertainment complex. Universal Orlando also features three on-site themed hotels in which we own a noncontrolling interest. Our Universal theme park in Hollywood consists primarily of Universal Studios Hollywood. In addition, we receive fees from third parties that own and operate the Universal Studios Japan theme park in Osaka, Japan and the Universal Studios Singapore theme park on Sentosa Island, Singapore for the licensing of the right to use the Universal Studio brand name and other intellectual property, and other services. We also own a water park, Wet ‘n Wild, located in Orlando.</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licenses the right to use a substantial amount of intellectual property from third parties for its themed elements in rides, attractions, retail outlets and merchandising.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theme parks in Orlando and Hollywood, as well as from licensing and other fees. Per capita spending includes ticket price and in-park spending on food, beverages and merchandise.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our businesses operate in intensely competitive industries and compete with a growing number of companies that provide a broad range of communication, entertainment and information products and services to consumers. Technological changes are further intensifying and complicating the competitive landscape and consumer behavior. For example, companies continue to emerge that offer services and devices that enable digital distribution of movies, television shows and other video programming, and wireless services and devices continue to evolve. Moreover, newer services that distribute video programming are also beginning to produce or acquire their own original content. These new alternative methods for the distribution, sale and viewing of content have been, and will likely continue to be, developed, and will continue to further increase the number of competitors we face.</w:t>
      </w:r>
    </w:p>
    <w:p>
      <w:pPr>
        <w:spacing w:after="0" w:line="32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Competition for the cable services we offer primarily includes direct broadcast satellite (“DBS”) providers and phone companies. These competitors offer features, pricing and packaging for cable services that are comparable to the pricing and services we offer. Recently, new video services and devices have emerged that offer digital distribution of movies, television shows and other video programming, some of which charge a nominal or no fee for access. The success of these new services could negatively impact the demand for our video services, including for our DVR, premium network, On Demand and streaming services. Moreover, wireless technology, such as 3G and 4G wireless broadband services and Wi-Fi networks, may compete with our video and high-speed Internet services, and our voice services are facing increased competition as a result of wireless and Internet-based phone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3E499A"/>
        </w:rPr>
        <w:t>Video Services</w:t>
      </w:r>
    </w:p>
    <w:p>
      <w:pPr>
        <w:spacing w:after="0"/>
        <w:rPr>
          <w:sz w:val="20"/>
          <w:szCs w:val="20"/>
          <w:color w:val="auto"/>
        </w:rPr>
      </w:pPr>
      <w:r>
        <w:rPr>
          <w:rFonts w:ascii="Arial" w:cs="Arial" w:eastAsia="Arial" w:hAnsi="Arial"/>
          <w:sz w:val="18"/>
          <w:szCs w:val="18"/>
          <w:color w:val="auto"/>
        </w:rPr>
        <w:t>We compete with a number of different sources that provide news, sports, information and entertainment programming to consumers, including:</w:t>
      </w:r>
    </w:p>
    <w:p>
      <w:pPr>
        <w:spacing w:after="0" w:line="117" w:lineRule="exact"/>
        <w:rPr>
          <w:sz w:val="20"/>
          <w:szCs w:val="20"/>
          <w:color w:val="auto"/>
        </w:rPr>
      </w:pPr>
    </w:p>
    <w:p>
      <w:pPr>
        <w:ind w:left="1020" w:right="1260" w:hanging="21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DBS providers that transmit satellite signals containing video programming and other information to receiving dishes located on the customer’s premises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phone companies that have built and continue to build fiber-optic-based networks that provide cable services similar to ours, which now overlap a substantial portion of our service areas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providers that build and operate wireline communications systems in the same communities that we serve, including those operating as franchised cable operators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satellite master antenna television (“SMATV”) systems that generally serve MDUs, office complexes and residential developments</w:t>
      </w:r>
    </w:p>
    <w:p>
      <w:pPr>
        <w:spacing w:after="0" w:line="114" w:lineRule="exact"/>
        <w:rPr>
          <w:rFonts w:ascii="Arial" w:cs="Arial" w:eastAsia="Arial" w:hAnsi="Arial"/>
          <w:sz w:val="18"/>
          <w:szCs w:val="18"/>
          <w:color w:val="auto"/>
        </w:rPr>
      </w:pPr>
    </w:p>
    <w:p>
      <w:pPr>
        <w:ind w:left="1020" w:hanging="21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online services and devices that offer digital distribution of movies, television shows and other video programming</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recent years, Congress has enacted legislation and the FCC has adopted regulatory policies intended to provide a favorable operating environment for existing competitors and for potential new competitors to our cable services. The FCC adopted rules favoring new investment by certain phone companies in networks capable of distributing video programming and rules allocating and auctioning spectrum for new wireless services that may compete with our video service offerings. See “Legislation and Regulation” below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3E499A"/>
        </w:rPr>
        <w:t>Direct Broadcast Satellite Providers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According to recent government and industry reports, conventional medium-power and high-power satellites provide video programming to 34 million subscribers in the United States. DBS providers with high-power satellites typically offer video services substantially similar to our video services. Two companies, DIRECTV and DISH Network, provide service to substantially all of these DBS subscribers. DBS providers also have marketing arrangements with certain phone companies in which the DBS provider’s video services are sold together with the phone company’s high-speed Internet and phone services.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3E499A"/>
        </w:rPr>
        <w:t>Phone Companies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phone companies, in particular AT&amp;T, Verizon and CenturyLink, have built and are continuing to build wireline fiber-optic-based networks that provide video and high-speed Internet services in substantial portions of our service areas. These and other phone companies also may market video services from DBS providers in certain areas where they provide only high-speed Internet and phone services.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3E499A"/>
        </w:rPr>
        <w:t>Other Wireline Providers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Federal law prohibits franchising authorities from unreasonably denying requests for additional franchises, and it permits franchising authorities to operate cable systems. In addition to phone companies, various other companies, including those that traditionally have not provided cable services and have substantial financial resources, have obtained cable franchises and provide competing cable services. These and other cable systems offer cable services in some areas where we hold franchises. We anticipate that facilities-based competitors may emerge in other franchise areas that we serve.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3E499A"/>
        </w:rPr>
        <w:t>Satellite Master Antenna Television Systems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services also compete for customers with SMATV systems. SMATV system operators typically are not subject to regulation in the same manner as local, franchised cable system operators. SMATV systems offer their subscribers both improved reception of local broadcast television stations and much of the programming offered by our cable systems. In addition, some SMATV system operators offer packages of video, Internet and phone services to residential and business subscribers.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3E499A"/>
        </w:rPr>
        <w:t>Other Video Competitors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cable services also may compete for customers with other companies, such as:</w:t>
      </w:r>
    </w:p>
    <w:p>
      <w:pPr>
        <w:spacing w:after="0" w:line="117" w:lineRule="exact"/>
        <w:rPr>
          <w:sz w:val="20"/>
          <w:szCs w:val="20"/>
          <w:color w:val="auto"/>
        </w:rPr>
      </w:pPr>
    </w:p>
    <w:p>
      <w:pPr>
        <w:ind w:left="1020" w:right="1240" w:hanging="21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online services and devices that offer digital distribution of video programming, which in some cases may be viewed on traditional televisions or, more recently, on Internet-connected televisions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broadcast television stations that provide multiple channels of free over-the-air programming and newer services that provide programming from such broadcasts online for a fee</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wireless and other emerging mobile technologies that provide for the distribution and viewing of video programming online and through mobile apps available for smartphones and tablets</w:t>
      </w:r>
    </w:p>
    <w:p>
      <w:pPr>
        <w:spacing w:after="0" w:line="114" w:lineRule="exact"/>
        <w:rPr>
          <w:rFonts w:ascii="Arial" w:cs="Arial" w:eastAsia="Arial" w:hAnsi="Arial"/>
          <w:sz w:val="18"/>
          <w:szCs w:val="18"/>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video rental services and home video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Some of these competitors offer their services for free or charge a nominal fee for access to their content.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E499A"/>
        </w:rPr>
        <w:t>High-Speed Internet Services</w:t>
      </w:r>
    </w:p>
    <w:p>
      <w:pPr>
        <w:spacing w:after="0"/>
        <w:rPr>
          <w:sz w:val="20"/>
          <w:szCs w:val="20"/>
          <w:color w:val="auto"/>
        </w:rPr>
      </w:pPr>
      <w:r>
        <w:rPr>
          <w:rFonts w:ascii="Arial" w:cs="Arial" w:eastAsia="Arial" w:hAnsi="Arial"/>
          <w:sz w:val="18"/>
          <w:szCs w:val="18"/>
          <w:color w:val="auto"/>
        </w:rPr>
        <w:t>We compete with a number of companies offering Internet services, many of which have substantial resources, including:</w:t>
      </w:r>
    </w:p>
    <w:p>
      <w:pPr>
        <w:spacing w:after="0" w:line="117" w:lineRule="exact"/>
        <w:rPr>
          <w:sz w:val="20"/>
          <w:szCs w:val="20"/>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wireline phone companies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Internet service providers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companies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municipal broadband networks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Digital subscriber line (“DSL”) technology allows Internet access to be provided to customers over phone lines at data transmission speeds substantially greater than those of dial-up modems. Phone companies and certain other companies offer DSL service, and several of these companies have increased transmission speeds, lowered prices or created bundled service packages. In addition, some phone companies, such as AT&amp;T, Verizon and CenturyLink, have built and are continuing to build fiber-optic-based networks that allow them to</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provide data transmission speeds that exceed those that can be provided with DSL technology and are now offering these higher-speed services in many of our service areas. The FCC has reduced the obligations of phone companies to offer their broadband facilities on a wholesale or retail basis to competitors, and it has freed their DSL services of common carrier regulation.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Various wireless companies are offering Internet services using a variety of types of networks, including 3G and 4G wireless high-speed Internet networks (which employ LTE, WiMAX and other technology standards) and Wi-Fi networks. Some of these services are similar to ours. These networks work with devices such as wireless data cards and wireless embedded devices, such as smartphones, laptops, tablets and mobile wireless routers that connect to such embedded devices. In addition, a growing number of commercial venues, such as retail malls, restaurants and airports, offer Wi-Fi service. Numerous local governments are also considering or actively pursuing publicly subsidized Wi-Fi and other Internet access networks.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3E499A"/>
        </w:rPr>
        <w:t>Voice Services</w:t>
      </w:r>
    </w:p>
    <w:p>
      <w:pPr>
        <w:jc w:val="both"/>
        <w:spacing w:after="0" w:line="237" w:lineRule="auto"/>
        <w:rPr>
          <w:sz w:val="20"/>
          <w:szCs w:val="20"/>
          <w:color w:val="auto"/>
        </w:rPr>
      </w:pPr>
      <w:r>
        <w:rPr>
          <w:rFonts w:ascii="Arial" w:cs="Arial" w:eastAsia="Arial" w:hAnsi="Arial"/>
          <w:sz w:val="18"/>
          <w:szCs w:val="18"/>
          <w:color w:val="auto"/>
        </w:rPr>
        <w:t>Our voice services compete against wireline phone companies, including competitive local exchange carriers (“CLECs”), wireless phone service providers and other VoIP service providers, such as Vonage. Certain phone companies, such as AT&amp;T and Verizon, have substantial capital and other resources, longstanding customer relationships, and extensive existing facilities and network rights-of-way. A few CLECs also have existing local networks and significant financial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Business Services</w:t>
      </w:r>
    </w:p>
    <w:p>
      <w:pPr>
        <w:jc w:val="both"/>
        <w:spacing w:after="0" w:line="299" w:lineRule="auto"/>
        <w:rPr>
          <w:sz w:val="20"/>
          <w:szCs w:val="20"/>
          <w:color w:val="auto"/>
        </w:rPr>
      </w:pPr>
      <w:r>
        <w:rPr>
          <w:rFonts w:ascii="Arial" w:cs="Arial" w:eastAsia="Arial" w:hAnsi="Arial"/>
          <w:sz w:val="16"/>
          <w:szCs w:val="16"/>
          <w:color w:val="auto"/>
        </w:rPr>
        <w:t>Our business services primarily compete with a variety of phone companies, including CLECs. These companies either operate their own network infrastructure or rely on reselling another carrier’s network. We also compete with satellite operators who provide video offerings for businesses.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3E499A"/>
        </w:rPr>
        <w:t>Cable Networks and Broadcast Television</w:t>
      </w:r>
    </w:p>
    <w:p>
      <w:pPr>
        <w:jc w:val="both"/>
        <w:spacing w:after="0" w:line="237" w:lineRule="auto"/>
        <w:rPr>
          <w:sz w:val="20"/>
          <w:szCs w:val="20"/>
          <w:color w:val="auto"/>
        </w:rPr>
      </w:pPr>
      <w:r>
        <w:rPr>
          <w:rFonts w:ascii="Arial" w:cs="Arial" w:eastAsia="Arial" w:hAnsi="Arial"/>
          <w:sz w:val="18"/>
          <w:szCs w:val="18"/>
          <w:color w:val="auto"/>
        </w:rPr>
        <w:t>Our cable networks, broadcast television networks and owned local broadcast television stations compete for viewers’ attention and audience share with all forms of programming provided to viewers, including cable, broadcast and premium networks, local broadcast television stations, home entertainment, pay-per-view and video-on-demand services, online activities, including digital distribution services and websites that provide social networking and user-generated content, and other forms of entertainment, news and information.</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cable networks, broadcast television networks and owned local broadcast television stations compete for the acquisition of programming and for on-air and creative talent with other cable and broadcast networks and local television stations. The market for programming is very competitive, particularly for sports programming, where the cost for such programming is significant.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compete with other cable networks for distribution by multichannel video providers. Our broadcast television networks compete with the other broadcast networks in markets across the United States to secure affiliations with independently owned television stations, which are necessary to ensure the effective distribution of network programming to a nationwide audience.</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networks and broadcast television production operations compete with other production companies and creators of content for the acquisition of story properties, creative, performing and technical personnel, and with distributors for their content and consumer interest in their content.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3E499A"/>
        </w:rPr>
        <w:t>Filmed Entertainment</w:t>
      </w:r>
    </w:p>
    <w:p>
      <w:pPr>
        <w:jc w:val="both"/>
        <w:spacing w:after="0" w:line="236" w:lineRule="auto"/>
        <w:rPr>
          <w:sz w:val="20"/>
          <w:szCs w:val="20"/>
          <w:color w:val="auto"/>
        </w:rPr>
      </w:pPr>
      <w:r>
        <w:rPr>
          <w:rFonts w:ascii="Arial" w:cs="Arial" w:eastAsia="Arial" w:hAnsi="Arial"/>
          <w:sz w:val="18"/>
          <w:szCs w:val="18"/>
          <w:color w:val="auto"/>
        </w:rPr>
        <w:t>Our filmed entertainment business competes for audiences for its films and other entertainment content with other major studios and, to a lesser extent, with independent film producers, as well as with alternative forms of entertainment. Our competitive position primarily depends on the number of films we produce, their distribution and marketing success, and consumer response. Our filmed entertainment business also competes to obtain creative, performing and technical talent, including writers, actors, directors and producers, as well as scripts for films. Our filmed entertainment business also competes with the other major studios and other producers of entertainment content for distribution of their content through various exhibition and distribution outlets and on digital media platforms.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3E499A"/>
        </w:rPr>
        <w:t>Theme Parks</w:t>
      </w:r>
    </w:p>
    <w:p>
      <w:pPr>
        <w:jc w:val="both"/>
        <w:spacing w:after="0" w:line="281" w:lineRule="auto"/>
        <w:rPr>
          <w:sz w:val="20"/>
          <w:szCs w:val="20"/>
          <w:color w:val="auto"/>
        </w:rPr>
      </w:pPr>
      <w:r>
        <w:rPr>
          <w:rFonts w:ascii="Arial" w:cs="Arial" w:eastAsia="Arial" w:hAnsi="Arial"/>
          <w:sz w:val="16"/>
          <w:szCs w:val="16"/>
          <w:color w:val="auto"/>
        </w:rPr>
        <w:t>Our theme parks business competes with other multi-park entertainment companies. We also compete with other forms of entertainment, lodging, tourism and recreational activities. In order to maintain the competitiveness of our theme parks, we have invested and continue to invest in existing and new theme park attractions and infrastructure. The investment required to introduce new attractions in our theme parks can be significant.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communications business, cable networks, broadcast television networks, and owned local broadcast television stations compete for the sale of advertising time with other television networks and stations, as well as with all other advertising platforms, such as radio stations, print media and websites.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Seasonality and Cyclicality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Each of our businesses is subject to seasonal and cyclical variations. See “Management’s Discussion and Analysis of Financial Condition and Results of Operations – Segment Operating Results – Seasonality and Cyclicality” for additional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Legislation and Regulation</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Communications Act of 1934, as amended (the “Communications Act”), and FCC regulations and policies affect significant aspects of our businesses, which are also subject to other regulation by federal, state, local and foreign authorities under applicable laws and regulations, as well as under agreements we enter into with franchising authorities. In addition, our businesses are subject to compliance with the terms of the FCC Order approving the NBCUniversal transaction (the “NBCUniversal Order”) and a consent decree entered into between us, the DOJ and five states (the “NBCUniversal Consent Decree”), which contain conditions and commitments of varying duration, ranging from three to seven years after September 2011. In addition, certain other aspects of the NBCUniversal Consent Decree are subject to oversight by a federal district court until at least 2013. Legislators and regulators at all levels of government frequently consider changing, and sometimes do change, existing statutes, rules, regulations, or interpretations of existing statutes, rules or regulations, or prescribe new ones, which may significantly affect our businesses. We are unable to predict any such changes, or how any such changes will ultimately affect our businesses. The following paragraphs summarize material existing and potential future legal and regulatory requirements affecting our businesses, although reference should be made to the Communications Act, FCC regulations, the NBCUniversal Order, the NBCUniversal Consent Decree and other legislation and regulations for further information.</w:t>
      </w:r>
    </w:p>
    <w:p>
      <w:pPr>
        <w:spacing w:after="0" w:line="33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Cable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3E499A"/>
        </w:rPr>
        <w:t>Program Carriage</w:t>
      </w:r>
    </w:p>
    <w:p>
      <w:pPr>
        <w:jc w:val="both"/>
        <w:spacing w:after="0" w:line="267" w:lineRule="auto"/>
        <w:rPr>
          <w:sz w:val="20"/>
          <w:szCs w:val="20"/>
          <w:color w:val="auto"/>
        </w:rPr>
      </w:pPr>
      <w:r>
        <w:rPr>
          <w:rFonts w:ascii="Arial" w:cs="Arial" w:eastAsia="Arial" w:hAnsi="Arial"/>
          <w:sz w:val="16"/>
          <w:szCs w:val="16"/>
          <w:color w:val="auto"/>
        </w:rPr>
        <w:t>The Communications Act and FCC regulations prohibit cable operators and other multichannel video providers from requiring a financial interest in, or exclusive distribution rights for, any video programming network as a condition of carriage, or from unreasonably restraining the ability of an unaffiliated programming network to compete fairly by discriminating against the network on the basis of its non-affiliation in the selection, terms or conditions for carriage. The FCC has adopted regulations that we believe increase the likelihood of program carriage complaints and is considering proposals to further expand program carriage regulations that may be disadvantageous to us. In July 2012, the FCC ruled against us in a program carriage complaint initiated by The Tennis Channel. We have challenged that decision in court and were granted a stay of the FCC’s order pending the court’s review. In addition, the NBCUniversal Order prohibits discriminating against a network on the basis of its non-affiliation in the selection, terms or conditions for carriage, and requires that, if we place news and/or business news channels in a channel lineup “neighborhood,” we must place all independent news and business news channels in that neighborhood. Bloomberg Television filed a complaint at the FCC invoking this condition. The FCC’s Media Bureau ruled substantially in favor of Bloomberg but did not grant all of the relief Bloomberg had requested. Both Comcast and Bloomberg have filed applications for review of the order by the full FCC. We have been involved in other program carriage disputes at the FCC and may continue to be subject to program carriage complaints in the future. Adverse decisions in disputes under the program carriage regulations or NBCUniversal Order conditions could negatively affect our business.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3E499A"/>
        </w:rPr>
        <w:t>Must-Carry/Retransmission Consent</w:t>
      </w:r>
    </w:p>
    <w:p>
      <w:pPr>
        <w:jc w:val="both"/>
        <w:spacing w:after="0" w:line="236" w:lineRule="auto"/>
        <w:rPr>
          <w:sz w:val="20"/>
          <w:szCs w:val="20"/>
          <w:color w:val="auto"/>
        </w:rPr>
      </w:pPr>
      <w:r>
        <w:rPr>
          <w:rFonts w:ascii="Arial" w:cs="Arial" w:eastAsia="Arial" w:hAnsi="Arial"/>
          <w:sz w:val="18"/>
          <w:szCs w:val="18"/>
          <w:color w:val="auto"/>
        </w:rPr>
        <w:t>Cable operators are currently required to carry, without compensation, the programming transmitted by most local commercial and noncommercial broadcast television stations. Alternatively, local broadcast television stations may choose to negotiate with a cable operator for retransmission consent, under which the station gives up its must-carry right and instead seeks to negotiate a carriage agreement with the cable operator. Such an agreement may involve payments to the station. We have recently begun paying certain local broadcast television stations in exchange for their required consent for the retransmission of the stations’ broadcast programming to our video services customers and expect to continue to be subject to increasing demands for payment and other concessions from local broadcast television stations. For information on must-carry and retransmission consent issues relating to our broadcast television business, see “Broadcast Television” below and refer to the “Must-Carry/Retransmission Consent” discussion within that section.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Pricing and Packaging</w:t>
      </w:r>
    </w:p>
    <w:p>
      <w:pPr>
        <w:jc w:val="both"/>
        <w:spacing w:after="0" w:line="236" w:lineRule="auto"/>
        <w:rPr>
          <w:sz w:val="20"/>
          <w:szCs w:val="20"/>
          <w:color w:val="auto"/>
        </w:rPr>
      </w:pPr>
      <w:r>
        <w:rPr>
          <w:rFonts w:ascii="Arial" w:cs="Arial" w:eastAsia="Arial" w:hAnsi="Arial"/>
          <w:sz w:val="18"/>
          <w:szCs w:val="18"/>
          <w:color w:val="auto"/>
        </w:rPr>
        <w:t>The Communications Act and FCC regulations limit the prices that cable operators may charge for basic video service, equipment and installation. These rules do not apply to cable systems that the FCC determines are subject to effective competition, or where franchising authorities have chosen not to regulate rates. As a result, approximately 80% of our video services customers are not subject to rate regulation. From time to time, Congress and the FCC consider imposing new pricing or packaging regulations, including proposals that would require cable operators to offer programming networks on an a la carte or themed-tier basis instead of, or in addition to, our current packaged offerings. Additionally, uniform pricing requirements under the Communications Act may affect our ability to respond to increased competition through offers that aim to retain existing customers or regain those we have lost.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3E499A"/>
        </w:rPr>
        <w:t>Leased Access</w:t>
      </w:r>
    </w:p>
    <w:p>
      <w:pPr>
        <w:jc w:val="both"/>
        <w:spacing w:after="0" w:line="238" w:lineRule="auto"/>
        <w:rPr>
          <w:sz w:val="20"/>
          <w:szCs w:val="20"/>
          <w:color w:val="auto"/>
        </w:rPr>
      </w:pPr>
      <w:r>
        <w:rPr>
          <w:rFonts w:ascii="Arial" w:cs="Arial" w:eastAsia="Arial" w:hAnsi="Arial"/>
          <w:sz w:val="18"/>
          <w:szCs w:val="18"/>
          <w:color w:val="auto"/>
        </w:rPr>
        <w:t>The Communications Act requires a cable system to make available up to 15% of its channel capacity for commercial leased access by third parties to provide programming that may compete with services offered directly by the cable operator. While we have not been required to devote significant channel capacity to</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leased access to date, the FCC has adopted regulations that dramatically reduce the rates we can charge for leased access channels, although their implementation has been stayed by a federal court pending the outcome of a challenge brought by us and other cable operators and also has been blocked by the Office of Management and Budget. If implemented, these regulations could adversely affect our business by significantly increasing the number of cable system channels occupied by leased access users and by significantly increasing the administrative burdens and costs associated with complying with such regulations.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E499A"/>
        </w:rPr>
        <w:t>Cable Equipment</w:t>
      </w:r>
    </w:p>
    <w:p>
      <w:pPr>
        <w:jc w:val="both"/>
        <w:spacing w:after="0" w:line="268" w:lineRule="auto"/>
        <w:rPr>
          <w:sz w:val="20"/>
          <w:szCs w:val="20"/>
          <w:color w:val="auto"/>
        </w:rPr>
      </w:pPr>
      <w:r>
        <w:rPr>
          <w:rFonts w:ascii="Arial" w:cs="Arial" w:eastAsia="Arial" w:hAnsi="Arial"/>
          <w:sz w:val="16"/>
          <w:szCs w:val="16"/>
          <w:color w:val="auto"/>
        </w:rPr>
        <w:t>The FCC has adopted regulations aimed at promoting the retail sale of set-top boxes and other equipment that can be used to receive digital video services. With the exception of certain one-way devices, like digital transport adapters, these regulations prohibit cable operators from deploying new set-top boxes that perform both channel navigation and security functions. As a result, most set-top boxes that we purchase must rely on a separate security device known as a CableCARD. In addition, the FCC has adopted regulations aimed at promoting the manufacture of plug-and-play TV sets and other equipment that can connect directly to a cable system with a CableCARD and receive one-way video services without the need for a set-top box. In addition, cable operators must provide a credit to customers who use plug-and-play equipment purchased at retail and allow them to self-install CableCARDs rather than having to arrange for professional installation. The U.S. Court of Appeals for the D.C. Circuit issued a decision in January 2013 vacating some of these CableCARD rules. The decision is not yet final and may be subject to further litigation. If the court’s decision becomes final, the FCC may attempt to readopt some or all of these rules, and also consider proposals to supplant CableCARDs with another technology that would enable retail video devices to work on any multichannel video provider system, not just a cable system. We are unable to predict what, if any, proposals might be adopted or what effect they might have on our cable business.</w:t>
      </w:r>
    </w:p>
    <w:p>
      <w:pPr>
        <w:spacing w:after="0" w:line="3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Federal and state legislators and regulators also are considering proposals to impose energy efficiency requirements on our set-top boxes and certain network equipment, although we, other multichannel video providers and equipment manufacturers recently entered into a voluntary agreement taking steps to improve the energy efficiency of set-top boxes. We cannot predict what, if any, effect this agreement will have on potential energy efficiency regulations. In addition, the NBCUniversal Order requires us to fulfill commitments designed to improve the parental control tools and information available to parents, including providing navigation and blocking capabilities for certain set-top boxes.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E499A"/>
        </w:rPr>
        <w:t>MDUs and Inside Wiring</w:t>
      </w:r>
    </w:p>
    <w:p>
      <w:pPr>
        <w:jc w:val="both"/>
        <w:spacing w:after="0" w:line="238" w:lineRule="auto"/>
        <w:rPr>
          <w:sz w:val="20"/>
          <w:szCs w:val="20"/>
          <w:color w:val="auto"/>
        </w:rPr>
      </w:pPr>
      <w:r>
        <w:rPr>
          <w:rFonts w:ascii="Arial" w:cs="Arial" w:eastAsia="Arial" w:hAnsi="Arial"/>
          <w:sz w:val="18"/>
          <w:szCs w:val="18"/>
          <w:color w:val="auto"/>
        </w:rPr>
        <w:t>FCC regulations prohibit exclusive video service access agreements between cable operators and MDUs or other private residential real estate developments, as well as our enforcement of exclusivity provisions in any of our pre-existing access agreements. FCC regulations also facilitate competitors’ access to the cable wiring inside such properties.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Pole Attachments</w:t>
      </w:r>
    </w:p>
    <w:p>
      <w:pPr>
        <w:jc w:val="both"/>
        <w:spacing w:after="0" w:line="236" w:lineRule="auto"/>
        <w:rPr>
          <w:sz w:val="20"/>
          <w:szCs w:val="20"/>
          <w:color w:val="auto"/>
        </w:rPr>
      </w:pPr>
      <w:r>
        <w:rPr>
          <w:rFonts w:ascii="Arial" w:cs="Arial" w:eastAsia="Arial" w:hAnsi="Arial"/>
          <w:sz w:val="18"/>
          <w:szCs w:val="18"/>
          <w:color w:val="auto"/>
        </w:rPr>
        <w:t>The Communications Act permits the FCC to regulate the rates that pole-owning utility companies (with the exception of municipal utilities and rural cooperatives) charge cable systems for attachments to their poles. States are permitted to preempt FCC jurisdiction and regulate the terms of attachments themselves, and many states in which we operate have done so. Most of these states have generally followed the FCC’s pole attachment rate standards. Utility companies initiated a proceeding in 2009 at the FCC seeking to apply the telecommunications services pole rate formula to all pole attachments over which cable operators provide phone services using interconnected VoIP technology, which is the type of technology we use for our voice services. The pole attachment rates applicable to telecommunications services were significantly higher than the rates we currently pay. In June 2011, the FCC adopted a pole rate formula that reduces the rates for telecommunications service pole attachments to levels that are at or near the rates for cable attachments, but</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utility companies are able to rebut certain presumptions in the new formula, and it is expected that most will attempt to do so. The FCC ruling is under review in the U.S. Court of Appeals for the D.C. Circuit.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3E499A"/>
        </w:rPr>
        <w:t>Vertical Ownership Limit</w:t>
      </w:r>
    </w:p>
    <w:p>
      <w:pPr>
        <w:jc w:val="both"/>
        <w:spacing w:after="0" w:line="236" w:lineRule="auto"/>
        <w:rPr>
          <w:sz w:val="20"/>
          <w:szCs w:val="20"/>
          <w:color w:val="auto"/>
        </w:rPr>
      </w:pPr>
      <w:r>
        <w:rPr>
          <w:rFonts w:ascii="Arial" w:cs="Arial" w:eastAsia="Arial" w:hAnsi="Arial"/>
          <w:sz w:val="18"/>
          <w:szCs w:val="18"/>
          <w:color w:val="auto"/>
        </w:rPr>
        <w:t>The FCC is assessing whether to revise a limit on the number of affiliated programming channels that a cable operator may carry on a cable system. The FCC’s previous limit of 40% of the first 75 channels carried on a cable system was struck down by a federal appellate court in 2001, although the FCC continues to enforce it. The FCC previously clarified that, under the 40% limit, cable systems with 75 or more channels must carry at least 45 unaffiliated channels. Our cable systems routinely carry more than 45 unaffiliated channels, and we currently comply with the 40% limit. Compliance could become more difficult depending on what regulations, if any, the FCC adopts.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E499A"/>
        </w:rPr>
        <w:t>Franchising</w:t>
      </w:r>
    </w:p>
    <w:p>
      <w:pPr>
        <w:jc w:val="both"/>
        <w:spacing w:after="0" w:line="235" w:lineRule="auto"/>
        <w:rPr>
          <w:sz w:val="20"/>
          <w:szCs w:val="20"/>
          <w:color w:val="auto"/>
        </w:rPr>
      </w:pPr>
      <w:r>
        <w:rPr>
          <w:rFonts w:ascii="Arial" w:cs="Arial" w:eastAsia="Arial" w:hAnsi="Arial"/>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The Communications Act permits franchising authorities to establish reasonable requirements for public, educational and governmental access (“PEG”) programming, and some of our franchises require substantial channel capacity and financial support for this programming. The NBCUniversal Order contains various PEG-related conditions, including a requirement that we do not migrate PEG channels to digital delivery on our cable system until the system has converted to all-digital distribution or until the government entity that is responsible for the system’s PEG operations expressly agrees. The Communications Act also contains provisions governing the franchising process, including, among other things, renewal procedures designed to protect incumbent franchisees against arbitrary denials of renewal. We believe that our franchise renewal prospects generally are favorable.</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FCC regulations establish franchising processes and obligations for new entrants that are different from those applicable to existing providers. For example, these regulations limit the range of financial, construction and other commitments that franchising authorities can request of new entrants and preempt certain local “level playing field” franchising requirements. In addition, approximately half of the states in which we operate have enacted legislation to provide statewide franchising or to simplify local franchising requirements for new entrants. Some of these statutes also allow new entrants to operate on more favorable terms than our current operations, for instance by not requiring that the new entrant provide service to all parts of the franchise area or permitting the new entrant to designate only those portions it wishes to serve. Certain of these statutes allow incumbent cable operators to opt into the new state franchise immediately or later when a competing state franchise has been issued for the incumbent cable operator’s franchise area. However, even in those states, the incumbent cable operators often are required to retain certain franchise obligations that are more burdensome than the new entrant’s state franchise.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3E499A"/>
        </w:rPr>
        <w:t>Copyright Regulation</w:t>
      </w:r>
    </w:p>
    <w:p>
      <w:pPr>
        <w:jc w:val="both"/>
        <w:spacing w:after="0" w:line="271" w:lineRule="auto"/>
        <w:rPr>
          <w:sz w:val="20"/>
          <w:szCs w:val="20"/>
          <w:color w:val="auto"/>
        </w:rPr>
      </w:pPr>
      <w:r>
        <w:rPr>
          <w:rFonts w:ascii="Arial" w:cs="Arial" w:eastAsia="Arial" w:hAnsi="Arial"/>
          <w:sz w:val="16"/>
          <w:szCs w:val="16"/>
          <w:color w:val="auto"/>
        </w:rPr>
        <w:t>In exchange for filing reports and contributing a percentage of revenue to a federal copyright royalty pool, cable operators can obtain blanket permission to retransmit copyrighted material contained in broadcast signals. The possible modification or elimination of this copyright license is the subject of ongoing legislative and administrative review. The Satellite Television Extension and Localism Act of 2010 (“STELA”) made revisions to a cable operator’s compulsory copyright license to remove a number of uncertainties regarding the license’s operation. In particular, STELA clarifies that, in exchange for certain additional payments, cable operators can limit the royalty calculation associated with retransmission of an out-of-market broadcast station to those cable subscribers who actually receive the out-of market station. The new law also clarifies that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cable operators must pay additional royalty fees for each digital multicast programming stream from an out-of market broadcast station they retransmit that does not duplicate the content of the station’s primary stream. It also establishes an audit mechanism for copyright owners to review a cable operator’s copyright royalty reporting practices, which the Copyright Office has issued proposals to implement. As required by STELA, the Copyright Office, the GAO and the FCC all issued reports to Congress in 2011 that generally supported an eventual phaseout of the compulsory licenses, although they also acknowledged the potential adverse impact on cable and satellite subscribers and the absence of any clear marketplace alternative to the compulsory licenses. If adopted, a phaseout plan could adversely affect our ability to obtain broadcast station programming and substantially increase our programming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Services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provide high-speed Internet services over our cable distribution system. In 2002, the FCC ruled that high-speed Internet services such as ours are interstate information services that are not subject to regulation as a telecommunications service under federal law or to state or local utility regulation. However, our high-speed Internet services are subject to a number of regulatory obligations, including compliance with the Communications Assistance for Law Enforcement Act (“CALEA”) requirement that high-speed Internet service providers implement certain network capabilities to assist law enforcement in conducting surveillance of persons suspected of criminal activity.</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2010, the FCC adopted “open Internet” regulations applicable to broadband Internet service providers (“ISPs”). The regulations require broadband ISPs such as us to disclose information regarding network management, performance and commercial terms of the service; bar broadband ISPs from blocking access to lawful content, applications, services or non-harmful devices; and bar wireline broadband ISPs such as us from unreasonably discriminating in transmitting lawful network traffic. The no-blocking and non-discrimination requirements allow for reasonable network management. The FCC has not prohibited speed tiers or usage-based pricing, but has specifically noted that “paid prioritization” (i.e., charging content, application and service providers for prioritizing their traffic over our last-mile facilities) or an ISP’s prioritizing its own content likely would violate these regulations. These regulations are being challenged in federal court by a number of parties. Regardless of the outcome of that case, the court’s decision will impact the FCC’s authority over broadband Internet service and could result in more regulation that could adversely affect our business. Moreover, under the NBCUniversal Order and the NBCUniversal Consent Decree, we are required to comply with the open Internet regulations regardless of whether they are invalidated in court or otherwise rescinded. In addition, any Internet service we provide, regardless of whether it is accessed through a set-top box, gaming console or computer or other device, must comply with the open Internet regulations.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the NBCUniversal Order and NBCUniversal Consent Decree include various conditions and commitments requiring us to expand our broadband service areas, to continue to offer all of our high-speed Internet service speed tiers on a stand-alone basis at reasonable market-based prices, to offer a new standalone 6 Mbps downstream tier (known as the performance starter tier) at $49.95 per month for three years, to maintain a high-speed Internet service of at least 12 Mbps downstream across most of our footprint, and to not discriminate in how we treat “specialized services” (defined as services we provide over the same last-mile facilities as our high-speed Internet service, but not including our high-speed Internet service, video services or voice services). We have taken a number of steps to comply with these conditions. In 2012, after an FCC inquiry into whether we failed to comply with the stand-alone broadband condition, we entered into a consent decree with the FCC to extend our offering of the performance starter tier for one additional year and to reinforce the promotion of our stand-alone broadband offerings, including training our sales representatives with respect to these offerings.</w:t>
      </w:r>
    </w:p>
    <w:p>
      <w:pPr>
        <w:spacing w:after="0" w:line="33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19</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federal program known as the Universal Service program generally requires telecommunications service providers to collect and pay a fee based on revenue from their services into a fund used to subsidize the provision of telecommunications services in high-cost areas and Internet and telecommunications services to schools, libraries and certain health care providers. The FCC issued an order in November 2011 that changed the way that a majority of Universal Service funds are allocated and began implementing that order in 2012. By focusing on broadband and wireless deployment, and moving away from supporting traditional telephone service, the changes could assist some of our competitors in more effectively competing with our service offerings, while others could receive less funding. The actual impact of the changes is not yet known. The FCC’s ruling is under review in the U.S. Court of Appeals for the Tenth Circuit.</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in November 2011, the FCC initiated a further rulemaking on IP interconnection issues, which may have an impact on Internet interconnection arrangements. We have a number of peering and transit arrangements with other network operators, and these arrangements historically have not been regulated by the FCC. We cannot predict what, if any, proposals might be adopted or what effect they might have on our business.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Congress and federal regulators have adopted a wide range of measures affecting Internet use, including, for example, consumer privacy, consumer protection, copyright protection, defamation liability, taxation, obscenity and unsolicited commercial email. State and local governments also have adopted Internet-related regulations. Furthermore, Congress, the FCC, and certain state and local governments are considering proposals to impose customer service, quality of service, expanded copyright protection requirements, taxation, child safety, privacy and standard pricing regulations on high-speed Internet service providers. It is uncertain whether any of these proposals will be adopted. The adoption of new laws or the application of existing laws to the Internet could have a material adverse effect on our high-speed Internet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provide voice services by using interconnected VoIP technology. The FCC has adopted a number of regulations for providers of nontraditional voice services such as ours, including regulations relating to customer proprietary network information, local number portability duties and benefits, disability access, E911, law enforcement assistance (CALEA), outage reporting, Universal Service Fund contribution obligations, and certain regulatory filing requirements, but has not yet ruled on whether interconnected VoIP service should be classified as an “information service” or a “telecommunications service” under the Communications Act. The classification determination is important because telecommunications services are still regulated more pervasively than information services. The regulatory environment for our voice services therefore remains uncertain at both the federal and the state levels. Until the FCC definitively classifies interconnected VoIP service, state regulatory commissions and legislatures may continue to investigate imposing regulatory requirements on our voice services. For example, state commissions in Vermont and New Hampshire have issued orders finding that our voice services qualify as telecommunications services subject to state regulation, although we have challenged both orders in court. In some cases, state legislation precludes state regulation of VoIP-based services notwithstanding how they are classified.</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the FCC has not determined the appropriate classification of our voice services, the precise scope of interconnection regulations applicable to us as a provider of nontraditional voice services is not clear. In light of this uncertainty, providers of nontraditional voice services typically either secure CLEC authorization or obtain interconnection to traditional wireline phone company networks by contracting with an existing CLEC, whose right, as a telecommunications carrier, to request and obtain interconnection with the traditional wireline phone companies is set forth in the Communications Act. We have arranged for such interconnection rights through our affiliated CLECs. While some traditional wireline phone companies have challenged our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right to interconnect directly with them, we have prevailed in all of these challenges, and no such challenges are currently pending. That said, if a regulatory or judicial authority were to deny our ability to interconnect through one of our CLECs, our ability to provide voice services and compete in the area in question would be negatively impacted. In December 2012, the FCC sought comment on two petitions that raise issues concerning the interconnection obligations for IP voice providers, and it also formed a task force to coordinate the FCC’s efforts on issues related to the transition of networks from circuit-switched to packet-switched technology, including the issue of IP interconnection. We cannot predict what, if any, proposals might be adopted or what effect they might have on our business. In November 2011, the FCC issued an order clarifying the entire intercarrier compensation regime, which governs the arrangements by which telecommunications carriers compensate one another for exchanged traffic, whether it be for local, intrastate or interstate traffic, or VoIP. The FCC order affirmed the right of CLECs to collect intercarrier compensation when providing interconnection for VoIP providers. However, the FCC’s order is currently under appeal with the U.S. Court of Appeals for the Tenth Circuit.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Cable Services 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3E499A"/>
        </w:rPr>
        <w:t>State and Local Taxes</w:t>
      </w:r>
    </w:p>
    <w:p>
      <w:pPr>
        <w:jc w:val="both"/>
        <w:spacing w:after="0" w:line="236" w:lineRule="auto"/>
        <w:rPr>
          <w:sz w:val="20"/>
          <w:szCs w:val="20"/>
          <w:color w:val="auto"/>
        </w:rPr>
      </w:pPr>
      <w:r>
        <w:rPr>
          <w:rFonts w:ascii="Arial" w:cs="Arial" w:eastAsia="Arial" w:hAnsi="Arial"/>
          <w:sz w:val="18"/>
          <w:szCs w:val="18"/>
          <w:color w:val="auto"/>
        </w:rPr>
        <w:t>Some states and localities have imposed or are considering imposing new or additional taxes or fees on the cable services we offer, or imposing adverse methodologies by which taxes or fees are computed. These include combined reporting or other changes to general business taxes, central assessments for property tax, and taxes and fees on video, high-speed Internet and voice services. We and other cable industry members are challenging certain of these taxes through administrative and court proceedings. In addition, in some situations our DBS competitors and other competitors that deliver their services over a high-speed Internet connection do not face similar state tax and fee burdens. Congress has also considered, and may consider again, proposals to bar states from imposing taxes on DBS providers that are equivalent to the taxes or fees that we pay.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Cable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Access</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Communications Act and FCC regulations generally prevent cable networks affiliated with cable operators, other than terrestrially-delivered programming networks, from favoring affiliated cable operators over competing multichannel video providers, such as DBS providers and phone companies that offer multichannel video programming services. In addition, the Communications Act and FCC regulations had limited the ability of cable-affiliated cable networks to offer exclusive programming contracts to a cable operator. In October 2012, the FCC allowed a preemptive restriction on exclusive contracts to expire but reaffirmed that any such exclusive contract could be reviewed on a case-by-case basis in response to a complaint alleging violation of the Communications Act’s prohibition against unfair methods of competition or unfair or deceptive acts or practices that hinder significantly or prevent competitors from providing programming to customers. This case-by-case process already allowed multichannel video providers to file program access complaints to try to show that their lack of access to a terrestrially-delivered programming network had hindered significantly their ability to deliver video programming to subscribers. In addition, the FCC is considering proposals to establish presumptions that would make it easier for multichannel video providers to succeed with complaints involving exclusive contracts and to make it easier for them to use buying groups and for such buying groups to pursue complaints under the rules. It is uncertain whether the FCC will act on these proposals and, if adopted, what impact these proposals would have on our cable networks.</w:t>
      </w:r>
    </w:p>
    <w:p>
      <w:pPr>
        <w:spacing w:after="0" w:line="3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FCC launched a rulemaking in 2007 to consider whether companies that own multiple cable networks should be required to make each of their networks available to multichannel video providers on a stand-alone or “unbundled” basis when negotiating distribution agreements, although it has not further acted on that</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rulemaking. We currently offer our cable networks both on a bundled and, when requested, on a stand-alone basis. Increased regulatory requirements imposed on the manner in which we negotiate programming distribution agreements with multichannel video providers may adversely affect our cable networks business.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NBCUniversal Order and NBCUniversal Consent Decree, multichannel video providers can invoke commercial arbitration for program access pursuant to conditions adopted in the NBCUniversal Order against our cable networks and broadcast television networks, including our regional sports networks. In addition, under the NBCUniversal Order and NBCUniversal Consent Decree, we are required to make certain of our cable network, broadcast television and filmed entertainment programming available to bona fide online video distributors under certain conditions, and they may invoke commercial arbitration pursuant to conditions adopted in the NBCUniversal Order and NBCUniversal Consent Decree to resolve disputes regarding the availability of, and the terms and conditions of access to, such programming. For further discussion of these conditions, see “Broadcast Television” below and refer to the “Must-Carry/Retransmission Consent” and “Internet Distribution” discussions within that section.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Children’s Programming</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Children’s Television Act (“CTA”) and FCC regulations limit the amount and content of commercial matter that may be shown on cable networks, broadcast networks and broadcast television stations during programming originally produced and broadcast primarily for an audience of children under 13 years of age. FCC regulations also limit the display during children’s programming on cable or broadcast of Internet addresses of websites that contain or link to commercial material or that use program characters to sell products. Similarly, FCC regulations prohibit the display of commercials during children’s programming on cable or broadcast networks that use program characters to sell products when the commercial is adjacent to children’s programming in which the characters appear. The FCC is currently considering whether to prohibit interactive advertising during children’s television programming. The NBCUniversal Order includes certain commitments and conditions related to children’s television and advertising directed at children, including commitments that we will not insert interactive advertising into children’s television programming in any of the advertising spots we control, either as a multichannel video provider or as the programmer, and that we will provide at least $15 million worth of public service announcements on childhood obesity, FDA nutritional guidelines, digital literacy and parental controls per year until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Broadcast Television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permits the operation of local broadcast television stations only in accordance with a license issued by the FCC upon a finding that the grant of the license would serve the public interest, convenience and necessity. The FCC grants broadcast television station licenses for specific periods of time and, upon application, may renew the licenses for additional terms. Under the Communications Act, broadcast television licenses may be granted for a maximum term of eight years. Generally, the FCC renews broadcast licenses upon finding that the television station has served the public interest, convenience and necessity; there have been no serious violations by the licensee of the Communications Act or FCC regulations; and there have been no violations by the licensee of the Communications Act or FCC regulations, which, taken together, indicate a pattern of abuse.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CTA and FCC regulations require that the FCC consider in its review of broadcast television station license renewals whether the station has served the educational and informational (“E/I”) needs of children. Under the FCC’s regulations, a station licensee will be deemed to have met its obligation to serve the E/I needs of children if it has broadcast on its main program stream a minimum of three hours per week of programming that has a significant purpose of serving the E/I needs of children under 17 years of age. For broadcast television stations that multicast, FCC regulations include a similar standard whereby the amount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of E/I programming deemed to meet the station’s E/I obligation increases in proportion to the amount of free multicast programming aired. Under the NBCUniversal Order, we have committed to provide an additional hour of E/I programming per week on either the primary or multicast streams of our owned NBC local broadcast television stations and on the primary signal of our owned Telemundo local broadcast television stations. The FCC is considering whether the requirements for E/I programming have been effective in promoting the availability of educational content for children on broadcast television, and there can be no assurance that the FCC will not impose more stringent requirements.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NBCUniversal Order, we have committed to expand local news and information programming on our owned local television stations and to enter into cooperative arrangements with locally focused nonprofit news organizations in certain markets.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Renewal applications are pending for a number of our broadcast television station licenses. The FCC may grant any license renewal application with or without conditions, including renewal for a lesser term than the maximum otherwise permitted. A station’s authority to operate is automatically extended while a renewal application is on file and under review. Four pending applications have been formally opposed by third parties and other applications are pending due to unresolved complaints of alleged indecency in the stations’ programming. The Communications Act also requires prior FCC approval for any sale of a broadcast station license, whether through the assignment of the license and related assets from one company to another or the transfer of control of the stock or other equity of a company holding an FCC license. Third parties may oppose such applications. The FCC may decline to renew or approve the transfer of a license in certain circumstances. Although we have received such renewals and approvals in the past, there can be no assurance that we will always obtain necessary renewals or that approvals in the future will contain acceptable FCC license conditions.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FCC regulations limit the ability of individuals and entities to have “attributable interests” above specific levels in local television stations, as well as other specified mass media entities, such as limits on the cross-ownership of broadcast stations and newspapers in the same market. The FCC, by law, must review the ownership regulations detailed below once every four years, and the most recent review was initiated in December 2011 (“2011 Media Ownership Notice”). We cannot predict when the FCC’s current review will be completed or whether or how any of these regulations will change.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E499A"/>
        </w:rPr>
        <w:t>Local Television Ownership</w:t>
      </w:r>
    </w:p>
    <w:p>
      <w:pPr>
        <w:jc w:val="both"/>
        <w:spacing w:after="0" w:line="270" w:lineRule="auto"/>
        <w:rPr>
          <w:sz w:val="20"/>
          <w:szCs w:val="20"/>
          <w:color w:val="auto"/>
        </w:rPr>
      </w:pPr>
      <w:r>
        <w:rPr>
          <w:rFonts w:ascii="Arial" w:cs="Arial" w:eastAsia="Arial" w:hAnsi="Arial"/>
          <w:sz w:val="16"/>
          <w:szCs w:val="16"/>
          <w:color w:val="auto"/>
        </w:rPr>
        <w:t>Under the FCC’s local television ownership rule, a licensee may own up to two broadcast television stations in the same DMA, as long as at least one of the two stations is not among the top four-ranked stations in the market based on audience share as of the date an application for approval of an acquisition is filed with the FCC and at least eight independently owned and operating full-power broadcast television stations remain in the market following the acquisition. Further, without regard to the number of remaining independently-owned television stations, the rule permits the ownership of more than one television station within the same DMA so long as certain signal contours of the stations involved do not overlap. The 2011 Media Ownership Notice proposes minor modifications to the local television ownership rule. It also raises questions regarding whether local news-sharing agreements, shared services agreements, and joint sales agreements should count toward the FCC’s ownership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3E499A"/>
        </w:rPr>
        <w:t>National Television Ownership</w:t>
      </w:r>
    </w:p>
    <w:p>
      <w:pPr>
        <w:jc w:val="both"/>
        <w:spacing w:after="0" w:line="238" w:lineRule="auto"/>
        <w:rPr>
          <w:sz w:val="20"/>
          <w:szCs w:val="20"/>
          <w:color w:val="auto"/>
        </w:rPr>
      </w:pPr>
      <w:r>
        <w:rPr>
          <w:rFonts w:ascii="Arial" w:cs="Arial" w:eastAsia="Arial" w:hAnsi="Arial"/>
          <w:sz w:val="18"/>
          <w:szCs w:val="18"/>
          <w:color w:val="auto"/>
        </w:rPr>
        <w:t>The Communications Act and FCC regulations limit the number of television stations one entity may own or control nationally. Under the rule, no entity may have an attributable interest in broadcast television stations that reach, in the aggregate, more than 39% of all U.S. television households. Our owned local television station reach does not exceed this limit.</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3E499A"/>
        </w:rPr>
        <w:t>Foreign Ownership</w:t>
      </w:r>
    </w:p>
    <w:p>
      <w:pPr>
        <w:jc w:val="both"/>
        <w:spacing w:after="0" w:line="237" w:lineRule="auto"/>
        <w:rPr>
          <w:sz w:val="20"/>
          <w:szCs w:val="20"/>
          <w:color w:val="auto"/>
        </w:rPr>
      </w:pPr>
      <w:r>
        <w:rPr>
          <w:rFonts w:ascii="Arial" w:cs="Arial" w:eastAsia="Arial" w:hAnsi="Arial"/>
          <w:sz w:val="18"/>
          <w:szCs w:val="18"/>
          <w:color w:val="auto"/>
        </w:rPr>
        <w:t>The Communications Act generally limits foreign ownership in a broadcast station to 20% direct ownership and 25% indirect ownership (i.e., through one or more subsidiaries), although the limit on indirect ownership can be waived if the FCC finds it to be in the public interest. These limits have been held to apply to both voting control and equity, as well as to ownership by any form of entity, including corporations, partnerships and limited liability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Dual Network Rule</w:t>
      </w:r>
    </w:p>
    <w:p>
      <w:pPr>
        <w:jc w:val="both"/>
        <w:spacing w:after="0" w:line="239" w:lineRule="auto"/>
        <w:rPr>
          <w:sz w:val="20"/>
          <w:szCs w:val="20"/>
          <w:color w:val="auto"/>
        </w:rPr>
      </w:pPr>
      <w:r>
        <w:rPr>
          <w:rFonts w:ascii="Arial" w:cs="Arial" w:eastAsia="Arial" w:hAnsi="Arial"/>
          <w:sz w:val="18"/>
          <w:szCs w:val="18"/>
          <w:color w:val="auto"/>
        </w:rPr>
        <w:t>The dual network rule prohibits any of the four major broadcast television networks, ABC, CBS, Fox and NBC, from being under common ownership or control with another of the four.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Must-Carry/Retransmission Consent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Every three years, each commercial television station must elect for each cable system in its DMA either must-carry or retransmission consent. Federal law and FCC regulations also establish a must-carry/retransmission consent election regime for carriage of commercial television stations by satellite providers. For the period beginning on January 1, 2012 and ending on December 31, 2014, all of the NBC network and Telemundo network owned local television stations elected retransmission consent.</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enacting STELA in 2010, Congress modified certain aspects of the compulsory copyright licenses under which satellite providers and cable operators retransmit broadcast stations. STELA expressly extended to January 1, 2015 an existing prohibition against commercial television stations entering into exclusive retransmission consent agreements with multichannel video providers and also extended a requirement that commercial television stations and multichannel video providers negotiate retransmission consent agreements in good faith. Several other multichannel video providers and third parties filed a petition asking the FCC to initiate a rulemaking to consider changes to the current retransmission consent regulations and also asked Congress to review the issue. The FCC launched a rulemaking in 2011 that, among other things, seeks comment on proposals to modify the good faith negotiating standard and to eliminate regulations providing local television stations with exclusivity protections in their markets for network and syndicated programming. Legislation has been introduced that would eliminate both must-carry and retransmission consent as well as more narrow legislation that would establish an arbitration mechanism to resolve impasses in retransmission consent negotiations. We cannot predict what new laws or regulations, if any, may be adopted or how any such laws or regulations would affect our businesses. In addition to potential remedies under the general retransmission consent regime, multichannel video providers may invoke commercial arbitration under rules established in the NBCUniversal Order to resolve any disputes regarding carriage of any of our owned local broadcast television stations.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Distribution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the NBCUniversal Order and NBCUniversal Consent Decree, we are required to make certain of our cable network, broadcast television and filmed entertainment programming available to bona fide online video distributors under certain conditions, and they may invoke commercial arbitration to resolve disputes regarding the availability, and the terms and conditions of access to, such programming. In addition, we are required to continue distributing programming via nbc.com that is generally equivalent to the programming that we distributed via nbc.com as of January 1, 2011, on generally equivalent terms and conditions, so long as at least one of the other major broadcast networks continues to distribute some programming in a similar fashion. We are one of three broadcast network owners of Hulu, but were required to relinquish all voting rights and our board seat in Hulu in connection with the NBCUniversal transaction. If the two other broadcast network owners of Hulu renew their agreements, we must either continue to provide content to Hulu on the terms in place as of January 2011 or enter into agreements on substantially the same terms as the broadcast network that provides the most economically favorable terms to Hulu.</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Spectrum</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2012, Congress authorized the FCC to conduct an incentive auction to reassign a portion of the broadcast spectrum for mobile broadband use. Under the statute, broadcasters may voluntarily relinquish some or all of their spectrum rights in exchange for a share of the proceeds of the FCC’s auction of the spectrum to mobile broadband providers. Broadcasters that do not voluntarily relinquish their spectrum rights may still be affected as part of the process of clearing and repacking the spectrum for future mobile use, but Congress required the FCC to make “all reasonable efforts” to preserve broadcasters’ over-the-air coverage area and population served, and to reimburse those broadcasters’ reasonable costs. The FCC currently is conducting a proceeding to implement this statute, including establishing processes for how the spectrum will be repacked and how the broadcasters will be reimbursed for relocation costs. We cannot predict whether or how any such regulations might affect our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Indecency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FCC regulations prohibit the broadcast of obscene material on television stations at any time and indecent or profane material between the hours of 6 a.m. and 10 p.m. Broadcasters risk violating this prohibition because the vagueness of the relevant FCC definitions makes it difficult to apply. Moreover, the FCC has in some instances imposed separate fines for each allegedly indecent “utterance,” in contrast with its previous policy that had generally considered all indecent words or phrases within a given program as constituting a single violation. The maximum penalty for broadcasting indecent or profane programming is $325,000 per indecent or profane utterance.</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Indecency regulation has been the subject of ongoing court review, regarding both the FCC’s “fleeting expletives” policy and the FCC’s definition of what constitutes indecent material. In June 2012, the U.S. Supreme Court struck down the FCC’s assessment of indecency fines against ABC and FOX on the grounds that the agency failed to provide fair notice of its standards and enforcement policy. However, the Court declined to rule on the constitutionality of the FCC’s indecency policy under the First Amendment. This ruling may result in the FCC’s clarification of its policy and future indecency-related enforcement actions. From time to time, we have received and may receive in the future letters of inquiry from the FCC prompted by complaints alleging that certain programming on our owned local television stations included indecent or profane material. Increased content regulation, particularly if it is vague and difficult to apply, could have an adverse effect on our broadcast television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Identification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Federal legislation and FCC regulations provide that whenever a broadcast station transmits any programming for which it has received money, service or other valuable consideration, it must provide an accurate on-air identification of the sponsor of the programming. In 2008, the FCC commenced a proceeding to examine whether “embedded advertising,” such as product placements and product integration, in broadcast programming should be subject to stricter disclosure requirements and whether the sponsorship identification regulations should be extended to cable networks, although the FCC has taken no 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International regulation of television broadcasting varies widely according to jurisdiction and includes the regulation of programming and advertising. For example, the European Union (“E.U.”) establishes minimum levels of regulation across all E.U. member states focused on content and advertising, which also extends to nonlinear television services, although E.U. countries are free to impose stricter regulation in certain areas.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filmed entertainment business is subject to the provisions of “trade practice laws” in effect in 25 states and Puerto Rico relating to theatrical distribution of motion pictures. These laws substantially restrict the</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licensing of motion pictures unless theater owners are first invited to attend a screening of the motion pictures and, in certain instances, also prohibit payment of advances and guarantees to motion picture distributors by exhibitors. Further, under various consent judgments, federal and state antitrust laws and state unfair competition laws, motion picture companies are subject to certain restrictions on trade practices in the United States, including a requirement to offer motion pictures for exhibition to theaters on a theater-by-theater basis. The Federal Trade Commission (“FTC”) has called for stronger industry safeguards applicable to the marketing of violent movies to children.</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countries outside the United States, there are a variety of existing or contemplated governmental laws and regulations that may affect our ability to distribute and license motion picture and television products, as well as consumer merchandise products, including film screen quotas, television quotas, regulation of content, regulated contract terms, product safety and labeling requirements, discriminatory taxes and other discriminatory treatment of U.S. products. The ability of countries to deny market access or refuse national treatment to products originating outside their territories is regulated under various international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Theme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are subject to various regulations, including laws and regulations regarding environmental protection, privacy and data protection, consumer product safety and theme park operations, such as health, sanitation, safety and fire standards and liquor licenses.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Copyright, trademark, unfair competition, patent, trade secret and Internet/domain laws of the United States and other countries help protect our intellectual property rights. In particular, piracy of programming and films through unauthorized distribution of counterfeit DVDs, peer-to-peer file sharing and other platforms presents challenges for our cable networks, broadcast television and filmed entertainment businesses. The unauthorized reproduction, distribution or display of copyrighted material over the Internet or through other methods of distribution, such as through devices, software or websites that allow the reproduction, viewing, sharing and/or downloading of content by either ignoring or interfering with the content’s security features and copyrighted status, interferes with the market for copyrighted works and disrupts our ability to exploit our content. The extent of copyright protection and the use of technological protections, such as encryption, are controversial. Modifications to existing laws that weaken these protections could have an adverse effect on our ability to license and sell our programming.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While many legal protections exist to combat piracy, laws in the United States and internationally continue to evolve, as do technologies used to evade these laws. We have actively engaged in the enforcement of our intellectual property rights and likely will continue to expend substantial resources to protect our content. The repeal of laws intended to combat piracy and protect intellectual property or weakening of such laws or enforcement in the United States or internationally, or a failure of existing laws to adapt to new technologies, could make it more difficult for us to adequately protect our intellectual property rights, which could negatively impact their value and further increase the costs of enforcing our rights.</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Copyright laws also require that we pay standard industry licensing fees for the public performance of music in the programs we distribute, such as local advertising and local origination programming on our cable systems, as well as in the content we create. The fees we pay to music performance rights organizations are typically renegotiated when we renew licenses with those organizations, and we cannot predict with certainty what those fees will be in the future or if disputes will arise over them.</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 Regulation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generally restricts the nonconsensual collection and disclosure to third parties of cable customers’ personally identifiable information by cable operators. There are exceptions that permit such collection and disclosure for rendering service, conducting legitimate business activities related to the service, and responding to legal requests. The Communications Act and FCC regulations also provide privacy protections for customer proprietary network information related to our voice services. Several states and numerous local jurisdictions have enacted privacy laws or franchise privacy provisions that apply to cable services.</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FTC has begun to exercise greater authority over privacy protections generally, using its existing authority over unfair and deceptive practices and other public proceedings to apply greater restrictions on the collection and use of personally identifiable and other information relating to consumers. In March 2012, the FTC staff issued a final report with guidelines for privacy limits in the collection and use of personal and profiling information, even in the absence of demonstrated consumer harm. In a February 2012 report, the White House and Commerce Department also had suggested an expansion of privacy protections, although with greater reliance on the development of enforceable industry codes. Legislation has also been introduced in Congress that would regulate the use of personal and profiling information for advertising. The FTC has encouraged the World Wide Web Consortium to develop limits on the online collection and use of personal and profiling information. In addition, the FTC is reviewing its implementation of the Children’s Online Privacy Protection Act (“COPPA”). COPPA imposes requirements on website operators and online services that are aimed at children under 13 years of age or that collect personal information or knowingly post personal information from children under 13 years of age. The FTC has proposed certain changes to its COPPA regulations that would expand the scope of the regulations. We cannot predict what proposals may ultimately be adopted or how such requirements would affect our businesses.</w:t>
      </w:r>
    </w:p>
    <w:p>
      <w:pPr>
        <w:spacing w:after="0" w:line="3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also subject to state and federal regulations and laws regarding information security. Most of these regulations and laws apply to customer information that could be used to commit identity theft. Substantially all of the U.S. states and the District of Columbia have enacted security breach notification laws. These laws generally require that a business give notice to its customers whose financial account information has been disclosed because of a security breach. In addition, the FTC is applying the “red flag rules,” which are designed to detect the warning signs of identity theft, in the Fair and Accurate Credit Transactions Act of 2003 to both financial institutions and creditors; we have established a compliance program as required under these rules. Legislation also has been introduced in Congress that would impose new cybersecurity requirements on some critical networks and operations, but the scope of such requirements, if adopted, has not yet been defined. The White House is considering a similar Executive Order.</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also subject to state and federal “do not call” laws regarding telemarketing and state and federal laws regarding unsolicited commercial emails. Additional and more restrictive requirements may be imposed if and to the extent that state or local authorities establish their own privacy or security standards or if Congress enacts new privacy or security legislation.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Restrictions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Legislation has been introduced and reports from various government agencies have been issued from time to time urging that restrictions be placed on advertisements for particular products or services, including prescription drugs and the marketing of food or violent entertainment to children. We are unable to predict whether such reports will result in legislative proposals, whether legislative proposals may be adopted, or, if adopted, what impact they will have on our businesses.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our business operations are subject to environmental laws and regulations and involve air emissions, wastewater discharges, and the use, disposal and cleanup of toxic and hazardous substances. Any failure to comply with environmental requirements could result in monetary fines, civil or criminal sanctions, third-party claims or other costs or liabilities. We have been responsible for the cleanup of environmental contamination at some of NBCUniversal’s current and former facilities and at off-site waste disposal locations, although our share of the cost of such cleanups to date has not been material. In addition, the California Attorney General and the Alameda County, California District Attorney are investigating whether certain of our waste disposal policies, procedures and practices are in violation of the California Business and Professions Code and the California Health and Safety Code. These entities have not specified the relief that may be sought. See Item 3, Legal Proceedings, in this Part I for more information.</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Environmental requirements have become more stringent over time, and pending or proposed new regulations could impact our operations or costs. For example, climate change regulation, such as proposed greenhouse gas emissions limits or cap and trade programs, could result in an increase in the cost of electricity, which is a significant component of our operational costs at some locations. We are unable to accurately predict how these requirements might be changed in the future and how any such changes might affect our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Disabilities Access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businesses are subject to a number of requirements related to ensuring that our services are accessible to individuals with disabilities. Among other things, our voice services and email services must be accessible to and usable by persons with disabilities; we must provide additional narrations of key visual elements (referred to as “video description”) on certain of our video services and programming; and we must include closed captioning on certain video programming delivered to our customers. Congress has directed the FCC to adopt further accessibility requirements for multichannel video providers, broadcasters and other entities over the next year, and we cannot predict what impact those further requirements will have on our businesses.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FCC Regulations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FCC actively regulates other aspects of our businesses, including the mandatory blackout of syndicated, network and sports programming; customer service standards; loudness of commercial advertisements; political advertising; Emergency Alert System requirements; equal employment opportunity; lottery programming; recordkeeping and public file access requirements; telemarketing; technical standards relating to operation of the cable systems and television stations; and regulatory fees. We are unable to predict how these regulations might be changed in the future and how any such changes might affect our businesses. In addition, while we believe that we are in substantial compliance with FCC regulations, we are occasionally subject to enforcement actions at the FCC, which can result in our having to pay fines to the agency or being subject to other sanctions.</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Employees</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we have approximately 129,000 full-time and part-time employees. Of these employees, approximately 83,000 were associated with our Cable Communications business and the remainder were associated with our NBCUniversal and other businesses. We also use freelance and temporary employees in the normal course of our business.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Caution Concerning Forward-Looking Statements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including as a result of the NBCUniversal transaction.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Additionally, we operate in a highly competitive, consumer-driven and rapidly changing environment. The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or as a result of any of such factors, which could adversely affect our business, results of operations or financial condition. We undertake no obligation to update any forward-looking statements.</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color w:val="3E499A"/>
        </w:rPr>
        <w:t>Item 1A: Risk Factors</w:t>
      </w:r>
    </w:p>
    <w:p>
      <w:pPr>
        <w:spacing w:after="0" w:line="1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businesses currently face a wide range of competition, and our businesses and results of operations could be adversely affected if we do not compete effectively.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our businesses operate in intensely competitive industries and compete with a growing number of companies that provide a broad range of communication, entertainment and information products and services to consumers. Technological changes are further intensifying and complicating the competitive landscape and influencing consumer behavior. Companies continue to emerge that offer services or devices that enable Internet video streaming and downloading of video programming, and wireless services and devices continue to evolve. Moreover, in recent years, Congress and various states have enacted legislation and the FCC has adopted regulatory policies that have had the effect of providing a more favorable operating environment for some of our existing and potential new competitors. Our ability to compete effectively also is in part dependent on our perceived image and reputation among our various constituencies, including our customers, consumers, advertisers, investors and governmental authorities.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While competition for the cable services we offer consists primarily of DBS operators and phone companies, we also directly compete against other providers of traditional cable services, as well as other companies that offer programming and other communications services, including high-speed Internet and phone services, to our customers and potential customers. These companies typically offer features, pricing and packaging for services comparable to our cable services. Furthermore, while we began offering Verizon Wireless’s products and services in addition to our cable services in certain of our service areas in 2012, some of our phone company competitors have their own wireless facilities and may expand their cable service offerings to include bundled wireless offerings, which may adversely affect our business and results of operations.</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our cable communications business continues to seek ways to leverage our cable services network, such as by increasing the speed of our high-speed Internet services, by expanding and enhancing our business services to medium-sized businesses and by launching additional services, such as our home security and automation service. There can be no assurance that we can execute on these and other initiatives in a manner sufficient to grow or maintain our cable communications revenue or to compete successfully in the future.</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Each of NBCUniversal’s businesses also faces substantial and increasing competition from providers of similar types of content, as well as from other forms of entertainment and recreational activities. NBCUniversal must compete to obtain talent, programming and other resources required in operating these businesses. For example, our cable networks, broadcast television networks and owned local broadcast television stations compete for viewers with other similar networks and stations, as well as with other forms of entertainment and content available in the home, such as video games, DVDs and websites. More recently, NBCUniversal has begun competing for viewers with digital distribution services, such as Netflix and Amazon, some of which have their own high-quality original content. In addition, our cable networks compete with other cable networks and programming providers for carriage of their programming by multichannel video providers. Our filmed entertainment business competes with other film studios and independent producers for sources of financing for the production of its films, for the exhibition of its films in theaters and for shelf space in retail stores for its DVDs. It also competes for consumers with other film producers and distributors and all other forms of entertainment inside and outside the home. Our theme parks business also competes with other multi-park entertainment companies.</w:t>
      </w:r>
    </w:p>
    <w:p>
      <w:pPr>
        <w:spacing w:after="0" w:line="3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communications business, cable networks, broadcast television networks and owned local broadcast television stations compete for the sale of advertising time with other television networks and stations, as well as with all other advertising platforms, such as radio stations, print media and websites.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a more detailed description of the competition facing all of our businesses, see “Business – Competition” above. There can be no assurance that we will be able to compete effectively against existing or new competitors or that competition will not have an adverse effect on our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consumer behavior driven by new technologies may adversely affect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 in a highly competitive, consumer-driven and rapidly changing environment. New technologies, particularly alternative methods for the distribution, sale and viewing of content, have been, and will likely continue to be, developed that further increase the number of competitors that all our businesses face and that drive changes in consumer behavior. These technologies may affect the demand for all of our products and services, as the number of entertainment choices available to, and the manner in which they are delivered to, consumers continue to increase and evolve. Our failure to effectively anticipate or adapt to emerging technologies or changes in consumer behavior could have an adverse effect on our businesses.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Newer services and technologies that may compete with our video services include digital distribution services and devices that offer Internet video streaming and downloading of movies, television shows and other video programming that can be viewed on television sets and computers, as well as other devices such as smartphones and tablets. Some of these services charge a nominal or no fee for access to their content, which could adversely affect the demand for our video services, including for premium networks and our DVR, On Demand and streaming services. In addition, consumers are increasingly interested in accessing information, entertainment and communication services outside the home, and newer services in wireless Internet technology, such as 3G and 4G wireless broadband services and Wi-Fi networks, and devices such as wireless data cards, tablets, smartphones and mobile wireless routers that connect to such devices, may compete with our high-speed Internet services. Our voice services are facing increased competition from wireless and Internet-based phone services as more people choose to replace their traditional wireline phone service with these phone services. The success of any of these ongoing and future developments may have an adverse effect on our cable communications’ competitive position, business and results of operations.</w:t>
      </w:r>
    </w:p>
    <w:p>
      <w:pPr>
        <w:spacing w:after="0" w:line="16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New technologies also are affecting consumer behavior in ways that affect how content is viewed as consumers seek more control over when, where and how they consume content, which may have a negative impact on our business and results of operations. For example, the increased availability of DVRs, video-on-demand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services and cable, broadcast and other video programming on the Internet (including high-quality original video programming that may be viewed only through digital distribution services), as well as increased access to various media through wireless devices, have the potential to reduce the viewing of our content through traditional distribution outlets, which could adversely affect the demand for our video services, the price and amount of advertising that advertisers are willing to purchase from us, the amount multichannel video providers are willing to pay to NBCUniversal for its content and the levels of DVD and theatrical sales. Some of these newer technologies also give consumers greater flexibility to watch programming on a time-delayed or on-demand basis or to fast-forward or skip advertisements within our programming, which also may adversely impact the advertising revenue we receive. Delayed viewing and advertising skipping have become more common as the penetration of DVRs has increased and as content has become increasingly available via video-on-demand services and Internet sources. These and other changes in technology, distribution platforms and consumer behavior could have an adverse effect on our businesses.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expenses for our video services are increasing, which could adversely affect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expect programming expenses for our video services to continue to be our Cable Communications segment’s largest single expense item and to increase in the foreseeable future. The multichannel video provider industry has continued to experience an increase in the cost of programming, especially sports programming. In addition, as we add programming to our video services or distribute existing programming to more of our customers and through additional delivery platforms, we incur increased programming expenses. We have begun paying certain local broadcast television stations in exchange for their required consent for the retransmission of broadcast network programming to our video services customers and expect to continue to be subject to increasing demands for payment and other concessions from local broadcast television stations. If we are unable to raise our customers’ rates or offset such programming cost increases through the sale of additional services, the increasing cost of programming could have an adverse impact on our results of operations. Moreover, as our contracts with content providers expire, there can be no assurance that they will be renewed on acceptable terms or that they will be renewed at all, in which case we may be unable to provide such content as part of our video services and our business could be adversely affected.</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are subject to regulation by federal, state, local and foreign authorities, which may impose additional costs and restrictions on our businesses.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Federal, state and local governments extensively regulate the video services industry and may increase the regulation of the Internet service and VoIP voice service industries. We expect that legislative enactments, court actions and regulatory proceedings will continue to clarify, and in some cases may adversely affect, the rights and obligations of cable operators and other entities under the Communications Act and other laws. Our broadcast television business also is highly regulated by federal laws and regulations, and our cable networks, filmed entertainment and theme parks businesses are subject to various other laws and regulations at the international, federal, state and local levels, including laws and regulations relating to environmental protection, which have become more stringent over time, and the safety of consumer products and theme park operations. In addition, we are subject to the NBCUniversal Order and the NBCUniversal Consent Decree, which have imposed numerous conditions on our businesses relating to the treatment of competitors and other matters. Failure to comply with the laws and regulations applicable to our businesses could result in administrative enforcement actions, fines, and civil and criminal liability.</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Legislators and regulators at all levels of government frequently consider changing, and sometimes do change, existing statutes, rules, regulations, or interpretations thereof, or prescribe new ones, which may significantly affect our businesses. Any future legislative, judicial, regulatory or administrative actions may increase our costs or impose additional restrictions on our businesses, which could adversely affect our businesses. For a more detailed discussion of the risks associated with the regulation of all of our businesses, see “Business – Legislation and Regulation” above.</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Weak economic conditions in the United States and internationally, including a weak U.S. housing market, persisted during 2012. A substantial portion of our revenue comes from customers whose spending patterns may be affected by prevailing economic conditions. A continued or further decline in economic conditions, or an increase in price levels generally due to inflationary pressures, could adversely affect demand for any of our products and services and have a negative impact on our results of operations. For example, customers may reduce the level of cable services to which they subscribe, or may discontinue subscribing to one or more of our cable services. This risk may be increased by the expanded availability of free or lower cost competitive services, such as Internet video streaming, or substitute services, such as wireless Internet devices and smartphones. Weak economic conditions also may have a negative impact on the advertising revenue of our cable communications, cable networks and broadcast television businesses. Weak economic conditions could also reduce prices that multichannel video providers pay for our cable networks’ programming and have reduced and could continue to reduce the performance of our theatrical and DVD releases in our filmed entertainment business and attendance and spending in our theme parks business. Weak economic conditions and turmoil in the global financial markets may also impair the ability of third parties to satisfy their obligations to us. Further, any disruption in the global financial markets may affect our ability to obtain financing on acceptable terms. If these weak economic conditions continue or deteriorate, our businesses may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advertising expenditures or changes in advertising markets could negatively impact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communications, cable networks and broadcast television businesses derive substantial revenue from the sale of advertising on a variety of platforms, and a decline in advertising expenditures could negatively impact our results of operations. Declines can be caused by the economic prospects of specific advertisers or industries, by increased competition for the leisure time of audiences and audience fragmentation, by the growing use of new technologies, or by the economy in general, any of which may cause advertisers to alter their spending priorities based on these or other factors. In addition, advertisers’ willingness to purchase advertising from us may be adversely affected by lower audience ratings. Advertising sales and rates also are dependent on audience measurement and could be negatively affected by changes in audience measurement methodologies. For example, newer methods of viewing content (such as delayed viewing on DVRs or viewing content on computers, tablets or smartphones) might not be counted in audience measurements or may generate less, if any, revenue than traditional distribution methods, which could have an adverse effect on our advertising revenue. Further, natural disasters, wars, acts of terrorism or other significant adverse news events could lead to a reduction in advertising expenditures as a result of uninterrupted news coverage and general economic uncertainty. Reductions in advertising expenditures could adversely affect our businesses.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NBCUniversal’s success depends on consumer acceptance of its content, which is difficult to predict, and its businesses may be adversely affected if its content fails to achieve sufficient consumer acceptance or our costs to create or acquire content increase.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Most of NBCUniversal’s businesses create and acquire media and entertainment content, the success of which depends substantially on consumer tastes and preferences that change in often unpredictable ways. The success of these businesses depends on our ability to consistently create, acquire, market and distribute cable networks and broadcast television programming, filmed entertainment, theme park attractions and other content that meet the changing preferences of the broad domestic and international consumer market. We have invested, and will continue to invest, substantial amounts in our content, including in the production of original content on our cable networks and broadcast television networks, in our films and for theme park attractions, before learning the extent to which it would earn consumer acceptance.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obtain a significant portion of our content from third parties, such as movie studios, television production companies, sports organizations and other suppliers. Competition for popular content, particularly for sports programming, is intense, and we may be forced to increase the price we are willing to pay or be outbid by our competitors for popular content. Entering into or renewing contracts for such programming rights or acquiring additional rights may result in significantly increased costs. Moreover, particularly with respect to long-term contracts for sports programming rights, our results of operations and cash flows over the term of a contract depend on a number of factors, including the strength of the advertising market, our audience size and the timing and amount of our rights payments, and there can be no assurance that revenue from these contracts will exceed our cost for the rights, as well as the other costs of producing and distributing the programming. If our content does not achieve sufficient consumer acceptance, or if we cannot obtain or retain rights to popular content on acceptable terms, or at all, our businesses may be adversely affected.</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The loss of NBCUniversal’s programming distribution agreements, or the renewal of these agreements on less favorable terms, could adversely affect its businesses.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networks depend on the maintenance of distribution agreements with multichannel video providers. Our broadcast television networks depend on the maintenance of network affiliation agreements with third-party local broadcast television stations in the markets where we do not own the affiliated local broadcast television station. In addition, every three years, each of our owned local broadcast television stations must elect, with respect to its retransmission by multichannel video providers within its DMA, either “must-carry” status, in which the distributor’s carriage of the station is mandatory and does not generate any compensation for the local station, or “retransmission consent,” in which the station gives up its right to mandatory carriage and instead seeks to negotiate the terms and conditions of carriage with the distributor, including the amount of compensation (if any) paid to the station by such distributor. In the course of renewing distribution agreements with multichannel video providers, we may enter into retransmission consent agreements on behalf of our owned local broadcast television stations. All of our NBC and Telemundo owned local broadcast television stations have elected retransmission consent for the period January 1, 2012 through December 31, 2014. Increasingly, our cable networks, broadcast television and filmed entertainment businesses also have entered into agreements to license their prior season and library content on other distribution platforms. There can be no assurance that any of these agreements will be renewed in the future on acceptable terms, or at all. The loss of any of these agreements, or the renewal of these agreements on less favorable terms, could reduce the reach of our television programming and its attractiveness to advertisers, which in turn could adversely affect our cable networks, broadcast television and filmed entertainment businesses.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depend on keeping pace with technological developments.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success is, to a large extent, dependent on our ability to acquire, develop, adopt and leverage new and existing technologies, and our competitors’ use of certain types of technology and equipment may provide them with a competitive advantage. For example, some companies are building fiber-optic networks that provide significant high-speed Internet access speeds and wireless Internet technologies continue to evolve rapidly. We expect other advances in communications technology to occur in the future. If we choose technology or equipment that is not as effective, cost-efficient or attractive to consumers as that employed by our competitors, if we fail to employ technologies desired by consumers before our competitors do so or if we fail to execute effectively on our technology initiatives, our business and results of operations could be adversely affected. Moreover, changes in the products and services that our competitors offer may require that we offer certain of our existing services or enhancements at a lower or no cost to our customers or that we make additional research and development expenditures, which could have an adverse effect on our businesses.</w:t>
      </w:r>
    </w:p>
    <w:p>
      <w:pPr>
        <w:spacing w:after="0" w:line="33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Network and information systems and other technologies, including those related to our network management, customer service operations and programming delivery, are critical to our business activities. Network and information systems-related events, such as computer hackings, cyber attacks, computer viruses, worms or other destructive or disruptive software, process breakdowns, denial of service attacks, malicious social engineering or other malicious activities, or any combination of the foregoing, or power outages, natural disasters, terrorist attacks or other similar events, could result in a degradation or disruption of our services, excessive call volume to call centers or damage to our properties, equipment and data. These events also could result in large expenditures to repair or replace the damaged properties, networks or information systems or to protect them from similar events in the future. Further, any security breaches, such as misappropriation, misuse, leakage, falsification or accidental release or loss of information maintained in our information technology systems, including customer, personnel and vendor data, could damage our reputation and require us to expend significant capital and other resources to remedy any such security breach. We may provide certain confidential, proprietary and personal information to third parties in connection with our businesses, and while we obtain assurances that these third parties will protect this information, there is a risk that this information may be compromised. Moreover, the amount and scope of insurance we maintain against losses resulting from any such events or security breaches may not be sufficient to cover our losses or otherwise adequately compensate us for any disruptions to our businesses that may result, and the occurrence of any such events or security breaches could have a material adverse effect on our businesses.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risk of these systems-related events and security breaches occurring has intensified, in part because we maintain certain information necessary to conduct our businesses in digital form stored on cloud servers. In the ordinary course of our business, there are frequent attempts to cause such systems-related events and security breaches, and we have experienced a few minor systems-related events that, to date, have not resulted in any significant degradation or disruption to our network or information systems or our services or operations. While we develop and maintain systems seeking to prevent systems-related events and security breaches from occurring, the development and maintenance of these systems is costly and requires ongoing monitoring and updating as technologies change and efforts to overcome security measures become more sophisticated. Despite these efforts, there can be no assurance that these events and security breaches will not occur in the future or not have an adverse effect on our businesses.</w:t>
      </w:r>
    </w:p>
    <w:p>
      <w:pPr>
        <w:spacing w:after="0" w:line="13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Our businesses depend on using and protecting certain intellectual property rights and on not infringing the intellectual property rights of others.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businesses could be adversely affected.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intellectual property constitutes a significant part of the value of NBCUniversal’s businesses, and our success is highly dependent on protecting intellectual property rights in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on our content, and increases our costs due to our active enforcement of protecting our intellectual property rights. Piracy and other unauthorized uses of content are made easier, and the enforcement of intellectual property rights more challenging, by technological advances allowing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our cable networks, broadcast television and filmed entertainment businesses.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and the value of our intellectual property may be negatively impacted and our costs of enforcing our rights may increase. See “Business – Legislation and Regulation – Other Areas of Regulation – Intellectual Property” above for additional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depend on third-party vendors to supply us with a significant amount of the hardware, software and operational support necessary to provide certain of our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or if demand exceeds their capacity or they otherwise cannot meet our specifications, our ability to provide some services may be adversely affected.</w:t>
      </w:r>
    </w:p>
    <w:p>
      <w:pPr>
        <w:spacing w:after="0" w:line="133"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Labor disputes, whether involving employees or sports organizations, may disrupt our operations and adversely affect our businesses. </w:t>
      </w:r>
      <w:r>
        <w:rPr>
          <w:rFonts w:ascii="Arial" w:cs="Arial" w:eastAsia="Arial" w:hAnsi="Arial"/>
          <w:sz w:val="18"/>
          <w:szCs w:val="18"/>
          <w:color w:val="auto"/>
        </w:rPr>
        <w:t>Many of NBCUniversal’s employees, including writers, directors, actors, technical and production personnel and others, as well as some of our on-air and creative talent and cable communications’ employees, are covered by collective bargaining agreements or works councils. If we are unable to reach agreement with a labor union before the expiration of a collective bargaining agreement, our employees who were covered by that agreement may have a right to strike or take other actions that could adversely affect us. Moreover, many of NBCUniversal’s collective bargaining agreements are industry-wide agreements, and we may lack practical control over the negotiations and terms of the agreements. A labor dispute involving our employees may result in work stoppages or disrupt our operations and reduce our revenue, and resolution of disputes may increase our costs. There can be no assurance that we will renew our collective bargaining agreements as they expire or that we can renew them on favorable terms or without any work stoppages.</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networks and broadcast television networks have programming rights agreements of varying scope and duration with various sports organizations to broadcast and produce sporting events, including certain NFL, NHL, NBA and MLB games. Labor disputes in these and other sports organizations could have an adverse effect on our businesses.</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 In addition, our cable networks, broadcast television and filmed entertainment businesses depend on the abilities and expertise of our on-air and creative talent. If we fail to retain our on-air or creative talent, if the costs to retain such talent increase materially, if we need to make significant termination payments, or if these individuals lose their current appeal, our business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DVDs have been declining.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Several factors, including weak economic conditions, the maturation of the standard-definition DVD format, piracy and intense competition for consumer discretionary spending and leisure time, are contributing to an industry-wide decline in DVD sales both in the United States and internationally, which has had an adverse effect on our filmed entertainment business’s results of operations. DVD sales have also been adversely affected by an increasing shift by consumers toward subscription rental, discount rental kiosks and digital forms of entertainment, such as video-on-demand services, which generate less revenue per transaction than DVD sales. A continued decline in our DVD sales volumes could have an adverse effect primarily on our filmed entertainment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arising from the outcome of various litigation matters.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subject to various legal proceedings and claims, including those referred to in “Legal Proceedings” and those arising in the ordinary course of business, including regulatory and administrative proceedings, claims and audits. While we do not expect the final disposition of any of these litigation matters will have a material effect on our financial condition, an adverse outcome in one or more of these matters could be material to our consolidated results of operations and cash flows for any one period, and any litigation resulting from any such legal proceedings could be time-consuming, costly and injure our reputation. Further, no assurance can be given that any unfavorable outcome would not have an adverse effect on our businesses.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primarily through NBCUniversal, operate our businesses worldwide. There are risks inherent in doing business internationally, including the current European debt crisis and other global financial market turmoil, economic volatility and the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In addition, doing business internationally is subject to risks relating to political or social unrest, corruption and government regulation, including U.S. laws such as the Foreign Corrupt Practices Act that impose stringent requirements on how we conduct our foreign operations. If these risks occur, our businesses may be adversely affected.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Acquisitions and other strategic transactions present many risks, and we may not realize the financial and strategic goals that were contemplated at the time of any transaction.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From time to time we make acquisitions and investments and enter into other strategic transactions. In connection with such acquisitions and strategic transactions, we may incur unanticipated expenses, fail to realize anticipated benefits, have difficulty incorporating the acquired businesses, disrupt relationships with current and new employees, customers and vendors, incur significant debt, or have to delay or not proceed with announced transactions. The occurrence of any of the foregoing events could have an adverse effect on our businesses.</w:t>
      </w:r>
    </w:p>
    <w:p>
      <w:pPr>
        <w:spacing w:after="0" w:line="133"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 xml:space="preserve">Our Class B common stock has substantial voting rights and separate approval rights over several potentially material transactions, and our Chairman and CEO has considerable influence over our company through his beneficial ownership of our Class B common stock. </w:t>
      </w:r>
      <w:r>
        <w:rPr>
          <w:rFonts w:ascii="Arial" w:cs="Arial" w:eastAsia="Arial" w:hAnsi="Arial"/>
          <w:sz w:val="18"/>
          <w:szCs w:val="18"/>
          <w:color w:val="auto"/>
        </w:rPr>
        <w:t xml:space="preserve">Our Class B common stock has a nondilutable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Comcast Corporation,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ability to transfer potential effective control by selling the Class B common stock.</w:t>
      </w:r>
    </w:p>
    <w:p>
      <w:pPr>
        <w:spacing w:after="0" w:line="326"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37</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3E499A"/>
        </w:rPr>
        <w:t>Item 1B: 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3E499A"/>
        </w:rPr>
        <w:t>Item 2: Properties</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believe that substantially all of our physical assets were in good operating condition as of December 31, 2012. Our corporate headquarters and Cable Communications segment headquarters are located in Philadelphia, PA at One Comcast Center, a leased facility. We also lease locations for numerous business offices, warehouses and properties housing divisional information technology operations throughout the country.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principal physical assets consist of operating plant and equipment, including signal receiving, encoding and decoding devices, headends and distribution networks, and equipment at or near our customers’ homes. The signal receiving apparatus typically includes a tower, antenna, ancillary electronic equipment and ground stations for reception of satellite signals. Headends consist of electronic equipment necessary for the reception, amplification and modulation of signals and are located near the receiving devices. Our distribution network consists primarily of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Customer premises equipment (“CPE”) consists primarily of set-top boxes and cable modems. The physical components of cable systems require periodic maintenance and replacement.</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high-speed Internet network consists of fiber-optic cables owned or leased by us and related equipment. We also operate regional data centers with equipment that is used to provide services (such as e-mail, news and web services) to our high-speed Internet customers and voice service customers. In addition, we maintain two network operations centers with equipment necessary to monitor and manage the status of our high-speed Internet network.</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own or lease buildings throughout the country that contain call centers, service centers, warehouses and administrative space. We also own a building that houses our digital media center. The digital media center contains equipment that we own or lease, including equipment related to network origination, video transmission via satellite and terrestrial fiber optics, broadcast studios, post-production services and interactive television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NBCUniversal’s corporate headquarters are located in New York City at 30 Rockefeller Plaza, a leased facility. We also own or lease offices, studios, production facilities, screening rooms, retail operations, warehouse space, satellite transmission receiving facilities and data centers in numerous locations in the United States and around the world for our NBCUniversal businesses, including property for our owned local broadcast television stations. In addition, we also own theme parks and related facilities in Orlando and Hollywood.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as of December 31, 2012 with respect to NBCUniversal’s principal properties: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Location</w:t>
            </w:r>
          </w:p>
        </w:tc>
        <w:tc>
          <w:tcPr>
            <w:tcW w:w="37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Principal Use</w:t>
            </w:r>
          </w:p>
        </w:tc>
        <w:tc>
          <w:tcPr>
            <w:tcW w:w="32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Principal Segment in Which Used</w:t>
            </w: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w w:val="94"/>
              </w:rPr>
              <w:t>Owned or Leased</w:t>
            </w:r>
          </w:p>
        </w:tc>
      </w:tr>
      <w:tr>
        <w:trPr>
          <w:trHeight w:val="294"/>
        </w:trPr>
        <w:tc>
          <w:tcPr>
            <w:tcW w:w="2940" w:type="dxa"/>
            <w:vAlign w:val="bottom"/>
          </w:tcPr>
          <w:p>
            <w:pPr>
              <w:spacing w:after="0"/>
              <w:rPr>
                <w:sz w:val="20"/>
                <w:szCs w:val="20"/>
                <w:color w:val="auto"/>
              </w:rPr>
            </w:pPr>
            <w:r>
              <w:rPr>
                <w:rFonts w:ascii="Arial" w:cs="Arial" w:eastAsia="Arial" w:hAnsi="Arial"/>
                <w:sz w:val="18"/>
                <w:szCs w:val="18"/>
                <w:color w:val="auto"/>
              </w:rPr>
              <w:t>30 Rockefeller Plaza</w:t>
            </w:r>
          </w:p>
        </w:tc>
        <w:tc>
          <w:tcPr>
            <w:tcW w:w="3760" w:type="dxa"/>
            <w:vAlign w:val="bottom"/>
          </w:tcPr>
          <w:p>
            <w:pPr>
              <w:ind w:left="620"/>
              <w:spacing w:after="0"/>
              <w:rPr>
                <w:sz w:val="20"/>
                <w:szCs w:val="20"/>
                <w:color w:val="auto"/>
              </w:rPr>
            </w:pPr>
            <w:r>
              <w:rPr>
                <w:rFonts w:ascii="Arial" w:cs="Arial" w:eastAsia="Arial" w:hAnsi="Arial"/>
                <w:sz w:val="18"/>
                <w:szCs w:val="18"/>
                <w:color w:val="auto"/>
              </w:rPr>
              <w:t>NBCUniversal corporate</w:t>
            </w:r>
          </w:p>
        </w:tc>
        <w:tc>
          <w:tcPr>
            <w:tcW w:w="3200" w:type="dxa"/>
            <w:vAlign w:val="bottom"/>
          </w:tcPr>
          <w:p>
            <w:pPr>
              <w:ind w:left="180"/>
              <w:spacing w:after="0"/>
              <w:rPr>
                <w:sz w:val="20"/>
                <w:szCs w:val="20"/>
                <w:color w:val="auto"/>
              </w:rPr>
            </w:pPr>
            <w:r>
              <w:rPr>
                <w:rFonts w:ascii="Arial" w:cs="Arial" w:eastAsia="Arial" w:hAnsi="Arial"/>
                <w:sz w:val="18"/>
                <w:szCs w:val="18"/>
                <w:color w:val="auto"/>
              </w:rPr>
              <w:t>Headquarters and Other, Cable</w:t>
            </w:r>
          </w:p>
        </w:tc>
        <w:tc>
          <w:tcPr>
            <w:tcW w:w="1520" w:type="dxa"/>
            <w:vAlign w:val="bottom"/>
          </w:tcPr>
          <w:p>
            <w:pPr>
              <w:ind w:left="280"/>
              <w:spacing w:after="0"/>
              <w:rPr>
                <w:sz w:val="20"/>
                <w:szCs w:val="20"/>
                <w:color w:val="auto"/>
              </w:rPr>
            </w:pPr>
            <w:r>
              <w:rPr>
                <w:rFonts w:ascii="Arial" w:cs="Arial" w:eastAsia="Arial" w:hAnsi="Arial"/>
                <w:sz w:val="18"/>
                <w:szCs w:val="18"/>
                <w:color w:val="auto"/>
              </w:rPr>
              <w:t>Leased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New York, NY</w:t>
            </w:r>
          </w:p>
        </w:tc>
        <w:tc>
          <w:tcPr>
            <w:tcW w:w="3760" w:type="dxa"/>
            <w:vAlign w:val="bottom"/>
          </w:tcPr>
          <w:p>
            <w:pPr>
              <w:ind w:left="620"/>
              <w:spacing w:after="0"/>
              <w:rPr>
                <w:sz w:val="20"/>
                <w:szCs w:val="20"/>
                <w:color w:val="auto"/>
              </w:rPr>
            </w:pPr>
            <w:r>
              <w:rPr>
                <w:rFonts w:ascii="Arial" w:cs="Arial" w:eastAsia="Arial" w:hAnsi="Arial"/>
                <w:sz w:val="18"/>
                <w:szCs w:val="18"/>
                <w:color w:val="auto"/>
              </w:rPr>
              <w:t>headquarters, offices and studios</w:t>
            </w:r>
          </w:p>
        </w:tc>
        <w:tc>
          <w:tcPr>
            <w:tcW w:w="3200" w:type="dxa"/>
            <w:vAlign w:val="bottom"/>
          </w:tcPr>
          <w:p>
            <w:pPr>
              <w:ind w:left="180"/>
              <w:spacing w:after="0"/>
              <w:rPr>
                <w:sz w:val="20"/>
                <w:szCs w:val="20"/>
                <w:color w:val="auto"/>
              </w:rPr>
            </w:pPr>
            <w:r>
              <w:rPr>
                <w:rFonts w:ascii="Arial" w:cs="Arial" w:eastAsia="Arial" w:hAnsi="Arial"/>
                <w:sz w:val="18"/>
                <w:szCs w:val="18"/>
                <w:color w:val="auto"/>
              </w:rPr>
              <w:t>Networks and Broadcast Television</w:t>
            </w:r>
          </w:p>
        </w:tc>
        <w:tc>
          <w:tcPr>
            <w:tcW w:w="152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10 Rockefeller Plaza</w:t>
            </w:r>
          </w:p>
        </w:tc>
        <w:tc>
          <w:tcPr>
            <w:tcW w:w="3760" w:type="dxa"/>
            <w:vAlign w:val="bottom"/>
          </w:tcPr>
          <w:p>
            <w:pPr>
              <w:ind w:left="620"/>
              <w:spacing w:after="0"/>
              <w:rPr>
                <w:sz w:val="20"/>
                <w:szCs w:val="20"/>
                <w:color w:val="auto"/>
              </w:rPr>
            </w:pPr>
            <w:r>
              <w:rPr>
                <w:rFonts w:ascii="Arial" w:cs="Arial" w:eastAsia="Arial" w:hAnsi="Arial"/>
                <w:sz w:val="18"/>
                <w:szCs w:val="18"/>
                <w:i w:val="1"/>
                <w:iCs w:val="1"/>
                <w:color w:val="auto"/>
              </w:rPr>
              <w:t xml:space="preserve">The Today Show </w:t>
            </w:r>
            <w:r>
              <w:rPr>
                <w:rFonts w:ascii="Arial" w:cs="Arial" w:eastAsia="Arial" w:hAnsi="Arial"/>
                <w:sz w:val="18"/>
                <w:szCs w:val="18"/>
                <w:color w:val="auto"/>
              </w:rPr>
              <w:t>studio,</w:t>
            </w:r>
          </w:p>
        </w:tc>
        <w:tc>
          <w:tcPr>
            <w:tcW w:w="3200" w:type="dxa"/>
            <w:vAlign w:val="bottom"/>
          </w:tcPr>
          <w:p>
            <w:pPr>
              <w:ind w:left="180"/>
              <w:spacing w:after="0"/>
              <w:rPr>
                <w:sz w:val="20"/>
                <w:szCs w:val="20"/>
                <w:color w:val="auto"/>
              </w:rPr>
            </w:pPr>
            <w:r>
              <w:rPr>
                <w:rFonts w:ascii="Arial" w:cs="Arial" w:eastAsia="Arial" w:hAnsi="Arial"/>
                <w:sz w:val="18"/>
                <w:szCs w:val="18"/>
                <w:color w:val="auto"/>
              </w:rPr>
              <w:t>Broadcast Television</w:t>
            </w:r>
          </w:p>
        </w:tc>
        <w:tc>
          <w:tcPr>
            <w:tcW w:w="1520" w:type="dxa"/>
            <w:vAlign w:val="bottom"/>
          </w:tcPr>
          <w:p>
            <w:pPr>
              <w:ind w:left="280"/>
              <w:spacing w:after="0"/>
              <w:rPr>
                <w:sz w:val="20"/>
                <w:szCs w:val="20"/>
                <w:color w:val="auto"/>
              </w:rPr>
            </w:pPr>
            <w:r>
              <w:rPr>
                <w:rFonts w:ascii="Arial" w:cs="Arial" w:eastAsia="Arial" w:hAnsi="Arial"/>
                <w:sz w:val="18"/>
                <w:szCs w:val="18"/>
                <w:color w:val="auto"/>
              </w:rPr>
              <w:t>Leased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New York, NY</w:t>
            </w:r>
          </w:p>
        </w:tc>
        <w:tc>
          <w:tcPr>
            <w:tcW w:w="3760" w:type="dxa"/>
            <w:vAlign w:val="bottom"/>
          </w:tcPr>
          <w:p>
            <w:pPr>
              <w:ind w:left="620"/>
              <w:spacing w:after="0"/>
              <w:rPr>
                <w:sz w:val="20"/>
                <w:szCs w:val="20"/>
                <w:color w:val="auto"/>
              </w:rPr>
            </w:pPr>
            <w:r>
              <w:rPr>
                <w:rFonts w:ascii="Arial" w:cs="Arial" w:eastAsia="Arial" w:hAnsi="Arial"/>
                <w:sz w:val="18"/>
                <w:szCs w:val="18"/>
                <w:color w:val="auto"/>
              </w:rPr>
              <w:t>production facilities and offices</w:t>
            </w: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Universal City</w:t>
            </w:r>
          </w:p>
        </w:tc>
        <w:tc>
          <w:tcPr>
            <w:tcW w:w="3760" w:type="dxa"/>
            <w:vAlign w:val="bottom"/>
          </w:tcPr>
          <w:p>
            <w:pPr>
              <w:ind w:left="620"/>
              <w:spacing w:after="0"/>
              <w:rPr>
                <w:sz w:val="20"/>
                <w:szCs w:val="20"/>
                <w:color w:val="auto"/>
              </w:rPr>
            </w:pPr>
            <w:r>
              <w:rPr>
                <w:rFonts w:ascii="Arial" w:cs="Arial" w:eastAsia="Arial" w:hAnsi="Arial"/>
                <w:sz w:val="18"/>
                <w:szCs w:val="18"/>
                <w:color w:val="auto"/>
              </w:rPr>
              <w:t>Offices, studios, theme park and retail</w:t>
            </w:r>
          </w:p>
        </w:tc>
        <w:tc>
          <w:tcPr>
            <w:tcW w:w="3200" w:type="dxa"/>
            <w:vAlign w:val="bottom"/>
          </w:tcPr>
          <w:p>
            <w:pPr>
              <w:ind w:left="180"/>
              <w:spacing w:after="0"/>
              <w:rPr>
                <w:sz w:val="20"/>
                <w:szCs w:val="20"/>
                <w:color w:val="auto"/>
              </w:rPr>
            </w:pPr>
            <w:r>
              <w:rPr>
                <w:rFonts w:ascii="Arial" w:cs="Arial" w:eastAsia="Arial" w:hAnsi="Arial"/>
                <w:sz w:val="18"/>
                <w:szCs w:val="18"/>
                <w:color w:val="auto"/>
              </w:rPr>
              <w:t>All</w:t>
            </w:r>
          </w:p>
        </w:tc>
        <w:tc>
          <w:tcPr>
            <w:tcW w:w="1520" w:type="dxa"/>
            <w:vAlign w:val="bottom"/>
          </w:tcPr>
          <w:p>
            <w:pPr>
              <w:ind w:left="280"/>
              <w:spacing w:after="0"/>
              <w:rPr>
                <w:sz w:val="20"/>
                <w:szCs w:val="20"/>
                <w:color w:val="auto"/>
              </w:rPr>
            </w:pPr>
            <w:r>
              <w:rPr>
                <w:rFonts w:ascii="Arial" w:cs="Arial" w:eastAsia="Arial" w:hAnsi="Arial"/>
                <w:sz w:val="18"/>
                <w:szCs w:val="18"/>
                <w:color w:val="auto"/>
              </w:rPr>
              <w:t>Owned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Universal City, CA</w:t>
            </w:r>
          </w:p>
        </w:tc>
        <w:tc>
          <w:tcPr>
            <w:tcW w:w="3760" w:type="dxa"/>
            <w:vAlign w:val="bottom"/>
          </w:tcPr>
          <w:p>
            <w:pPr>
              <w:ind w:left="620"/>
              <w:spacing w:after="0"/>
              <w:rPr>
                <w:sz w:val="20"/>
                <w:szCs w:val="20"/>
                <w:color w:val="auto"/>
              </w:rPr>
            </w:pPr>
            <w:r>
              <w:rPr>
                <w:rFonts w:ascii="Arial" w:cs="Arial" w:eastAsia="Arial" w:hAnsi="Arial"/>
                <w:sz w:val="18"/>
                <w:szCs w:val="18"/>
                <w:color w:val="auto"/>
              </w:rPr>
              <w:t>operations</w:t>
            </w: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1000 Universal Studios Plaza</w:t>
            </w:r>
          </w:p>
        </w:tc>
        <w:tc>
          <w:tcPr>
            <w:tcW w:w="3760" w:type="dxa"/>
            <w:vAlign w:val="bottom"/>
          </w:tcPr>
          <w:p>
            <w:pPr>
              <w:ind w:left="620"/>
              <w:spacing w:after="0"/>
              <w:rPr>
                <w:sz w:val="20"/>
                <w:szCs w:val="20"/>
                <w:color w:val="auto"/>
              </w:rPr>
            </w:pPr>
            <w:r>
              <w:rPr>
                <w:rFonts w:ascii="Arial" w:cs="Arial" w:eastAsia="Arial" w:hAnsi="Arial"/>
                <w:sz w:val="18"/>
                <w:szCs w:val="18"/>
                <w:color w:val="auto"/>
              </w:rPr>
              <w:t>Theme parks, lodging, production</w:t>
            </w:r>
          </w:p>
        </w:tc>
        <w:tc>
          <w:tcPr>
            <w:tcW w:w="320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1520" w:type="dxa"/>
            <w:vAlign w:val="bottom"/>
          </w:tcPr>
          <w:p>
            <w:pPr>
              <w:ind w:left="280"/>
              <w:spacing w:after="0"/>
              <w:rPr>
                <w:sz w:val="20"/>
                <w:szCs w:val="20"/>
                <w:color w:val="auto"/>
              </w:rPr>
            </w:pPr>
            <w:r>
              <w:rPr>
                <w:rFonts w:ascii="Arial" w:cs="Arial" w:eastAsia="Arial" w:hAnsi="Arial"/>
                <w:sz w:val="18"/>
                <w:szCs w:val="18"/>
                <w:color w:val="auto"/>
              </w:rPr>
              <w:t>Owned</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Orlando, FL</w:t>
            </w:r>
          </w:p>
        </w:tc>
        <w:tc>
          <w:tcPr>
            <w:tcW w:w="3760" w:type="dxa"/>
            <w:vAlign w:val="bottom"/>
          </w:tcPr>
          <w:p>
            <w:pPr>
              <w:ind w:left="620"/>
              <w:spacing w:after="0" w:line="202" w:lineRule="exact"/>
              <w:rPr>
                <w:sz w:val="20"/>
                <w:szCs w:val="20"/>
                <w:color w:val="auto"/>
              </w:rPr>
            </w:pPr>
            <w:r>
              <w:rPr>
                <w:rFonts w:ascii="Arial" w:cs="Arial" w:eastAsia="Arial" w:hAnsi="Arial"/>
                <w:sz w:val="18"/>
                <w:szCs w:val="18"/>
                <w:color w:val="auto"/>
              </w:rPr>
              <w:t>facilities, parking structures and</w:t>
            </w:r>
          </w:p>
        </w:tc>
        <w:tc>
          <w:tcPr>
            <w:tcW w:w="3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1"/>
        </w:trPr>
        <w:tc>
          <w:tcPr>
            <w:tcW w:w="2940" w:type="dxa"/>
            <w:vAlign w:val="bottom"/>
          </w:tcPr>
          <w:p>
            <w:pPr>
              <w:spacing w:after="0"/>
              <w:rPr>
                <w:sz w:val="18"/>
                <w:szCs w:val="18"/>
                <w:color w:val="auto"/>
              </w:rPr>
            </w:pPr>
          </w:p>
        </w:tc>
        <w:tc>
          <w:tcPr>
            <w:tcW w:w="3760" w:type="dxa"/>
            <w:vAlign w:val="bottom"/>
          </w:tcPr>
          <w:p>
            <w:pPr>
              <w:ind w:left="620"/>
              <w:spacing w:after="0"/>
              <w:rPr>
                <w:sz w:val="20"/>
                <w:szCs w:val="20"/>
                <w:color w:val="auto"/>
              </w:rPr>
            </w:pPr>
            <w:r>
              <w:rPr>
                <w:rFonts w:ascii="Arial" w:cs="Arial" w:eastAsia="Arial" w:hAnsi="Arial"/>
                <w:sz w:val="18"/>
                <w:szCs w:val="18"/>
                <w:color w:val="auto"/>
              </w:rPr>
              <w:t>administrative buildings</w:t>
            </w: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02"/>
        </w:trPr>
        <w:tc>
          <w:tcPr>
            <w:tcW w:w="2940" w:type="dxa"/>
            <w:vAlign w:val="bottom"/>
          </w:tcPr>
          <w:p>
            <w:pPr>
              <w:spacing w:after="0"/>
              <w:rPr>
                <w:sz w:val="20"/>
                <w:szCs w:val="20"/>
                <w:color w:val="auto"/>
              </w:rPr>
            </w:pPr>
            <w:r>
              <w:rPr>
                <w:rFonts w:ascii="Arial" w:cs="Arial" w:eastAsia="Arial" w:hAnsi="Arial"/>
                <w:sz w:val="18"/>
                <w:szCs w:val="18"/>
                <w:color w:val="auto"/>
              </w:rPr>
              <w:t>3000 W Alameda Ave.</w:t>
            </w:r>
          </w:p>
        </w:tc>
        <w:tc>
          <w:tcPr>
            <w:tcW w:w="3760" w:type="dxa"/>
            <w:vAlign w:val="bottom"/>
          </w:tcPr>
          <w:p>
            <w:pPr>
              <w:ind w:left="620"/>
              <w:spacing w:after="0"/>
              <w:rPr>
                <w:sz w:val="20"/>
                <w:szCs w:val="20"/>
                <w:color w:val="auto"/>
              </w:rPr>
            </w:pPr>
            <w:r>
              <w:rPr>
                <w:rFonts w:ascii="Arial" w:cs="Arial" w:eastAsia="Arial" w:hAnsi="Arial"/>
                <w:sz w:val="18"/>
                <w:szCs w:val="18"/>
                <w:color w:val="auto"/>
              </w:rPr>
              <w:t>Offices and production facilities</w:t>
            </w:r>
          </w:p>
        </w:tc>
        <w:tc>
          <w:tcPr>
            <w:tcW w:w="3200" w:type="dxa"/>
            <w:vAlign w:val="bottom"/>
          </w:tcPr>
          <w:p>
            <w:pPr>
              <w:ind w:left="180"/>
              <w:spacing w:after="0"/>
              <w:rPr>
                <w:sz w:val="20"/>
                <w:szCs w:val="20"/>
                <w:color w:val="auto"/>
              </w:rPr>
            </w:pPr>
            <w:r>
              <w:rPr>
                <w:rFonts w:ascii="Arial" w:cs="Arial" w:eastAsia="Arial" w:hAnsi="Arial"/>
                <w:sz w:val="18"/>
                <w:szCs w:val="18"/>
                <w:color w:val="auto"/>
              </w:rPr>
              <w:t>Broadcast Television</w:t>
            </w:r>
          </w:p>
        </w:tc>
        <w:tc>
          <w:tcPr>
            <w:tcW w:w="1520" w:type="dxa"/>
            <w:vAlign w:val="bottom"/>
          </w:tcPr>
          <w:p>
            <w:pPr>
              <w:ind w:left="280"/>
              <w:spacing w:after="0"/>
              <w:rPr>
                <w:sz w:val="20"/>
                <w:szCs w:val="20"/>
                <w:color w:val="auto"/>
              </w:rPr>
            </w:pPr>
            <w:r>
              <w:rPr>
                <w:rFonts w:ascii="Arial" w:cs="Arial" w:eastAsia="Arial" w:hAnsi="Arial"/>
                <w:sz w:val="18"/>
                <w:szCs w:val="18"/>
                <w:color w:val="auto"/>
              </w:rPr>
              <w:t>Leased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Burbank, CA</w:t>
            </w:r>
          </w:p>
        </w:tc>
        <w:tc>
          <w:tcPr>
            <w:tcW w:w="3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2290 W 8</w:t>
            </w:r>
            <w:r>
              <w:rPr>
                <w:rFonts w:ascii="Arial" w:cs="Arial" w:eastAsia="Arial" w:hAnsi="Arial"/>
                <w:sz w:val="11"/>
                <w:szCs w:val="11"/>
                <w:color w:val="auto"/>
              </w:rPr>
              <w:t>th</w:t>
            </w:r>
            <w:r>
              <w:rPr>
                <w:rFonts w:ascii="Arial" w:cs="Arial" w:eastAsia="Arial" w:hAnsi="Arial"/>
                <w:sz w:val="18"/>
                <w:szCs w:val="18"/>
                <w:color w:val="auto"/>
              </w:rPr>
              <w:t xml:space="preserve"> Ave.</w:t>
            </w:r>
          </w:p>
        </w:tc>
        <w:tc>
          <w:tcPr>
            <w:tcW w:w="3760" w:type="dxa"/>
            <w:vAlign w:val="bottom"/>
          </w:tcPr>
          <w:p>
            <w:pPr>
              <w:ind w:left="620"/>
              <w:spacing w:after="0"/>
              <w:rPr>
                <w:sz w:val="20"/>
                <w:szCs w:val="20"/>
                <w:color w:val="auto"/>
              </w:rPr>
            </w:pPr>
            <w:r>
              <w:rPr>
                <w:rFonts w:ascii="Arial" w:cs="Arial" w:eastAsia="Arial" w:hAnsi="Arial"/>
                <w:sz w:val="18"/>
                <w:szCs w:val="18"/>
                <w:color w:val="auto"/>
              </w:rPr>
              <w:t>Telemundo headquarters and</w:t>
            </w:r>
          </w:p>
        </w:tc>
        <w:tc>
          <w:tcPr>
            <w:tcW w:w="3200" w:type="dxa"/>
            <w:vAlign w:val="bottom"/>
          </w:tcPr>
          <w:p>
            <w:pPr>
              <w:ind w:left="180"/>
              <w:spacing w:after="0"/>
              <w:rPr>
                <w:sz w:val="20"/>
                <w:szCs w:val="20"/>
                <w:color w:val="auto"/>
              </w:rPr>
            </w:pPr>
            <w:r>
              <w:rPr>
                <w:rFonts w:ascii="Arial" w:cs="Arial" w:eastAsia="Arial" w:hAnsi="Arial"/>
                <w:sz w:val="18"/>
                <w:szCs w:val="18"/>
                <w:color w:val="auto"/>
              </w:rPr>
              <w:t>Headquarters and Other and</w:t>
            </w:r>
          </w:p>
        </w:tc>
        <w:tc>
          <w:tcPr>
            <w:tcW w:w="1520" w:type="dxa"/>
            <w:vAlign w:val="bottom"/>
          </w:tcPr>
          <w:p>
            <w:pPr>
              <w:spacing w:after="0"/>
              <w:rPr>
                <w:sz w:val="24"/>
                <w:szCs w:val="24"/>
                <w:color w:val="auto"/>
              </w:rPr>
            </w:pPr>
          </w:p>
        </w:tc>
      </w:tr>
      <w:tr>
        <w:trPr>
          <w:trHeight w:val="213"/>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Hialeah, FL</w:t>
            </w:r>
          </w:p>
        </w:tc>
        <w:tc>
          <w:tcPr>
            <w:tcW w:w="37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production facilities</w:t>
            </w:r>
          </w:p>
        </w:tc>
        <w:tc>
          <w:tcPr>
            <w:tcW w:w="32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Broadcast Television</w:t>
            </w:r>
          </w:p>
        </w:tc>
        <w:tc>
          <w:tcPr>
            <w:tcW w:w="1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Leased</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Wells Fargo Center, a large, multipurpose arena that we own, was the principal physical operating asset of our other businesses as of December 31, 2012.</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3E499A"/>
        </w:rPr>
        <w:t>Item 3: Legal Proceedings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to our consolidated financial statements included in this Annual Report on Form 10-K.</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the matters described in Note 18, the California Attorney General and the Alameda County, California District Attorney are investigating whether certain of our waste disposal policies, procedures and practices are in violation of the California Business and Professions Code and the California Health and Safety Code. We expect that these entities will seek injunctive and monetary relief. We are cooperating with the investigation. While we are unable to predict the outcome of this investigation, we do not believe that the outcome will have a material effect on our results of operations, financial condition or cash flows.</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color w:val="3E499A"/>
        </w:rPr>
        <w:t>Item 4: 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39</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w:t>
      </w:r>
    </w:p>
    <w:p>
      <w:pPr>
        <w:spacing w:after="0" w:line="186" w:lineRule="exact"/>
        <w:rPr>
          <w:sz w:val="20"/>
          <w:szCs w:val="20"/>
          <w:color w:val="auto"/>
        </w:rPr>
      </w:pPr>
    </w:p>
    <w:p>
      <w:pPr>
        <w:ind w:right="500"/>
        <w:spacing w:after="0" w:line="260" w:lineRule="auto"/>
        <w:rPr>
          <w:sz w:val="20"/>
          <w:szCs w:val="20"/>
          <w:color w:val="auto"/>
        </w:rPr>
      </w:pPr>
      <w:r>
        <w:rPr>
          <w:rFonts w:ascii="Arial" w:cs="Arial" w:eastAsia="Arial" w:hAnsi="Arial"/>
          <w:sz w:val="24"/>
          <w:szCs w:val="24"/>
          <w:color w:val="3E499A"/>
        </w:rPr>
        <w:t>Item 5: Market for Registrant’s Common Equity, Related Stockholder Matters and Issuer Purchases of Equity Securities</w:t>
      </w:r>
    </w:p>
    <w:p>
      <w:pPr>
        <w:spacing w:after="0" w:line="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Class A common stock is listed on the NASDAQ Global Select Market under the symbol CMCSA and our Class A Special common stock is listed on the NASDAQ Global Select Market under the symbol CMCSK. There is no established public trading market for our Class B common stock. Our Class B common stock can be converted, on a share for share basis, into Class A or Class A Special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3E499A"/>
        </w:rPr>
        <w:t>Dividends Declared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2620" w:type="dxa"/>
            <w:vAlign w:val="bottom"/>
            <w:tcBorders>
              <w:top w:val="single" w:sz="8" w:color="auto"/>
              <w:bottom w:val="single" w:sz="8" w:color="auto"/>
            </w:tcBorders>
          </w:tcPr>
          <w:p>
            <w:pPr>
              <w:spacing w:after="0"/>
              <w:rPr>
                <w:sz w:val="14"/>
                <w:szCs w:val="14"/>
                <w:color w:val="auto"/>
              </w:rPr>
            </w:pPr>
          </w:p>
        </w:tc>
        <w:tc>
          <w:tcPr>
            <w:tcW w:w="21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2011</w:t>
            </w:r>
          </w:p>
        </w:tc>
        <w:tc>
          <w:tcPr>
            <w:tcW w:w="920" w:type="dxa"/>
            <w:vAlign w:val="bottom"/>
            <w:tcBorders>
              <w:top w:val="single" w:sz="8" w:color="auto"/>
              <w:bottom w:val="single" w:sz="8" w:color="auto"/>
            </w:tcBorders>
          </w:tcPr>
          <w:p>
            <w:pPr>
              <w:spacing w:after="0"/>
              <w:rPr>
                <w:sz w:val="14"/>
                <w:szCs w:val="14"/>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Month Declared:</w:t>
            </w:r>
          </w:p>
        </w:tc>
        <w:tc>
          <w:tcPr>
            <w:tcW w:w="2040" w:type="dxa"/>
            <w:vAlign w:val="bottom"/>
            <w:tcBorders>
              <w:bottom w:val="single" w:sz="8" w:color="auto"/>
            </w:tcBorders>
            <w:gridSpan w:val="2"/>
          </w:tcPr>
          <w:p>
            <w:pPr>
              <w:ind w:left="700"/>
              <w:spacing w:after="0" w:line="142" w:lineRule="exact"/>
              <w:rPr>
                <w:sz w:val="20"/>
                <w:szCs w:val="20"/>
                <w:color w:val="auto"/>
              </w:rPr>
            </w:pPr>
            <w:r>
              <w:rPr>
                <w:rFonts w:ascii="Arial" w:cs="Arial" w:eastAsia="Arial" w:hAnsi="Arial"/>
                <w:sz w:val="14"/>
                <w:szCs w:val="14"/>
                <w:b w:val="1"/>
                <w:bCs w:val="1"/>
                <w:color w:val="auto"/>
              </w:rPr>
              <w:t>Dividend Per Share</w:t>
            </w:r>
          </w:p>
        </w:tc>
        <w:tc>
          <w:tcPr>
            <w:tcW w:w="2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Month Declared:</w:t>
            </w:r>
          </w:p>
        </w:tc>
        <w:tc>
          <w:tcPr>
            <w:tcW w:w="3100" w:type="dxa"/>
            <w:vAlign w:val="bottom"/>
            <w:tcBorders>
              <w:bottom w:val="single" w:sz="8" w:color="auto"/>
            </w:tcBorders>
            <w:gridSpan w:val="2"/>
          </w:tcPr>
          <w:p>
            <w:pPr>
              <w:ind w:left="1820"/>
              <w:spacing w:after="0" w:line="142" w:lineRule="exact"/>
              <w:rPr>
                <w:sz w:val="20"/>
                <w:szCs w:val="20"/>
                <w:color w:val="auto"/>
              </w:rPr>
            </w:pPr>
            <w:r>
              <w:rPr>
                <w:rFonts w:ascii="Arial" w:cs="Arial" w:eastAsia="Arial" w:hAnsi="Arial"/>
                <w:sz w:val="14"/>
                <w:szCs w:val="14"/>
                <w:color w:val="auto"/>
              </w:rPr>
              <w:t>Dividend Per Share</w:t>
            </w:r>
          </w:p>
        </w:tc>
      </w:tr>
      <w:tr>
        <w:trPr>
          <w:trHeight w:val="177"/>
        </w:trPr>
        <w:tc>
          <w:tcPr>
            <w:tcW w:w="3660" w:type="dxa"/>
            <w:vAlign w:val="bottom"/>
            <w:gridSpan w:val="2"/>
          </w:tcPr>
          <w:p>
            <w:pPr>
              <w:spacing w:after="0" w:line="177" w:lineRule="exact"/>
              <w:rPr>
                <w:sz w:val="20"/>
                <w:szCs w:val="20"/>
                <w:color w:val="auto"/>
              </w:rPr>
            </w:pPr>
            <w:r>
              <w:rPr>
                <w:rFonts w:ascii="Arial" w:cs="Arial" w:eastAsia="Arial" w:hAnsi="Arial"/>
                <w:sz w:val="18"/>
                <w:szCs w:val="18"/>
                <w:color w:val="auto"/>
              </w:rPr>
              <w:t>February</w:t>
            </w:r>
          </w:p>
        </w:tc>
        <w:tc>
          <w:tcPr>
            <w:tcW w:w="1100" w:type="dxa"/>
            <w:vAlign w:val="bottom"/>
          </w:tcPr>
          <w:p>
            <w:pPr>
              <w:ind w:left="700"/>
              <w:spacing w:after="0" w:line="177"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line="177" w:lineRule="exact"/>
              <w:rPr>
                <w:sz w:val="20"/>
                <w:szCs w:val="20"/>
                <w:color w:val="auto"/>
              </w:rPr>
            </w:pPr>
            <w:r>
              <w:rPr>
                <w:rFonts w:ascii="Arial" w:cs="Arial" w:eastAsia="Arial" w:hAnsi="Arial"/>
                <w:sz w:val="18"/>
                <w:szCs w:val="18"/>
                <w:b w:val="1"/>
                <w:bCs w:val="1"/>
                <w:color w:val="auto"/>
              </w:rPr>
              <w:t>0.1625</w:t>
            </w:r>
          </w:p>
        </w:tc>
        <w:tc>
          <w:tcPr>
            <w:tcW w:w="2620" w:type="dxa"/>
            <w:vAlign w:val="bottom"/>
          </w:tcPr>
          <w:p>
            <w:pPr>
              <w:ind w:left="120"/>
              <w:spacing w:after="0" w:line="177" w:lineRule="exact"/>
              <w:rPr>
                <w:sz w:val="20"/>
                <w:szCs w:val="20"/>
                <w:color w:val="auto"/>
              </w:rPr>
            </w:pPr>
            <w:r>
              <w:rPr>
                <w:rFonts w:ascii="Arial" w:cs="Arial" w:eastAsia="Arial" w:hAnsi="Arial"/>
                <w:sz w:val="18"/>
                <w:szCs w:val="18"/>
                <w:color w:val="auto"/>
              </w:rPr>
              <w:t>January</w:t>
            </w:r>
          </w:p>
        </w:tc>
        <w:tc>
          <w:tcPr>
            <w:tcW w:w="2180" w:type="dxa"/>
            <w:vAlign w:val="bottom"/>
          </w:tcPr>
          <w:p>
            <w:pPr>
              <w:ind w:left="1820"/>
              <w:spacing w:after="0" w:line="177"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177" w:lineRule="exact"/>
              <w:rPr>
                <w:sz w:val="20"/>
                <w:szCs w:val="20"/>
                <w:color w:val="auto"/>
              </w:rPr>
            </w:pPr>
            <w:r>
              <w:rPr>
                <w:rFonts w:ascii="Arial" w:cs="Arial" w:eastAsia="Arial" w:hAnsi="Arial"/>
                <w:sz w:val="18"/>
                <w:szCs w:val="18"/>
                <w:color w:val="auto"/>
              </w:rPr>
              <w:t>0.1125</w:t>
            </w:r>
          </w:p>
        </w:tc>
      </w:tr>
      <w:tr>
        <w:trPr>
          <w:trHeight w:val="203"/>
        </w:trPr>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May</w:t>
            </w:r>
          </w:p>
        </w:tc>
        <w:tc>
          <w:tcPr>
            <w:tcW w:w="1100" w:type="dxa"/>
            <w:vAlign w:val="bottom"/>
          </w:tcPr>
          <w:p>
            <w:pPr>
              <w:ind w:left="70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0.1625</w:t>
            </w:r>
          </w:p>
        </w:tc>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May</w:t>
            </w:r>
          </w:p>
        </w:tc>
        <w:tc>
          <w:tcPr>
            <w:tcW w:w="2180" w:type="dxa"/>
            <w:vAlign w:val="bottom"/>
          </w:tcPr>
          <w:p>
            <w:pPr>
              <w:ind w:left="18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0.1125</w:t>
            </w:r>
          </w:p>
        </w:tc>
      </w:tr>
      <w:tr>
        <w:trPr>
          <w:trHeight w:val="203"/>
        </w:trPr>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July</w:t>
            </w:r>
          </w:p>
        </w:tc>
        <w:tc>
          <w:tcPr>
            <w:tcW w:w="1100" w:type="dxa"/>
            <w:vAlign w:val="bottom"/>
          </w:tcPr>
          <w:p>
            <w:pPr>
              <w:ind w:left="70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0.1625</w:t>
            </w:r>
          </w:p>
        </w:tc>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July</w:t>
            </w:r>
          </w:p>
        </w:tc>
        <w:tc>
          <w:tcPr>
            <w:tcW w:w="2180" w:type="dxa"/>
            <w:vAlign w:val="bottom"/>
          </w:tcPr>
          <w:p>
            <w:pPr>
              <w:ind w:left="18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0.1125</w:t>
            </w:r>
          </w:p>
        </w:tc>
      </w:tr>
      <w:tr>
        <w:trPr>
          <w:trHeight w:val="221"/>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October (paid in January 2013)</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0.1625</w:t>
            </w: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October (paid in January 2012)</w:t>
            </w:r>
          </w:p>
        </w:tc>
        <w:tc>
          <w:tcPr>
            <w:tcW w:w="218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0.1125</w:t>
            </w:r>
          </w:p>
        </w:tc>
      </w:tr>
      <w:tr>
        <w:trPr>
          <w:trHeight w:val="196"/>
        </w:trPr>
        <w:tc>
          <w:tcPr>
            <w:tcW w:w="3660" w:type="dxa"/>
            <w:vAlign w:val="bottom"/>
            <w:tcBorders>
              <w:bottom w:val="single" w:sz="8" w:color="3E499A"/>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100" w:type="dxa"/>
            <w:vAlign w:val="bottom"/>
            <w:tcBorders>
              <w:bottom w:val="single" w:sz="8" w:color="3E499A"/>
            </w:tcBorders>
          </w:tcPr>
          <w:p>
            <w:pPr>
              <w:ind w:left="70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3E49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0.65</w:t>
            </w:r>
          </w:p>
        </w:tc>
        <w:tc>
          <w:tcPr>
            <w:tcW w:w="2620" w:type="dxa"/>
            <w:vAlign w:val="bottom"/>
            <w:tcBorders>
              <w:bottom w:val="single" w:sz="8" w:color="3E499A"/>
            </w:tcBorders>
          </w:tcPr>
          <w:p>
            <w:pPr>
              <w:ind w:left="120"/>
              <w:spacing w:after="0" w:line="196" w:lineRule="exact"/>
              <w:rPr>
                <w:sz w:val="20"/>
                <w:szCs w:val="20"/>
                <w:color w:val="auto"/>
              </w:rPr>
            </w:pPr>
            <w:r>
              <w:rPr>
                <w:rFonts w:ascii="Arial" w:cs="Arial" w:eastAsia="Arial" w:hAnsi="Arial"/>
                <w:sz w:val="18"/>
                <w:szCs w:val="18"/>
                <w:color w:val="auto"/>
              </w:rPr>
              <w:t>Total</w:t>
            </w:r>
          </w:p>
        </w:tc>
        <w:tc>
          <w:tcPr>
            <w:tcW w:w="2180" w:type="dxa"/>
            <w:vAlign w:val="bottom"/>
            <w:tcBorders>
              <w:bottom w:val="single" w:sz="8" w:color="3E499A"/>
            </w:tcBorders>
          </w:tcPr>
          <w:p>
            <w:pPr>
              <w:ind w:left="182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3E499A"/>
            </w:tcBorders>
          </w:tcPr>
          <w:p>
            <w:pPr>
              <w:jc w:val="right"/>
              <w:ind w:right="12"/>
              <w:spacing w:after="0" w:line="196" w:lineRule="exact"/>
              <w:rPr>
                <w:sz w:val="20"/>
                <w:szCs w:val="20"/>
                <w:color w:val="auto"/>
              </w:rPr>
            </w:pPr>
            <w:r>
              <w:rPr>
                <w:rFonts w:ascii="Arial" w:cs="Arial" w:eastAsia="Arial" w:hAnsi="Arial"/>
                <w:sz w:val="18"/>
                <w:szCs w:val="18"/>
                <w:color w:val="auto"/>
              </w:rPr>
              <w:t>0.45</w:t>
            </w:r>
          </w:p>
        </w:tc>
      </w:tr>
    </w:tbl>
    <w:p>
      <w:pPr>
        <w:spacing w:after="0" w:line="16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expect to continue to pay quarterly dividends, although each dividend is subject to approval by our Board of Directors. In February 2013, our Board of Directors approved a 20% increase in our dividend to $0.78 per share on an annualized basis and approved our first quarter dividend of $0.195 per share to be paid in April 2013.</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Holders of our Class A common stock in the aggregate hold 66 </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xml:space="preserve">% of the voting power of our common stock. The number of votes that each share of our Class A common stock has at any given time depends on the number of shares of Class A common stock and Class B common stock then outstanding. Holders of shares of our Class A Special common stock cannot vote in the election of directors or otherwise, except where class voting is required by law. In that case, shares of our Class A Special common stock have the same number of votes per share as shares of Class A common stock. Our Class B common stock has a 33 </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nondilutable voting interest, and each share of Class B common stock has 15 votes per share. Mr. Brian L. Roberts beneficially owns all outstanding shares of our Class B common stock. Generally, including as to the election of directors, holders of Class A common stock and Class B common stock vote as one class except where class voting is required by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Record holders as of December 31, 2012, are presented in the table below.</w:t>
      </w:r>
    </w:p>
    <w:p>
      <w:pPr>
        <w:sectPr>
          <w:pgSz w:w="11900" w:h="16838" w:orient="portrait"/>
          <w:cols w:equalWidth="0" w:num="1">
            <w:col w:w="11420"/>
          </w:cols>
          <w:pgMar w:left="240" w:top="459" w:right="23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color w:val="auto"/>
        </w:rPr>
        <w:t>Stock Class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Record</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Holders</w:t>
      </w:r>
    </w:p>
    <w:p>
      <w:pPr>
        <w:spacing w:after="0" w:line="24" w:lineRule="exact"/>
        <w:rPr>
          <w:sz w:val="20"/>
          <w:szCs w:val="20"/>
          <w:color w:val="auto"/>
        </w:rPr>
      </w:pPr>
    </w:p>
    <w:p>
      <w:pPr>
        <w:sectPr>
          <w:pgSz w:w="11900" w:h="16838" w:orient="portrait"/>
          <w:cols w:equalWidth="0" w:num="2">
            <w:col w:w="10120" w:space="720"/>
            <w:col w:w="5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4180" w:type="dxa"/>
            <w:vAlign w:val="bottom"/>
            <w:tcBorders>
              <w:top w:val="single" w:sz="8" w:color="auto"/>
            </w:tcBorders>
          </w:tcPr>
          <w:p>
            <w:pPr>
              <w:spacing w:after="0" w:line="186" w:lineRule="exact"/>
              <w:rPr>
                <w:sz w:val="20"/>
                <w:szCs w:val="20"/>
                <w:color w:val="auto"/>
              </w:rPr>
            </w:pPr>
            <w:r>
              <w:rPr>
                <w:rFonts w:ascii="Arial" w:cs="Arial" w:eastAsia="Arial" w:hAnsi="Arial"/>
                <w:sz w:val="18"/>
                <w:szCs w:val="18"/>
                <w:color w:val="auto"/>
              </w:rPr>
              <w:t>Class A Common Stock</w:t>
            </w:r>
          </w:p>
        </w:tc>
        <w:tc>
          <w:tcPr>
            <w:tcW w:w="7240" w:type="dxa"/>
            <w:vAlign w:val="bottom"/>
            <w:tcBorders>
              <w:top w:val="single" w:sz="8" w:color="auto"/>
            </w:tcBorders>
          </w:tcPr>
          <w:p>
            <w:pPr>
              <w:jc w:val="right"/>
              <w:ind w:right="37"/>
              <w:spacing w:after="0" w:line="186" w:lineRule="exact"/>
              <w:rPr>
                <w:sz w:val="20"/>
                <w:szCs w:val="20"/>
                <w:color w:val="auto"/>
              </w:rPr>
            </w:pPr>
            <w:r>
              <w:rPr>
                <w:rFonts w:ascii="Arial" w:cs="Arial" w:eastAsia="Arial" w:hAnsi="Arial"/>
                <w:sz w:val="18"/>
                <w:szCs w:val="18"/>
                <w:color w:val="auto"/>
              </w:rPr>
              <w:t>624,449</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Class A Special Common Stock</w:t>
            </w:r>
          </w:p>
        </w:tc>
        <w:tc>
          <w:tcPr>
            <w:tcW w:w="72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1,798</w:t>
            </w:r>
          </w:p>
        </w:tc>
      </w:tr>
      <w:tr>
        <w:trPr>
          <w:trHeight w:val="199"/>
        </w:trPr>
        <w:tc>
          <w:tcPr>
            <w:tcW w:w="4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Class B Common Stock</w:t>
            </w:r>
          </w:p>
        </w:tc>
        <w:tc>
          <w:tcPr>
            <w:tcW w:w="724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3</w:t>
            </w:r>
          </w:p>
        </w:tc>
      </w:tr>
      <w:tr>
        <w:trPr>
          <w:trHeight w:val="506"/>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7240" w:type="dxa"/>
            <w:vAlign w:val="bottom"/>
          </w:tcPr>
          <w:p>
            <w:pPr>
              <w:jc w:val="right"/>
              <w:ind w:right="5497"/>
              <w:spacing w:after="0"/>
              <w:rPr>
                <w:sz w:val="20"/>
                <w:szCs w:val="20"/>
                <w:color w:val="auto"/>
              </w:rPr>
            </w:pPr>
            <w:r>
              <w:rPr>
                <w:rFonts w:ascii="Arial" w:cs="Arial" w:eastAsia="Arial" w:hAnsi="Arial"/>
                <w:sz w:val="14"/>
                <w:szCs w:val="14"/>
                <w:b w:val="1"/>
                <w:bCs w:val="1"/>
                <w:color w:val="auto"/>
              </w:rPr>
              <w:t>40</w:t>
            </w:r>
          </w:p>
        </w:tc>
      </w:tr>
    </w:tbl>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table below summarizes our repurchases under our Board-authorized share repurchase program during 2012. Under our share repurchase program, our Board gives management discretion to purchase either Class A or Class A Special common stock. During 2012, the Class A Special common stock traded at a discount to the Class A common stock and all of the shares repurchased were of Class A Special common stock. Subject to market conditions, including the amount of any price differential between the two classes of common stock, we currently expect to continue to repurchase primarily Class A Special common stock under our share repurchase program.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jc w:val="right"/>
              <w:ind w:right="22"/>
              <w:spacing w:after="0"/>
              <w:rPr>
                <w:sz w:val="20"/>
                <w:szCs w:val="20"/>
                <w:color w:val="auto"/>
              </w:rPr>
            </w:pPr>
            <w:r>
              <w:rPr>
                <w:rFonts w:ascii="Arial" w:cs="Arial" w:eastAsia="Arial" w:hAnsi="Arial"/>
                <w:sz w:val="14"/>
                <w:szCs w:val="14"/>
                <w:color w:val="auto"/>
                <w:w w:val="99"/>
              </w:rPr>
              <w:t>Total Number of</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Maximum Dollar</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jc w:val="right"/>
              <w:ind w:right="22"/>
              <w:spacing w:after="0" w:line="135" w:lineRule="exact"/>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jc w:val="right"/>
              <w:ind w:right="22"/>
              <w:spacing w:after="0" w:line="149" w:lineRule="exact"/>
              <w:rPr>
                <w:sz w:val="20"/>
                <w:szCs w:val="20"/>
                <w:color w:val="auto"/>
              </w:rPr>
            </w:pPr>
            <w:r>
              <w:rPr>
                <w:rFonts w:ascii="Arial" w:cs="Arial" w:eastAsia="Arial" w:hAnsi="Arial"/>
                <w:sz w:val="14"/>
                <w:szCs w:val="14"/>
                <w:color w:val="auto"/>
              </w:rPr>
              <w:t>Purchased as</w:t>
            </w:r>
          </w:p>
        </w:tc>
        <w:tc>
          <w:tcPr>
            <w:tcW w:w="240" w:type="dxa"/>
            <w:vAlign w:val="bottom"/>
          </w:tcPr>
          <w:p>
            <w:pPr>
              <w:spacing w:after="0"/>
              <w:rPr>
                <w:sz w:val="12"/>
                <w:szCs w:val="12"/>
                <w:color w:val="auto"/>
              </w:rPr>
            </w:pPr>
          </w:p>
        </w:tc>
        <w:tc>
          <w:tcPr>
            <w:tcW w:w="1240" w:type="dxa"/>
            <w:vAlign w:val="bottom"/>
          </w:tcPr>
          <w:p>
            <w:pPr>
              <w:jc w:val="right"/>
              <w:ind w:right="20"/>
              <w:spacing w:after="0" w:line="149" w:lineRule="exact"/>
              <w:rPr>
                <w:sz w:val="20"/>
                <w:szCs w:val="20"/>
                <w:color w:val="auto"/>
              </w:rPr>
            </w:pPr>
            <w:r>
              <w:rPr>
                <w:rFonts w:ascii="Arial" w:cs="Arial" w:eastAsia="Arial" w:hAnsi="Arial"/>
                <w:sz w:val="14"/>
                <w:szCs w:val="14"/>
                <w:color w:val="auto"/>
              </w:rPr>
              <w:t>Total Dollar</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w w:val="94"/>
              </w:rPr>
              <w:t>Value of Shares That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920" w:type="dxa"/>
            <w:vAlign w:val="bottom"/>
          </w:tcPr>
          <w:p>
            <w:pPr>
              <w:jc w:val="right"/>
              <w:spacing w:after="0" w:line="149" w:lineRule="exact"/>
              <w:rPr>
                <w:sz w:val="20"/>
                <w:szCs w:val="20"/>
                <w:color w:val="auto"/>
              </w:rPr>
            </w:pPr>
            <w:r>
              <w:rPr>
                <w:rFonts w:ascii="Arial" w:cs="Arial" w:eastAsia="Arial" w:hAnsi="Arial"/>
                <w:sz w:val="14"/>
                <w:szCs w:val="14"/>
                <w:color w:val="auto"/>
              </w:rPr>
              <w:t>Total Number of</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Average</w:t>
            </w:r>
          </w:p>
        </w:tc>
        <w:tc>
          <w:tcPr>
            <w:tcW w:w="1120" w:type="dxa"/>
            <w:vAlign w:val="bottom"/>
          </w:tcPr>
          <w:p>
            <w:pPr>
              <w:jc w:val="right"/>
              <w:ind w:right="22"/>
              <w:spacing w:after="0" w:line="149" w:lineRule="exact"/>
              <w:rPr>
                <w:sz w:val="20"/>
                <w:szCs w:val="20"/>
                <w:color w:val="auto"/>
              </w:rPr>
            </w:pPr>
            <w:r>
              <w:rPr>
                <w:rFonts w:ascii="Arial" w:cs="Arial" w:eastAsia="Arial" w:hAnsi="Arial"/>
                <w:sz w:val="14"/>
                <w:szCs w:val="14"/>
                <w:color w:val="auto"/>
              </w:rPr>
              <w:t>Part of Publicly</w:t>
            </w:r>
          </w:p>
        </w:tc>
        <w:tc>
          <w:tcPr>
            <w:tcW w:w="240" w:type="dxa"/>
            <w:vAlign w:val="bottom"/>
          </w:tcPr>
          <w:p>
            <w:pPr>
              <w:spacing w:after="0"/>
              <w:rPr>
                <w:sz w:val="12"/>
                <w:szCs w:val="12"/>
                <w:color w:val="auto"/>
              </w:rPr>
            </w:pPr>
          </w:p>
        </w:tc>
        <w:tc>
          <w:tcPr>
            <w:tcW w:w="1240" w:type="dxa"/>
            <w:vAlign w:val="bottom"/>
          </w:tcPr>
          <w:p>
            <w:pPr>
              <w:jc w:val="right"/>
              <w:ind w:right="20"/>
              <w:spacing w:after="0" w:line="149" w:lineRule="exact"/>
              <w:rPr>
                <w:sz w:val="20"/>
                <w:szCs w:val="20"/>
                <w:color w:val="auto"/>
              </w:rPr>
            </w:pPr>
            <w:r>
              <w:rPr>
                <w:rFonts w:ascii="Arial" w:cs="Arial" w:eastAsia="Arial" w:hAnsi="Arial"/>
                <w:sz w:val="14"/>
                <w:szCs w:val="14"/>
                <w:color w:val="auto"/>
              </w:rPr>
              <w:t>Amount</w:t>
            </w:r>
          </w:p>
        </w:tc>
        <w:tc>
          <w:tcPr>
            <w:tcW w:w="15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May Yet Be Purchased</w:t>
            </w:r>
          </w:p>
        </w:tc>
        <w:tc>
          <w:tcPr>
            <w:tcW w:w="0" w:type="dxa"/>
            <w:vAlign w:val="bottom"/>
          </w:tcPr>
          <w:p>
            <w:pPr>
              <w:spacing w:after="0"/>
              <w:rPr>
                <w:sz w:val="1"/>
                <w:szCs w:val="1"/>
                <w:color w:val="auto"/>
              </w:rPr>
            </w:pPr>
          </w:p>
        </w:tc>
      </w:tr>
      <w:tr>
        <w:trPr>
          <w:trHeight w:val="136"/>
        </w:trPr>
        <w:tc>
          <w:tcPr>
            <w:tcW w:w="3600" w:type="dxa"/>
            <w:vAlign w:val="bottom"/>
          </w:tcPr>
          <w:p>
            <w:pPr>
              <w:spacing w:after="0"/>
              <w:rPr>
                <w:sz w:val="11"/>
                <w:szCs w:val="11"/>
                <w:color w:val="auto"/>
              </w:rPr>
            </w:pPr>
          </w:p>
        </w:tc>
        <w:tc>
          <w:tcPr>
            <w:tcW w:w="2920" w:type="dxa"/>
            <w:vAlign w:val="bottom"/>
          </w:tcPr>
          <w:p>
            <w:pPr>
              <w:jc w:val="right"/>
              <w:spacing w:after="0" w:line="136" w:lineRule="exact"/>
              <w:rPr>
                <w:sz w:val="20"/>
                <w:szCs w:val="20"/>
                <w:color w:val="auto"/>
              </w:rPr>
            </w:pPr>
            <w:r>
              <w:rPr>
                <w:rFonts w:ascii="Arial" w:cs="Arial" w:eastAsia="Arial" w:hAnsi="Arial"/>
                <w:sz w:val="14"/>
                <w:szCs w:val="14"/>
                <w:color w:val="auto"/>
              </w:rPr>
              <w:t>Shares</w:t>
            </w: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Price Per</w:t>
            </w:r>
          </w:p>
        </w:tc>
        <w:tc>
          <w:tcPr>
            <w:tcW w:w="1120" w:type="dxa"/>
            <w:vAlign w:val="bottom"/>
          </w:tcPr>
          <w:p>
            <w:pPr>
              <w:jc w:val="right"/>
              <w:ind w:right="22"/>
              <w:spacing w:after="0" w:line="136" w:lineRule="exact"/>
              <w:rPr>
                <w:sz w:val="20"/>
                <w:szCs w:val="20"/>
                <w:color w:val="auto"/>
              </w:rPr>
            </w:pPr>
            <w:r>
              <w:rPr>
                <w:rFonts w:ascii="Arial" w:cs="Arial" w:eastAsia="Arial" w:hAnsi="Arial"/>
                <w:sz w:val="14"/>
                <w:szCs w:val="14"/>
                <w:color w:val="auto"/>
              </w:rPr>
              <w:t>Announced</w:t>
            </w:r>
          </w:p>
        </w:tc>
        <w:tc>
          <w:tcPr>
            <w:tcW w:w="240" w:type="dxa"/>
            <w:vAlign w:val="bottom"/>
          </w:tcPr>
          <w:p>
            <w:pPr>
              <w:spacing w:after="0"/>
              <w:rPr>
                <w:sz w:val="11"/>
                <w:szCs w:val="11"/>
                <w:color w:val="auto"/>
              </w:rPr>
            </w:pPr>
          </w:p>
        </w:tc>
        <w:tc>
          <w:tcPr>
            <w:tcW w:w="1240" w:type="dxa"/>
            <w:vAlign w:val="bottom"/>
          </w:tcPr>
          <w:p>
            <w:pPr>
              <w:jc w:val="right"/>
              <w:ind w:right="20"/>
              <w:spacing w:after="0" w:line="136" w:lineRule="exact"/>
              <w:rPr>
                <w:sz w:val="20"/>
                <w:szCs w:val="20"/>
                <w:color w:val="auto"/>
              </w:rPr>
            </w:pPr>
            <w:r>
              <w:rPr>
                <w:rFonts w:ascii="Arial" w:cs="Arial" w:eastAsia="Arial" w:hAnsi="Arial"/>
                <w:sz w:val="14"/>
                <w:szCs w:val="14"/>
                <w:color w:val="auto"/>
              </w:rPr>
              <w:t>Purchased Under</w:t>
            </w:r>
          </w:p>
        </w:tc>
        <w:tc>
          <w:tcPr>
            <w:tcW w:w="220" w:type="dxa"/>
            <w:vAlign w:val="bottom"/>
          </w:tcPr>
          <w:p>
            <w:pPr>
              <w:spacing w:after="0"/>
              <w:rPr>
                <w:sz w:val="11"/>
                <w:szCs w:val="11"/>
                <w:color w:val="auto"/>
              </w:rPr>
            </w:pPr>
          </w:p>
        </w:tc>
        <w:tc>
          <w:tcPr>
            <w:tcW w:w="1320" w:type="dxa"/>
            <w:vAlign w:val="bottom"/>
          </w:tcPr>
          <w:p>
            <w:pPr>
              <w:jc w:val="right"/>
              <w:spacing w:after="0" w:line="136" w:lineRule="exact"/>
              <w:rPr>
                <w:sz w:val="20"/>
                <w:szCs w:val="20"/>
                <w:color w:val="auto"/>
              </w:rPr>
            </w:pPr>
            <w:r>
              <w:rPr>
                <w:rFonts w:ascii="Arial" w:cs="Arial" w:eastAsia="Arial" w:hAnsi="Arial"/>
                <w:sz w:val="14"/>
                <w:szCs w:val="14"/>
                <w:color w:val="auto"/>
              </w:rPr>
              <w:t>Under the</w:t>
            </w:r>
          </w:p>
        </w:tc>
        <w:tc>
          <w:tcPr>
            <w:tcW w:w="0" w:type="dxa"/>
            <w:vAlign w:val="bottom"/>
          </w:tcPr>
          <w:p>
            <w:pPr>
              <w:spacing w:after="0"/>
              <w:rPr>
                <w:sz w:val="1"/>
                <w:szCs w:val="1"/>
                <w:color w:val="auto"/>
              </w:rPr>
            </w:pPr>
          </w:p>
        </w:tc>
      </w:tr>
      <w:tr>
        <w:trPr>
          <w:trHeight w:val="176"/>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Purchased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Authorization</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the Authorization</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color w:val="auto"/>
              </w:rPr>
              <w:t>Authorization</w:t>
            </w:r>
            <w:r>
              <w:rPr>
                <w:rFonts w:ascii="Arial" w:cs="Arial" w:eastAsia="Arial" w:hAnsi="Arial"/>
                <w:sz w:val="20"/>
                <w:szCs w:val="20"/>
                <w:color w:val="auto"/>
                <w:vertAlign w:val="superscript"/>
              </w:rPr>
              <w:t>(a)</w:t>
            </w:r>
          </w:p>
        </w:tc>
        <w:tc>
          <w:tcPr>
            <w:tcW w:w="0" w:type="dxa"/>
            <w:vAlign w:val="bottom"/>
          </w:tcPr>
          <w:p>
            <w:pPr>
              <w:spacing w:after="0"/>
              <w:rPr>
                <w:sz w:val="1"/>
                <w:szCs w:val="1"/>
                <w:color w:val="auto"/>
              </w:rPr>
            </w:pPr>
          </w:p>
        </w:tc>
      </w:tr>
      <w:tr>
        <w:trPr>
          <w:trHeight w:val="199"/>
        </w:trPr>
        <w:tc>
          <w:tcPr>
            <w:tcW w:w="3600" w:type="dxa"/>
            <w:vAlign w:val="bottom"/>
          </w:tcPr>
          <w:p>
            <w:pPr>
              <w:spacing w:after="0" w:line="200" w:lineRule="exact"/>
              <w:rPr>
                <w:sz w:val="20"/>
                <w:szCs w:val="20"/>
                <w:color w:val="auto"/>
              </w:rPr>
            </w:pPr>
            <w:r>
              <w:rPr>
                <w:rFonts w:ascii="Arial" w:cs="Arial" w:eastAsia="Arial" w:hAnsi="Arial"/>
                <w:sz w:val="18"/>
                <w:szCs w:val="18"/>
                <w:color w:val="auto"/>
              </w:rPr>
              <w:t>First Quarter 2012</w:t>
            </w:r>
          </w:p>
        </w:tc>
        <w:tc>
          <w:tcPr>
            <w:tcW w:w="2920" w:type="dxa"/>
            <w:vAlign w:val="bottom"/>
          </w:tcPr>
          <w:p>
            <w:pPr>
              <w:jc w:val="right"/>
              <w:spacing w:after="0" w:line="200" w:lineRule="exact"/>
              <w:rPr>
                <w:sz w:val="20"/>
                <w:szCs w:val="20"/>
                <w:color w:val="auto"/>
              </w:rPr>
            </w:pPr>
            <w:r>
              <w:rPr>
                <w:rFonts w:ascii="Arial" w:cs="Arial" w:eastAsia="Arial" w:hAnsi="Arial"/>
                <w:sz w:val="18"/>
                <w:szCs w:val="18"/>
                <w:color w:val="auto"/>
              </w:rPr>
              <w:t>26,136,606</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$ 28.92</w:t>
            </w:r>
          </w:p>
        </w:tc>
        <w:tc>
          <w:tcPr>
            <w:tcW w:w="1120" w:type="dxa"/>
            <w:vAlign w:val="bottom"/>
          </w:tcPr>
          <w:p>
            <w:pPr>
              <w:jc w:val="right"/>
              <w:ind w:right="22"/>
              <w:spacing w:after="0" w:line="200" w:lineRule="exact"/>
              <w:rPr>
                <w:sz w:val="20"/>
                <w:szCs w:val="20"/>
                <w:color w:val="auto"/>
              </w:rPr>
            </w:pPr>
            <w:r>
              <w:rPr>
                <w:rFonts w:ascii="Arial" w:cs="Arial" w:eastAsia="Arial" w:hAnsi="Arial"/>
                <w:sz w:val="18"/>
                <w:szCs w:val="18"/>
                <w:color w:val="auto"/>
              </w:rPr>
              <w:t>25,903,672</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0"/>
              <w:spacing w:after="0" w:line="200" w:lineRule="exact"/>
              <w:rPr>
                <w:sz w:val="20"/>
                <w:szCs w:val="20"/>
                <w:color w:val="auto"/>
              </w:rPr>
            </w:pPr>
            <w:r>
              <w:rPr>
                <w:rFonts w:ascii="Arial" w:cs="Arial" w:eastAsia="Arial" w:hAnsi="Arial"/>
                <w:sz w:val="18"/>
                <w:szCs w:val="18"/>
                <w:color w:val="auto"/>
              </w:rPr>
              <w:t>750,000,000</w:t>
            </w:r>
          </w:p>
        </w:tc>
        <w:tc>
          <w:tcPr>
            <w:tcW w:w="220" w:type="dxa"/>
            <w:vAlign w:val="bottom"/>
          </w:tcPr>
          <w:p>
            <w:pPr>
              <w:ind w:left="100"/>
              <w:spacing w:after="0" w:line="200"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0" w:lineRule="exact"/>
              <w:rPr>
                <w:sz w:val="20"/>
                <w:szCs w:val="20"/>
                <w:color w:val="auto"/>
              </w:rPr>
            </w:pPr>
            <w:r>
              <w:rPr>
                <w:rFonts w:ascii="Arial" w:cs="Arial" w:eastAsia="Arial" w:hAnsi="Arial"/>
                <w:sz w:val="18"/>
                <w:szCs w:val="18"/>
                <w:color w:val="auto"/>
              </w:rPr>
              <w:t>5,750,000,000</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Second Quarter 2012</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26,291,936</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$ 29.15</w:t>
            </w:r>
          </w:p>
        </w:tc>
        <w:tc>
          <w:tcPr>
            <w:tcW w:w="1120" w:type="dxa"/>
            <w:vAlign w:val="bottom"/>
          </w:tcPr>
          <w:p>
            <w:pPr>
              <w:jc w:val="right"/>
              <w:ind w:right="22"/>
              <w:spacing w:after="0" w:line="202" w:lineRule="exact"/>
              <w:rPr>
                <w:sz w:val="20"/>
                <w:szCs w:val="20"/>
                <w:color w:val="auto"/>
              </w:rPr>
            </w:pPr>
            <w:r>
              <w:rPr>
                <w:rFonts w:ascii="Arial" w:cs="Arial" w:eastAsia="Arial" w:hAnsi="Arial"/>
                <w:sz w:val="18"/>
                <w:szCs w:val="18"/>
                <w:color w:val="auto"/>
              </w:rPr>
              <w:t>25,754,733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0"/>
              <w:spacing w:after="0" w:line="202" w:lineRule="exact"/>
              <w:rPr>
                <w:sz w:val="20"/>
                <w:szCs w:val="20"/>
                <w:color w:val="auto"/>
              </w:rPr>
            </w:pPr>
            <w:r>
              <w:rPr>
                <w:rFonts w:ascii="Arial" w:cs="Arial" w:eastAsia="Arial" w:hAnsi="Arial"/>
                <w:sz w:val="18"/>
                <w:szCs w:val="18"/>
                <w:color w:val="auto"/>
              </w:rPr>
              <w:t>750,000,000</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5,000,000,000</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Third Quarter 2012</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22,910,903</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$ 32.74</w:t>
            </w:r>
          </w:p>
        </w:tc>
        <w:tc>
          <w:tcPr>
            <w:tcW w:w="1120" w:type="dxa"/>
            <w:vAlign w:val="bottom"/>
          </w:tcPr>
          <w:p>
            <w:pPr>
              <w:jc w:val="right"/>
              <w:ind w:right="22"/>
              <w:spacing w:after="0" w:line="202" w:lineRule="exact"/>
              <w:rPr>
                <w:sz w:val="20"/>
                <w:szCs w:val="20"/>
                <w:color w:val="auto"/>
              </w:rPr>
            </w:pPr>
            <w:r>
              <w:rPr>
                <w:rFonts w:ascii="Arial" w:cs="Arial" w:eastAsia="Arial" w:hAnsi="Arial"/>
                <w:sz w:val="18"/>
                <w:szCs w:val="18"/>
                <w:color w:val="auto"/>
              </w:rPr>
              <w:t>22,910,903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0"/>
              <w:spacing w:after="0" w:line="202" w:lineRule="exact"/>
              <w:rPr>
                <w:sz w:val="20"/>
                <w:szCs w:val="20"/>
                <w:color w:val="auto"/>
              </w:rPr>
            </w:pPr>
            <w:r>
              <w:rPr>
                <w:rFonts w:ascii="Arial" w:cs="Arial" w:eastAsia="Arial" w:hAnsi="Arial"/>
                <w:sz w:val="18"/>
                <w:szCs w:val="18"/>
                <w:color w:val="auto"/>
              </w:rPr>
              <w:t>750,000,000</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4,250,000,000</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October 1-31, 2012</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4,494</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$ 36.35</w:t>
            </w:r>
          </w:p>
        </w:tc>
        <w:tc>
          <w:tcPr>
            <w:tcW w:w="1120" w:type="dxa"/>
            <w:vAlign w:val="bottom"/>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4,250,000,000</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November 1-30, 2012</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10,600,503</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$ 35.38</w:t>
            </w:r>
          </w:p>
        </w:tc>
        <w:tc>
          <w:tcPr>
            <w:tcW w:w="1120" w:type="dxa"/>
            <w:vAlign w:val="bottom"/>
          </w:tcPr>
          <w:p>
            <w:pPr>
              <w:jc w:val="right"/>
              <w:ind w:right="22"/>
              <w:spacing w:after="0" w:line="202" w:lineRule="exact"/>
              <w:rPr>
                <w:sz w:val="20"/>
                <w:szCs w:val="20"/>
                <w:color w:val="auto"/>
              </w:rPr>
            </w:pPr>
            <w:r>
              <w:rPr>
                <w:rFonts w:ascii="Arial" w:cs="Arial" w:eastAsia="Arial" w:hAnsi="Arial"/>
                <w:sz w:val="18"/>
                <w:szCs w:val="18"/>
                <w:color w:val="auto"/>
              </w:rPr>
              <w:t>10,600,503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0"/>
              <w:spacing w:after="0" w:line="202" w:lineRule="exact"/>
              <w:rPr>
                <w:sz w:val="20"/>
                <w:szCs w:val="20"/>
                <w:color w:val="auto"/>
              </w:rPr>
            </w:pPr>
            <w:r>
              <w:rPr>
                <w:rFonts w:ascii="Arial" w:cs="Arial" w:eastAsia="Arial" w:hAnsi="Arial"/>
                <w:sz w:val="18"/>
                <w:szCs w:val="18"/>
                <w:color w:val="auto"/>
              </w:rPr>
              <w:t>375,000,000</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3,875,000,000</w:t>
            </w:r>
          </w:p>
        </w:tc>
        <w:tc>
          <w:tcPr>
            <w:tcW w:w="0" w:type="dxa"/>
            <w:vAlign w:val="bottom"/>
          </w:tcPr>
          <w:p>
            <w:pPr>
              <w:spacing w:after="0"/>
              <w:rPr>
                <w:sz w:val="1"/>
                <w:szCs w:val="1"/>
                <w:color w:val="auto"/>
              </w:rPr>
            </w:pPr>
          </w:p>
        </w:tc>
      </w:tr>
      <w:tr>
        <w:trPr>
          <w:trHeight w:val="199"/>
        </w:trPr>
        <w:tc>
          <w:tcPr>
            <w:tcW w:w="36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December 1-31, 2012</w:t>
            </w:r>
          </w:p>
        </w:tc>
        <w:tc>
          <w:tcPr>
            <w:tcW w:w="2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10,651,441</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$ 35.58</w:t>
            </w:r>
          </w:p>
        </w:tc>
        <w:tc>
          <w:tcPr>
            <w:tcW w:w="1120" w:type="dxa"/>
            <w:vAlign w:val="bottom"/>
            <w:tcBorders>
              <w:bottom w:val="single" w:sz="8" w:color="auto"/>
            </w:tcBorders>
          </w:tcPr>
          <w:p>
            <w:pPr>
              <w:jc w:val="right"/>
              <w:ind w:right="22"/>
              <w:spacing w:after="0" w:line="200" w:lineRule="exact"/>
              <w:rPr>
                <w:sz w:val="20"/>
                <w:szCs w:val="20"/>
                <w:color w:val="auto"/>
              </w:rPr>
            </w:pPr>
            <w:r>
              <w:rPr>
                <w:rFonts w:ascii="Arial" w:cs="Arial" w:eastAsia="Arial" w:hAnsi="Arial"/>
                <w:sz w:val="18"/>
                <w:szCs w:val="18"/>
                <w:color w:val="auto"/>
              </w:rPr>
              <w:t>10,545,438</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375,000,000</w:t>
            </w:r>
          </w:p>
        </w:tc>
        <w:tc>
          <w:tcPr>
            <w:tcW w:w="22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3,500,000,000</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29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96,595,883</w:t>
            </w:r>
          </w:p>
        </w:tc>
        <w:tc>
          <w:tcPr>
            <w:tcW w:w="7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$ 31.33</w:t>
            </w:r>
          </w:p>
        </w:tc>
        <w:tc>
          <w:tcPr>
            <w:tcW w:w="1120" w:type="dxa"/>
            <w:vAlign w:val="bottom"/>
            <w:tcBorders>
              <w:bottom w:val="single" w:sz="8" w:color="3E499A"/>
            </w:tcBorders>
          </w:tcPr>
          <w:p>
            <w:pPr>
              <w:jc w:val="right"/>
              <w:ind w:right="22"/>
              <w:spacing w:after="0" w:line="196" w:lineRule="exact"/>
              <w:rPr>
                <w:sz w:val="20"/>
                <w:szCs w:val="20"/>
                <w:color w:val="auto"/>
              </w:rPr>
            </w:pPr>
            <w:r>
              <w:rPr>
                <w:rFonts w:ascii="Arial" w:cs="Arial" w:eastAsia="Arial" w:hAnsi="Arial"/>
                <w:sz w:val="18"/>
                <w:szCs w:val="18"/>
                <w:b w:val="1"/>
                <w:bCs w:val="1"/>
                <w:color w:val="auto"/>
              </w:rPr>
              <w:t>95,715,249</w:t>
            </w:r>
          </w:p>
        </w:tc>
        <w:tc>
          <w:tcPr>
            <w:tcW w:w="2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3E499A"/>
            </w:tcBorders>
          </w:tcPr>
          <w:p>
            <w:pPr>
              <w:jc w:val="right"/>
              <w:ind w:right="20"/>
              <w:spacing w:after="0" w:line="196" w:lineRule="exact"/>
              <w:rPr>
                <w:sz w:val="20"/>
                <w:szCs w:val="20"/>
                <w:color w:val="auto"/>
              </w:rPr>
            </w:pPr>
            <w:r>
              <w:rPr>
                <w:rFonts w:ascii="Arial" w:cs="Arial" w:eastAsia="Arial" w:hAnsi="Arial"/>
                <w:sz w:val="18"/>
                <w:szCs w:val="18"/>
                <w:b w:val="1"/>
                <w:bCs w:val="1"/>
                <w:color w:val="auto"/>
                <w:w w:val="97"/>
              </w:rPr>
              <w:t>3,000,000,000</w:t>
            </w:r>
          </w:p>
        </w:tc>
        <w:tc>
          <w:tcPr>
            <w:tcW w:w="220" w:type="dxa"/>
            <w:vAlign w:val="bottom"/>
            <w:tcBorders>
              <w:bottom w:val="single" w:sz="8" w:color="3E499A"/>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3,500,000,000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line="231"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February 2012, our Board of Directors approved a $6.5 billion share repurchase authorization, which does not have an expiration date. Under this authorization, we may repurchase shares in the open market or in private transactions. We expect to repurchase $2 billion of shares during 2013, subject to market conditions.</w:t>
      </w:r>
    </w:p>
    <w:p>
      <w:pPr>
        <w:spacing w:after="0" w:line="15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total number of shares purchased during 2012 includes 880,634 shares received in the administration of employee share-based compensation plans.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Common Stock Sales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indicated periods, the high and low sales prices of our Class A and Class A Special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560" w:type="dxa"/>
            <w:vAlign w:val="bottom"/>
            <w:tcBorders>
              <w:bottom w:val="single" w:sz="8" w:color="auto"/>
            </w:tcBorders>
            <w:gridSpan w:val="2"/>
          </w:tcPr>
          <w:p>
            <w:pPr>
              <w:jc w:val="right"/>
              <w:ind w:right="434"/>
              <w:spacing w:after="0"/>
              <w:rPr>
                <w:sz w:val="20"/>
                <w:szCs w:val="20"/>
                <w:color w:val="auto"/>
              </w:rPr>
            </w:pPr>
            <w:r>
              <w:rPr>
                <w:rFonts w:ascii="Arial" w:cs="Arial" w:eastAsia="Arial" w:hAnsi="Arial"/>
                <w:sz w:val="14"/>
                <w:szCs w:val="14"/>
                <w:color w:val="auto"/>
              </w:rPr>
              <w:t>Class A</w:t>
            </w:r>
          </w:p>
        </w:tc>
        <w:tc>
          <w:tcPr>
            <w:tcW w:w="152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color w:val="auto"/>
              </w:rPr>
              <w:t>Class A Special</w:t>
            </w:r>
          </w:p>
        </w:tc>
      </w:tr>
      <w:tr>
        <w:trPr>
          <w:trHeight w:val="223"/>
        </w:trPr>
        <w:tc>
          <w:tcPr>
            <w:tcW w:w="20" w:type="dxa"/>
            <w:vAlign w:val="bottom"/>
          </w:tcPr>
          <w:p>
            <w:pPr>
              <w:spacing w:after="0"/>
              <w:rPr>
                <w:sz w:val="19"/>
                <w:szCs w:val="19"/>
                <w:color w:val="auto"/>
              </w:rPr>
            </w:pPr>
          </w:p>
        </w:tc>
        <w:tc>
          <w:tcPr>
            <w:tcW w:w="8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r>
      <w:tr>
        <w:trPr>
          <w:trHeight w:val="177"/>
        </w:trPr>
        <w:tc>
          <w:tcPr>
            <w:tcW w:w="20" w:type="dxa"/>
            <w:vAlign w:val="bottom"/>
          </w:tcPr>
          <w:p>
            <w:pPr>
              <w:spacing w:after="0"/>
              <w:rPr>
                <w:sz w:val="15"/>
                <w:szCs w:val="15"/>
                <w:color w:val="auto"/>
              </w:rPr>
            </w:pPr>
          </w:p>
        </w:tc>
        <w:tc>
          <w:tcPr>
            <w:tcW w:w="8320" w:type="dxa"/>
            <w:vAlign w:val="bottom"/>
          </w:tcPr>
          <w:p>
            <w:pPr>
              <w:spacing w:after="0" w:line="177" w:lineRule="exact"/>
              <w:rPr>
                <w:sz w:val="20"/>
                <w:szCs w:val="20"/>
                <w:color w:val="auto"/>
              </w:rPr>
            </w:pPr>
            <w:r>
              <w:rPr>
                <w:rFonts w:ascii="Arial" w:cs="Arial" w:eastAsia="Arial" w:hAnsi="Arial"/>
                <w:sz w:val="18"/>
                <w:szCs w:val="18"/>
                <w:b w:val="1"/>
                <w:bCs w:val="1"/>
                <w:color w:val="auto"/>
              </w:rPr>
              <w:t>2012</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First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$ 30.41</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$ 24.28</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$ 30.00</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$ 23.97</w:t>
            </w: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Second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$ 31.99</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$ 28.09</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$ 31.48</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$ 27.80</w:t>
            </w: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Third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$ 36.90</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$ 31.04</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$ 35.83</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$ 30.60</w:t>
            </w:r>
          </w:p>
        </w:tc>
      </w:tr>
      <w:tr>
        <w:trPr>
          <w:trHeight w:val="23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Fourth Quarter</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$ 38.22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$ 34.94</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$ 36.91</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$ 34.00</w:t>
            </w:r>
          </w:p>
        </w:tc>
      </w:tr>
      <w:tr>
        <w:trPr>
          <w:trHeight w:val="302"/>
        </w:trPr>
        <w:tc>
          <w:tcPr>
            <w:tcW w:w="8340" w:type="dxa"/>
            <w:vAlign w:val="bottom"/>
            <w:gridSpan w:val="2"/>
          </w:tcPr>
          <w:p>
            <w:pPr>
              <w:spacing w:after="0"/>
              <w:rPr>
                <w:sz w:val="20"/>
                <w:szCs w:val="20"/>
                <w:color w:val="auto"/>
              </w:rPr>
            </w:pPr>
            <w:r>
              <w:rPr>
                <w:rFonts w:ascii="Arial" w:cs="Arial" w:eastAsia="Arial" w:hAnsi="Arial"/>
                <w:sz w:val="18"/>
                <w:szCs w:val="18"/>
                <w:color w:val="auto"/>
              </w:rPr>
              <w:t>2011</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$ 25.91</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$ 22.05</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$ 24.49</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$ 20.79</w:t>
            </w: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$ 27.16</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$ 23.32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$ 25.40</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$ 22.07</w:t>
            </w: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$ 26.14</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$ 19.19</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$ 25.00</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$ 18.74</w:t>
            </w:r>
          </w:p>
        </w:tc>
      </w:tr>
      <w:tr>
        <w:trPr>
          <w:trHeight w:val="199"/>
        </w:trPr>
        <w:tc>
          <w:tcPr>
            <w:tcW w:w="8340" w:type="dxa"/>
            <w:vAlign w:val="bottom"/>
            <w:gridSpan w:val="2"/>
          </w:tcPr>
          <w:p>
            <w:pPr>
              <w:spacing w:after="0" w:line="200" w:lineRule="exact"/>
              <w:rPr>
                <w:sz w:val="20"/>
                <w:szCs w:val="20"/>
                <w:color w:val="auto"/>
              </w:rPr>
            </w:pPr>
            <w:r>
              <w:rPr>
                <w:rFonts w:ascii="Arial" w:cs="Arial" w:eastAsia="Arial" w:hAnsi="Arial"/>
                <w:sz w:val="18"/>
                <w:szCs w:val="18"/>
                <w:color w:val="auto"/>
              </w:rPr>
              <w:t>Fourth Quarter</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$ 25.32</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$ 19.72</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$ 24.84</w:t>
            </w: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$ 19.55</w:t>
            </w:r>
          </w:p>
        </w:tc>
      </w:tr>
      <w:tr>
        <w:trPr>
          <w:trHeight w:val="506"/>
        </w:trPr>
        <w:tc>
          <w:tcPr>
            <w:tcW w:w="20" w:type="dxa"/>
            <w:vAlign w:val="bottom"/>
          </w:tcPr>
          <w:p>
            <w:pPr>
              <w:spacing w:after="0"/>
              <w:rPr>
                <w:sz w:val="24"/>
                <w:szCs w:val="24"/>
                <w:color w:val="auto"/>
              </w:rPr>
            </w:pPr>
          </w:p>
        </w:tc>
        <w:tc>
          <w:tcPr>
            <w:tcW w:w="8320" w:type="dxa"/>
            <w:vAlign w:val="bottom"/>
            <w:tcBorders>
              <w:top w:val="single" w:sz="8" w:color="auto"/>
            </w:tcBorders>
          </w:tcPr>
          <w:p>
            <w:pPr>
              <w:jc w:val="right"/>
              <w:ind w:right="2422"/>
              <w:spacing w:after="0"/>
              <w:rPr>
                <w:sz w:val="20"/>
                <w:szCs w:val="20"/>
                <w:color w:val="auto"/>
              </w:rPr>
            </w:pPr>
            <w:r>
              <w:rPr>
                <w:rFonts w:ascii="Arial" w:cs="Arial" w:eastAsia="Arial" w:hAnsi="Arial"/>
                <w:sz w:val="14"/>
                <w:szCs w:val="14"/>
                <w:b w:val="1"/>
                <w:bCs w:val="1"/>
                <w:color w:val="auto"/>
              </w:rPr>
              <w:t>41</w:t>
            </w:r>
          </w:p>
        </w:tc>
        <w:tc>
          <w:tcPr>
            <w:tcW w:w="30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Comcast 2012 Annual Report on Form 10-K</w:t>
            </w: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graph compares the yearly percentage change in the cumulative total shareholder return on our Class A common stock and Class A Special common stock during the five years ended December 31, 2012 with the cumulative total returns on the Standard &amp; Poor’s 500 Stock Index and with a select peer group consisting of us and other companies engaged in the cable, communications and media industries. This peer group consists of us (Class A and Class A Special common stock), as well as Cablevision Systems Corporation (Class A), DISH Network Corporation, DirecTV Inc. and Time Warner Cable Inc. (the “cable subgroup”), and Time Warner Inc., Walt Disney Company, Viacom Inc. (Class B), News Corporation (Class A), and CBS Corporation (Class B) (the “media subgroup”). The peer group was constructed as a composite peer group in which the cable subgroup is weighted 62% and the media subgroup is weighted 38% based on the respective revenue of our Cable Communications and NBCUniversal segments. The graph assumes $100 was invested on December 31, 2007 in our Class A common stock and Class A Special common stock and in each of the following indices and assumes the reinvestment of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3E499A"/>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184150</wp:posOffset>
            </wp:positionV>
            <wp:extent cx="5093970" cy="1903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9397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2008</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96"/>
              </w:rPr>
              <w:t>2010</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2011</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2012</w:t>
            </w:r>
          </w:p>
        </w:tc>
      </w:tr>
      <w:tr>
        <w:trPr>
          <w:trHeight w:val="199"/>
        </w:trPr>
        <w:tc>
          <w:tcPr>
            <w:tcW w:w="4180" w:type="dxa"/>
            <w:vAlign w:val="bottom"/>
          </w:tcPr>
          <w:p>
            <w:pPr>
              <w:spacing w:after="0" w:line="200" w:lineRule="exact"/>
              <w:rPr>
                <w:sz w:val="20"/>
                <w:szCs w:val="20"/>
                <w:color w:val="auto"/>
              </w:rPr>
            </w:pPr>
            <w:r>
              <w:rPr>
                <w:rFonts w:ascii="Arial" w:cs="Arial" w:eastAsia="Arial" w:hAnsi="Arial"/>
                <w:sz w:val="18"/>
                <w:szCs w:val="18"/>
                <w:color w:val="auto"/>
              </w:rPr>
              <w:t>Comcast Class A</w:t>
            </w:r>
          </w:p>
        </w:tc>
        <w:tc>
          <w:tcPr>
            <w:tcW w:w="4640" w:type="dxa"/>
            <w:vAlign w:val="bottom"/>
          </w:tcPr>
          <w:p>
            <w:pPr>
              <w:jc w:val="right"/>
              <w:ind w:right="39"/>
              <w:spacing w:after="0" w:line="200" w:lineRule="exact"/>
              <w:rPr>
                <w:sz w:val="20"/>
                <w:szCs w:val="20"/>
                <w:color w:val="auto"/>
              </w:rPr>
            </w:pPr>
            <w:r>
              <w:rPr>
                <w:rFonts w:ascii="Arial" w:cs="Arial" w:eastAsia="Arial" w:hAnsi="Arial"/>
                <w:sz w:val="18"/>
                <w:szCs w:val="18"/>
                <w:color w:val="auto"/>
              </w:rPr>
              <w:t>$ 93</w:t>
            </w:r>
          </w:p>
        </w:tc>
        <w:tc>
          <w:tcPr>
            <w:tcW w:w="580" w:type="dxa"/>
            <w:vAlign w:val="bottom"/>
          </w:tcPr>
          <w:p>
            <w:pPr>
              <w:jc w:val="right"/>
              <w:ind w:right="36"/>
              <w:spacing w:after="0" w:line="200" w:lineRule="exact"/>
              <w:rPr>
                <w:sz w:val="20"/>
                <w:szCs w:val="20"/>
                <w:color w:val="auto"/>
              </w:rPr>
            </w:pPr>
            <w:r>
              <w:rPr>
                <w:rFonts w:ascii="Arial" w:cs="Arial" w:eastAsia="Arial" w:hAnsi="Arial"/>
                <w:sz w:val="18"/>
                <w:szCs w:val="18"/>
                <w:color w:val="auto"/>
              </w:rPr>
              <w:t>$ 95</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6"/>
              <w:spacing w:after="0" w:line="200" w:lineRule="exact"/>
              <w:rPr>
                <w:sz w:val="20"/>
                <w:szCs w:val="20"/>
                <w:color w:val="auto"/>
              </w:rPr>
            </w:pPr>
            <w:r>
              <w:rPr>
                <w:rFonts w:ascii="Arial" w:cs="Arial" w:eastAsia="Arial" w:hAnsi="Arial"/>
                <w:sz w:val="18"/>
                <w:szCs w:val="18"/>
                <w:color w:val="auto"/>
                <w:w w:val="99"/>
              </w:rPr>
              <w:t>126</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200" w:lineRule="exact"/>
              <w:rPr>
                <w:sz w:val="20"/>
                <w:szCs w:val="20"/>
                <w:color w:val="auto"/>
              </w:rPr>
            </w:pPr>
            <w:r>
              <w:rPr>
                <w:rFonts w:ascii="Arial" w:cs="Arial" w:eastAsia="Arial" w:hAnsi="Arial"/>
                <w:sz w:val="18"/>
                <w:szCs w:val="18"/>
                <w:color w:val="auto"/>
              </w:rPr>
              <w:t>139</w:t>
            </w:r>
          </w:p>
        </w:tc>
        <w:tc>
          <w:tcPr>
            <w:tcW w:w="6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$ 223</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Comcast Class A Special</w:t>
            </w:r>
          </w:p>
        </w:tc>
        <w:tc>
          <w:tcPr>
            <w:tcW w:w="4640" w:type="dxa"/>
            <w:vAlign w:val="bottom"/>
          </w:tcPr>
          <w:p>
            <w:pPr>
              <w:jc w:val="right"/>
              <w:ind w:right="39"/>
              <w:spacing w:after="0" w:line="202" w:lineRule="exact"/>
              <w:rPr>
                <w:sz w:val="20"/>
                <w:szCs w:val="20"/>
                <w:color w:val="auto"/>
              </w:rPr>
            </w:pPr>
            <w:r>
              <w:rPr>
                <w:rFonts w:ascii="Arial" w:cs="Arial" w:eastAsia="Arial" w:hAnsi="Arial"/>
                <w:sz w:val="18"/>
                <w:szCs w:val="18"/>
                <w:color w:val="auto"/>
              </w:rPr>
              <w:t>$ 90</w:t>
            </w: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$ 91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6"/>
              <w:spacing w:after="0" w:line="202" w:lineRule="exact"/>
              <w:rPr>
                <w:sz w:val="20"/>
                <w:szCs w:val="20"/>
                <w:color w:val="auto"/>
              </w:rPr>
            </w:pPr>
            <w:r>
              <w:rPr>
                <w:rFonts w:ascii="Arial" w:cs="Arial" w:eastAsia="Arial" w:hAnsi="Arial"/>
                <w:sz w:val="18"/>
                <w:szCs w:val="18"/>
                <w:color w:val="auto"/>
                <w:w w:val="99"/>
              </w:rPr>
              <w:t>121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139</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$ 216</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S&amp;P 500 Stock Index</w:t>
            </w:r>
          </w:p>
        </w:tc>
        <w:tc>
          <w:tcPr>
            <w:tcW w:w="4640" w:type="dxa"/>
            <w:vAlign w:val="bottom"/>
          </w:tcPr>
          <w:p>
            <w:pPr>
              <w:jc w:val="right"/>
              <w:ind w:right="39"/>
              <w:spacing w:after="0" w:line="202" w:lineRule="exact"/>
              <w:rPr>
                <w:sz w:val="20"/>
                <w:szCs w:val="20"/>
                <w:color w:val="auto"/>
              </w:rPr>
            </w:pPr>
            <w:r>
              <w:rPr>
                <w:rFonts w:ascii="Arial" w:cs="Arial" w:eastAsia="Arial" w:hAnsi="Arial"/>
                <w:sz w:val="18"/>
                <w:szCs w:val="18"/>
                <w:color w:val="auto"/>
              </w:rPr>
              <w:t>$ 63</w:t>
            </w: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$ 80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94</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$ 109</w:t>
            </w:r>
          </w:p>
        </w:tc>
      </w:tr>
      <w:tr>
        <w:trPr>
          <w:trHeight w:val="199"/>
        </w:trPr>
        <w:tc>
          <w:tcPr>
            <w:tcW w:w="4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Peer Group Index</w:t>
            </w:r>
          </w:p>
        </w:tc>
        <w:tc>
          <w:tcPr>
            <w:tcW w:w="464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$ 73</w:t>
            </w:r>
          </w:p>
        </w:tc>
        <w:tc>
          <w:tcPr>
            <w:tcW w:w="58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$ 93</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w w:val="99"/>
              </w:rPr>
              <w:t>118</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130</w:t>
            </w:r>
          </w:p>
        </w:tc>
        <w:tc>
          <w:tcPr>
            <w:tcW w:w="6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$ 187</w:t>
            </w:r>
          </w:p>
        </w:tc>
      </w:tr>
      <w:tr>
        <w:trPr>
          <w:trHeight w:val="506"/>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4640" w:type="dxa"/>
            <w:vAlign w:val="bottom"/>
          </w:tcPr>
          <w:p>
            <w:pPr>
              <w:jc w:val="right"/>
              <w:ind w:right="2899"/>
              <w:spacing w:after="0"/>
              <w:rPr>
                <w:sz w:val="20"/>
                <w:szCs w:val="20"/>
                <w:color w:val="auto"/>
              </w:rPr>
            </w:pPr>
            <w:r>
              <w:rPr>
                <w:rFonts w:ascii="Arial" w:cs="Arial" w:eastAsia="Arial" w:hAnsi="Arial"/>
                <w:sz w:val="14"/>
                <w:szCs w:val="14"/>
                <w:b w:val="1"/>
                <w:bCs w:val="1"/>
                <w:color w:val="auto"/>
              </w:rPr>
              <w:t>42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3E499A"/>
        </w:rPr>
        <w:t>Item 6: Selected Financial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2011</w:t>
            </w:r>
            <w:r>
              <w:rPr>
                <w:rFonts w:ascii="Arial" w:cs="Arial" w:eastAsia="Arial" w:hAnsi="Arial"/>
                <w:sz w:val="22"/>
                <w:szCs w:val="22"/>
                <w:color w:val="auto"/>
                <w:vertAlign w:val="superscript"/>
              </w:rPr>
              <w:t>(b)</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2009</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61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Statement of Income Data</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62,570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180" w:type="dxa"/>
            <w:vAlign w:val="bottom"/>
            <w:gridSpan w:val="2"/>
          </w:tcPr>
          <w:p>
            <w:pPr>
              <w:spacing w:after="0" w:line="181" w:lineRule="exact"/>
              <w:rPr>
                <w:sz w:val="20"/>
                <w:szCs w:val="20"/>
                <w:color w:val="auto"/>
              </w:rPr>
            </w:pPr>
            <w:r>
              <w:rPr>
                <w:rFonts w:ascii="Arial" w:cs="Arial" w:eastAsia="Arial" w:hAnsi="Arial"/>
                <w:sz w:val="18"/>
                <w:szCs w:val="18"/>
                <w:color w:val="auto"/>
              </w:rPr>
              <w:t>Revenue</w:t>
            </w:r>
          </w:p>
        </w:tc>
        <w:tc>
          <w:tcPr>
            <w:tcW w:w="4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55,842</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37,937</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35,756</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34,423</w:t>
            </w: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w:t>
            </w:r>
          </w:p>
        </w:tc>
        <w:tc>
          <w:tcPr>
            <w:tcW w:w="46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12,179</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10,721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7,980</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7,214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25"/>
        </w:trPr>
        <w:tc>
          <w:tcPr>
            <w:tcW w:w="6180" w:type="dxa"/>
            <w:vAlign w:val="bottom"/>
            <w:gridSpan w:val="2"/>
          </w:tcPr>
          <w:p>
            <w:pPr>
              <w:spacing w:after="0"/>
              <w:rPr>
                <w:sz w:val="20"/>
                <w:szCs w:val="20"/>
                <w:color w:val="auto"/>
              </w:rPr>
            </w:pPr>
            <w:r>
              <w:rPr>
                <w:rFonts w:ascii="Arial" w:cs="Arial" w:eastAsia="Arial" w:hAnsi="Arial"/>
                <w:sz w:val="18"/>
                <w:szCs w:val="18"/>
                <w:color w:val="auto"/>
              </w:rPr>
              <w:t>Net income attributable to Comcast Corporation</w:t>
            </w:r>
            <w:r>
              <w:rPr>
                <w:rFonts w:ascii="Arial" w:cs="Arial" w:eastAsia="Arial" w:hAnsi="Arial"/>
                <w:sz w:val="11"/>
                <w:szCs w:val="11"/>
                <w:color w:val="auto"/>
              </w:rPr>
              <w:t>(a)</w:t>
            </w:r>
          </w:p>
        </w:tc>
        <w:tc>
          <w:tcPr>
            <w:tcW w:w="4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6,203</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4,160</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3,635</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3,638</w:t>
            </w:r>
          </w:p>
        </w:tc>
        <w:tc>
          <w:tcPr>
            <w:tcW w:w="2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2.32</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4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302"/>
        </w:trPr>
        <w:tc>
          <w:tcPr>
            <w:tcW w:w="6180" w:type="dxa"/>
            <w:vAlign w:val="bottom"/>
            <w:gridSpan w:val="2"/>
          </w:tcPr>
          <w:p>
            <w:pPr>
              <w:spacing w:after="0"/>
              <w:rPr>
                <w:sz w:val="20"/>
                <w:szCs w:val="20"/>
                <w:color w:val="auto"/>
              </w:rPr>
            </w:pPr>
            <w:r>
              <w:rPr>
                <w:rFonts w:ascii="Arial" w:cs="Arial" w:eastAsia="Arial" w:hAnsi="Arial"/>
                <w:sz w:val="18"/>
                <w:szCs w:val="18"/>
                <w:color w:val="auto"/>
              </w:rPr>
              <w:t>Diluted earnings per common share attributable to Comcast Corporation</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2.28</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shareholders</w:t>
            </w:r>
          </w:p>
        </w:tc>
        <w:tc>
          <w:tcPr>
            <w:tcW w:w="4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Dividends declared per common share attributable to Comcast Corporation</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0.65</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shareholders</w:t>
            </w:r>
          </w:p>
        </w:tc>
        <w:tc>
          <w:tcPr>
            <w:tcW w:w="4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0.45</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0.378</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0.297</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60" w:type="dxa"/>
            <w:vAlign w:val="bottom"/>
          </w:tcPr>
          <w:p>
            <w:pPr>
              <w:spacing w:after="0" w:line="200" w:lineRule="exact"/>
              <w:rPr>
                <w:sz w:val="20"/>
                <w:szCs w:val="20"/>
                <w:color w:val="auto"/>
              </w:rPr>
            </w:pPr>
            <w:r>
              <w:rPr>
                <w:rFonts w:ascii="Arial" w:cs="Arial" w:eastAsia="Arial" w:hAnsi="Arial"/>
                <w:sz w:val="18"/>
                <w:szCs w:val="18"/>
                <w:b w:val="1"/>
                <w:bCs w:val="1"/>
                <w:color w:val="auto"/>
              </w:rPr>
              <w:t>Balance Sheet Data (at year end)</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164,971</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180" w:type="dxa"/>
            <w:vAlign w:val="bottom"/>
            <w:gridSpan w:val="2"/>
          </w:tcPr>
          <w:p>
            <w:pPr>
              <w:spacing w:after="0" w:line="181" w:lineRule="exact"/>
              <w:rPr>
                <w:sz w:val="20"/>
                <w:szCs w:val="20"/>
                <w:color w:val="auto"/>
              </w:rPr>
            </w:pPr>
            <w:r>
              <w:rPr>
                <w:rFonts w:ascii="Arial" w:cs="Arial" w:eastAsia="Arial" w:hAnsi="Arial"/>
                <w:sz w:val="18"/>
                <w:szCs w:val="18"/>
                <w:color w:val="auto"/>
              </w:rPr>
              <w:t>Total assets</w:t>
            </w:r>
          </w:p>
        </w:tc>
        <w:tc>
          <w:tcPr>
            <w:tcW w:w="4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157,818</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118,534</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112,733</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113,017</w:t>
            </w: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Total debt, including current portion</w:t>
            </w:r>
          </w:p>
        </w:tc>
        <w:tc>
          <w:tcPr>
            <w:tcW w:w="46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40,458</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39,309</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31,415</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29,096</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32,456</w:t>
            </w: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Comcast Corporation shareholders’ equity</w:t>
            </w:r>
          </w:p>
        </w:tc>
        <w:tc>
          <w:tcPr>
            <w:tcW w:w="46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49,356</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47,274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44,354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42,721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40,450</w:t>
            </w:r>
          </w:p>
        </w:tc>
        <w:tc>
          <w:tcPr>
            <w:tcW w:w="0" w:type="dxa"/>
            <w:vAlign w:val="bottom"/>
          </w:tcPr>
          <w:p>
            <w:pPr>
              <w:spacing w:after="0"/>
              <w:rPr>
                <w:sz w:val="1"/>
                <w:szCs w:val="1"/>
                <w:color w:val="auto"/>
              </w:rPr>
            </w:pPr>
          </w:p>
        </w:tc>
      </w:tr>
      <w:tr>
        <w:trPr>
          <w:trHeight w:val="225"/>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Data</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14,854</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160" w:type="dxa"/>
            <w:vAlign w:val="bottom"/>
          </w:tcPr>
          <w:p>
            <w:pPr>
              <w:ind w:left="200"/>
              <w:spacing w:after="0" w:line="181" w:lineRule="exact"/>
              <w:rPr>
                <w:sz w:val="20"/>
                <w:szCs w:val="20"/>
                <w:color w:val="auto"/>
              </w:rPr>
            </w:pPr>
            <w:r>
              <w:rPr>
                <w:rFonts w:ascii="Arial" w:cs="Arial" w:eastAsia="Arial" w:hAnsi="Arial"/>
                <w:sz w:val="18"/>
                <w:szCs w:val="18"/>
                <w:color w:val="auto"/>
              </w:rPr>
              <w:t>Operating activities</w:t>
            </w:r>
          </w:p>
        </w:tc>
        <w:tc>
          <w:tcPr>
            <w:tcW w:w="4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14,345</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11,179</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10,281</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10,231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4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(1,486)</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(12,508)</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(5,711)</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(5,897)</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Financing activities</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00" w:hanging="292"/>
        <w:spacing w:after="0" w:line="228" w:lineRule="auto"/>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2012, 2011 and 2010, refer to Management’s Discussion and Analysis of Financial Condition and Results of Operations included in this Annual Report on Form 10-K for a discussion of the effects of items impacting net income attributable to Comcast Corporation. In 2012 and 2011, net income attributable to Comcast Corporation is stated after deducting net income of $1.7 billion and $1 billion, respectively, attributable to noncontrolling interests.</w:t>
      </w:r>
    </w:p>
    <w:p>
      <w:pPr>
        <w:spacing w:after="0" w:line="67"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 January 28, 2011, we completed the NBCUniversal transaction. Refer to Management’s Discussion and Analysis of Financial Condition and Results of Operations included in this Annual Report on Form 10-K for a discussion of the effects of the NBCUniversal transaction on the comparability of the information presented in this financial data.</w:t>
      </w:r>
    </w:p>
    <w:p>
      <w:pPr>
        <w:spacing w:after="0" w:line="32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43</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3E499A"/>
        </w:rPr>
        <w:t>Item 7: Management’s Discussion and Analysis of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In 2011, we closed the NBCUniversal transaction in which we acquired control of the businesses of NBC Universal, Inc. (now named NBCUniversal Media, LLC (“NBCUniversal”)). We present our operations in the following five reportable business segments: Cable Communications, Cable Networks, Broadcast Television, Filmed Entertainment and Theme Parks. The Cable Networks, Broadcast Television, Filmed Entertainment and Theme Parks segments comprise the NBCUniversal businesses and are collectively referred to as the “NBCUniversal segments.”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the nation’s largest provider of video, high-speed Internet and voice services (“cable services”) to residential customers under the XFINITY brand and we also provide these services to businesses. As of December 31, 2012, our cable systems served 22.0 million video customers, 19.4 million high-speed Internet customers and 10.0 million voice customers and passed more than 53 million homes and businesses. Our Cable Communications segment generates revenue primarily from subscriptions to our cable services, which we market individually and in packages, and from the sale of advertising. In 2012, our Cable Communications segment generated 63% of our consolidated revenue and more than 80% of our operating income before depreciation and amortization.</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systems allow us to deliver video, high-speed Internet and voice services to residential customers and to small and medium-sized businesses. We offer a broad variety of video services with access to hundreds of channels, including premium networks, such as HBO, Showtime, Starz and Cinemax, pay-per-view channels, as well as On Demand, our video-on-demand service, and an interactive, on-screen program guide. Our video customers may also subscribe to a higher level of video service, including our HD video and DVR services. Our video customers also have the ability to use XFINITY.net or our mobile apps for smartphones and tablets to view certain live television programming and some of our On Demand content, browse program listings, and, in select markets, schedule and manage DVR recordings online.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high-speed Internet services generally provide Internet access at downstream speeds of up to 105 Mbps, subject to geographic market availability, and we also have introduced speeds of up to 305 Mbps in limited markets. Our high-speed Internet service for business customers also includes a website hosting service and an interactive tool that allows customers to share, coordinate and store documents online.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voice services provide local and long-distance calling and other features. These features, as well as additional features such as hosted voice services using cloud network servers, a business directory listing and the added capacity for multiple phone lines are made available to our business voice customers. For our medium-sized business customers, we also offer metro Ethernet network services and cellular backhaul services.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majority of our Cable Communications segment revenue is generated from subscriptions to our cable services. Customers are typically billed in advance on a monthly basis based on the services and features they receive and the type of equipment they use. Residential customers may generally discontinue service at any time, while business customers may only discontinue service in accordance with the terms of their contracts, which typically have 2 to 5 year terms.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most significant operating cost is the programming expense we incur to provide content to our video customers. We anticipate that our programming expenses will continue to increase. We have, and will continue to attempt to, offset increases in programming expenses through rate increases, the sale of additional video and other services and through operating efficiencies.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NBCUniversal is a leading media and entertainment company that develops, produces and distributes entertainment, news and information, sports and other content for global audiences.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3E499A"/>
        </w:rPr>
        <w:t>Cable Networks</w:t>
      </w:r>
    </w:p>
    <w:p>
      <w:pPr>
        <w:jc w:val="both"/>
        <w:spacing w:after="0" w:line="271" w:lineRule="auto"/>
        <w:rPr>
          <w:sz w:val="20"/>
          <w:szCs w:val="20"/>
          <w:color w:val="auto"/>
        </w:rPr>
      </w:pPr>
      <w:r>
        <w:rPr>
          <w:rFonts w:ascii="Arial" w:cs="Arial" w:eastAsia="Arial" w:hAnsi="Arial"/>
          <w:sz w:val="16"/>
          <w:szCs w:val="16"/>
          <w:color w:val="auto"/>
        </w:rPr>
        <w:t>Our Cable Networks segment consists primarily of our national cable entertainment networks (USA Network, Syfy, E!, Bravo, Oxygen, Style, G4, Chiller, Cloo and Universal HD); our national cable news and information networks (CNBC, MSNBC and CNBC World); our national cable sports networks (Golf Channel and NBC Sports Network); our regional sports and news networks; our international cable networks (including CNBC Europe, CNBC Asia and our Universal Networks International portfolio of networks); our cable television production studio; and our related digital media properties, which are primarily brand-aligned and other websites. Our Cable Networks segment generates revenue primarily from the distribution of our cable network programming to multichannel video providers, the sale of advertising and the licensing of our owned programming.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3E499A"/>
        </w:rPr>
        <w:t>Broadcast Television</w:t>
      </w:r>
    </w:p>
    <w:p>
      <w:pPr>
        <w:jc w:val="both"/>
        <w:spacing w:after="0" w:line="236"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our broadcast television production operations, and our related digital media properties, which are primarily brand-aligned websites. Our Broadcast Television segment generates revenue primarily from the sale of advertising and the licensing of our owned programming. Our Broadcast Television segment also generates revenue from the sale of our owned programming, retransmission of our owned local television stations’ signals and fees received from our affiliated local television stations.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E499A"/>
        </w:rPr>
        <w:t>Filmed Entertainment</w:t>
      </w:r>
    </w:p>
    <w:p>
      <w:pPr>
        <w:jc w:val="both"/>
        <w:spacing w:after="0" w:line="236" w:lineRule="auto"/>
        <w:rPr>
          <w:sz w:val="20"/>
          <w:szCs w:val="20"/>
          <w:color w:val="auto"/>
        </w:rPr>
      </w:pPr>
      <w:r>
        <w:rPr>
          <w:rFonts w:ascii="Arial" w:cs="Arial" w:eastAsia="Arial" w:hAnsi="Arial"/>
          <w:sz w:val="18"/>
          <w:szCs w:val="18"/>
          <w:color w:val="auto"/>
        </w:rPr>
        <w:t>Our Filmed Entertainment segment produces, acquires, markets and distributes filmed entertainment worldwide. Our films are produced primarily under the Universal Pictures, Focus Features and Illumination names. We also develop, produce and license live stage plays. Our Filmed Entertainment segment generates revenue primarily from the worldwide distribution of our owned and acquired films for exhibition in movie theaters, the licensing of our owned and acquired films, and the sale of our owned and acquired films on standard-definition video discs and Blu-ray discs (together, “DVDs”) and through digital distributors. Our Filmed Entertainment segment also generates revenue from producing and licensing live stage plays and distributing filmed entertainment produced by third parties.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3E499A"/>
        </w:rPr>
        <w:t>Theme Parks</w:t>
      </w:r>
    </w:p>
    <w:p>
      <w:pPr>
        <w:jc w:val="both"/>
        <w:spacing w:after="0" w:line="236"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 Our Theme Parks segment generates revenue primarily from theme park attendance and per capita spending at our Universal theme parks in Orlando and Hollywood, as well as from licensing and other fees. Per capita spending includes ticket price and in-park spending on food, beverages and merchandise.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Developments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2012:</w:t>
      </w:r>
    </w:p>
    <w:p>
      <w:pPr>
        <w:spacing w:after="0" w:line="117" w:lineRule="exact"/>
        <w:rPr>
          <w:sz w:val="20"/>
          <w:szCs w:val="20"/>
          <w:color w:val="auto"/>
        </w:rPr>
      </w:pPr>
    </w:p>
    <w:p>
      <w:pPr>
        <w:ind w:left="1020" w:right="1240" w:hanging="215"/>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consolidated revenue of 12.0% to $62.6 billion and an increase in consolidated operating income of 13.6% to $12.2 billion</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Cable Communications segment revenue of 6.4% to $39.6 billion and an increase in Cable Communications segment operating income before depreciation and amortization of 6.3% to $16.3 billion</w:t>
      </w:r>
    </w:p>
    <w:p>
      <w:pPr>
        <w:spacing w:after="0" w:line="114" w:lineRule="exact"/>
        <w:rPr>
          <w:rFonts w:ascii="Arial" w:cs="Arial" w:eastAsia="Arial" w:hAnsi="Arial"/>
          <w:sz w:val="18"/>
          <w:szCs w:val="18"/>
          <w:color w:val="auto"/>
        </w:rPr>
      </w:pPr>
    </w:p>
    <w:p>
      <w:pPr>
        <w:jc w:val="both"/>
        <w:ind w:left="1020" w:right="1240" w:hanging="215"/>
        <w:spacing w:after="0" w:line="23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total NBCUniversal revenue to $23.8 billion, which represents a 12.7% increase on a pro forma basis and includes $1.4 billion related to our broadcasts of the 2012 London Olympics and the 2012 Super Bowl, and an increase in total NBCUniversal operating income before depreciation and amortization to $4.1 billion, which represents a 9.0% increase on a pro forma basis</w:t>
      </w:r>
    </w:p>
    <w:p>
      <w:pPr>
        <w:spacing w:after="0" w:line="114" w:lineRule="exact"/>
        <w:rPr>
          <w:rFonts w:ascii="Arial" w:cs="Arial" w:eastAsia="Arial" w:hAnsi="Arial"/>
          <w:sz w:val="18"/>
          <w:szCs w:val="18"/>
          <w:color w:val="auto"/>
        </w:rPr>
      </w:pPr>
    </w:p>
    <w:p>
      <w:pPr>
        <w:jc w:val="both"/>
        <w:ind w:left="1020" w:right="1240" w:hanging="215"/>
        <w:spacing w:after="0" w:line="23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completion of SpectrumCo’s transaction to sell its advanced wireless services (“AWS”) spectrum licenses to Verizon Wireless for $3.6 billion, of which our portion of the proceeds was $2.3 billion, and the commencement of sales under our agency agreements with Verizon Wireless, which provide for, among other things, the sale of our cable services by Verizon Wireless and our sale of Verizon Wireless products and services (the “SpectrumCo transaction”)</w:t>
      </w:r>
    </w:p>
    <w:p>
      <w:pPr>
        <w:spacing w:after="0" w:line="116"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redemption by A&amp;E Television Networks LLC (“A&amp;E Television Networks”) of NBCUniversal’s 15.8% equity interest in A&amp;E Television Networks for $3 billion in cash proceeds (the “A&amp;E Television Networks transaction”)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February 12, 2013, we entered into an agreement to acquire GE’s 49% common equity interest in NBCUniversal Holdings for approximately $16.7 billion. In addition, NBCUniversal agreed to acquire from GE the portion of 30 Rockefeller Plaza in New York City that NBCUniversal occupies and CNBC’s headquarters in Englewood Cliffs, New Jersey for approximately $1.4 billion. The transactions, which are subject to customary closing conditions, are expected to close by the end of March 2013.</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consideration will consist of $11.4 billion of cash on hand; $4 billion of senior unsecured debt securities issued by a holding company (“HoldCo”), whose sole asset is its interests in NBCUniversal Holdings; $2 billion of cash funded through a combination of Comcast’s existing credit facility and NBCUniversal’s credit facility, which is expected to be amended, among other things, to substitute HoldCo as the sole borrower; and $725 million of Holdco preferred stock. After closing, we will control and consolidate HoldCo and own all of its capital stock other than the preferred stock. HoldCo’s debt securities and credit facility will be guaranteed by us and the cable holding company subsidiaries that guarantee our senior indebtedness. The preferred stock will pay dividends at a fixed rate and can be put to HoldCo for redemption at par on the later of seven years following the issuance of the preferred stock and three years following the sale by GE of shares to unaffiliated third parties, and thereafter, every third anniversary of such date (a “Put Date”). Shares of preferred stock can be called for redemption by HoldCo at par one year following each Put Date applicable to such shares.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3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2010</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 to 2012</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2010 to 2011</w:t>
            </w:r>
          </w:p>
        </w:tc>
        <w:tc>
          <w:tcPr>
            <w:tcW w:w="0" w:type="dxa"/>
            <w:vAlign w:val="bottom"/>
          </w:tcPr>
          <w:p>
            <w:pPr>
              <w:spacing w:after="0"/>
              <w:rPr>
                <w:sz w:val="1"/>
                <w:szCs w:val="1"/>
                <w:color w:val="auto"/>
              </w:rPr>
            </w:pPr>
          </w:p>
        </w:tc>
      </w:tr>
      <w:tr>
        <w:trPr>
          <w:trHeight w:val="199"/>
        </w:trPr>
        <w:tc>
          <w:tcPr>
            <w:tcW w:w="54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2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4"/>
              <w:spacing w:after="0" w:line="200" w:lineRule="exact"/>
              <w:rPr>
                <w:sz w:val="20"/>
                <w:szCs w:val="20"/>
                <w:color w:val="auto"/>
              </w:rPr>
            </w:pPr>
            <w:r>
              <w:rPr>
                <w:rFonts w:ascii="Arial" w:cs="Arial" w:eastAsia="Arial" w:hAnsi="Arial"/>
                <w:sz w:val="18"/>
                <w:szCs w:val="18"/>
                <w:b w:val="1"/>
                <w:bCs w:val="1"/>
                <w:color w:val="auto"/>
              </w:rPr>
              <w:t>62,570</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55,842</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w w:val="98"/>
              </w:rPr>
              <w:t>37,937</w:t>
            </w:r>
          </w:p>
        </w:tc>
        <w:tc>
          <w:tcPr>
            <w:tcW w:w="11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12.0%</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1240" w:type="dxa"/>
            <w:vAlign w:val="bottom"/>
          </w:tcPr>
          <w:p>
            <w:pPr>
              <w:spacing w:after="0"/>
              <w:rPr>
                <w:sz w:val="17"/>
                <w:szCs w:val="17"/>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19,929</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20.1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16,598</w:t>
            </w:r>
          </w:p>
        </w:tc>
        <w:tc>
          <w:tcPr>
            <w:tcW w:w="220" w:type="dxa"/>
            <w:vAlign w:val="bottom"/>
          </w:tcPr>
          <w:p>
            <w:pPr>
              <w:spacing w:after="0"/>
              <w:rPr>
                <w:sz w:val="15"/>
                <w:szCs w:val="15"/>
                <w:color w:val="auto"/>
              </w:rPr>
            </w:pP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8,537</w:t>
            </w:r>
          </w:p>
        </w:tc>
        <w:tc>
          <w:tcPr>
            <w:tcW w:w="1120" w:type="dxa"/>
            <w:vAlign w:val="bottom"/>
            <w:vMerge w:val="continue"/>
          </w:tcPr>
          <w:p>
            <w:pPr>
              <w:spacing w:after="0"/>
              <w:rPr>
                <w:sz w:val="15"/>
                <w:szCs w:val="15"/>
                <w:color w:val="auto"/>
              </w:rPr>
            </w:pPr>
          </w:p>
        </w:tc>
        <w:tc>
          <w:tcPr>
            <w:tcW w:w="1080" w:type="dxa"/>
            <w:vAlign w:val="bottom"/>
          </w:tcPr>
          <w:p>
            <w:pPr>
              <w:jc w:val="right"/>
              <w:ind w:right="135"/>
              <w:spacing w:after="0" w:line="181"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24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17,857</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16,656</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w w:val="98"/>
              </w:rPr>
              <w:t>12,395</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7.2</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124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4,807</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4,231</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2,409</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13.6</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24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6,150</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6,040</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5,539</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1.8</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1,648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1,596</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1,077</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3.3</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44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w:t>
            </w:r>
          </w:p>
        </w:tc>
        <w:tc>
          <w:tcPr>
            <w:tcW w:w="124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12,179</w:t>
            </w:r>
          </w:p>
        </w:tc>
        <w:tc>
          <w:tcPr>
            <w:tcW w:w="20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10,721</w:t>
            </w:r>
          </w:p>
        </w:tc>
        <w:tc>
          <w:tcPr>
            <w:tcW w:w="22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rPr>
              <w:t>7,980</w:t>
            </w:r>
          </w:p>
        </w:tc>
        <w:tc>
          <w:tcPr>
            <w:tcW w:w="112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13.6</w:t>
            </w:r>
          </w:p>
        </w:tc>
        <w:tc>
          <w:tcPr>
            <w:tcW w:w="108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1"/>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income (expense) items, net</w:t>
            </w: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(77.3)</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77"/>
        </w:trPr>
        <w:tc>
          <w:tcPr>
            <w:tcW w:w="546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124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11,609</w:t>
            </w:r>
          </w:p>
        </w:tc>
        <w:tc>
          <w:tcPr>
            <w:tcW w:w="20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8,207</w:t>
            </w:r>
          </w:p>
        </w:tc>
        <w:tc>
          <w:tcPr>
            <w:tcW w:w="22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rPr>
              <w:t>6,104</w:t>
            </w:r>
          </w:p>
        </w:tc>
        <w:tc>
          <w:tcPr>
            <w:tcW w:w="112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41.5</w:t>
            </w:r>
          </w:p>
        </w:tc>
        <w:tc>
          <w:tcPr>
            <w:tcW w:w="108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1"/>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(3,744)</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22.8</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77"/>
        </w:trPr>
        <w:tc>
          <w:tcPr>
            <w:tcW w:w="5460" w:type="dxa"/>
            <w:vAlign w:val="bottom"/>
            <w:gridSpan w:val="2"/>
          </w:tcPr>
          <w:p>
            <w:pPr>
              <w:spacing w:after="0" w:line="177" w:lineRule="exact"/>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7,865</w:t>
            </w:r>
          </w:p>
        </w:tc>
        <w:tc>
          <w:tcPr>
            <w:tcW w:w="20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5,157</w:t>
            </w:r>
          </w:p>
        </w:tc>
        <w:tc>
          <w:tcPr>
            <w:tcW w:w="22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rPr>
              <w:t>3,668</w:t>
            </w:r>
          </w:p>
        </w:tc>
        <w:tc>
          <w:tcPr>
            <w:tcW w:w="112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52.5</w:t>
            </w:r>
          </w:p>
        </w:tc>
        <w:tc>
          <w:tcPr>
            <w:tcW w:w="108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1"/>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66.8</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3E499A"/>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12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6,203</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color w:val="auto"/>
              </w:rPr>
              <w:t>4,160</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color w:val="auto"/>
              </w:rPr>
              <w:t>3,635</w:t>
            </w:r>
          </w:p>
        </w:tc>
        <w:tc>
          <w:tcPr>
            <w:tcW w:w="11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49.1%</w:t>
            </w:r>
          </w:p>
        </w:tc>
        <w:tc>
          <w:tcPr>
            <w:tcW w:w="10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comparability of our consolidated results of operations was impacted by the NBCUniversal transaction, which closed on January 28, 2011, and the Universal City Development Partners, Ltd. (“Universal Orlando”) transaction, which closed on July 1, 2011. The results of operations of NBCUniversal and Universal Orlando are included in our consolidated financial statements following their respective acquisition 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E499A"/>
        </w:rPr>
        <w:t>2012 Consolidated Operating Results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526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2012, our Cable Communications, Broadcast Television and Filmed Entertainment segments accounted for substantially all of the increase in consolidated revenue. The increase in consolidated revenue in 2011 was primarily due to the NBCUniversal transaction and an increase in our Cable Communications segment revenue. The NBCUniversal contributed businesses accounted for $14.5 billion of the increase in consolidated revenue in 2011. Revenue for our Cable Communications and NBCUniversal segments is discussed separately below under the heading “Segment Operating Results.”</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47</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2012, our Cable Communications, Broadcast Television and Filmed Entertainment segments accounted for substantially all of the increase in consolidated costs and expenses, excluding depreciation and amortization (consolidated “operating costs and expenses”). The increase in consolidated operating costs and expenses in 2011 was primarily due to the NBCUniversal transaction and the costs associated with the transaction, as well as an increase in our Cable Communications segment. The NBCUniversal contributed businesses accounted for $12.3 billion of the increase in consolidated operating costs and expenses in 2011. Operating costs and expenses for our Cable Communications and NBCUniversal segments are discussed separately below under the heading “Segment Operating Results.”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Consolidated depreciation and amortization increased slightly in 2012 primarily due to the impact of consolidating NBCUniversal and Universal Orlando following the close of each transaction. Consolidated depreciation and amortization increased in 2011 primarily due to $976 million of depreciation and amortization associated with the consolidation of NBCUniversal and Universal Orlando following their respective acquisition dates.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19 to our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results of operations of our reportable business segments may be affected by competition, as all of our businesses operate in intensely competitive industries and compete with a growing number of companies that provide a broad range of communications products and services and entertainment, news and information content to consumers. Technological changes are further intensifying and complicating the competitive landscape and consumer behavior. For example, companies continue to emerge that offer services or devices that enable digital distribution of movies, television shows and other video programming, and wireless services and devices continue to evolve. Moreover, newer services that distribute video programming are also beginning to produce or acquire their own original content. This competition is further complicated by federal and state legislative bodies and various regulatory agencies, such as the FCC, which can adopt laws and policies that provide a favorable operating environment for some of our existing and potential new competitors. See “Business – Competition” for additional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calendar quarter and increased net customer additions in the third and fourth calendar quarters of each year.</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Revenue in our Cable Communications, Cable Networks and Broadcast Television segments is subject to cyclical advertising patterns and changes in viewership levels. Our U.S.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related to candidates running for political office and issue-oriented advertising. Our Broadcast Television revenue and operating costs and expenses also are cyclical as a result of our periodic broadcasts of the Olympic Games and the Super Bowl. Our advertising revenue generally increases in the period of these broadcasts from increased demand for advertising time, and our operating costs and expenses also increase as a result of our production costs and the amortization of the related rights fees. All of the revenue and operating costs and expenses associated with our broadcasts of the 2012 London Olympics and the 2012 Super Bowl are reported in our Broadcast Television segment.</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in our Filmed Entertainment segment also fluctuates due to the timing of the release of films in movie theaters and the release of our films on DVD and through digital distributors. Revenue in our Cable Networks and Broadcast Television segments also fluctuates depending on the timing of the release of our programming on television and on DVD. Release dates are determined by several factors, including competition and the timing of vacation and holiday periods. As a result, revenue tends to be seasonal, with increases experienced during the summer months, around holidays and in the fourth calendar quarter of each year. Revenue in our Cable Networks, Broadcast Television and Filmed Entertainment segments also fluctuates due to the timing of when our owned content is made available to licensees.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in our Theme Parks segment fluctuates with changes in theme park attendance resulting from the seasonal nature of vacation travel, local entertainment offerings and seasonal weather variations. Our theme parks experience peak attendance generally during the summer months when schools are closed and during early winter and spring holiday periods.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Cable Communications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929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49</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8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2010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2011 to 2012</w:t>
            </w:r>
          </w:p>
        </w:tc>
        <w:tc>
          <w:tcPr>
            <w:tcW w:w="130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2010 to 2011</w:t>
            </w:r>
          </w:p>
        </w:tc>
        <w:tc>
          <w:tcPr>
            <w:tcW w:w="0" w:type="dxa"/>
            <w:vAlign w:val="bottom"/>
          </w:tcPr>
          <w:p>
            <w:pPr>
              <w:spacing w:after="0"/>
              <w:rPr>
                <w:sz w:val="1"/>
                <w:szCs w:val="1"/>
                <w:color w:val="auto"/>
              </w:rPr>
            </w:pPr>
          </w:p>
        </w:tc>
      </w:tr>
      <w:tr>
        <w:trPr>
          <w:trHeight w:val="199"/>
        </w:trPr>
        <w:tc>
          <w:tcPr>
            <w:tcW w:w="56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Residential:</w:t>
            </w:r>
          </w:p>
        </w:tc>
        <w:tc>
          <w:tcPr>
            <w:tcW w:w="1840" w:type="dxa"/>
            <w:vAlign w:val="bottom"/>
            <w:gridSpan w:val="2"/>
            <w:vMerge w:val="restart"/>
          </w:tcPr>
          <w:p>
            <w:pPr>
              <w:jc w:val="right"/>
              <w:ind w:right="12"/>
              <w:spacing w:after="0"/>
              <w:rPr>
                <w:sz w:val="20"/>
                <w:szCs w:val="20"/>
                <w:color w:val="auto"/>
              </w:rPr>
            </w:pPr>
            <w:r>
              <w:rPr>
                <w:rFonts w:ascii="Arial" w:cs="Arial" w:eastAsia="Arial" w:hAnsi="Arial"/>
                <w:sz w:val="18"/>
                <w:szCs w:val="18"/>
                <w:b w:val="1"/>
                <w:bCs w:val="1"/>
                <w:color w:val="auto"/>
              </w:rPr>
              <w:t>$ 20,112</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gridSpan w:val="2"/>
            <w:vMerge w:val="restart"/>
          </w:tcPr>
          <w:p>
            <w:pPr>
              <w:jc w:val="right"/>
              <w:ind w:right="422"/>
              <w:spacing w:after="0"/>
              <w:rPr>
                <w:sz w:val="20"/>
                <w:szCs w:val="20"/>
                <w:color w:val="auto"/>
              </w:rPr>
            </w:pPr>
            <w:r>
              <w:rPr>
                <w:rFonts w:ascii="Arial" w:cs="Arial" w:eastAsia="Arial" w:hAnsi="Arial"/>
                <w:sz w:val="18"/>
                <w:szCs w:val="18"/>
                <w:b w:val="1"/>
                <w:bCs w:val="1"/>
                <w:color w:val="auto"/>
              </w:rPr>
              <w:t>2.5%</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tcPr>
          <w:p>
            <w:pPr>
              <w:ind w:left="420"/>
              <w:spacing w:after="0" w:line="181" w:lineRule="exact"/>
              <w:rPr>
                <w:sz w:val="20"/>
                <w:szCs w:val="20"/>
                <w:color w:val="auto"/>
              </w:rPr>
            </w:pPr>
            <w:r>
              <w:rPr>
                <w:rFonts w:ascii="Arial" w:cs="Arial" w:eastAsia="Arial" w:hAnsi="Arial"/>
                <w:sz w:val="18"/>
                <w:szCs w:val="18"/>
                <w:color w:val="auto"/>
              </w:rPr>
              <w:t>Video</w:t>
            </w:r>
          </w:p>
        </w:tc>
        <w:tc>
          <w:tcPr>
            <w:tcW w:w="1840" w:type="dxa"/>
            <w:vAlign w:val="bottom"/>
            <w:gridSpan w:val="2"/>
            <w:vMerge w:val="continue"/>
          </w:tcPr>
          <w:p>
            <w:pPr>
              <w:spacing w:after="0"/>
              <w:rPr>
                <w:sz w:val="15"/>
                <w:szCs w:val="15"/>
                <w:color w:val="auto"/>
              </w:rPr>
            </w:pPr>
          </w:p>
        </w:tc>
        <w:tc>
          <w:tcPr>
            <w:tcW w:w="8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$ 19,625</w:t>
            </w:r>
          </w:p>
        </w:tc>
        <w:tc>
          <w:tcPr>
            <w:tcW w:w="900" w:type="dxa"/>
            <w:vAlign w:val="bottom"/>
            <w:gridSpan w:val="2"/>
          </w:tcPr>
          <w:p>
            <w:pPr>
              <w:jc w:val="right"/>
              <w:ind w:right="35"/>
              <w:spacing w:after="0" w:line="181" w:lineRule="exact"/>
              <w:rPr>
                <w:sz w:val="20"/>
                <w:szCs w:val="20"/>
                <w:color w:val="auto"/>
              </w:rPr>
            </w:pPr>
            <w:r>
              <w:rPr>
                <w:rFonts w:ascii="Arial" w:cs="Arial" w:eastAsia="Arial" w:hAnsi="Arial"/>
                <w:sz w:val="18"/>
                <w:szCs w:val="18"/>
                <w:color w:val="auto"/>
              </w:rPr>
              <w:t>$ 19,363</w:t>
            </w:r>
          </w:p>
        </w:tc>
        <w:tc>
          <w:tcPr>
            <w:tcW w:w="1500" w:type="dxa"/>
            <w:vAlign w:val="bottom"/>
            <w:gridSpan w:val="2"/>
            <w:vMerge w:val="continue"/>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420"/>
              <w:spacing w:after="0" w:line="202" w:lineRule="exact"/>
              <w:rPr>
                <w:sz w:val="20"/>
                <w:szCs w:val="20"/>
                <w:color w:val="auto"/>
              </w:rPr>
            </w:pPr>
            <w:r>
              <w:rPr>
                <w:rFonts w:ascii="Arial" w:cs="Arial" w:eastAsia="Arial" w:hAnsi="Arial"/>
                <w:sz w:val="18"/>
                <w:szCs w:val="18"/>
                <w:color w:val="auto"/>
              </w:rPr>
              <w:t>High-speed Internet</w:t>
            </w:r>
          </w:p>
        </w:tc>
        <w:tc>
          <w:tcPr>
            <w:tcW w:w="18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auto"/>
              </w:rPr>
              <w:t>9,544</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8,743</w:t>
            </w:r>
          </w:p>
        </w:tc>
        <w:tc>
          <w:tcPr>
            <w:tcW w:w="180" w:type="dxa"/>
            <w:vAlign w:val="bottom"/>
          </w:tcPr>
          <w:p>
            <w:pPr>
              <w:spacing w:after="0"/>
              <w:rPr>
                <w:sz w:val="17"/>
                <w:szCs w:val="17"/>
                <w:color w:val="auto"/>
              </w:rPr>
            </w:pP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7,958</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w:t>
            </w:r>
          </w:p>
        </w:tc>
        <w:tc>
          <w:tcPr>
            <w:tcW w:w="64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420"/>
              <w:spacing w:after="0" w:line="202" w:lineRule="exact"/>
              <w:rPr>
                <w:sz w:val="20"/>
                <w:szCs w:val="20"/>
                <w:color w:val="auto"/>
              </w:rPr>
            </w:pPr>
            <w:r>
              <w:rPr>
                <w:rFonts w:ascii="Arial" w:cs="Arial" w:eastAsia="Arial" w:hAnsi="Arial"/>
                <w:sz w:val="18"/>
                <w:szCs w:val="18"/>
                <w:color w:val="auto"/>
              </w:rPr>
              <w:t>Voice</w:t>
            </w:r>
          </w:p>
        </w:tc>
        <w:tc>
          <w:tcPr>
            <w:tcW w:w="18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auto"/>
              </w:rPr>
              <w:t>3,557</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3,503</w:t>
            </w:r>
          </w:p>
        </w:tc>
        <w:tc>
          <w:tcPr>
            <w:tcW w:w="180" w:type="dxa"/>
            <w:vAlign w:val="bottom"/>
          </w:tcPr>
          <w:p>
            <w:pPr>
              <w:spacing w:after="0"/>
              <w:rPr>
                <w:sz w:val="17"/>
                <w:szCs w:val="17"/>
                <w:color w:val="auto"/>
              </w:rPr>
            </w:pP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3,300</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64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Business services</w:t>
            </w:r>
          </w:p>
        </w:tc>
        <w:tc>
          <w:tcPr>
            <w:tcW w:w="18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auto"/>
              </w:rPr>
              <w:t>2,404</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1,791</w:t>
            </w:r>
          </w:p>
        </w:tc>
        <w:tc>
          <w:tcPr>
            <w:tcW w:w="180" w:type="dxa"/>
            <w:vAlign w:val="bottom"/>
          </w:tcPr>
          <w:p>
            <w:pPr>
              <w:spacing w:after="0"/>
              <w:rPr>
                <w:sz w:val="17"/>
                <w:szCs w:val="17"/>
                <w:color w:val="auto"/>
              </w:rPr>
            </w:pP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1,267</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34.2</w:t>
            </w:r>
          </w:p>
        </w:tc>
        <w:tc>
          <w:tcPr>
            <w:tcW w:w="64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18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auto"/>
              </w:rPr>
              <w:t>2,287</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2,005</w:t>
            </w:r>
          </w:p>
        </w:tc>
        <w:tc>
          <w:tcPr>
            <w:tcW w:w="180" w:type="dxa"/>
            <w:vAlign w:val="bottom"/>
          </w:tcPr>
          <w:p>
            <w:pPr>
              <w:spacing w:after="0"/>
              <w:rPr>
                <w:sz w:val="17"/>
                <w:szCs w:val="17"/>
                <w:color w:val="auto"/>
              </w:rPr>
            </w:pP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2,020</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14.1</w:t>
            </w:r>
          </w:p>
        </w:tc>
        <w:tc>
          <w:tcPr>
            <w:tcW w:w="64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1,700</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1,455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6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840" w:type="dxa"/>
            <w:vAlign w:val="bottom"/>
            <w:gridSpan w:val="2"/>
          </w:tcPr>
          <w:p>
            <w:pPr>
              <w:jc w:val="right"/>
              <w:ind w:right="12"/>
              <w:spacing w:after="0" w:line="177" w:lineRule="exact"/>
              <w:rPr>
                <w:sz w:val="20"/>
                <w:szCs w:val="20"/>
                <w:color w:val="auto"/>
              </w:rPr>
            </w:pPr>
            <w:r>
              <w:rPr>
                <w:rFonts w:ascii="Arial" w:cs="Arial" w:eastAsia="Arial" w:hAnsi="Arial"/>
                <w:sz w:val="18"/>
                <w:szCs w:val="18"/>
                <w:b w:val="1"/>
                <w:bCs w:val="1"/>
                <w:color w:val="auto"/>
              </w:rPr>
              <w:t>39,604</w:t>
            </w:r>
          </w:p>
        </w:tc>
        <w:tc>
          <w:tcPr>
            <w:tcW w:w="20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w w:val="98"/>
              </w:rPr>
              <w:t>37,226</w:t>
            </w:r>
          </w:p>
        </w:tc>
        <w:tc>
          <w:tcPr>
            <w:tcW w:w="180" w:type="dxa"/>
            <w:vAlign w:val="bottom"/>
          </w:tcPr>
          <w:p>
            <w:pPr>
              <w:spacing w:after="0"/>
              <w:rPr>
                <w:sz w:val="15"/>
                <w:szCs w:val="15"/>
                <w:color w:val="auto"/>
              </w:rPr>
            </w:pPr>
          </w:p>
        </w:tc>
        <w:tc>
          <w:tcPr>
            <w:tcW w:w="720" w:type="dxa"/>
            <w:vAlign w:val="bottom"/>
          </w:tcPr>
          <w:p>
            <w:pPr>
              <w:jc w:val="right"/>
              <w:ind w:right="35"/>
              <w:spacing w:after="0" w:line="177" w:lineRule="exact"/>
              <w:rPr>
                <w:sz w:val="20"/>
                <w:szCs w:val="20"/>
                <w:color w:val="auto"/>
              </w:rPr>
            </w:pPr>
            <w:r>
              <w:rPr>
                <w:rFonts w:ascii="Arial" w:cs="Arial" w:eastAsia="Arial" w:hAnsi="Arial"/>
                <w:sz w:val="18"/>
                <w:szCs w:val="18"/>
                <w:color w:val="auto"/>
              </w:rPr>
              <w:t>35,363</w:t>
            </w:r>
          </w:p>
        </w:tc>
        <w:tc>
          <w:tcPr>
            <w:tcW w:w="8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6.4</w:t>
            </w:r>
          </w:p>
        </w:tc>
        <w:tc>
          <w:tcPr>
            <w:tcW w:w="640" w:type="dxa"/>
            <w:vAlign w:val="bottom"/>
          </w:tcPr>
          <w:p>
            <w:pPr>
              <w:spacing w:after="0"/>
              <w:rPr>
                <w:sz w:val="15"/>
                <w:szCs w:val="15"/>
                <w:color w:val="auto"/>
              </w:rPr>
            </w:pPr>
          </w:p>
        </w:tc>
        <w:tc>
          <w:tcPr>
            <w:tcW w:w="660" w:type="dxa"/>
            <w:vAlign w:val="bottom"/>
          </w:tcPr>
          <w:p>
            <w:pPr>
              <w:jc w:val="right"/>
              <w:ind w:right="133"/>
              <w:spacing w:after="0" w:line="177"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5"/>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840" w:type="dxa"/>
            <w:vAlign w:val="bottom"/>
            <w:gridSpan w:val="2"/>
            <w:vMerge w:val="restart"/>
          </w:tcPr>
          <w:p>
            <w:pPr>
              <w:jc w:val="right"/>
              <w:ind w:right="12"/>
              <w:spacing w:after="0"/>
              <w:rPr>
                <w:sz w:val="20"/>
                <w:szCs w:val="20"/>
                <w:color w:val="auto"/>
              </w:rPr>
            </w:pPr>
            <w:r>
              <w:rPr>
                <w:rFonts w:ascii="Arial" w:cs="Arial" w:eastAsia="Arial" w:hAnsi="Arial"/>
                <w:sz w:val="18"/>
                <w:szCs w:val="18"/>
                <w:b w:val="1"/>
                <w:bCs w:val="1"/>
                <w:color w:val="auto"/>
              </w:rPr>
              <w:t>8,386</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w:t>
            </w: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tcPr>
          <w:p>
            <w:pPr>
              <w:ind w:left="200"/>
              <w:spacing w:after="0" w:line="181" w:lineRule="exact"/>
              <w:rPr>
                <w:sz w:val="20"/>
                <w:szCs w:val="20"/>
                <w:color w:val="auto"/>
              </w:rPr>
            </w:pPr>
            <w:r>
              <w:rPr>
                <w:rFonts w:ascii="Arial" w:cs="Arial" w:eastAsia="Arial" w:hAnsi="Arial"/>
                <w:sz w:val="18"/>
                <w:szCs w:val="18"/>
                <w:color w:val="auto"/>
              </w:rPr>
              <w:t>Programming</w:t>
            </w:r>
          </w:p>
        </w:tc>
        <w:tc>
          <w:tcPr>
            <w:tcW w:w="1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7,851</w:t>
            </w:r>
          </w:p>
        </w:tc>
        <w:tc>
          <w:tcPr>
            <w:tcW w:w="180" w:type="dxa"/>
            <w:vAlign w:val="bottom"/>
          </w:tcPr>
          <w:p>
            <w:pPr>
              <w:spacing w:after="0"/>
              <w:rPr>
                <w:sz w:val="15"/>
                <w:szCs w:val="15"/>
                <w:color w:val="auto"/>
              </w:rPr>
            </w:pPr>
          </w:p>
        </w:tc>
        <w:tc>
          <w:tcPr>
            <w:tcW w:w="720" w:type="dxa"/>
            <w:vAlign w:val="bottom"/>
          </w:tcPr>
          <w:p>
            <w:pPr>
              <w:jc w:val="right"/>
              <w:ind w:right="35"/>
              <w:spacing w:after="0" w:line="181" w:lineRule="exact"/>
              <w:rPr>
                <w:sz w:val="20"/>
                <w:szCs w:val="20"/>
                <w:color w:val="auto"/>
              </w:rPr>
            </w:pPr>
            <w:r>
              <w:rPr>
                <w:rFonts w:ascii="Arial" w:cs="Arial" w:eastAsia="Arial" w:hAnsi="Arial"/>
                <w:sz w:val="18"/>
                <w:szCs w:val="18"/>
                <w:color w:val="auto"/>
              </w:rPr>
              <w:t>7,420</w:t>
            </w:r>
          </w:p>
        </w:tc>
        <w:tc>
          <w:tcPr>
            <w:tcW w:w="8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Technical labor</w:t>
            </w:r>
          </w:p>
        </w:tc>
        <w:tc>
          <w:tcPr>
            <w:tcW w:w="18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auto"/>
              </w:rPr>
              <w:t>2,338</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2,318</w:t>
            </w:r>
          </w:p>
        </w:tc>
        <w:tc>
          <w:tcPr>
            <w:tcW w:w="180" w:type="dxa"/>
            <w:vAlign w:val="bottom"/>
          </w:tcPr>
          <w:p>
            <w:pPr>
              <w:spacing w:after="0"/>
              <w:rPr>
                <w:sz w:val="17"/>
                <w:szCs w:val="17"/>
                <w:color w:val="auto"/>
              </w:rPr>
            </w:pP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2,300</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0.9</w:t>
            </w:r>
          </w:p>
        </w:tc>
        <w:tc>
          <w:tcPr>
            <w:tcW w:w="64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Customer service</w:t>
            </w:r>
          </w:p>
        </w:tc>
        <w:tc>
          <w:tcPr>
            <w:tcW w:w="18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auto"/>
              </w:rPr>
              <w:t>1,961</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1,882</w:t>
            </w:r>
          </w:p>
        </w:tc>
        <w:tc>
          <w:tcPr>
            <w:tcW w:w="180" w:type="dxa"/>
            <w:vAlign w:val="bottom"/>
          </w:tcPr>
          <w:p>
            <w:pPr>
              <w:spacing w:after="0"/>
              <w:rPr>
                <w:sz w:val="17"/>
                <w:szCs w:val="17"/>
                <w:color w:val="auto"/>
              </w:rPr>
            </w:pP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1,855</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w:t>
            </w:r>
          </w:p>
        </w:tc>
        <w:tc>
          <w:tcPr>
            <w:tcW w:w="64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Marketing</w:t>
            </w:r>
          </w:p>
        </w:tc>
        <w:tc>
          <w:tcPr>
            <w:tcW w:w="18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auto"/>
              </w:rPr>
              <w:t>2,707</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2,407</w:t>
            </w:r>
          </w:p>
        </w:tc>
        <w:tc>
          <w:tcPr>
            <w:tcW w:w="180" w:type="dxa"/>
            <w:vAlign w:val="bottom"/>
          </w:tcPr>
          <w:p>
            <w:pPr>
              <w:spacing w:after="0"/>
              <w:rPr>
                <w:sz w:val="17"/>
                <w:szCs w:val="17"/>
                <w:color w:val="auto"/>
              </w:rPr>
            </w:pP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2,155</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12.5</w:t>
            </w:r>
          </w:p>
        </w:tc>
        <w:tc>
          <w:tcPr>
            <w:tcW w:w="64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7,957</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7,331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840" w:type="dxa"/>
            <w:vAlign w:val="bottom"/>
            <w:tcBorders>
              <w:bottom w:val="single" w:sz="8" w:color="auto"/>
            </w:tcBorders>
            <w:gridSpan w:val="2"/>
          </w:tcPr>
          <w:p>
            <w:pPr>
              <w:jc w:val="right"/>
              <w:ind w:right="12"/>
              <w:spacing w:after="0" w:line="196" w:lineRule="exact"/>
              <w:rPr>
                <w:sz w:val="20"/>
                <w:szCs w:val="20"/>
                <w:color w:val="auto"/>
              </w:rPr>
            </w:pPr>
            <w:r>
              <w:rPr>
                <w:rFonts w:ascii="Arial" w:cs="Arial" w:eastAsia="Arial" w:hAnsi="Arial"/>
                <w:sz w:val="18"/>
                <w:szCs w:val="18"/>
                <w:b w:val="1"/>
                <w:bCs w:val="1"/>
                <w:color w:val="auto"/>
              </w:rPr>
              <w:t>23,349</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21,938</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21,061</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w:t>
            </w:r>
          </w:p>
        </w:tc>
        <w:tc>
          <w:tcPr>
            <w:tcW w:w="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3E499A"/>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840" w:type="dxa"/>
            <w:vAlign w:val="bottom"/>
            <w:tcBorders>
              <w:bottom w:val="single" w:sz="8" w:color="3E499A"/>
            </w:tcBorders>
            <w:gridSpan w:val="2"/>
          </w:tcPr>
          <w:p>
            <w:pPr>
              <w:jc w:val="right"/>
              <w:ind w:right="12"/>
              <w:spacing w:after="0" w:line="196" w:lineRule="exact"/>
              <w:rPr>
                <w:sz w:val="20"/>
                <w:szCs w:val="20"/>
                <w:color w:val="auto"/>
              </w:rPr>
            </w:pPr>
            <w:r>
              <w:rPr>
                <w:rFonts w:ascii="Arial" w:cs="Arial" w:eastAsia="Arial" w:hAnsi="Arial"/>
                <w:sz w:val="18"/>
                <w:szCs w:val="18"/>
                <w:b w:val="1"/>
                <w:bCs w:val="1"/>
                <w:color w:val="auto"/>
              </w:rPr>
              <w:t>$ 16,255</w:t>
            </w:r>
          </w:p>
        </w:tc>
        <w:tc>
          <w:tcPr>
            <w:tcW w:w="840" w:type="dxa"/>
            <w:vAlign w:val="bottom"/>
            <w:tcBorders>
              <w:bottom w:val="single" w:sz="8" w:color="3E499A"/>
            </w:tcBorders>
            <w:gridSpan w:val="2"/>
          </w:tcPr>
          <w:p>
            <w:pPr>
              <w:jc w:val="right"/>
              <w:spacing w:after="0" w:line="196" w:lineRule="exact"/>
              <w:rPr>
                <w:sz w:val="20"/>
                <w:szCs w:val="20"/>
                <w:color w:val="auto"/>
              </w:rPr>
            </w:pPr>
            <w:r>
              <w:rPr>
                <w:rFonts w:ascii="Arial" w:cs="Arial" w:eastAsia="Arial" w:hAnsi="Arial"/>
                <w:sz w:val="18"/>
                <w:szCs w:val="18"/>
                <w:color w:val="auto"/>
              </w:rPr>
              <w:t>$ 15,288</w:t>
            </w:r>
          </w:p>
        </w:tc>
        <w:tc>
          <w:tcPr>
            <w:tcW w:w="900" w:type="dxa"/>
            <w:vAlign w:val="bottom"/>
            <w:tcBorders>
              <w:bottom w:val="single" w:sz="8" w:color="3E499A"/>
            </w:tcBorders>
            <w:gridSpan w:val="2"/>
          </w:tcPr>
          <w:p>
            <w:pPr>
              <w:jc w:val="right"/>
              <w:ind w:right="35"/>
              <w:spacing w:after="0" w:line="196" w:lineRule="exact"/>
              <w:rPr>
                <w:sz w:val="20"/>
                <w:szCs w:val="20"/>
                <w:color w:val="auto"/>
              </w:rPr>
            </w:pPr>
            <w:r>
              <w:rPr>
                <w:rFonts w:ascii="Arial" w:cs="Arial" w:eastAsia="Arial" w:hAnsi="Arial"/>
                <w:sz w:val="18"/>
                <w:szCs w:val="18"/>
                <w:color w:val="auto"/>
              </w:rPr>
              <w:t>$ 14,302</w:t>
            </w:r>
          </w:p>
        </w:tc>
        <w:tc>
          <w:tcPr>
            <w:tcW w:w="1500" w:type="dxa"/>
            <w:vAlign w:val="bottom"/>
            <w:tcBorders>
              <w:bottom w:val="single" w:sz="8" w:color="3E499A"/>
            </w:tcBorders>
            <w:gridSpan w:val="2"/>
          </w:tcPr>
          <w:p>
            <w:pPr>
              <w:jc w:val="right"/>
              <w:ind w:right="422"/>
              <w:spacing w:after="0" w:line="196" w:lineRule="exact"/>
              <w:rPr>
                <w:sz w:val="20"/>
                <w:szCs w:val="20"/>
                <w:color w:val="auto"/>
              </w:rPr>
            </w:pPr>
            <w:r>
              <w:rPr>
                <w:rFonts w:ascii="Arial" w:cs="Arial" w:eastAsia="Arial" w:hAnsi="Arial"/>
                <w:sz w:val="18"/>
                <w:szCs w:val="18"/>
                <w:b w:val="1"/>
                <w:bCs w:val="1"/>
                <w:color w:val="auto"/>
              </w:rPr>
              <w:t>6.3%</w:t>
            </w:r>
          </w:p>
        </w:tc>
        <w:tc>
          <w:tcPr>
            <w:tcW w:w="6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70"/>
        </w:trPr>
        <w:tc>
          <w:tcPr>
            <w:tcW w:w="5680" w:type="dxa"/>
            <w:vAlign w:val="bottom"/>
            <w:gridSpan w:val="2"/>
          </w:tcPr>
          <w:p>
            <w:pPr>
              <w:spacing w:after="0"/>
              <w:rPr>
                <w:sz w:val="20"/>
                <w:szCs w:val="20"/>
                <w:color w:val="auto"/>
              </w:rPr>
            </w:pPr>
            <w:r>
              <w:rPr>
                <w:rFonts w:ascii="Arial" w:cs="Arial" w:eastAsia="Arial" w:hAnsi="Arial"/>
                <w:sz w:val="18"/>
                <w:szCs w:val="18"/>
                <w:color w:val="3E499A"/>
              </w:rPr>
              <w:t>Customer Metrics</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56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4"/>
          </w:tcPr>
          <w:p>
            <w:pPr>
              <w:spacing w:after="0"/>
              <w:rPr>
                <w:sz w:val="3"/>
                <w:szCs w:val="3"/>
                <w:color w:val="auto"/>
              </w:rPr>
            </w:pPr>
          </w:p>
        </w:tc>
        <w:tc>
          <w:tcPr>
            <w:tcW w:w="216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680" w:type="dxa"/>
            <w:vAlign w:val="bottom"/>
            <w:gridSpan w:val="2"/>
            <w:vMerge w:val="restart"/>
          </w:tcPr>
          <w:p>
            <w:pPr>
              <w:spacing w:after="0"/>
              <w:rPr>
                <w:sz w:val="20"/>
                <w:szCs w:val="20"/>
                <w:color w:val="auto"/>
              </w:rPr>
            </w:pPr>
            <w:r>
              <w:rPr>
                <w:rFonts w:ascii="Arial" w:cs="Arial" w:eastAsia="Arial" w:hAnsi="Arial"/>
                <w:sz w:val="14"/>
                <w:szCs w:val="14"/>
                <w:color w:val="auto"/>
              </w:rPr>
              <w:t>December 31 (in thousands)</w:t>
            </w:r>
          </w:p>
        </w:tc>
        <w:tc>
          <w:tcPr>
            <w:tcW w:w="1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color w:val="auto"/>
              </w:rPr>
              <w:t>Total Customers</w:t>
            </w:r>
          </w:p>
        </w:tc>
        <w:tc>
          <w:tcPr>
            <w:tcW w:w="216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color w:val="auto"/>
              </w:rPr>
              <w:t>Net Additional Customers</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auto"/>
            </w:tcBorders>
            <w:gridSpan w:val="2"/>
            <w:vMerge w:val="continue"/>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8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77"/>
        </w:trPr>
        <w:tc>
          <w:tcPr>
            <w:tcW w:w="5680" w:type="dxa"/>
            <w:vAlign w:val="bottom"/>
            <w:gridSpan w:val="2"/>
          </w:tcPr>
          <w:p>
            <w:pPr>
              <w:spacing w:after="0" w:line="177" w:lineRule="exact"/>
              <w:rPr>
                <w:sz w:val="20"/>
                <w:szCs w:val="20"/>
                <w:color w:val="auto"/>
              </w:rPr>
            </w:pPr>
            <w:r>
              <w:rPr>
                <w:rFonts w:ascii="Arial" w:cs="Arial" w:eastAsia="Arial" w:hAnsi="Arial"/>
                <w:sz w:val="18"/>
                <w:szCs w:val="18"/>
                <w:color w:val="auto"/>
              </w:rPr>
              <w:t>Video customers</w:t>
            </w:r>
          </w:p>
        </w:tc>
        <w:tc>
          <w:tcPr>
            <w:tcW w:w="2040" w:type="dxa"/>
            <w:vAlign w:val="bottom"/>
            <w:gridSpan w:val="3"/>
          </w:tcPr>
          <w:p>
            <w:pPr>
              <w:jc w:val="right"/>
              <w:spacing w:after="0" w:line="177" w:lineRule="exact"/>
              <w:rPr>
                <w:sz w:val="20"/>
                <w:szCs w:val="20"/>
                <w:color w:val="auto"/>
              </w:rPr>
            </w:pPr>
            <w:r>
              <w:rPr>
                <w:rFonts w:ascii="Arial" w:cs="Arial" w:eastAsia="Arial" w:hAnsi="Arial"/>
                <w:sz w:val="18"/>
                <w:szCs w:val="18"/>
                <w:b w:val="1"/>
                <w:bCs w:val="1"/>
                <w:color w:val="auto"/>
              </w:rPr>
              <w:t>21,995</w:t>
            </w:r>
          </w:p>
        </w:tc>
        <w:tc>
          <w:tcPr>
            <w:tcW w:w="82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22,331</w:t>
            </w: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22,790</w:t>
            </w:r>
          </w:p>
        </w:tc>
        <w:tc>
          <w:tcPr>
            <w:tcW w:w="860" w:type="dxa"/>
            <w:vAlign w:val="bottom"/>
          </w:tcPr>
          <w:p>
            <w:pPr>
              <w:jc w:val="right"/>
              <w:ind w:right="96"/>
              <w:spacing w:after="0" w:line="177" w:lineRule="exact"/>
              <w:rPr>
                <w:sz w:val="20"/>
                <w:szCs w:val="20"/>
                <w:color w:val="auto"/>
              </w:rPr>
            </w:pPr>
            <w:r>
              <w:rPr>
                <w:rFonts w:ascii="Arial" w:cs="Arial" w:eastAsia="Arial" w:hAnsi="Arial"/>
                <w:sz w:val="18"/>
                <w:szCs w:val="18"/>
                <w:b w:val="1"/>
                <w:bCs w:val="1"/>
                <w:color w:val="auto"/>
              </w:rPr>
              <w:t>(336)</w:t>
            </w:r>
          </w:p>
        </w:tc>
        <w:tc>
          <w:tcPr>
            <w:tcW w:w="640" w:type="dxa"/>
            <w:vAlign w:val="bottom"/>
          </w:tcPr>
          <w:p>
            <w:pPr>
              <w:jc w:val="right"/>
              <w:ind w:right="22"/>
              <w:spacing w:after="0" w:line="177" w:lineRule="exact"/>
              <w:rPr>
                <w:sz w:val="20"/>
                <w:szCs w:val="20"/>
                <w:color w:val="auto"/>
              </w:rPr>
            </w:pPr>
            <w:r>
              <w:rPr>
                <w:rFonts w:ascii="Arial" w:cs="Arial" w:eastAsia="Arial" w:hAnsi="Arial"/>
                <w:sz w:val="18"/>
                <w:szCs w:val="18"/>
                <w:color w:val="auto"/>
              </w:rPr>
              <w:t>(459)</w:t>
            </w:r>
          </w:p>
        </w:tc>
        <w:tc>
          <w:tcPr>
            <w:tcW w:w="660" w:type="dxa"/>
            <w:vAlign w:val="bottom"/>
          </w:tcPr>
          <w:p>
            <w:pPr>
              <w:jc w:val="right"/>
              <w:spacing w:after="0" w:line="177" w:lineRule="exact"/>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High-speed Internet customers</w:t>
            </w:r>
          </w:p>
        </w:tc>
        <w:tc>
          <w:tcPr>
            <w:tcW w:w="20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19,367</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18,144</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16,985</w:t>
            </w:r>
          </w:p>
        </w:tc>
        <w:tc>
          <w:tcPr>
            <w:tcW w:w="86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1,223</w:t>
            </w:r>
          </w:p>
        </w:tc>
        <w:tc>
          <w:tcPr>
            <w:tcW w:w="640" w:type="dxa"/>
            <w:vAlign w:val="bottom"/>
          </w:tcPr>
          <w:p>
            <w:pPr>
              <w:jc w:val="right"/>
              <w:ind w:right="82"/>
              <w:spacing w:after="0" w:line="202" w:lineRule="exact"/>
              <w:rPr>
                <w:sz w:val="20"/>
                <w:szCs w:val="20"/>
                <w:color w:val="auto"/>
              </w:rPr>
            </w:pPr>
            <w:r>
              <w:rPr>
                <w:rFonts w:ascii="Arial" w:cs="Arial" w:eastAsia="Arial" w:hAnsi="Arial"/>
                <w:sz w:val="18"/>
                <w:szCs w:val="18"/>
                <w:color w:val="auto"/>
              </w:rPr>
              <w:t>1,159</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1"/>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Voice customers</w:t>
            </w: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9,955</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9,342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8,610</w:t>
            </w: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613</w:t>
            </w: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732</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Customer data includes residential and business customers.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average monthly total revenue per video customer increased to $149 in 2012 from $138 in 2011 and $127 in 2010. The increases in average monthly total revenue per video customer were primarily due to increases in the number of residential customers receiving multiple services, rate adjustments, higher contributions from business services and declines in the total number of video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Video</w:t>
      </w:r>
    </w:p>
    <w:p>
      <w:pPr>
        <w:jc w:val="both"/>
        <w:spacing w:after="0" w:line="237" w:lineRule="auto"/>
        <w:rPr>
          <w:sz w:val="20"/>
          <w:szCs w:val="20"/>
          <w:color w:val="auto"/>
        </w:rPr>
      </w:pPr>
      <w:r>
        <w:rPr>
          <w:rFonts w:ascii="Arial" w:cs="Arial" w:eastAsia="Arial" w:hAnsi="Arial"/>
          <w:sz w:val="18"/>
          <w:szCs w:val="18"/>
          <w:color w:val="auto"/>
        </w:rPr>
        <w:t>Video revenue increased in 2012 and 2011 primarily due to rate adjustments and additional residential customers receiving higher levels of video service, which were partially offset by declines in the number of residential video customers in both years. During 2012 and 2011, the number of video customers decreased by 336,000 and 459,000, respectively. These decreases were primarily due to competitive pressures in our service areas. We may experience further declines in the number of residential video customers.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41% of the homes and businesses in the areas we serve subscribed to our video services, compared to 43% and 44% as of December 31, 2011 and 2010, respectively. As of December 31, 2012, 11.5 million customers subscribed to at least one of our HD video or DVR services, compared to 10.9 million customers and 10.1 million customers as of December 31, 2011 and 2010, respectively.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3E499A"/>
        </w:rPr>
        <w:t>High-Speed Internet</w:t>
      </w:r>
    </w:p>
    <w:p>
      <w:pPr>
        <w:jc w:val="both"/>
        <w:spacing w:after="0" w:line="238" w:lineRule="auto"/>
        <w:rPr>
          <w:sz w:val="20"/>
          <w:szCs w:val="20"/>
          <w:color w:val="auto"/>
        </w:rPr>
      </w:pPr>
      <w:r>
        <w:rPr>
          <w:rFonts w:ascii="Arial" w:cs="Arial" w:eastAsia="Arial" w:hAnsi="Arial"/>
          <w:sz w:val="18"/>
          <w:szCs w:val="18"/>
          <w:color w:val="auto"/>
        </w:rPr>
        <w:t>As of December 31, 2012, 36% of the homes and businesses in the areas we serve subscribed to our high-speed Internet services, compared to 35% and 33% as of December 31, 2011 and 2010, respectively. High-speed Internet revenue increased in 2012 and 2011 primarily due to increases in the number of residential customers, rate adjustments and additional customers receiving higher levels of service.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Voice</w:t>
      </w:r>
    </w:p>
    <w:p>
      <w:pPr>
        <w:jc w:val="both"/>
        <w:spacing w:after="0" w:line="238" w:lineRule="auto"/>
        <w:rPr>
          <w:sz w:val="20"/>
          <w:szCs w:val="20"/>
          <w:color w:val="auto"/>
        </w:rPr>
      </w:pPr>
      <w:r>
        <w:rPr>
          <w:rFonts w:ascii="Arial" w:cs="Arial" w:eastAsia="Arial" w:hAnsi="Arial"/>
          <w:sz w:val="18"/>
          <w:szCs w:val="18"/>
          <w:color w:val="auto"/>
        </w:rPr>
        <w:t>As of December 31, 2012, 19% of the homes and businesses in the areas we serve subscribed to our voice services, compared to 18% and 17% as of December 31, 2011 and 2010, respectively. Voice revenue increased in 2012 and 2011 primarily due to increases in the number of residential customers receiving multiple services, while rates have remained relatively flat.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Business Services</w:t>
      </w:r>
    </w:p>
    <w:p>
      <w:pPr>
        <w:jc w:val="both"/>
        <w:spacing w:after="0" w:line="238" w:lineRule="auto"/>
        <w:rPr>
          <w:sz w:val="20"/>
          <w:szCs w:val="20"/>
          <w:color w:val="auto"/>
        </w:rPr>
      </w:pPr>
      <w:r>
        <w:rPr>
          <w:rFonts w:ascii="Arial" w:cs="Arial" w:eastAsia="Arial" w:hAnsi="Arial"/>
          <w:sz w:val="18"/>
          <w:szCs w:val="18"/>
          <w:color w:val="auto"/>
        </w:rPr>
        <w:t>Our business services revenue is generated primarily from the Internet, voice and video services we offer to small and medium-sized business customers, and from the sale to medium-sized businesses of our metro Ethernet network services. We also provide cellular backhaul services to mobile network operators, which help our customers manage continued growth in demand for network bandwidth.</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Business services revenue increased in 2012 and 2011 primarily due to increases in the number of business customers, and our expansion of services to medium-sized business customers, including metro Ethernet network and cellular backhaul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3E499A"/>
        </w:rPr>
        <w:t>Advertising</w:t>
      </w: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we may sell to local, regional and national advertisers. In most cases, the available advertising time is sold by our sales force. In some cases, we work with representation firms as an extension of our sales force to sell a portion of the advertising time allocated to us. We also coordinate the advertising sales efforts of other multichannel video providers in some markets. In addition, we generate revenue from the sale of advertising online and on our On Demand service.</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revenue is affected by the strength of the local advertising market and general economic conditions. Advertising revenue increased in 2012 due to increases in political advertising revenue and improvements in the local and regional advertising markets, primarily driven by increased spending from automotive customers. Advertising revenue declined slightly in 2011 due to lower political advertising.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Other</w:t>
      </w:r>
    </w:p>
    <w:p>
      <w:pPr>
        <w:jc w:val="both"/>
        <w:spacing w:after="0" w:line="236" w:lineRule="auto"/>
        <w:rPr>
          <w:sz w:val="20"/>
          <w:szCs w:val="20"/>
          <w:color w:val="auto"/>
        </w:rPr>
      </w:pPr>
      <w:r>
        <w:rPr>
          <w:rFonts w:ascii="Arial" w:cs="Arial" w:eastAsia="Arial" w:hAnsi="Arial"/>
          <w:sz w:val="18"/>
          <w:szCs w:val="18"/>
          <w:color w:val="auto"/>
        </w:rPr>
        <w:t>We receive revenue related to cable franchise and other regulatory fees, our digital media center, commissions from electronic retailing networks, and fees from other services. Cable franchise and regulatory fees represent the fees required to be paid to federal, state and local authorities that we pass through to our customers. Under the terms of our cable franchise agreements, we are generally required to pay to the franchising authority an amount based on our gross video revenue. The changes in franchise and other regulatory fees collected from our cable services customers are generally due to changes in the revenue on which the fees apply.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continue to focus on controlling the growth of expenses. Our operating margin, which is our operating income before depreciation and amortization as a percentage of revenue, for 2012, 2011 and 2010 was 41.0%, 41.1% and 40.4%, respectively.</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3E499A"/>
        </w:rPr>
        <w:t>Programming Expenses</w:t>
      </w:r>
    </w:p>
    <w:p>
      <w:pPr>
        <w:jc w:val="both"/>
        <w:spacing w:after="0" w:line="275" w:lineRule="auto"/>
        <w:rPr>
          <w:sz w:val="20"/>
          <w:szCs w:val="20"/>
          <w:color w:val="auto"/>
        </w:rPr>
      </w:pPr>
      <w:r>
        <w:rPr>
          <w:rFonts w:ascii="Arial" w:cs="Arial" w:eastAsia="Arial" w:hAnsi="Arial"/>
          <w:sz w:val="16"/>
          <w:szCs w:val="16"/>
          <w:color w:val="auto"/>
        </w:rPr>
        <w:t>Programming expenses, our largest operating expense, are the fees we pay to license the programming we distribute to our video customers. These expenses are affected by the programming license fees charged by cable networks and fees for retransmission of local broadcast television stations’ signals and by the number of video customers we serve and the amount of content we provide. Programming expenses increased in 2012 and 2011 primarily due to increases in programming license fees and fees incurred to secure rights for additional programming for our customers.</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anticipate that our programming expenses will continue to increase as we provide additional content to our video customers, including in HD and On Demand; as we deliver this content through an increasing number of platforms, such as online and through our mobile apps for smartphones and tablets; and as the fees charged to us increase. Programming expenses will also increase to the extent we improve the rate in which the number of our residential video customers decrease. We believe that adding more content and delivering it on various platforms will assist in attracting and retaining video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E499A"/>
        </w:rPr>
        <w:t>Technical Labor Expenses</w:t>
      </w:r>
    </w:p>
    <w:p>
      <w:pPr>
        <w:jc w:val="both"/>
        <w:spacing w:after="0" w:line="238" w:lineRule="auto"/>
        <w:rPr>
          <w:sz w:val="20"/>
          <w:szCs w:val="20"/>
          <w:color w:val="auto"/>
        </w:rPr>
      </w:pPr>
      <w:r>
        <w:rPr>
          <w:rFonts w:ascii="Arial" w:cs="Arial" w:eastAsia="Arial" w:hAnsi="Arial"/>
          <w:sz w:val="18"/>
          <w:szCs w:val="18"/>
          <w:color w:val="auto"/>
        </w:rPr>
        <w:t>Technical labor expenses include the internal and external labor costs to complete service call and installation activities, as well as network operations, fulfillment and provisioning costs. These expenses remained relatively flat in 2012 and 2011 primarily due to an increase in customer self-installation activities.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Customer Service Expenses</w:t>
      </w:r>
    </w:p>
    <w:p>
      <w:pPr>
        <w:jc w:val="both"/>
        <w:spacing w:after="0" w:line="238" w:lineRule="auto"/>
        <w:rPr>
          <w:sz w:val="20"/>
          <w:szCs w:val="20"/>
          <w:color w:val="auto"/>
        </w:rPr>
      </w:pPr>
      <w:r>
        <w:rPr>
          <w:rFonts w:ascii="Arial" w:cs="Arial" w:eastAsia="Arial" w:hAnsi="Arial"/>
          <w:sz w:val="18"/>
          <w:szCs w:val="18"/>
          <w:color w:val="auto"/>
        </w:rPr>
        <w:t>Customer service expenses include the personnel and other costs associated with handling customer sales and service activity. Customer service expenses increased in 2012 primarily due to increases in labor costs associated with higher levels of customer service activity. Customer service expenses remained relatively flat in 2011.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Marketing Expenses</w:t>
      </w:r>
    </w:p>
    <w:p>
      <w:pPr>
        <w:jc w:val="both"/>
        <w:spacing w:after="0" w:line="299" w:lineRule="auto"/>
        <w:rPr>
          <w:sz w:val="20"/>
          <w:szCs w:val="20"/>
          <w:color w:val="auto"/>
        </w:rPr>
      </w:pPr>
      <w:r>
        <w:rPr>
          <w:rFonts w:ascii="Arial" w:cs="Arial" w:eastAsia="Arial" w:hAnsi="Arial"/>
          <w:sz w:val="16"/>
          <w:szCs w:val="16"/>
          <w:color w:val="auto"/>
        </w:rPr>
        <w:t>Marketing expenses increased in 2012 and 2011 primarily due to increases in spending associated with the continued expansion of business services to medium-sized businesses and costs associated with branding and competitive marketing, as well as increases in direct sales efforts.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3E499A"/>
        </w:rPr>
        <w:t>Other Costs and Expenses</w:t>
      </w:r>
    </w:p>
    <w:p>
      <w:pPr>
        <w:jc w:val="both"/>
        <w:spacing w:after="0" w:line="237" w:lineRule="auto"/>
        <w:rPr>
          <w:sz w:val="20"/>
          <w:szCs w:val="20"/>
          <w:color w:val="auto"/>
        </w:rPr>
      </w:pPr>
      <w:r>
        <w:rPr>
          <w:rFonts w:ascii="Arial" w:cs="Arial" w:eastAsia="Arial" w:hAnsi="Arial"/>
          <w:sz w:val="18"/>
          <w:szCs w:val="18"/>
          <w:color w:val="auto"/>
        </w:rPr>
        <w:t>Other operating costs and expenses include franchise fees, pole rentals, plant maintenance, vehicle-related costs, advertising and representation fees, and expenses associated with business services. These expenses increased in 2012 primarily due to increases in activity related to business services, advertising and network operations, and increases in franchise and other regulatory fees. These expenses increased in 2011 primarily due to the continued expansion of business services and other service enhancement initiatives.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discussion below compares the NBCUniversal segments’ actual results for 2012 to the pro forma combined results for 2011 and 2010. Management believes reviewing our operating results by combining actual and pro forma results for the NBCUniversal segments for 2011 and 2010 is more useful in identifying trends in, or reaching conclusions regarding, the overall operating performance of these segments in 2012. The pro forma amounts presented in the tables below include adjustments as if the NBCUniversal and Universal Orlando transactions had each occurred on January 1, 2010. The pro forma data was also adjusted for the effects of acquisition accounting and the elimination of costs and expenses directly related to the transactions but does not include adjustments for costs related to integration activities, cost savings or synergies that have been or may be achieved by the combined businesses. Pro forma amounts are not necessarily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indicative of what our results would have been had we operated the NBCUniversal contributed businesses or Universal Orlando since January 1, 2010, nor of our future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3E499A"/>
        </w:rPr>
        <w:t>2012 NBCUniversal Segments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3976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NBCUniversal segments for 2012, 2011 and 2010 are presented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2011</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2010</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132"/>
              <w:spacing w:after="0" w:line="121" w:lineRule="exact"/>
              <w:rPr>
                <w:sz w:val="20"/>
                <w:szCs w:val="20"/>
                <w:color w:val="auto"/>
              </w:rPr>
            </w:pPr>
            <w:r>
              <w:rPr>
                <w:rFonts w:ascii="Arial" w:cs="Arial" w:eastAsia="Arial" w:hAnsi="Arial"/>
                <w:sz w:val="14"/>
                <w:szCs w:val="14"/>
                <w:color w:val="auto"/>
                <w:w w:val="96"/>
              </w:rPr>
              <w:t>Pro Forma</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112"/>
              <w:spacing w:after="0" w:line="121" w:lineRule="exact"/>
              <w:rPr>
                <w:sz w:val="20"/>
                <w:szCs w:val="20"/>
                <w:color w:val="auto"/>
              </w:rPr>
            </w:pPr>
            <w:r>
              <w:rPr>
                <w:rFonts w:ascii="Arial" w:cs="Arial" w:eastAsia="Arial" w:hAnsi="Arial"/>
                <w:sz w:val="14"/>
                <w:szCs w:val="14"/>
                <w:color w:val="auto"/>
                <w:w w:val="96"/>
              </w:rPr>
              <w:t>Pro Forma</w:t>
            </w: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Actual</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3"/>
              <w:spacing w:after="0" w:line="170" w:lineRule="exact"/>
              <w:rPr>
                <w:sz w:val="20"/>
                <w:szCs w:val="20"/>
                <w:color w:val="auto"/>
              </w:rPr>
            </w:pPr>
            <w:r>
              <w:rPr>
                <w:rFonts w:ascii="Arial" w:cs="Arial" w:eastAsia="Arial" w:hAnsi="Arial"/>
                <w:sz w:val="12"/>
                <w:szCs w:val="12"/>
                <w:color w:val="auto"/>
              </w:rPr>
              <w:t>Actual</w:t>
            </w:r>
            <w:r>
              <w:rPr>
                <w:rFonts w:ascii="Arial" w:cs="Arial" w:eastAsia="Arial" w:hAnsi="Arial"/>
                <w:sz w:val="19"/>
                <w:szCs w:val="19"/>
                <w:color w:val="auto"/>
                <w:vertAlign w:val="superscript"/>
              </w:rPr>
              <w:t>(a)</w:t>
            </w:r>
          </w:p>
        </w:tc>
        <w:tc>
          <w:tcPr>
            <w:tcW w:w="1000" w:type="dxa"/>
            <w:vAlign w:val="bottom"/>
            <w:tcBorders>
              <w:bottom w:val="single" w:sz="8" w:color="auto"/>
            </w:tcBorders>
            <w:gridSpan w:val="2"/>
          </w:tcPr>
          <w:p>
            <w:pPr>
              <w:jc w:val="right"/>
              <w:ind w:right="72"/>
              <w:spacing w:after="0" w:line="170" w:lineRule="exact"/>
              <w:rPr>
                <w:sz w:val="20"/>
                <w:szCs w:val="20"/>
                <w:color w:val="auto"/>
              </w:rPr>
            </w:pPr>
            <w:r>
              <w:rPr>
                <w:rFonts w:ascii="Arial" w:cs="Arial" w:eastAsia="Arial" w:hAnsi="Arial"/>
                <w:sz w:val="12"/>
                <w:szCs w:val="12"/>
                <w:color w:val="auto"/>
              </w:rPr>
              <w:t>Pro Forma</w:t>
            </w:r>
            <w:r>
              <w:rPr>
                <w:rFonts w:ascii="Arial" w:cs="Arial" w:eastAsia="Arial" w:hAnsi="Arial"/>
                <w:sz w:val="19"/>
                <w:szCs w:val="19"/>
                <w:color w:val="auto"/>
                <w:vertAlign w:val="superscript"/>
              </w:rPr>
              <w:t>(b)</w:t>
            </w:r>
          </w:p>
        </w:tc>
        <w:tc>
          <w:tcPr>
            <w:tcW w:w="1000" w:type="dxa"/>
            <w:vAlign w:val="bottom"/>
            <w:tcBorders>
              <w:bottom w:val="single" w:sz="8" w:color="auto"/>
            </w:tcBorders>
            <w:gridSpan w:val="2"/>
          </w:tcPr>
          <w:p>
            <w:pPr>
              <w:jc w:val="right"/>
              <w:ind w:right="92"/>
              <w:spacing w:after="0" w:line="170" w:lineRule="exact"/>
              <w:rPr>
                <w:sz w:val="20"/>
                <w:szCs w:val="20"/>
                <w:color w:val="auto"/>
              </w:rPr>
            </w:pPr>
            <w:r>
              <w:rPr>
                <w:rFonts w:ascii="Arial" w:cs="Arial" w:eastAsia="Arial" w:hAnsi="Arial"/>
                <w:sz w:val="12"/>
                <w:szCs w:val="12"/>
                <w:color w:val="auto"/>
              </w:rPr>
              <w:t>Combined</w:t>
            </w:r>
            <w:r>
              <w:rPr>
                <w:rFonts w:ascii="Arial" w:cs="Arial" w:eastAsia="Arial" w:hAnsi="Arial"/>
                <w:sz w:val="19"/>
                <w:szCs w:val="19"/>
                <w:color w:val="auto"/>
                <w:vertAlign w:val="superscript"/>
              </w:rPr>
              <w:t>(c)</w:t>
            </w:r>
          </w:p>
        </w:tc>
        <w:tc>
          <w:tcPr>
            <w:tcW w:w="680" w:type="dxa"/>
            <w:vAlign w:val="bottom"/>
            <w:tcBorders>
              <w:bottom w:val="single" w:sz="8" w:color="auto"/>
            </w:tcBorders>
            <w:gridSpan w:val="2"/>
          </w:tcPr>
          <w:p>
            <w:pPr>
              <w:jc w:val="right"/>
              <w:ind w:right="32"/>
              <w:spacing w:after="0" w:line="170" w:lineRule="exact"/>
              <w:rPr>
                <w:sz w:val="20"/>
                <w:szCs w:val="20"/>
                <w:color w:val="auto"/>
              </w:rPr>
            </w:pPr>
            <w:r>
              <w:rPr>
                <w:rFonts w:ascii="Arial" w:cs="Arial" w:eastAsia="Arial" w:hAnsi="Arial"/>
                <w:sz w:val="12"/>
                <w:szCs w:val="12"/>
                <w:color w:val="auto"/>
              </w:rPr>
              <w:t>Actual</w:t>
            </w:r>
            <w:r>
              <w:rPr>
                <w:rFonts w:ascii="Arial" w:cs="Arial" w:eastAsia="Arial" w:hAnsi="Arial"/>
                <w:sz w:val="19"/>
                <w:szCs w:val="19"/>
                <w:color w:val="auto"/>
                <w:vertAlign w:val="superscript"/>
              </w:rPr>
              <w:t>(a)</w:t>
            </w:r>
          </w:p>
        </w:tc>
        <w:tc>
          <w:tcPr>
            <w:tcW w:w="1020" w:type="dxa"/>
            <w:vAlign w:val="bottom"/>
            <w:tcBorders>
              <w:bottom w:val="single" w:sz="8" w:color="auto"/>
            </w:tcBorders>
            <w:gridSpan w:val="2"/>
          </w:tcPr>
          <w:p>
            <w:pPr>
              <w:jc w:val="right"/>
              <w:ind w:right="72"/>
              <w:spacing w:after="0" w:line="170" w:lineRule="exact"/>
              <w:rPr>
                <w:sz w:val="20"/>
                <w:szCs w:val="20"/>
                <w:color w:val="auto"/>
              </w:rPr>
            </w:pPr>
            <w:r>
              <w:rPr>
                <w:rFonts w:ascii="Arial" w:cs="Arial" w:eastAsia="Arial" w:hAnsi="Arial"/>
                <w:sz w:val="12"/>
                <w:szCs w:val="12"/>
                <w:color w:val="auto"/>
              </w:rPr>
              <w:t>Pro Forma</w:t>
            </w:r>
            <w:r>
              <w:rPr>
                <w:rFonts w:ascii="Arial" w:cs="Arial" w:eastAsia="Arial" w:hAnsi="Arial"/>
                <w:sz w:val="19"/>
                <w:szCs w:val="19"/>
                <w:color w:val="auto"/>
                <w:vertAlign w:val="superscript"/>
              </w:rPr>
              <w:t>(b)</w:t>
            </w:r>
          </w:p>
        </w:tc>
        <w:tc>
          <w:tcPr>
            <w:tcW w:w="980" w:type="dxa"/>
            <w:vAlign w:val="bottom"/>
            <w:tcBorders>
              <w:bottom w:val="single" w:sz="8" w:color="auto"/>
            </w:tcBorders>
            <w:gridSpan w:val="2"/>
          </w:tcPr>
          <w:p>
            <w:pPr>
              <w:jc w:val="right"/>
              <w:ind w:right="52"/>
              <w:spacing w:after="0" w:line="170" w:lineRule="exact"/>
              <w:rPr>
                <w:sz w:val="20"/>
                <w:szCs w:val="20"/>
                <w:color w:val="auto"/>
              </w:rPr>
            </w:pPr>
            <w:r>
              <w:rPr>
                <w:rFonts w:ascii="Arial" w:cs="Arial" w:eastAsia="Arial" w:hAnsi="Arial"/>
                <w:sz w:val="12"/>
                <w:szCs w:val="12"/>
                <w:color w:val="auto"/>
              </w:rPr>
              <w:t>Combined</w:t>
            </w:r>
            <w:r>
              <w:rPr>
                <w:rFonts w:ascii="Arial" w:cs="Arial" w:eastAsia="Arial" w:hAnsi="Arial"/>
                <w:sz w:val="19"/>
                <w:szCs w:val="19"/>
                <w:color w:val="auto"/>
                <w:vertAlign w:val="superscript"/>
              </w:rPr>
              <w:t>(c)</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 Change</w:t>
            </w:r>
          </w:p>
        </w:tc>
        <w:tc>
          <w:tcPr>
            <w:tcW w:w="840" w:type="dxa"/>
            <w:vAlign w:val="bottom"/>
            <w:vMerge w:val="restart"/>
          </w:tcPr>
          <w:p>
            <w:pPr>
              <w:jc w:val="right"/>
              <w:ind w:right="9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gridSpan w:val="2"/>
          </w:tcPr>
          <w:p>
            <w:pPr>
              <w:jc w:val="right"/>
              <w:ind w:right="12"/>
              <w:spacing w:after="0" w:line="115" w:lineRule="exact"/>
              <w:rPr>
                <w:sz w:val="20"/>
                <w:szCs w:val="20"/>
                <w:color w:val="auto"/>
              </w:rPr>
            </w:pPr>
            <w:r>
              <w:rPr>
                <w:rFonts w:ascii="Arial" w:cs="Arial" w:eastAsia="Arial" w:hAnsi="Arial"/>
                <w:sz w:val="12"/>
                <w:szCs w:val="12"/>
                <w:color w:val="auto"/>
              </w:rPr>
              <w:t>Comcast</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6"/>
              </w:rPr>
              <w:t>Year Ended</w:t>
            </w:r>
          </w:p>
        </w:tc>
        <w:tc>
          <w:tcPr>
            <w:tcW w:w="1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w w:val="94"/>
              </w:rPr>
              <w:t>Year Ended</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NBCUniversal</w:t>
            </w:r>
          </w:p>
        </w:tc>
        <w:tc>
          <w:tcPr>
            <w:tcW w:w="1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Year Ended</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3"/>
              </w:rPr>
              <w:t>Content</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14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Year Ended</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2011</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Businesses</w:t>
            </w: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w:t>
            </w: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Business</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7"/>
              </w:rPr>
              <w:t>Businesses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 2012</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to 2011</w:t>
            </w:r>
          </w:p>
        </w:tc>
        <w:tc>
          <w:tcPr>
            <w:tcW w:w="0" w:type="dxa"/>
            <w:vAlign w:val="bottom"/>
          </w:tcPr>
          <w:p>
            <w:pPr>
              <w:spacing w:after="0"/>
              <w:rPr>
                <w:sz w:val="1"/>
                <w:szCs w:val="1"/>
                <w:color w:val="auto"/>
              </w:rPr>
            </w:pPr>
          </w:p>
        </w:tc>
      </w:tr>
      <w:tr>
        <w:trPr>
          <w:trHeight w:val="141"/>
        </w:trPr>
        <w:tc>
          <w:tcPr>
            <w:tcW w:w="29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w:t>
            </w:r>
          </w:p>
        </w:tc>
        <w:tc>
          <w:tcPr>
            <w:tcW w:w="1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76"/>
              </w:rPr>
              <w:t>$</w:t>
            </w:r>
          </w:p>
        </w:tc>
        <w:tc>
          <w:tcPr>
            <w:tcW w:w="8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8,773</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3.3%</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00" w:type="dxa"/>
            <w:vAlign w:val="bottom"/>
          </w:tcPr>
          <w:p>
            <w:pPr>
              <w:ind w:left="200"/>
              <w:spacing w:after="0" w:line="133" w:lineRule="exact"/>
              <w:rPr>
                <w:sz w:val="20"/>
                <w:szCs w:val="20"/>
                <w:color w:val="auto"/>
              </w:rPr>
            </w:pPr>
            <w:r>
              <w:rPr>
                <w:rFonts w:ascii="Arial" w:cs="Arial" w:eastAsia="Arial" w:hAnsi="Arial"/>
                <w:sz w:val="14"/>
                <w:szCs w:val="14"/>
                <w:color w:val="auto"/>
              </w:rPr>
              <w:t>Cable Networks</w:t>
            </w:r>
          </w:p>
        </w:tc>
        <w:tc>
          <w:tcPr>
            <w:tcW w:w="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6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line="133" w:lineRule="exact"/>
              <w:rPr>
                <w:sz w:val="20"/>
                <w:szCs w:val="20"/>
                <w:color w:val="auto"/>
              </w:rPr>
            </w:pPr>
            <w:r>
              <w:rPr>
                <w:rFonts w:ascii="Arial" w:cs="Arial" w:eastAsia="Arial" w:hAnsi="Arial"/>
                <w:sz w:val="14"/>
                <w:szCs w:val="14"/>
                <w:color w:val="auto"/>
              </w:rPr>
              <w:t>8,108</w:t>
            </w:r>
          </w:p>
        </w:tc>
        <w:tc>
          <w:tcPr>
            <w:tcW w:w="16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388</w:t>
            </w:r>
          </w:p>
        </w:tc>
        <w:tc>
          <w:tcPr>
            <w:tcW w:w="140" w:type="dxa"/>
            <w:vAlign w:val="bottom"/>
          </w:tcPr>
          <w:p>
            <w:pPr>
              <w:ind w:left="60"/>
              <w:spacing w:after="0" w:line="133"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52"/>
              <w:spacing w:after="0" w:line="133" w:lineRule="exact"/>
              <w:rPr>
                <w:sz w:val="20"/>
                <w:szCs w:val="20"/>
                <w:color w:val="auto"/>
              </w:rPr>
            </w:pPr>
            <w:r>
              <w:rPr>
                <w:rFonts w:ascii="Arial" w:cs="Arial" w:eastAsia="Arial" w:hAnsi="Arial"/>
                <w:sz w:val="14"/>
                <w:szCs w:val="14"/>
                <w:color w:val="auto"/>
              </w:rPr>
              <w:t>8,496</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line="133" w:lineRule="exact"/>
              <w:rPr>
                <w:sz w:val="20"/>
                <w:szCs w:val="20"/>
                <w:color w:val="auto"/>
              </w:rPr>
            </w:pPr>
            <w:r>
              <w:rPr>
                <w:rFonts w:ascii="Arial" w:cs="Arial" w:eastAsia="Arial" w:hAnsi="Arial"/>
                <w:sz w:val="14"/>
                <w:szCs w:val="14"/>
                <w:color w:val="auto"/>
              </w:rPr>
              <w:t>2,719</w:t>
            </w:r>
          </w:p>
        </w:tc>
        <w:tc>
          <w:tcPr>
            <w:tcW w:w="200" w:type="dxa"/>
            <w:vAlign w:val="bottom"/>
          </w:tcPr>
          <w:p>
            <w:pPr>
              <w:ind w:left="80"/>
              <w:spacing w:after="0" w:line="133"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line="133" w:lineRule="exact"/>
              <w:rPr>
                <w:sz w:val="20"/>
                <w:szCs w:val="20"/>
                <w:color w:val="auto"/>
              </w:rPr>
            </w:pPr>
            <w:r>
              <w:rPr>
                <w:rFonts w:ascii="Arial" w:cs="Arial" w:eastAsia="Arial" w:hAnsi="Arial"/>
                <w:sz w:val="14"/>
                <w:szCs w:val="14"/>
                <w:color w:val="auto"/>
              </w:rPr>
              <w:t>4,960</w:t>
            </w:r>
          </w:p>
        </w:tc>
        <w:tc>
          <w:tcPr>
            <w:tcW w:w="140" w:type="dxa"/>
            <w:vAlign w:val="bottom"/>
          </w:tcPr>
          <w:p>
            <w:pPr>
              <w:ind w:left="60"/>
              <w:spacing w:after="0" w:line="133"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7,679</w:t>
            </w:r>
          </w:p>
        </w:tc>
        <w:tc>
          <w:tcPr>
            <w:tcW w:w="960" w:type="dxa"/>
            <w:vAlign w:val="bottom"/>
            <w:vMerge w:val="continue"/>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Broadcast Television</w:t>
            </w:r>
          </w:p>
        </w:tc>
        <w:tc>
          <w:tcPr>
            <w:tcW w:w="16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8,154</w:t>
            </w:r>
          </w:p>
        </w:tc>
        <w:tc>
          <w:tcPr>
            <w:tcW w:w="1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5,935</w:t>
            </w:r>
          </w:p>
        </w:tc>
        <w:tc>
          <w:tcPr>
            <w:tcW w:w="16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464</w:t>
            </w:r>
          </w:p>
        </w:tc>
        <w:tc>
          <w:tcPr>
            <w:tcW w:w="1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6,399</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6,888</w:t>
            </w:r>
          </w:p>
        </w:tc>
        <w:tc>
          <w:tcPr>
            <w:tcW w:w="14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6,888</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27.4</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Filmed Entertainment</w:t>
            </w:r>
          </w:p>
        </w:tc>
        <w:tc>
          <w:tcPr>
            <w:tcW w:w="16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5,159</w:t>
            </w:r>
          </w:p>
        </w:tc>
        <w:tc>
          <w:tcPr>
            <w:tcW w:w="1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4,239</w:t>
            </w:r>
          </w:p>
        </w:tc>
        <w:tc>
          <w:tcPr>
            <w:tcW w:w="16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353</w:t>
            </w:r>
          </w:p>
        </w:tc>
        <w:tc>
          <w:tcPr>
            <w:tcW w:w="1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4,592</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4,576</w:t>
            </w:r>
          </w:p>
        </w:tc>
        <w:tc>
          <w:tcPr>
            <w:tcW w:w="14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4,576</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12.4</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Theme Parks</w:t>
            </w:r>
          </w:p>
        </w:tc>
        <w:tc>
          <w:tcPr>
            <w:tcW w:w="16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2,085</w:t>
            </w:r>
          </w:p>
        </w:tc>
        <w:tc>
          <w:tcPr>
            <w:tcW w:w="1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1,874</w:t>
            </w:r>
          </w:p>
        </w:tc>
        <w:tc>
          <w:tcPr>
            <w:tcW w:w="16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115</w:t>
            </w:r>
          </w:p>
        </w:tc>
        <w:tc>
          <w:tcPr>
            <w:tcW w:w="1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1,989</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1,600</w:t>
            </w:r>
          </w:p>
        </w:tc>
        <w:tc>
          <w:tcPr>
            <w:tcW w:w="14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1,600</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4.8</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Headquarters, other and eliminations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(359)</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544</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(2.1)</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20" w:type="dxa"/>
            <w:vAlign w:val="bottom"/>
            <w:tcBorders>
              <w:bottom w:val="single" w:sz="8" w:color="3E499A"/>
            </w:tcBorders>
          </w:tcPr>
          <w:p>
            <w:pPr>
              <w:spacing w:after="0"/>
              <w:rPr>
                <w:sz w:val="12"/>
                <w:szCs w:val="12"/>
                <w:color w:val="auto"/>
              </w:rPr>
            </w:pPr>
          </w:p>
        </w:tc>
        <w:tc>
          <w:tcPr>
            <w:tcW w:w="2900" w:type="dxa"/>
            <w:vAlign w:val="bottom"/>
            <w:tcBorders>
              <w:bottom w:val="single" w:sz="8" w:color="3E499A"/>
            </w:tcBorders>
          </w:tcPr>
          <w:p>
            <w:pPr>
              <w:spacing w:after="0" w:line="142" w:lineRule="exact"/>
              <w:rPr>
                <w:sz w:val="20"/>
                <w:szCs w:val="20"/>
                <w:color w:val="auto"/>
              </w:rPr>
            </w:pPr>
            <w:r>
              <w:rPr>
                <w:rFonts w:ascii="Arial" w:cs="Arial" w:eastAsia="Arial" w:hAnsi="Arial"/>
                <w:sz w:val="14"/>
                <w:szCs w:val="14"/>
                <w:b w:val="1"/>
                <w:bCs w:val="1"/>
                <w:color w:val="auto"/>
              </w:rPr>
              <w:t>Total revenue</w:t>
            </w:r>
          </w:p>
        </w:tc>
        <w:tc>
          <w:tcPr>
            <w:tcW w:w="160" w:type="dxa"/>
            <w:vAlign w:val="bottom"/>
            <w:tcBorders>
              <w:bottom w:val="single" w:sz="8" w:color="3E499A"/>
            </w:tcBorders>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3E499A"/>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23,812</w:t>
            </w:r>
          </w:p>
        </w:tc>
        <w:tc>
          <w:tcPr>
            <w:tcW w:w="160" w:type="dxa"/>
            <w:vAlign w:val="bottom"/>
            <w:tcBorders>
              <w:bottom w:val="single" w:sz="8" w:color="3E499A"/>
            </w:tcBorders>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3E499A"/>
            </w:tcBorders>
          </w:tcPr>
          <w:p>
            <w:pPr>
              <w:jc w:val="right"/>
              <w:ind w:right="53"/>
              <w:spacing w:after="0" w:line="142" w:lineRule="exact"/>
              <w:rPr>
                <w:sz w:val="20"/>
                <w:szCs w:val="20"/>
                <w:color w:val="auto"/>
              </w:rPr>
            </w:pPr>
            <w:r>
              <w:rPr>
                <w:rFonts w:ascii="Arial" w:cs="Arial" w:eastAsia="Arial" w:hAnsi="Arial"/>
                <w:sz w:val="14"/>
                <w:szCs w:val="14"/>
                <w:color w:val="auto"/>
              </w:rPr>
              <w:t>19,260</w:t>
            </w:r>
          </w:p>
        </w:tc>
        <w:tc>
          <w:tcPr>
            <w:tcW w:w="160" w:type="dxa"/>
            <w:vAlign w:val="bottom"/>
            <w:tcBorders>
              <w:bottom w:val="single" w:sz="8" w:color="3E499A"/>
            </w:tcBorders>
          </w:tcPr>
          <w:p>
            <w:pPr>
              <w:ind w:left="6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3E499A"/>
            </w:tcBorders>
          </w:tcPr>
          <w:p>
            <w:pPr>
              <w:jc w:val="right"/>
              <w:ind w:right="32"/>
              <w:spacing w:after="0" w:line="142" w:lineRule="exact"/>
              <w:rPr>
                <w:sz w:val="20"/>
                <w:szCs w:val="20"/>
                <w:color w:val="auto"/>
              </w:rPr>
            </w:pPr>
            <w:r>
              <w:rPr>
                <w:rFonts w:ascii="Arial" w:cs="Arial" w:eastAsia="Arial" w:hAnsi="Arial"/>
                <w:sz w:val="14"/>
                <w:szCs w:val="14"/>
                <w:color w:val="auto"/>
              </w:rPr>
              <w:t>1,864</w:t>
            </w:r>
          </w:p>
        </w:tc>
        <w:tc>
          <w:tcPr>
            <w:tcW w:w="140" w:type="dxa"/>
            <w:vAlign w:val="bottom"/>
            <w:tcBorders>
              <w:bottom w:val="single" w:sz="8" w:color="3E499A"/>
            </w:tcBorders>
          </w:tcPr>
          <w:p>
            <w:pPr>
              <w:ind w:left="60"/>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3E499A"/>
            </w:tcBorders>
          </w:tcPr>
          <w:p>
            <w:pPr>
              <w:jc w:val="right"/>
              <w:ind w:right="52"/>
              <w:spacing w:after="0" w:line="142" w:lineRule="exact"/>
              <w:rPr>
                <w:sz w:val="20"/>
                <w:szCs w:val="20"/>
                <w:color w:val="auto"/>
              </w:rPr>
            </w:pPr>
            <w:r>
              <w:rPr>
                <w:rFonts w:ascii="Arial" w:cs="Arial" w:eastAsia="Arial" w:hAnsi="Arial"/>
                <w:sz w:val="14"/>
                <w:szCs w:val="14"/>
                <w:color w:val="auto"/>
              </w:rPr>
              <w:t>21,124</w:t>
            </w:r>
          </w:p>
        </w:tc>
        <w:tc>
          <w:tcPr>
            <w:tcW w:w="120" w:type="dxa"/>
            <w:vAlign w:val="bottom"/>
            <w:tcBorders>
              <w:bottom w:val="single" w:sz="8" w:color="3E499A"/>
            </w:tcBorders>
          </w:tcPr>
          <w:p>
            <w:pPr>
              <w:ind w:left="6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3E499A"/>
            </w:tcBorders>
          </w:tcPr>
          <w:p>
            <w:pPr>
              <w:jc w:val="right"/>
              <w:ind w:right="12"/>
              <w:spacing w:after="0" w:line="142" w:lineRule="exact"/>
              <w:rPr>
                <w:sz w:val="20"/>
                <w:szCs w:val="20"/>
                <w:color w:val="auto"/>
              </w:rPr>
            </w:pPr>
            <w:r>
              <w:rPr>
                <w:rFonts w:ascii="Arial" w:cs="Arial" w:eastAsia="Arial" w:hAnsi="Arial"/>
                <w:sz w:val="14"/>
                <w:szCs w:val="14"/>
                <w:color w:val="auto"/>
              </w:rPr>
              <w:t>2,719</w:t>
            </w:r>
          </w:p>
        </w:tc>
        <w:tc>
          <w:tcPr>
            <w:tcW w:w="200" w:type="dxa"/>
            <w:vAlign w:val="bottom"/>
            <w:tcBorders>
              <w:bottom w:val="single" w:sz="8" w:color="3E499A"/>
            </w:tcBorders>
          </w:tcPr>
          <w:p>
            <w:pPr>
              <w:ind w:left="8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3E499A"/>
            </w:tcBorders>
          </w:tcPr>
          <w:p>
            <w:pPr>
              <w:jc w:val="right"/>
              <w:ind w:right="32"/>
              <w:spacing w:after="0" w:line="142" w:lineRule="exact"/>
              <w:rPr>
                <w:sz w:val="20"/>
                <w:szCs w:val="20"/>
                <w:color w:val="auto"/>
              </w:rPr>
            </w:pPr>
            <w:r>
              <w:rPr>
                <w:rFonts w:ascii="Arial" w:cs="Arial" w:eastAsia="Arial" w:hAnsi="Arial"/>
                <w:sz w:val="14"/>
                <w:szCs w:val="14"/>
                <w:color w:val="auto"/>
              </w:rPr>
              <w:t>17,655</w:t>
            </w:r>
          </w:p>
        </w:tc>
        <w:tc>
          <w:tcPr>
            <w:tcW w:w="140" w:type="dxa"/>
            <w:vAlign w:val="bottom"/>
            <w:tcBorders>
              <w:bottom w:val="single" w:sz="8" w:color="3E499A"/>
            </w:tcBorders>
          </w:tcPr>
          <w:p>
            <w:pPr>
              <w:ind w:left="60"/>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3E499A"/>
            </w:tcBorders>
          </w:tcPr>
          <w:p>
            <w:pPr>
              <w:jc w:val="right"/>
              <w:ind w:right="32"/>
              <w:spacing w:after="0" w:line="142" w:lineRule="exact"/>
              <w:rPr>
                <w:sz w:val="20"/>
                <w:szCs w:val="20"/>
                <w:color w:val="auto"/>
              </w:rPr>
            </w:pPr>
            <w:r>
              <w:rPr>
                <w:rFonts w:ascii="Arial" w:cs="Arial" w:eastAsia="Arial" w:hAnsi="Arial"/>
                <w:sz w:val="14"/>
                <w:szCs w:val="14"/>
                <w:color w:val="auto"/>
              </w:rPr>
              <w:t>20,374</w:t>
            </w:r>
          </w:p>
        </w:tc>
        <w:tc>
          <w:tcPr>
            <w:tcW w:w="960" w:type="dxa"/>
            <w:vAlign w:val="bottom"/>
            <w:tcBorders>
              <w:bottom w:val="single" w:sz="8" w:color="3E499A"/>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12.7%</w:t>
            </w:r>
          </w:p>
        </w:tc>
        <w:tc>
          <w:tcPr>
            <w:tcW w:w="840" w:type="dxa"/>
            <w:vAlign w:val="bottom"/>
            <w:tcBorders>
              <w:bottom w:val="single" w:sz="8" w:color="3E499A"/>
            </w:tcBorders>
          </w:tcPr>
          <w:p>
            <w:pPr>
              <w:jc w:val="right"/>
              <w:spacing w:after="0" w:line="142"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25"/>
        </w:trPr>
        <w:tc>
          <w:tcPr>
            <w:tcW w:w="292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Operating Income Before Depreciation and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ind w:left="2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76"/>
              </w:rPr>
              <w:t>$</w:t>
            </w:r>
          </w:p>
        </w:tc>
        <w:tc>
          <w:tcPr>
            <w:tcW w:w="8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3,292</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00" w:type="dxa"/>
            <w:vAlign w:val="bottom"/>
          </w:tcPr>
          <w:p>
            <w:pPr>
              <w:ind w:left="200"/>
              <w:spacing w:after="0" w:line="133" w:lineRule="exact"/>
              <w:rPr>
                <w:sz w:val="20"/>
                <w:szCs w:val="20"/>
                <w:color w:val="auto"/>
              </w:rPr>
            </w:pPr>
            <w:r>
              <w:rPr>
                <w:rFonts w:ascii="Arial" w:cs="Arial" w:eastAsia="Arial" w:hAnsi="Arial"/>
                <w:sz w:val="14"/>
                <w:szCs w:val="14"/>
                <w:color w:val="auto"/>
              </w:rPr>
              <w:t>Cable Networks</w:t>
            </w:r>
          </w:p>
        </w:tc>
        <w:tc>
          <w:tcPr>
            <w:tcW w:w="1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6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line="133" w:lineRule="exact"/>
              <w:rPr>
                <w:sz w:val="20"/>
                <w:szCs w:val="20"/>
                <w:color w:val="auto"/>
              </w:rPr>
            </w:pPr>
            <w:r>
              <w:rPr>
                <w:rFonts w:ascii="Arial" w:cs="Arial" w:eastAsia="Arial" w:hAnsi="Arial"/>
                <w:sz w:val="14"/>
                <w:szCs w:val="14"/>
                <w:color w:val="auto"/>
              </w:rPr>
              <w:t>3,185</w:t>
            </w:r>
          </w:p>
        </w:tc>
        <w:tc>
          <w:tcPr>
            <w:tcW w:w="16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152</w:t>
            </w:r>
          </w:p>
        </w:tc>
        <w:tc>
          <w:tcPr>
            <w:tcW w:w="140" w:type="dxa"/>
            <w:vAlign w:val="bottom"/>
          </w:tcPr>
          <w:p>
            <w:pPr>
              <w:ind w:left="60"/>
              <w:spacing w:after="0" w:line="133"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52"/>
              <w:spacing w:after="0" w:line="133" w:lineRule="exact"/>
              <w:rPr>
                <w:sz w:val="20"/>
                <w:szCs w:val="20"/>
                <w:color w:val="auto"/>
              </w:rPr>
            </w:pPr>
            <w:r>
              <w:rPr>
                <w:rFonts w:ascii="Arial" w:cs="Arial" w:eastAsia="Arial" w:hAnsi="Arial"/>
                <w:sz w:val="14"/>
                <w:szCs w:val="14"/>
                <w:color w:val="auto"/>
              </w:rPr>
              <w:t>3,337</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line="133" w:lineRule="exact"/>
              <w:rPr>
                <w:sz w:val="20"/>
                <w:szCs w:val="20"/>
                <w:color w:val="auto"/>
              </w:rPr>
            </w:pPr>
            <w:r>
              <w:rPr>
                <w:rFonts w:ascii="Arial" w:cs="Arial" w:eastAsia="Arial" w:hAnsi="Arial"/>
                <w:sz w:val="14"/>
                <w:szCs w:val="14"/>
                <w:color w:val="auto"/>
              </w:rPr>
              <w:t>732</w:t>
            </w:r>
          </w:p>
        </w:tc>
        <w:tc>
          <w:tcPr>
            <w:tcW w:w="200" w:type="dxa"/>
            <w:vAlign w:val="bottom"/>
          </w:tcPr>
          <w:p>
            <w:pPr>
              <w:ind w:left="80"/>
              <w:spacing w:after="0" w:line="133"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line="133" w:lineRule="exact"/>
              <w:rPr>
                <w:sz w:val="20"/>
                <w:szCs w:val="20"/>
                <w:color w:val="auto"/>
              </w:rPr>
            </w:pPr>
            <w:r>
              <w:rPr>
                <w:rFonts w:ascii="Arial" w:cs="Arial" w:eastAsia="Arial" w:hAnsi="Arial"/>
                <w:sz w:val="14"/>
                <w:szCs w:val="14"/>
                <w:color w:val="auto"/>
              </w:rPr>
              <w:t>2,434</w:t>
            </w:r>
          </w:p>
        </w:tc>
        <w:tc>
          <w:tcPr>
            <w:tcW w:w="140" w:type="dxa"/>
            <w:vAlign w:val="bottom"/>
          </w:tcPr>
          <w:p>
            <w:pPr>
              <w:ind w:left="60"/>
              <w:spacing w:after="0" w:line="133"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3,166</w:t>
            </w:r>
          </w:p>
        </w:tc>
        <w:tc>
          <w:tcPr>
            <w:tcW w:w="960" w:type="dxa"/>
            <w:vAlign w:val="bottom"/>
            <w:vMerge w:val="continue"/>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Broadcast Television</w:t>
            </w:r>
          </w:p>
        </w:tc>
        <w:tc>
          <w:tcPr>
            <w:tcW w:w="16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369</w:t>
            </w:r>
          </w:p>
        </w:tc>
        <w:tc>
          <w:tcPr>
            <w:tcW w:w="1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138</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123</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118</w:t>
            </w:r>
          </w:p>
        </w:tc>
        <w:tc>
          <w:tcPr>
            <w:tcW w:w="14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118</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199.2</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Filmed Entertainment</w:t>
            </w:r>
          </w:p>
        </w:tc>
        <w:tc>
          <w:tcPr>
            <w:tcW w:w="16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79</w:t>
            </w:r>
          </w:p>
        </w:tc>
        <w:tc>
          <w:tcPr>
            <w:tcW w:w="1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230</w:t>
            </w:r>
          </w:p>
        </w:tc>
        <w:tc>
          <w:tcPr>
            <w:tcW w:w="14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230</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234.2</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Theme Parks</w:t>
            </w:r>
          </w:p>
        </w:tc>
        <w:tc>
          <w:tcPr>
            <w:tcW w:w="16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953</w:t>
            </w:r>
          </w:p>
        </w:tc>
        <w:tc>
          <w:tcPr>
            <w:tcW w:w="1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830</w:t>
            </w:r>
          </w:p>
        </w:tc>
        <w:tc>
          <w:tcPr>
            <w:tcW w:w="16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w:t>
            </w:r>
          </w:p>
        </w:tc>
        <w:tc>
          <w:tcPr>
            <w:tcW w:w="1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867</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591</w:t>
            </w:r>
          </w:p>
        </w:tc>
        <w:tc>
          <w:tcPr>
            <w:tcW w:w="14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591</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9.9</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Headquarters, other and eliminations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(586)</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136</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(0.6)</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00" w:type="dxa"/>
            <w:vAlign w:val="bottom"/>
          </w:tcPr>
          <w:p>
            <w:pPr>
              <w:spacing w:after="0" w:line="125" w:lineRule="exact"/>
              <w:rPr>
                <w:sz w:val="20"/>
                <w:szCs w:val="20"/>
                <w:color w:val="auto"/>
              </w:rPr>
            </w:pPr>
            <w:r>
              <w:rPr>
                <w:rFonts w:ascii="Arial" w:cs="Arial" w:eastAsia="Arial" w:hAnsi="Arial"/>
                <w:sz w:val="14"/>
                <w:szCs w:val="14"/>
                <w:b w:val="1"/>
                <w:bCs w:val="1"/>
                <w:color w:val="auto"/>
              </w:rPr>
              <w:t>Total operating income before depreciation</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Borders>
              <w:bottom w:val="single" w:sz="8" w:color="3E499A"/>
            </w:tcBorders>
          </w:tcPr>
          <w:p>
            <w:pPr>
              <w:ind w:left="200"/>
              <w:spacing w:after="0"/>
              <w:rPr>
                <w:sz w:val="20"/>
                <w:szCs w:val="20"/>
                <w:color w:val="auto"/>
              </w:rPr>
            </w:pPr>
            <w:r>
              <w:rPr>
                <w:rFonts w:ascii="Arial" w:cs="Arial" w:eastAsia="Arial" w:hAnsi="Arial"/>
                <w:sz w:val="14"/>
                <w:szCs w:val="14"/>
                <w:b w:val="1"/>
                <w:bCs w:val="1"/>
                <w:color w:val="auto"/>
              </w:rPr>
              <w:t>and amortization</w:t>
            </w:r>
          </w:p>
        </w:tc>
        <w:tc>
          <w:tcPr>
            <w:tcW w:w="160" w:type="dxa"/>
            <w:vAlign w:val="bottom"/>
            <w:tcBorders>
              <w:bottom w:val="single" w:sz="8" w:color="3E499A"/>
            </w:tcBorders>
          </w:tcPr>
          <w:p>
            <w:pPr>
              <w:ind w:left="8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3E499A"/>
            </w:tcBorders>
          </w:tcPr>
          <w:p>
            <w:pPr>
              <w:jc w:val="right"/>
              <w:ind w:right="32"/>
              <w:spacing w:after="0"/>
              <w:rPr>
                <w:sz w:val="20"/>
                <w:szCs w:val="20"/>
                <w:color w:val="auto"/>
              </w:rPr>
            </w:pPr>
            <w:r>
              <w:rPr>
                <w:rFonts w:ascii="Arial" w:cs="Arial" w:eastAsia="Arial" w:hAnsi="Arial"/>
                <w:sz w:val="14"/>
                <w:szCs w:val="14"/>
                <w:b w:val="1"/>
                <w:bCs w:val="1"/>
                <w:color w:val="auto"/>
              </w:rPr>
              <w:t>4,107</w:t>
            </w:r>
          </w:p>
        </w:tc>
        <w:tc>
          <w:tcPr>
            <w:tcW w:w="160" w:type="dxa"/>
            <w:vAlign w:val="bottom"/>
            <w:tcBorders>
              <w:bottom w:val="single" w:sz="8" w:color="3E499A"/>
            </w:tcBorders>
          </w:tcPr>
          <w:p>
            <w:pPr>
              <w:ind w:lef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3E499A"/>
            </w:tcBorders>
          </w:tcPr>
          <w:p>
            <w:pPr>
              <w:jc w:val="right"/>
              <w:ind w:right="53"/>
              <w:spacing w:after="0"/>
              <w:rPr>
                <w:sz w:val="20"/>
                <w:szCs w:val="20"/>
                <w:color w:val="auto"/>
              </w:rPr>
            </w:pPr>
            <w:r>
              <w:rPr>
                <w:rFonts w:ascii="Arial" w:cs="Arial" w:eastAsia="Arial" w:hAnsi="Arial"/>
                <w:sz w:val="14"/>
                <w:szCs w:val="14"/>
                <w:color w:val="auto"/>
              </w:rPr>
              <w:t>3,462</w:t>
            </w:r>
          </w:p>
        </w:tc>
        <w:tc>
          <w:tcPr>
            <w:tcW w:w="160" w:type="dxa"/>
            <w:vAlign w:val="bottom"/>
            <w:tcBorders>
              <w:bottom w:val="single" w:sz="8" w:color="3E499A"/>
            </w:tcBorders>
          </w:tcPr>
          <w:p>
            <w:pPr>
              <w:ind w:lef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3E499A"/>
            </w:tcBorders>
          </w:tcPr>
          <w:p>
            <w:pPr>
              <w:jc w:val="right"/>
              <w:ind w:right="32"/>
              <w:spacing w:after="0"/>
              <w:rPr>
                <w:sz w:val="20"/>
                <w:szCs w:val="20"/>
                <w:color w:val="auto"/>
              </w:rPr>
            </w:pPr>
            <w:r>
              <w:rPr>
                <w:rFonts w:ascii="Arial" w:cs="Arial" w:eastAsia="Arial" w:hAnsi="Arial"/>
                <w:sz w:val="14"/>
                <w:szCs w:val="14"/>
                <w:color w:val="auto"/>
              </w:rPr>
              <w:t>307</w:t>
            </w:r>
          </w:p>
        </w:tc>
        <w:tc>
          <w:tcPr>
            <w:tcW w:w="140" w:type="dxa"/>
            <w:vAlign w:val="bottom"/>
            <w:tcBorders>
              <w:bottom w:val="single" w:sz="8" w:color="3E499A"/>
            </w:tcBorders>
          </w:tcPr>
          <w:p>
            <w:pPr>
              <w:ind w:left="6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3E499A"/>
            </w:tcBorders>
          </w:tcPr>
          <w:p>
            <w:pPr>
              <w:jc w:val="right"/>
              <w:ind w:right="52"/>
              <w:spacing w:after="0"/>
              <w:rPr>
                <w:sz w:val="20"/>
                <w:szCs w:val="20"/>
                <w:color w:val="auto"/>
              </w:rPr>
            </w:pPr>
            <w:r>
              <w:rPr>
                <w:rFonts w:ascii="Arial" w:cs="Arial" w:eastAsia="Arial" w:hAnsi="Arial"/>
                <w:sz w:val="14"/>
                <w:szCs w:val="14"/>
                <w:color w:val="auto"/>
              </w:rPr>
              <w:t>3,769</w:t>
            </w:r>
          </w:p>
        </w:tc>
        <w:tc>
          <w:tcPr>
            <w:tcW w:w="120" w:type="dxa"/>
            <w:vAlign w:val="bottom"/>
            <w:tcBorders>
              <w:bottom w:val="single" w:sz="8" w:color="3E499A"/>
            </w:tcBorders>
          </w:tcPr>
          <w:p>
            <w:pPr>
              <w:ind w:left="6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3E499A"/>
            </w:tcBorders>
          </w:tcPr>
          <w:p>
            <w:pPr>
              <w:jc w:val="right"/>
              <w:ind w:right="12"/>
              <w:spacing w:after="0"/>
              <w:rPr>
                <w:sz w:val="20"/>
                <w:szCs w:val="20"/>
                <w:color w:val="auto"/>
              </w:rPr>
            </w:pPr>
            <w:r>
              <w:rPr>
                <w:rFonts w:ascii="Arial" w:cs="Arial" w:eastAsia="Arial" w:hAnsi="Arial"/>
                <w:sz w:val="14"/>
                <w:szCs w:val="14"/>
                <w:color w:val="auto"/>
              </w:rPr>
              <w:t>732</w:t>
            </w:r>
          </w:p>
        </w:tc>
        <w:tc>
          <w:tcPr>
            <w:tcW w:w="200" w:type="dxa"/>
            <w:vAlign w:val="bottom"/>
            <w:tcBorders>
              <w:bottom w:val="single" w:sz="8" w:color="3E499A"/>
            </w:tcBorders>
          </w:tcPr>
          <w:p>
            <w:pPr>
              <w:ind w:lef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E499A"/>
            </w:tcBorders>
          </w:tcPr>
          <w:p>
            <w:pPr>
              <w:jc w:val="right"/>
              <w:ind w:right="32"/>
              <w:spacing w:after="0"/>
              <w:rPr>
                <w:sz w:val="20"/>
                <w:szCs w:val="20"/>
                <w:color w:val="auto"/>
              </w:rPr>
            </w:pPr>
            <w:r>
              <w:rPr>
                <w:rFonts w:ascii="Arial" w:cs="Arial" w:eastAsia="Arial" w:hAnsi="Arial"/>
                <w:sz w:val="14"/>
                <w:szCs w:val="14"/>
                <w:color w:val="auto"/>
              </w:rPr>
              <w:t>2,952</w:t>
            </w:r>
          </w:p>
        </w:tc>
        <w:tc>
          <w:tcPr>
            <w:tcW w:w="140" w:type="dxa"/>
            <w:vAlign w:val="bottom"/>
            <w:tcBorders>
              <w:bottom w:val="single" w:sz="8" w:color="3E499A"/>
            </w:tcBorders>
          </w:tcPr>
          <w:p>
            <w:pPr>
              <w:ind w:left="6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3E499A"/>
            </w:tcBorders>
          </w:tcPr>
          <w:p>
            <w:pPr>
              <w:jc w:val="right"/>
              <w:ind w:right="32"/>
              <w:spacing w:after="0"/>
              <w:rPr>
                <w:sz w:val="20"/>
                <w:szCs w:val="20"/>
                <w:color w:val="auto"/>
              </w:rPr>
            </w:pPr>
            <w:r>
              <w:rPr>
                <w:rFonts w:ascii="Arial" w:cs="Arial" w:eastAsia="Arial" w:hAnsi="Arial"/>
                <w:sz w:val="14"/>
                <w:szCs w:val="14"/>
                <w:color w:val="auto"/>
              </w:rPr>
              <w:t>3,684</w:t>
            </w:r>
          </w:p>
        </w:tc>
        <w:tc>
          <w:tcPr>
            <w:tcW w:w="960" w:type="dxa"/>
            <w:vAlign w:val="bottom"/>
            <w:tcBorders>
              <w:bottom w:val="single" w:sz="8" w:color="3E499A"/>
            </w:tcBorders>
          </w:tcPr>
          <w:p>
            <w:pPr>
              <w:jc w:val="right"/>
              <w:ind w:right="32"/>
              <w:spacing w:after="0"/>
              <w:rPr>
                <w:sz w:val="20"/>
                <w:szCs w:val="20"/>
                <w:color w:val="auto"/>
              </w:rPr>
            </w:pPr>
            <w:r>
              <w:rPr>
                <w:rFonts w:ascii="Arial" w:cs="Arial" w:eastAsia="Arial" w:hAnsi="Arial"/>
                <w:sz w:val="14"/>
                <w:szCs w:val="14"/>
                <w:b w:val="1"/>
                <w:bCs w:val="1"/>
                <w:color w:val="auto"/>
              </w:rPr>
              <w:t>9.0%</w:t>
            </w:r>
          </w:p>
        </w:tc>
        <w:tc>
          <w:tcPr>
            <w:tcW w:w="840" w:type="dxa"/>
            <w:vAlign w:val="bottom"/>
            <w:tcBorders>
              <w:bottom w:val="single" w:sz="8" w:color="3E499A"/>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line="231" w:lineRule="auto"/>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Actual amounts for our reportable segments include the results of operations for the businesses we contributed as part of the NBCUniversal transaction (“Comcast Content Business”) for 2011 and 2010, and the results of operations for the NBCUniversal acquired</w:t>
      </w:r>
    </w:p>
    <w:p>
      <w:pPr>
        <w:spacing w:after="0" w:line="32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spacing w:after="0" w:line="228" w:lineRule="auto"/>
        <w:rPr>
          <w:sz w:val="20"/>
          <w:szCs w:val="20"/>
          <w:color w:val="auto"/>
        </w:rPr>
      </w:pPr>
      <w:r>
        <w:rPr>
          <w:rFonts w:ascii="Arial" w:cs="Arial" w:eastAsia="Arial" w:hAnsi="Arial"/>
          <w:sz w:val="14"/>
          <w:szCs w:val="14"/>
          <w:color w:val="auto"/>
        </w:rPr>
        <w:t>businesses and Universal Orlando for the period January 29, 2011 through December 31, 2011. Headquarters, other and eliminations includes the elimination of the results of operations for Universal Orlando for the period January 29, 2011 through June 30, 2011 in order to reconcile to our consolidated financial statements because Universal Orlando was recorded as an equity method investment during that period.</w:t>
      </w:r>
    </w:p>
    <w:p>
      <w:pPr>
        <w:spacing w:after="0" w:line="54" w:lineRule="exact"/>
        <w:rPr>
          <w:sz w:val="20"/>
          <w:szCs w:val="20"/>
          <w:color w:val="auto"/>
        </w:rPr>
      </w:pPr>
    </w:p>
    <w:p>
      <w:pPr>
        <w:jc w:val="both"/>
        <w:ind w:left="300" w:hanging="292"/>
        <w:spacing w:after="0" w:line="224" w:lineRule="auto"/>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and Universal Orlando for the period January 1, 2011 through January 28, 2011 and for the year ended December 31, 2010. These amounts also include pro forma adjustments as if the NBCUniversal and Universal Orlando transactions had occurred on January 1, 2010, including the effects of acquisition accounting and the elimination of operating costs and expenses directly related to the transactions,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 In 2011 and 2010, total pro forma adjustments increased operating income before depreciation and amortization by $7 million and $36 million, respectively.</w:t>
      </w:r>
    </w:p>
    <w:p>
      <w:pPr>
        <w:spacing w:after="0" w:line="57"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and Universal Orlando transactions had occurred on January 1, 2010 but are not necessarily indicative of what the results would have been had we operated the businesses since January 1, 2010.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Cable Networks Segment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32"/>
              <w:spacing w:after="0"/>
              <w:rPr>
                <w:sz w:val="20"/>
                <w:szCs w:val="20"/>
                <w:color w:val="auto"/>
              </w:rPr>
            </w:pPr>
            <w:r>
              <w:rPr>
                <w:rFonts w:ascii="Arial" w:cs="Arial" w:eastAsia="Arial" w:hAnsi="Arial"/>
                <w:sz w:val="14"/>
                <w:szCs w:val="14"/>
                <w:color w:val="auto"/>
                <w:w w:val="98"/>
              </w:rPr>
              <w:t>Actual</w:t>
            </w:r>
            <w:r>
              <w:rPr>
                <w:rFonts w:ascii="Arial" w:cs="Arial" w:eastAsia="Arial" w:hAnsi="Arial"/>
                <w:sz w:val="22"/>
                <w:szCs w:val="22"/>
                <w:color w:val="auto"/>
                <w:w w:val="98"/>
                <w:vertAlign w:val="superscript"/>
              </w:rPr>
              <w:t>(a)</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w w:val="97"/>
              </w:rPr>
              <w:t>Pro Forma</w:t>
            </w:r>
            <w:r>
              <w:rPr>
                <w:rFonts w:ascii="Arial" w:cs="Arial" w:eastAsia="Arial" w:hAnsi="Arial"/>
                <w:sz w:val="22"/>
                <w:szCs w:val="22"/>
                <w:color w:val="auto"/>
                <w:w w:val="97"/>
                <w:vertAlign w:val="superscript"/>
              </w:rPr>
              <w:t>(b)</w:t>
            </w:r>
          </w:p>
        </w:tc>
        <w:tc>
          <w:tcPr>
            <w:tcW w:w="920" w:type="dxa"/>
            <w:vAlign w:val="bottom"/>
          </w:tcPr>
          <w:p>
            <w:pPr>
              <w:jc w:val="center"/>
              <w:spacing w:after="0" w:line="115" w:lineRule="exact"/>
              <w:rPr>
                <w:sz w:val="20"/>
                <w:szCs w:val="20"/>
                <w:color w:val="auto"/>
              </w:rPr>
            </w:pPr>
            <w:r>
              <w:rPr>
                <w:rFonts w:ascii="Arial" w:cs="Arial" w:eastAsia="Arial" w:hAnsi="Arial"/>
                <w:sz w:val="12"/>
                <w:szCs w:val="12"/>
                <w:color w:val="auto"/>
              </w:rPr>
              <w:t>Pro Forma</w:t>
            </w: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color w:val="auto"/>
              </w:rPr>
              <w:t>Actual</w:t>
            </w:r>
            <w:r>
              <w:rPr>
                <w:rFonts w:ascii="Arial" w:cs="Arial" w:eastAsia="Arial" w:hAnsi="Arial"/>
                <w:sz w:val="22"/>
                <w:szCs w:val="22"/>
                <w:color w:val="auto"/>
                <w:vertAlign w:val="superscript"/>
              </w:rPr>
              <w:t>(a)</w:t>
            </w:r>
          </w:p>
        </w:tc>
        <w:tc>
          <w:tcPr>
            <w:tcW w:w="98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940" w:type="dxa"/>
            <w:vAlign w:val="bottom"/>
          </w:tcPr>
          <w:p>
            <w:pPr>
              <w:jc w:val="center"/>
              <w:spacing w:after="0" w:line="115" w:lineRule="exact"/>
              <w:rPr>
                <w:sz w:val="20"/>
                <w:szCs w:val="20"/>
                <w:color w:val="auto"/>
              </w:rPr>
            </w:pPr>
            <w:r>
              <w:rPr>
                <w:rFonts w:ascii="Arial" w:cs="Arial" w:eastAsia="Arial" w:hAnsi="Arial"/>
                <w:sz w:val="12"/>
                <w:szCs w:val="12"/>
                <w:color w:val="auto"/>
              </w:rPr>
              <w:t>Pro Forma</w:t>
            </w: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Actual</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color w:val="auto"/>
              </w:rPr>
              <w:t>Combined</w:t>
            </w:r>
            <w:r>
              <w:rPr>
                <w:rFonts w:ascii="Arial" w:cs="Arial" w:eastAsia="Arial" w:hAnsi="Arial"/>
                <w:sz w:val="20"/>
                <w:szCs w:val="20"/>
                <w:color w:val="auto"/>
                <w:vertAlign w:val="superscript"/>
              </w:rPr>
              <w:t>(c)</w:t>
            </w:r>
          </w:p>
        </w:tc>
        <w:tc>
          <w:tcPr>
            <w:tcW w:w="9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9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color w:val="auto"/>
                <w:w w:val="98"/>
              </w:rPr>
              <w:t>Combined</w:t>
            </w:r>
            <w:r>
              <w:rPr>
                <w:rFonts w:ascii="Arial" w:cs="Arial" w:eastAsia="Arial" w:hAnsi="Arial"/>
                <w:sz w:val="20"/>
                <w:szCs w:val="20"/>
                <w:color w:val="auto"/>
                <w:w w:val="98"/>
                <w:vertAlign w:val="superscript"/>
              </w:rPr>
              <w:t>(c)</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For the</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Period</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 Change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January 1</w:t>
            </w:r>
          </w:p>
        </w:tc>
        <w:tc>
          <w:tcPr>
            <w:tcW w:w="92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Arial" w:cs="Arial" w:eastAsia="Arial" w:hAnsi="Arial"/>
                <w:sz w:val="14"/>
                <w:szCs w:val="14"/>
                <w:color w:val="auto"/>
              </w:rPr>
              <w:t>Comcast</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40" w:type="dxa"/>
            <w:vAlign w:val="bottom"/>
          </w:tcPr>
          <w:p>
            <w:pPr>
              <w:jc w:val="right"/>
              <w:ind w:right="92"/>
              <w:spacing w:after="0" w:line="136"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Year Ended</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through</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Year Ended</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Content</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Year Ended</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2011</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76"/>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w w:val="99"/>
              </w:rPr>
              <w:t>December 31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28</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December 31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Businesses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December 31</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 2012</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to 2011</w:t>
            </w:r>
          </w:p>
        </w:tc>
        <w:tc>
          <w:tcPr>
            <w:tcW w:w="0" w:type="dxa"/>
            <w:vAlign w:val="bottom"/>
          </w:tcPr>
          <w:p>
            <w:pPr>
              <w:spacing w:after="0"/>
              <w:rPr>
                <w:sz w:val="1"/>
                <w:szCs w:val="1"/>
                <w:color w:val="auto"/>
              </w:rPr>
            </w:pPr>
          </w:p>
        </w:tc>
      </w:tr>
      <w:tr>
        <w:trPr>
          <w:trHeight w:val="141"/>
        </w:trPr>
        <w:tc>
          <w:tcPr>
            <w:tcW w:w="30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w:t>
            </w:r>
          </w:p>
        </w:tc>
        <w:tc>
          <w:tcPr>
            <w:tcW w:w="1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4,604</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4.7%</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40" w:type="dxa"/>
            <w:vAlign w:val="bottom"/>
          </w:tcPr>
          <w:p>
            <w:pPr>
              <w:ind w:left="200"/>
              <w:spacing w:after="0" w:line="133" w:lineRule="exact"/>
              <w:rPr>
                <w:sz w:val="20"/>
                <w:szCs w:val="20"/>
                <w:color w:val="auto"/>
              </w:rPr>
            </w:pPr>
            <w:r>
              <w:rPr>
                <w:rFonts w:ascii="Arial" w:cs="Arial" w:eastAsia="Arial" w:hAnsi="Arial"/>
                <w:sz w:val="14"/>
                <w:szCs w:val="14"/>
                <w:color w:val="auto"/>
              </w:rPr>
              <w:t>Distribution</w:t>
            </w:r>
          </w:p>
        </w:tc>
        <w:tc>
          <w:tcPr>
            <w:tcW w:w="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tcPr>
          <w:p>
            <w:pPr>
              <w:ind w:left="40"/>
              <w:spacing w:after="0" w:line="13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rPr>
              <w:t>4,210</w:t>
            </w:r>
          </w:p>
        </w:tc>
        <w:tc>
          <w:tcPr>
            <w:tcW w:w="900" w:type="dxa"/>
            <w:vAlign w:val="bottom"/>
          </w:tcPr>
          <w:p>
            <w:pPr>
              <w:jc w:val="right"/>
              <w:ind w:right="472"/>
              <w:spacing w:after="0" w:line="133" w:lineRule="exact"/>
              <w:rPr>
                <w:sz w:val="20"/>
                <w:szCs w:val="20"/>
                <w:color w:val="auto"/>
              </w:rPr>
            </w:pPr>
            <w:r>
              <w:rPr>
                <w:rFonts w:ascii="Arial" w:cs="Arial" w:eastAsia="Arial" w:hAnsi="Arial"/>
                <w:sz w:val="14"/>
                <w:szCs w:val="14"/>
                <w:color w:val="auto"/>
              </w:rPr>
              <w:t>$188</w:t>
            </w:r>
          </w:p>
        </w:tc>
        <w:tc>
          <w:tcPr>
            <w:tcW w:w="920" w:type="dxa"/>
            <w:vAlign w:val="bottom"/>
          </w:tcPr>
          <w:p>
            <w:pPr>
              <w:ind w:left="40"/>
              <w:spacing w:after="0" w:line="133" w:lineRule="exact"/>
              <w:rPr>
                <w:sz w:val="20"/>
                <w:szCs w:val="20"/>
                <w:color w:val="auto"/>
              </w:rPr>
            </w:pPr>
            <w:r>
              <w:rPr>
                <w:rFonts w:ascii="Arial" w:cs="Arial" w:eastAsia="Arial" w:hAnsi="Arial"/>
                <w:sz w:val="14"/>
                <w:szCs w:val="14"/>
                <w:color w:val="auto"/>
              </w:rPr>
              <w:t>$ 4,398</w:t>
            </w:r>
          </w:p>
        </w:tc>
        <w:tc>
          <w:tcPr>
            <w:tcW w:w="920" w:type="dxa"/>
            <w:vAlign w:val="bottom"/>
          </w:tcPr>
          <w:p>
            <w:pPr>
              <w:ind w:left="60"/>
              <w:spacing w:after="0" w:line="133" w:lineRule="exact"/>
              <w:rPr>
                <w:sz w:val="20"/>
                <w:szCs w:val="20"/>
                <w:color w:val="auto"/>
              </w:rPr>
            </w:pPr>
            <w:r>
              <w:rPr>
                <w:rFonts w:ascii="Arial" w:cs="Arial" w:eastAsia="Arial" w:hAnsi="Arial"/>
                <w:sz w:val="14"/>
                <w:szCs w:val="14"/>
                <w:color w:val="auto"/>
              </w:rPr>
              <w:t>$ 1,599</w:t>
            </w:r>
          </w:p>
        </w:tc>
        <w:tc>
          <w:tcPr>
            <w:tcW w:w="16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92"/>
              <w:spacing w:after="0" w:line="133" w:lineRule="exact"/>
              <w:rPr>
                <w:sz w:val="20"/>
                <w:szCs w:val="20"/>
                <w:color w:val="auto"/>
              </w:rPr>
            </w:pPr>
            <w:r>
              <w:rPr>
                <w:rFonts w:ascii="Arial" w:cs="Arial" w:eastAsia="Arial" w:hAnsi="Arial"/>
                <w:sz w:val="14"/>
                <w:szCs w:val="14"/>
                <w:color w:val="auto"/>
                <w:w w:val="96"/>
              </w:rPr>
              <w:t>2,366</w:t>
            </w:r>
          </w:p>
        </w:tc>
        <w:tc>
          <w:tcPr>
            <w:tcW w:w="940" w:type="dxa"/>
            <w:vAlign w:val="bottom"/>
          </w:tcPr>
          <w:p>
            <w:pPr>
              <w:ind w:left="80"/>
              <w:spacing w:after="0" w:line="133" w:lineRule="exact"/>
              <w:rPr>
                <w:sz w:val="20"/>
                <w:szCs w:val="20"/>
                <w:color w:val="auto"/>
              </w:rPr>
            </w:pPr>
            <w:r>
              <w:rPr>
                <w:rFonts w:ascii="Arial" w:cs="Arial" w:eastAsia="Arial" w:hAnsi="Arial"/>
                <w:sz w:val="14"/>
                <w:szCs w:val="14"/>
                <w:color w:val="auto"/>
              </w:rPr>
              <w:t>$ 3,965</w:t>
            </w:r>
          </w:p>
        </w:tc>
        <w:tc>
          <w:tcPr>
            <w:tcW w:w="960" w:type="dxa"/>
            <w:vAlign w:val="bottom"/>
            <w:vMerge w:val="continue"/>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Advertising</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3,423</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3,351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914</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2,170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3,084</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2.2</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Content licensing and other</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746</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(0.2)</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40" w:type="dxa"/>
            <w:vAlign w:val="bottom"/>
          </w:tcPr>
          <w:p>
            <w:pPr>
              <w:spacing w:after="0" w:line="125" w:lineRule="exact"/>
              <w:rPr>
                <w:sz w:val="20"/>
                <w:szCs w:val="20"/>
                <w:color w:val="auto"/>
              </w:rPr>
            </w:pPr>
            <w:r>
              <w:rPr>
                <w:rFonts w:ascii="Arial" w:cs="Arial" w:eastAsia="Arial" w:hAnsi="Arial"/>
                <w:sz w:val="14"/>
                <w:szCs w:val="14"/>
                <w:b w:val="1"/>
                <w:bCs w:val="1"/>
                <w:color w:val="auto"/>
              </w:rPr>
              <w:t>Total revenue</w:t>
            </w:r>
          </w:p>
        </w:tc>
        <w:tc>
          <w:tcPr>
            <w:tcW w:w="160" w:type="dxa"/>
            <w:vAlign w:val="bottom"/>
          </w:tcPr>
          <w:p>
            <w:pPr>
              <w:spacing w:after="0"/>
              <w:rPr>
                <w:sz w:val="10"/>
                <w:szCs w:val="10"/>
                <w:color w:val="auto"/>
              </w:rPr>
            </w:pPr>
          </w:p>
        </w:tc>
        <w:tc>
          <w:tcPr>
            <w:tcW w:w="82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8,773</w:t>
            </w:r>
          </w:p>
        </w:tc>
        <w:tc>
          <w:tcPr>
            <w:tcW w:w="14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4"/>
                <w:szCs w:val="14"/>
                <w:color w:val="auto"/>
              </w:rPr>
              <w:t>8,108</w:t>
            </w:r>
          </w:p>
        </w:tc>
        <w:tc>
          <w:tcPr>
            <w:tcW w:w="900" w:type="dxa"/>
            <w:vAlign w:val="bottom"/>
          </w:tcPr>
          <w:p>
            <w:pPr>
              <w:jc w:val="right"/>
              <w:spacing w:after="0" w:line="125" w:lineRule="exact"/>
              <w:rPr>
                <w:sz w:val="20"/>
                <w:szCs w:val="20"/>
                <w:color w:val="auto"/>
              </w:rPr>
            </w:pPr>
            <w:r>
              <w:rPr>
                <w:rFonts w:ascii="Arial" w:cs="Arial" w:eastAsia="Arial" w:hAnsi="Arial"/>
                <w:sz w:val="14"/>
                <w:szCs w:val="14"/>
                <w:color w:val="auto"/>
              </w:rPr>
              <w:t>388</w:t>
            </w:r>
          </w:p>
        </w:tc>
        <w:tc>
          <w:tcPr>
            <w:tcW w:w="920" w:type="dxa"/>
            <w:vAlign w:val="bottom"/>
          </w:tcPr>
          <w:p>
            <w:pPr>
              <w:jc w:val="right"/>
              <w:spacing w:after="0" w:line="125" w:lineRule="exact"/>
              <w:rPr>
                <w:sz w:val="20"/>
                <w:szCs w:val="20"/>
                <w:color w:val="auto"/>
              </w:rPr>
            </w:pPr>
            <w:r>
              <w:rPr>
                <w:rFonts w:ascii="Arial" w:cs="Arial" w:eastAsia="Arial" w:hAnsi="Arial"/>
                <w:sz w:val="14"/>
                <w:szCs w:val="14"/>
                <w:color w:val="auto"/>
              </w:rPr>
              <w:t>8,496</w:t>
            </w:r>
          </w:p>
        </w:tc>
        <w:tc>
          <w:tcPr>
            <w:tcW w:w="920" w:type="dxa"/>
            <w:vAlign w:val="bottom"/>
          </w:tcPr>
          <w:p>
            <w:pPr>
              <w:jc w:val="right"/>
              <w:spacing w:after="0" w:line="125" w:lineRule="exact"/>
              <w:rPr>
                <w:sz w:val="20"/>
                <w:szCs w:val="20"/>
                <w:color w:val="auto"/>
              </w:rPr>
            </w:pPr>
            <w:r>
              <w:rPr>
                <w:rFonts w:ascii="Arial" w:cs="Arial" w:eastAsia="Arial" w:hAnsi="Arial"/>
                <w:sz w:val="14"/>
                <w:szCs w:val="14"/>
                <w:color w:val="auto"/>
              </w:rPr>
              <w:t>2,719</w:t>
            </w:r>
          </w:p>
        </w:tc>
        <w:tc>
          <w:tcPr>
            <w:tcW w:w="160" w:type="dxa"/>
            <w:vAlign w:val="bottom"/>
          </w:tcPr>
          <w:p>
            <w:pPr>
              <w:spacing w:after="0"/>
              <w:rPr>
                <w:sz w:val="10"/>
                <w:szCs w:val="10"/>
                <w:color w:val="auto"/>
              </w:rPr>
            </w:pPr>
          </w:p>
        </w:tc>
        <w:tc>
          <w:tcPr>
            <w:tcW w:w="820" w:type="dxa"/>
            <w:vAlign w:val="bottom"/>
          </w:tcPr>
          <w:p>
            <w:pPr>
              <w:jc w:val="right"/>
              <w:spacing w:after="0" w:line="125" w:lineRule="exact"/>
              <w:rPr>
                <w:sz w:val="20"/>
                <w:szCs w:val="20"/>
                <w:color w:val="auto"/>
              </w:rPr>
            </w:pPr>
            <w:r>
              <w:rPr>
                <w:rFonts w:ascii="Arial" w:cs="Arial" w:eastAsia="Arial" w:hAnsi="Arial"/>
                <w:sz w:val="14"/>
                <w:szCs w:val="14"/>
                <w:color w:val="auto"/>
              </w:rPr>
              <w:t>4,960</w:t>
            </w:r>
          </w:p>
        </w:tc>
        <w:tc>
          <w:tcPr>
            <w:tcW w:w="940" w:type="dxa"/>
            <w:vAlign w:val="bottom"/>
          </w:tcPr>
          <w:p>
            <w:pPr>
              <w:jc w:val="right"/>
              <w:spacing w:after="0" w:line="125" w:lineRule="exact"/>
              <w:rPr>
                <w:sz w:val="20"/>
                <w:szCs w:val="20"/>
                <w:color w:val="auto"/>
              </w:rPr>
            </w:pPr>
            <w:r>
              <w:rPr>
                <w:rFonts w:ascii="Arial" w:cs="Arial" w:eastAsia="Arial" w:hAnsi="Arial"/>
                <w:sz w:val="14"/>
                <w:szCs w:val="14"/>
                <w:color w:val="auto"/>
              </w:rPr>
              <w:t>7,679</w:t>
            </w:r>
          </w:p>
        </w:tc>
        <w:tc>
          <w:tcPr>
            <w:tcW w:w="960" w:type="dxa"/>
            <w:vAlign w:val="bottom"/>
          </w:tcPr>
          <w:p>
            <w:pPr>
              <w:jc w:val="right"/>
              <w:ind w:right="192"/>
              <w:spacing w:after="0" w:line="125" w:lineRule="exact"/>
              <w:rPr>
                <w:sz w:val="20"/>
                <w:szCs w:val="20"/>
                <w:color w:val="auto"/>
              </w:rPr>
            </w:pPr>
            <w:r>
              <w:rPr>
                <w:rFonts w:ascii="Arial" w:cs="Arial" w:eastAsia="Arial" w:hAnsi="Arial"/>
                <w:sz w:val="14"/>
                <w:szCs w:val="14"/>
                <w:b w:val="1"/>
                <w:bCs w:val="1"/>
                <w:color w:val="auto"/>
              </w:rPr>
              <w:t>3.3</w:t>
            </w:r>
          </w:p>
        </w:tc>
        <w:tc>
          <w:tcPr>
            <w:tcW w:w="840" w:type="dxa"/>
            <w:vAlign w:val="bottom"/>
          </w:tcPr>
          <w:p>
            <w:pPr>
              <w:jc w:val="right"/>
              <w:ind w:right="92"/>
              <w:spacing w:after="0" w:line="125"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5"/>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Operating costs and expenses</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5,481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4,513</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6.2</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25"/>
        </w:trPr>
        <w:tc>
          <w:tcPr>
            <w:tcW w:w="306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Operating income before depreciation and</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Borders>
              <w:bottom w:val="single" w:sz="8" w:color="3E499A"/>
            </w:tcBorders>
          </w:tcPr>
          <w:p>
            <w:pPr>
              <w:ind w:left="2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3E499A"/>
            </w:tcBorders>
          </w:tcPr>
          <w:p>
            <w:pPr>
              <w:ind w:left="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3E499A"/>
            </w:tcBorders>
          </w:tcPr>
          <w:p>
            <w:pPr>
              <w:jc w:val="right"/>
              <w:spacing w:after="0"/>
              <w:rPr>
                <w:sz w:val="20"/>
                <w:szCs w:val="20"/>
                <w:color w:val="auto"/>
              </w:rPr>
            </w:pPr>
            <w:r>
              <w:rPr>
                <w:rFonts w:ascii="Arial" w:cs="Arial" w:eastAsia="Arial" w:hAnsi="Arial"/>
                <w:sz w:val="14"/>
                <w:szCs w:val="14"/>
                <w:b w:val="1"/>
                <w:bCs w:val="1"/>
                <w:color w:val="auto"/>
              </w:rPr>
              <w:t>3,292</w:t>
            </w:r>
          </w:p>
        </w:tc>
        <w:tc>
          <w:tcPr>
            <w:tcW w:w="140" w:type="dxa"/>
            <w:vAlign w:val="bottom"/>
            <w:tcBorders>
              <w:bottom w:val="single" w:sz="8" w:color="3E499A"/>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E499A"/>
            </w:tcBorders>
          </w:tcPr>
          <w:p>
            <w:pPr>
              <w:jc w:val="right"/>
              <w:spacing w:after="0"/>
              <w:rPr>
                <w:sz w:val="20"/>
                <w:szCs w:val="20"/>
                <w:color w:val="auto"/>
              </w:rPr>
            </w:pPr>
            <w:r>
              <w:rPr>
                <w:rFonts w:ascii="Arial" w:cs="Arial" w:eastAsia="Arial" w:hAnsi="Arial"/>
                <w:sz w:val="14"/>
                <w:szCs w:val="14"/>
                <w:color w:val="auto"/>
              </w:rPr>
              <w:t>3,185</w:t>
            </w:r>
          </w:p>
        </w:tc>
        <w:tc>
          <w:tcPr>
            <w:tcW w:w="900" w:type="dxa"/>
            <w:vAlign w:val="bottom"/>
            <w:tcBorders>
              <w:bottom w:val="single" w:sz="8" w:color="3E499A"/>
            </w:tcBorders>
          </w:tcPr>
          <w:p>
            <w:pPr>
              <w:jc w:val="right"/>
              <w:ind w:right="472"/>
              <w:spacing w:after="0"/>
              <w:rPr>
                <w:sz w:val="20"/>
                <w:szCs w:val="20"/>
                <w:color w:val="auto"/>
              </w:rPr>
            </w:pPr>
            <w:r>
              <w:rPr>
                <w:rFonts w:ascii="Arial" w:cs="Arial" w:eastAsia="Arial" w:hAnsi="Arial"/>
                <w:sz w:val="14"/>
                <w:szCs w:val="14"/>
                <w:color w:val="auto"/>
              </w:rPr>
              <w:t>$152</w:t>
            </w:r>
          </w:p>
        </w:tc>
        <w:tc>
          <w:tcPr>
            <w:tcW w:w="920" w:type="dxa"/>
            <w:vAlign w:val="bottom"/>
            <w:tcBorders>
              <w:bottom w:val="single" w:sz="8" w:color="3E499A"/>
            </w:tcBorders>
          </w:tcPr>
          <w:p>
            <w:pPr>
              <w:ind w:left="40"/>
              <w:spacing w:after="0"/>
              <w:rPr>
                <w:sz w:val="20"/>
                <w:szCs w:val="20"/>
                <w:color w:val="auto"/>
              </w:rPr>
            </w:pPr>
            <w:r>
              <w:rPr>
                <w:rFonts w:ascii="Arial" w:cs="Arial" w:eastAsia="Arial" w:hAnsi="Arial"/>
                <w:sz w:val="14"/>
                <w:szCs w:val="14"/>
                <w:color w:val="auto"/>
              </w:rPr>
              <w:t>$3,337</w:t>
            </w:r>
          </w:p>
        </w:tc>
        <w:tc>
          <w:tcPr>
            <w:tcW w:w="920" w:type="dxa"/>
            <w:vAlign w:val="bottom"/>
            <w:tcBorders>
              <w:bottom w:val="single" w:sz="8" w:color="3E499A"/>
            </w:tcBorders>
          </w:tcPr>
          <w:p>
            <w:pPr>
              <w:ind w:left="60"/>
              <w:spacing w:after="0"/>
              <w:rPr>
                <w:sz w:val="20"/>
                <w:szCs w:val="20"/>
                <w:color w:val="auto"/>
              </w:rPr>
            </w:pPr>
            <w:r>
              <w:rPr>
                <w:rFonts w:ascii="Arial" w:cs="Arial" w:eastAsia="Arial" w:hAnsi="Arial"/>
                <w:sz w:val="14"/>
                <w:szCs w:val="14"/>
                <w:color w:val="auto"/>
              </w:rPr>
              <w:t>$732</w:t>
            </w:r>
          </w:p>
        </w:tc>
        <w:tc>
          <w:tcPr>
            <w:tcW w:w="160" w:type="dxa"/>
            <w:vAlign w:val="bottom"/>
            <w:tcBorders>
              <w:bottom w:val="single" w:sz="8" w:color="3E499A"/>
            </w:tcBorders>
          </w:tcPr>
          <w:p>
            <w:pPr>
              <w:ind w:lef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E499A"/>
            </w:tcBorders>
          </w:tcPr>
          <w:p>
            <w:pPr>
              <w:jc w:val="right"/>
              <w:spacing w:after="0"/>
              <w:rPr>
                <w:sz w:val="20"/>
                <w:szCs w:val="20"/>
                <w:color w:val="auto"/>
              </w:rPr>
            </w:pPr>
            <w:r>
              <w:rPr>
                <w:rFonts w:ascii="Arial" w:cs="Arial" w:eastAsia="Arial" w:hAnsi="Arial"/>
                <w:sz w:val="14"/>
                <w:szCs w:val="14"/>
                <w:color w:val="auto"/>
              </w:rPr>
              <w:t>2,434</w:t>
            </w:r>
          </w:p>
        </w:tc>
        <w:tc>
          <w:tcPr>
            <w:tcW w:w="940" w:type="dxa"/>
            <w:vAlign w:val="bottom"/>
            <w:tcBorders>
              <w:bottom w:val="single" w:sz="8" w:color="3E499A"/>
            </w:tcBorders>
          </w:tcPr>
          <w:p>
            <w:pPr>
              <w:ind w:left="80"/>
              <w:spacing w:after="0"/>
              <w:rPr>
                <w:sz w:val="20"/>
                <w:szCs w:val="20"/>
                <w:color w:val="auto"/>
              </w:rPr>
            </w:pPr>
            <w:r>
              <w:rPr>
                <w:rFonts w:ascii="Arial" w:cs="Arial" w:eastAsia="Arial" w:hAnsi="Arial"/>
                <w:sz w:val="14"/>
                <w:szCs w:val="14"/>
                <w:color w:val="auto"/>
              </w:rPr>
              <w:t>$3,166</w:t>
            </w:r>
          </w:p>
        </w:tc>
        <w:tc>
          <w:tcPr>
            <w:tcW w:w="960" w:type="dxa"/>
            <w:vAlign w:val="bottom"/>
            <w:tcBorders>
              <w:bottom w:val="single" w:sz="8" w:color="3E499A"/>
            </w:tcBorders>
          </w:tcPr>
          <w:p>
            <w:pPr>
              <w:jc w:val="right"/>
              <w:spacing w:after="0"/>
              <w:rPr>
                <w:sz w:val="20"/>
                <w:szCs w:val="20"/>
                <w:color w:val="auto"/>
              </w:rPr>
            </w:pPr>
            <w:r>
              <w:rPr>
                <w:rFonts w:ascii="Arial" w:cs="Arial" w:eastAsia="Arial" w:hAnsi="Arial"/>
                <w:sz w:val="14"/>
                <w:szCs w:val="14"/>
                <w:b w:val="1"/>
                <w:bCs w:val="1"/>
                <w:color w:val="auto"/>
              </w:rPr>
              <w:t>(1.3)%</w:t>
            </w:r>
          </w:p>
        </w:tc>
        <w:tc>
          <w:tcPr>
            <w:tcW w:w="840" w:type="dxa"/>
            <w:vAlign w:val="bottom"/>
            <w:tcBorders>
              <w:bottom w:val="single" w:sz="8" w:color="3E499A"/>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right="20" w:hanging="292"/>
        <w:spacing w:after="0" w:line="231"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Comcast Content Business for 2011 and 2010 and the results of operations for the NBCUniversal acquired businesses for the period January 29, 2011 through December 31, 2011.</w:t>
      </w:r>
    </w:p>
    <w:p>
      <w:pPr>
        <w:spacing w:after="0" w:line="54" w:lineRule="exact"/>
        <w:rPr>
          <w:rFonts w:ascii="Arial" w:cs="Arial" w:eastAsia="Arial" w:hAnsi="Arial"/>
          <w:sz w:val="14"/>
          <w:szCs w:val="14"/>
          <w:color w:val="auto"/>
        </w:rPr>
      </w:pPr>
    </w:p>
    <w:p>
      <w:pPr>
        <w:jc w:val="both"/>
        <w:ind w:left="300" w:hanging="292"/>
        <w:spacing w:after="0" w:line="225"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for the year ended December 31, 2010. These amounts also include pro forma adjustments as if the NBCUniversal transaction had occurred on January 1, 2010, including the effects of acquisition accounting and the elimination of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3E499A"/>
        </w:rPr>
        <w:t>Distribution</w:t>
      </w:r>
    </w:p>
    <w:p>
      <w:pPr>
        <w:spacing w:after="0" w:line="239" w:lineRule="auto"/>
        <w:rPr>
          <w:sz w:val="20"/>
          <w:szCs w:val="20"/>
          <w:color w:val="auto"/>
        </w:rPr>
      </w:pPr>
      <w:r>
        <w:rPr>
          <w:rFonts w:ascii="Arial" w:cs="Arial" w:eastAsia="Arial" w:hAnsi="Arial"/>
          <w:sz w:val="18"/>
          <w:szCs w:val="18"/>
          <w:color w:val="auto"/>
        </w:rPr>
        <w:t>Distribution revenue is generated from distribution agreements with multichannel video providers and is affected by the number of subscribers receiving our cable networks and the fees we charge per subscriber.</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Distribution revenue increased in 2012 primarily due to contractual rate increases. Pro forma combined distribution revenue increased in 2011 primarily due to contractual rate increases and increases in the number of subscribers to our cable networks.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both 2012 and 2011, 13% of our Cable Networks segment actual revenue and pro forma combined revenue was generated from our Cable Communications segment. These amounts are eliminated in our consolidated financial statements but are included in the amounts presented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Advertising</w:t>
      </w:r>
    </w:p>
    <w:p>
      <w:pPr>
        <w:jc w:val="both"/>
        <w:spacing w:after="0" w:line="237" w:lineRule="auto"/>
        <w:rPr>
          <w:sz w:val="20"/>
          <w:szCs w:val="20"/>
          <w:color w:val="auto"/>
        </w:rPr>
      </w:pPr>
      <w:r>
        <w:rPr>
          <w:rFonts w:ascii="Arial" w:cs="Arial" w:eastAsia="Arial" w:hAnsi="Arial"/>
          <w:sz w:val="18"/>
          <w:szCs w:val="18"/>
          <w:color w:val="auto"/>
        </w:rPr>
        <w:t>Advertising revenue is generated from the sale of advertising time on our cable networks and related digital media properties. Our advertising revenue is generally based on audience ratings, the value of our viewer demographics to advertisers, and the number of advertising units we can place in our cable networks’ programming schedules. Advertising revenue is affected by the strength of the national advertising market, general economic conditions and the success of our programming.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revenue increased in 2012 primarily due to increases in the price and volume of advertising units sold, which were substantially offset by declines in audience ratings at certain of our cable networks. Pro forma combined advertising revenue increased in 2011 primarily due to an increase in the price of advertising units sold.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Content Licensing and Other</w:t>
      </w:r>
    </w:p>
    <w:p>
      <w:pPr>
        <w:jc w:val="both"/>
        <w:spacing w:after="0" w:line="239" w:lineRule="auto"/>
        <w:rPr>
          <w:sz w:val="20"/>
          <w:szCs w:val="20"/>
          <w:color w:val="auto"/>
        </w:rPr>
      </w:pPr>
      <w:r>
        <w:rPr>
          <w:rFonts w:ascii="Arial" w:cs="Arial" w:eastAsia="Arial" w:hAnsi="Arial"/>
          <w:sz w:val="18"/>
          <w:szCs w:val="18"/>
          <w:color w:val="auto"/>
        </w:rPr>
        <w:t>We also generate other revenue primarily from the licensing of our owned programming to various distribution platforms, including cable and broadcast networks and to digital distributors, such as Netflix.</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Content licensing and other revenue remained flat in 2012. Pro forma combined content licensing and other revenue increased in 2011 primarily due to increases in the licensing of our owned content from our cable production studio.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Networks segment operating costs and expenses consist of programming and production expenses, advertising and marketing expenses, and other operating and administrative expenses. Programming and production expenses include the amortization of owned and acquired programming, sports rights, direct production costs, residual and participation payments, production overhead, costs associated with the distribution of our programming to third-party networks and other distribution platforms, and on-air talent costs. Advertising and marketing expenses primarily consist of the costs incurred in promoting our cable networks and costs associated with digital media. Other operating and administrative costs and expenses include salaries, employee benefits, rent and other overhead expenses.</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Operating costs and expenses increased in 2012 primarily due to higher programming and production expenses that resulted from an increase in sports programming rights costs, as well as from our continuing investment in original programming. Pro forma combined operating costs and expenses increased in 2011 primarily due to higher programming and production expenses associated with an increase in original programming.</w:t>
      </w:r>
    </w:p>
    <w:p>
      <w:pPr>
        <w:spacing w:after="0" w:line="29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Broadcast Television Segment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2011</w:t>
            </w:r>
          </w:p>
        </w:tc>
        <w:tc>
          <w:tcPr>
            <w:tcW w:w="1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2010</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159"/>
              <w:spacing w:after="0"/>
              <w:rPr>
                <w:sz w:val="20"/>
                <w:szCs w:val="20"/>
                <w:color w:val="auto"/>
              </w:rPr>
            </w:pPr>
            <w:r>
              <w:rPr>
                <w:rFonts w:ascii="Arial" w:cs="Arial" w:eastAsia="Arial" w:hAnsi="Arial"/>
                <w:sz w:val="14"/>
                <w:szCs w:val="14"/>
                <w:color w:val="auto"/>
                <w:w w:val="94"/>
              </w:rPr>
              <w:t>Actual</w:t>
            </w:r>
            <w:r>
              <w:rPr>
                <w:rFonts w:ascii="Arial" w:cs="Arial" w:eastAsia="Arial" w:hAnsi="Arial"/>
                <w:sz w:val="22"/>
                <w:szCs w:val="22"/>
                <w:color w:val="auto"/>
                <w:w w:val="94"/>
                <w:vertAlign w:val="superscript"/>
              </w:rPr>
              <w:t>(a)</w:t>
            </w:r>
          </w:p>
        </w:tc>
        <w:tc>
          <w:tcPr>
            <w:tcW w:w="1000" w:type="dxa"/>
            <w:vAlign w:val="bottom"/>
            <w:vMerge w:val="restart"/>
          </w:tcPr>
          <w:p>
            <w:pPr>
              <w:jc w:val="right"/>
              <w:ind w:right="42"/>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1200" w:type="dxa"/>
            <w:vAlign w:val="bottom"/>
          </w:tcPr>
          <w:p>
            <w:pPr>
              <w:jc w:val="right"/>
              <w:ind w:right="181"/>
              <w:spacing w:after="0" w:line="115" w:lineRule="exact"/>
              <w:rPr>
                <w:sz w:val="20"/>
                <w:szCs w:val="20"/>
                <w:color w:val="auto"/>
              </w:rPr>
            </w:pPr>
            <w:r>
              <w:rPr>
                <w:rFonts w:ascii="Arial" w:cs="Arial" w:eastAsia="Arial" w:hAnsi="Arial"/>
                <w:sz w:val="12"/>
                <w:szCs w:val="12"/>
                <w:color w:val="auto"/>
              </w:rPr>
              <w:t>Pro Forma</w:t>
            </w:r>
          </w:p>
        </w:tc>
        <w:tc>
          <w:tcPr>
            <w:tcW w:w="1160" w:type="dxa"/>
            <w:vAlign w:val="bottom"/>
            <w:vMerge w:val="restart"/>
          </w:tcPr>
          <w:p>
            <w:pPr>
              <w:jc w:val="right"/>
              <w:ind w:right="120"/>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Actual</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right"/>
              <w:ind w:right="141"/>
              <w:spacing w:after="0" w:line="176" w:lineRule="exact"/>
              <w:rPr>
                <w:sz w:val="20"/>
                <w:szCs w:val="20"/>
                <w:color w:val="auto"/>
              </w:rPr>
            </w:pPr>
            <w:r>
              <w:rPr>
                <w:rFonts w:ascii="Arial" w:cs="Arial" w:eastAsia="Arial" w:hAnsi="Arial"/>
                <w:sz w:val="13"/>
                <w:szCs w:val="13"/>
                <w:color w:val="auto"/>
              </w:rPr>
              <w:t>Combined</w:t>
            </w:r>
            <w:r>
              <w:rPr>
                <w:rFonts w:ascii="Arial" w:cs="Arial" w:eastAsia="Arial" w:hAnsi="Arial"/>
                <w:sz w:val="20"/>
                <w:szCs w:val="20"/>
                <w:color w:val="auto"/>
                <w:vertAlign w:val="superscript"/>
              </w:rPr>
              <w:t>(c)</w:t>
            </w:r>
          </w:p>
        </w:tc>
        <w:tc>
          <w:tcPr>
            <w:tcW w:w="1160" w:type="dxa"/>
            <w:vAlign w:val="bottom"/>
            <w:tcBorders>
              <w:bottom w:val="single" w:sz="8" w:color="auto"/>
            </w:tcBorders>
            <w:vMerge w:val="continue"/>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1000" w:type="dxa"/>
            <w:vAlign w:val="bottom"/>
          </w:tcPr>
          <w:p>
            <w:pPr>
              <w:jc w:val="right"/>
              <w:ind w:right="2"/>
              <w:spacing w:after="0" w:line="141" w:lineRule="exact"/>
              <w:rPr>
                <w:sz w:val="20"/>
                <w:szCs w:val="20"/>
                <w:color w:val="auto"/>
              </w:rPr>
            </w:pPr>
            <w:r>
              <w:rPr>
                <w:rFonts w:ascii="Arial" w:cs="Arial" w:eastAsia="Arial" w:hAnsi="Arial"/>
                <w:sz w:val="14"/>
                <w:szCs w:val="14"/>
                <w:color w:val="auto"/>
              </w:rPr>
              <w:t>For the Period</w:t>
            </w: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January 29</w:t>
            </w:r>
          </w:p>
        </w:tc>
        <w:tc>
          <w:tcPr>
            <w:tcW w:w="1000" w:type="dxa"/>
            <w:vAlign w:val="bottom"/>
          </w:tcPr>
          <w:p>
            <w:pPr>
              <w:jc w:val="right"/>
              <w:ind w:right="2"/>
              <w:spacing w:after="0" w:line="149" w:lineRule="exact"/>
              <w:rPr>
                <w:sz w:val="20"/>
                <w:szCs w:val="20"/>
                <w:color w:val="auto"/>
              </w:rPr>
            </w:pPr>
            <w:r>
              <w:rPr>
                <w:rFonts w:ascii="Arial" w:cs="Arial" w:eastAsia="Arial" w:hAnsi="Arial"/>
                <w:sz w:val="14"/>
                <w:szCs w:val="14"/>
                <w:color w:val="auto"/>
              </w:rPr>
              <w:t>January 1</w:t>
            </w: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4"/>
                <w:szCs w:val="14"/>
                <w:color w:val="auto"/>
              </w:rPr>
              <w:t>through</w:t>
            </w:r>
          </w:p>
        </w:tc>
        <w:tc>
          <w:tcPr>
            <w:tcW w:w="1000" w:type="dxa"/>
            <w:vAlign w:val="bottom"/>
          </w:tcPr>
          <w:p>
            <w:pPr>
              <w:jc w:val="right"/>
              <w:ind w:right="2"/>
              <w:spacing w:after="0" w:line="133" w:lineRule="exact"/>
              <w:rPr>
                <w:sz w:val="20"/>
                <w:szCs w:val="20"/>
                <w:color w:val="auto"/>
              </w:rPr>
            </w:pPr>
            <w:r>
              <w:rPr>
                <w:rFonts w:ascii="Arial" w:cs="Arial" w:eastAsia="Arial" w:hAnsi="Arial"/>
                <w:sz w:val="14"/>
                <w:szCs w:val="14"/>
                <w:color w:val="auto"/>
              </w:rPr>
              <w:t>through</w:t>
            </w:r>
          </w:p>
        </w:tc>
        <w:tc>
          <w:tcPr>
            <w:tcW w:w="1200" w:type="dxa"/>
            <w:vAlign w:val="bottom"/>
          </w:tcPr>
          <w:p>
            <w:pPr>
              <w:jc w:val="right"/>
              <w:spacing w:after="0" w:line="133" w:lineRule="exact"/>
              <w:rPr>
                <w:sz w:val="20"/>
                <w:szCs w:val="20"/>
                <w:color w:val="auto"/>
              </w:rPr>
            </w:pPr>
            <w:r>
              <w:rPr>
                <w:rFonts w:ascii="Arial" w:cs="Arial" w:eastAsia="Arial" w:hAnsi="Arial"/>
                <w:sz w:val="14"/>
                <w:szCs w:val="14"/>
                <w:color w:val="auto"/>
              </w:rPr>
              <w:t>Year Ended</w:t>
            </w:r>
          </w:p>
        </w:tc>
        <w:tc>
          <w:tcPr>
            <w:tcW w:w="1160" w:type="dxa"/>
            <w:vAlign w:val="bottom"/>
          </w:tcPr>
          <w:p>
            <w:pPr>
              <w:jc w:val="right"/>
              <w:spacing w:after="0" w:line="133" w:lineRule="exact"/>
              <w:rPr>
                <w:sz w:val="20"/>
                <w:szCs w:val="20"/>
                <w:color w:val="auto"/>
              </w:rPr>
            </w:pPr>
            <w:r>
              <w:rPr>
                <w:rFonts w:ascii="Arial" w:cs="Arial" w:eastAsia="Arial" w:hAnsi="Arial"/>
                <w:sz w:val="14"/>
                <w:szCs w:val="14"/>
                <w:color w:val="auto"/>
              </w:rPr>
              <w:t>Year Ended</w:t>
            </w:r>
          </w:p>
        </w:tc>
        <w:tc>
          <w:tcPr>
            <w:tcW w:w="1100" w:type="dxa"/>
            <w:vAlign w:val="bottom"/>
            <w:vMerge w:val="continue"/>
          </w:tcPr>
          <w:p>
            <w:pPr>
              <w:spacing w:after="0"/>
              <w:rPr>
                <w:sz w:val="11"/>
                <w:szCs w:val="11"/>
                <w:color w:val="auto"/>
              </w:rPr>
            </w:pPr>
          </w:p>
        </w:tc>
        <w:tc>
          <w:tcPr>
            <w:tcW w:w="1120" w:type="dxa"/>
            <w:vAlign w:val="bottom"/>
          </w:tcPr>
          <w:p>
            <w:pPr>
              <w:jc w:val="right"/>
              <w:ind w:right="197"/>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January 28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 to 2012</w:t>
            </w: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2010 to 2011</w:t>
            </w:r>
          </w:p>
        </w:tc>
        <w:tc>
          <w:tcPr>
            <w:tcW w:w="0" w:type="dxa"/>
            <w:vAlign w:val="bottom"/>
          </w:tcPr>
          <w:p>
            <w:pPr>
              <w:spacing w:after="0"/>
              <w:rPr>
                <w:sz w:val="1"/>
                <w:szCs w:val="1"/>
                <w:color w:val="auto"/>
              </w:rPr>
            </w:pPr>
          </w:p>
        </w:tc>
      </w:tr>
      <w:tr>
        <w:trPr>
          <w:trHeight w:val="199"/>
        </w:trPr>
        <w:tc>
          <w:tcPr>
            <w:tcW w:w="38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6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5,842</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37.2%</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Pr>
          <w:p>
            <w:pPr>
              <w:ind w:left="200"/>
              <w:spacing w:after="0" w:line="181" w:lineRule="exact"/>
              <w:rPr>
                <w:sz w:val="20"/>
                <w:szCs w:val="20"/>
                <w:color w:val="auto"/>
              </w:rPr>
            </w:pPr>
            <w:r>
              <w:rPr>
                <w:rFonts w:ascii="Arial" w:cs="Arial" w:eastAsia="Arial" w:hAnsi="Arial"/>
                <w:sz w:val="18"/>
                <w:szCs w:val="18"/>
                <w:color w:val="auto"/>
              </w:rPr>
              <w:t>Advertising</w:t>
            </w:r>
          </w:p>
        </w:tc>
        <w:tc>
          <w:tcPr>
            <w:tcW w:w="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3,941</w:t>
            </w:r>
          </w:p>
        </w:tc>
        <w:tc>
          <w:tcPr>
            <w:tcW w:w="1000" w:type="dxa"/>
            <w:vAlign w:val="bottom"/>
          </w:tcPr>
          <w:p>
            <w:pPr>
              <w:ind w:left="60"/>
              <w:spacing w:after="0" w:line="181" w:lineRule="exact"/>
              <w:rPr>
                <w:sz w:val="20"/>
                <w:szCs w:val="20"/>
                <w:color w:val="auto"/>
              </w:rPr>
            </w:pPr>
            <w:r>
              <w:rPr>
                <w:rFonts w:ascii="Arial" w:cs="Arial" w:eastAsia="Arial" w:hAnsi="Arial"/>
                <w:sz w:val="18"/>
                <w:szCs w:val="18"/>
                <w:color w:val="auto"/>
              </w:rPr>
              <w:t>$315</w:t>
            </w:r>
          </w:p>
        </w:tc>
        <w:tc>
          <w:tcPr>
            <w:tcW w:w="1200" w:type="dxa"/>
            <w:vAlign w:val="bottom"/>
          </w:tcPr>
          <w:p>
            <w:pPr>
              <w:ind w:left="100"/>
              <w:spacing w:after="0" w:line="181" w:lineRule="exact"/>
              <w:rPr>
                <w:sz w:val="20"/>
                <w:szCs w:val="20"/>
                <w:color w:val="auto"/>
              </w:rPr>
            </w:pPr>
            <w:r>
              <w:rPr>
                <w:rFonts w:ascii="Arial" w:cs="Arial" w:eastAsia="Arial" w:hAnsi="Arial"/>
                <w:sz w:val="18"/>
                <w:szCs w:val="18"/>
                <w:color w:val="auto"/>
              </w:rPr>
              <w:t>$ 4,256</w:t>
            </w:r>
          </w:p>
        </w:tc>
        <w:tc>
          <w:tcPr>
            <w:tcW w:w="1160" w:type="dxa"/>
            <w:vAlign w:val="bottom"/>
          </w:tcPr>
          <w:p>
            <w:pPr>
              <w:ind w:left="60"/>
              <w:spacing w:after="0" w:line="181" w:lineRule="exact"/>
              <w:rPr>
                <w:sz w:val="20"/>
                <w:szCs w:val="20"/>
                <w:color w:val="auto"/>
              </w:rPr>
            </w:pPr>
            <w:r>
              <w:rPr>
                <w:rFonts w:ascii="Arial" w:cs="Arial" w:eastAsia="Arial" w:hAnsi="Arial"/>
                <w:sz w:val="18"/>
                <w:szCs w:val="18"/>
                <w:color w:val="auto"/>
              </w:rPr>
              <w:t>$ 4,813</w:t>
            </w:r>
          </w:p>
        </w:tc>
        <w:tc>
          <w:tcPr>
            <w:tcW w:w="1100" w:type="dxa"/>
            <w:vAlign w:val="bottom"/>
            <w:vMerge w:val="continue"/>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1,474</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1,509</w:t>
            </w:r>
          </w:p>
        </w:tc>
        <w:tc>
          <w:tcPr>
            <w:tcW w:w="1000" w:type="dxa"/>
            <w:vAlign w:val="bottom"/>
          </w:tcPr>
          <w:p>
            <w:pPr>
              <w:jc w:val="right"/>
              <w:ind w:right="2"/>
              <w:spacing w:after="0" w:line="202" w:lineRule="exact"/>
              <w:rPr>
                <w:sz w:val="20"/>
                <w:szCs w:val="20"/>
                <w:color w:val="auto"/>
              </w:rPr>
            </w:pPr>
            <w:r>
              <w:rPr>
                <w:rFonts w:ascii="Arial" w:cs="Arial" w:eastAsia="Arial" w:hAnsi="Arial"/>
                <w:sz w:val="18"/>
                <w:szCs w:val="18"/>
                <w:color w:val="auto"/>
              </w:rPr>
              <w:t>111</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1,620</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1,315</w:t>
            </w:r>
          </w:p>
        </w:tc>
        <w:tc>
          <w:tcPr>
            <w:tcW w:w="1100" w:type="dxa"/>
            <w:vAlign w:val="bottom"/>
          </w:tcPr>
          <w:p>
            <w:pPr>
              <w:jc w:val="right"/>
              <w:ind w:right="97"/>
              <w:spacing w:after="0" w:line="202" w:lineRule="exact"/>
              <w:rPr>
                <w:sz w:val="20"/>
                <w:szCs w:val="20"/>
                <w:color w:val="auto"/>
              </w:rPr>
            </w:pPr>
            <w:r>
              <w:rPr>
                <w:rFonts w:ascii="Arial" w:cs="Arial" w:eastAsia="Arial" w:hAnsi="Arial"/>
                <w:sz w:val="18"/>
                <w:szCs w:val="18"/>
                <w:b w:val="1"/>
                <w:bCs w:val="1"/>
                <w:color w:val="auto"/>
              </w:rPr>
              <w:t>(9.1)</w:t>
            </w:r>
          </w:p>
        </w:tc>
        <w:tc>
          <w:tcPr>
            <w:tcW w:w="112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38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60.4</w:t>
            </w: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6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6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8,154</w:t>
            </w:r>
          </w:p>
        </w:tc>
        <w:tc>
          <w:tcPr>
            <w:tcW w:w="20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5,935</w:t>
            </w:r>
          </w:p>
        </w:tc>
        <w:tc>
          <w:tcPr>
            <w:tcW w:w="1000" w:type="dxa"/>
            <w:vAlign w:val="bottom"/>
          </w:tcPr>
          <w:p>
            <w:pPr>
              <w:jc w:val="right"/>
              <w:ind w:right="2"/>
              <w:spacing w:after="0" w:line="177" w:lineRule="exact"/>
              <w:rPr>
                <w:sz w:val="20"/>
                <w:szCs w:val="20"/>
                <w:color w:val="auto"/>
              </w:rPr>
            </w:pPr>
            <w:r>
              <w:rPr>
                <w:rFonts w:ascii="Arial" w:cs="Arial" w:eastAsia="Arial" w:hAnsi="Arial"/>
                <w:sz w:val="18"/>
                <w:szCs w:val="18"/>
                <w:color w:val="auto"/>
              </w:rPr>
              <w:t>464</w:t>
            </w:r>
          </w:p>
        </w:tc>
        <w:tc>
          <w:tcPr>
            <w:tcW w:w="1200" w:type="dxa"/>
            <w:vAlign w:val="bottom"/>
          </w:tcPr>
          <w:p>
            <w:pPr>
              <w:jc w:val="right"/>
              <w:spacing w:after="0" w:line="177" w:lineRule="exact"/>
              <w:rPr>
                <w:sz w:val="20"/>
                <w:szCs w:val="20"/>
                <w:color w:val="auto"/>
              </w:rPr>
            </w:pPr>
            <w:r>
              <w:rPr>
                <w:rFonts w:ascii="Arial" w:cs="Arial" w:eastAsia="Arial" w:hAnsi="Arial"/>
                <w:sz w:val="18"/>
                <w:szCs w:val="18"/>
                <w:color w:val="auto"/>
              </w:rPr>
              <w:t>6,399</w:t>
            </w:r>
          </w:p>
        </w:tc>
        <w:tc>
          <w:tcPr>
            <w:tcW w:w="1160" w:type="dxa"/>
            <w:vAlign w:val="bottom"/>
          </w:tcPr>
          <w:p>
            <w:pPr>
              <w:jc w:val="right"/>
              <w:spacing w:after="0" w:line="177" w:lineRule="exact"/>
              <w:rPr>
                <w:sz w:val="20"/>
                <w:szCs w:val="20"/>
                <w:color w:val="auto"/>
              </w:rPr>
            </w:pPr>
            <w:r>
              <w:rPr>
                <w:rFonts w:ascii="Arial" w:cs="Arial" w:eastAsia="Arial" w:hAnsi="Arial"/>
                <w:sz w:val="18"/>
                <w:szCs w:val="18"/>
                <w:color w:val="auto"/>
              </w:rPr>
              <w:t>6,888</w:t>
            </w:r>
          </w:p>
        </w:tc>
        <w:tc>
          <w:tcPr>
            <w:tcW w:w="1100" w:type="dxa"/>
            <w:vAlign w:val="bottom"/>
          </w:tcPr>
          <w:p>
            <w:pPr>
              <w:jc w:val="right"/>
              <w:ind w:right="157"/>
              <w:spacing w:after="0" w:line="177" w:lineRule="exact"/>
              <w:rPr>
                <w:sz w:val="20"/>
                <w:szCs w:val="20"/>
                <w:color w:val="auto"/>
              </w:rPr>
            </w:pPr>
            <w:r>
              <w:rPr>
                <w:rFonts w:ascii="Arial" w:cs="Arial" w:eastAsia="Arial" w:hAnsi="Arial"/>
                <w:sz w:val="18"/>
                <w:szCs w:val="18"/>
                <w:b w:val="1"/>
                <w:bCs w:val="1"/>
                <w:color w:val="auto"/>
              </w:rPr>
              <w:t>27.4</w:t>
            </w:r>
          </w:p>
        </w:tc>
        <w:tc>
          <w:tcPr>
            <w:tcW w:w="112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1"/>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7,785</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479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24.0</w:t>
            </w: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7"/>
        </w:trPr>
        <w:tc>
          <w:tcPr>
            <w:tcW w:w="388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Operating income (loss) before depreciation</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Borders>
              <w:bottom w:val="single" w:sz="8" w:color="3E499A"/>
            </w:tcBorders>
          </w:tcPr>
          <w:p>
            <w:pPr>
              <w:ind w:left="200"/>
              <w:spacing w:after="0"/>
              <w:rPr>
                <w:sz w:val="20"/>
                <w:szCs w:val="20"/>
                <w:color w:val="auto"/>
              </w:rPr>
            </w:pPr>
            <w:r>
              <w:rPr>
                <w:rFonts w:ascii="Arial" w:cs="Arial" w:eastAsia="Arial" w:hAnsi="Arial"/>
                <w:sz w:val="18"/>
                <w:szCs w:val="18"/>
                <w:b w:val="1"/>
                <w:bCs w:val="1"/>
                <w:color w:val="auto"/>
              </w:rPr>
              <w:t>and amortization</w:t>
            </w:r>
          </w:p>
        </w:tc>
        <w:tc>
          <w:tcPr>
            <w:tcW w:w="160" w:type="dxa"/>
            <w:vAlign w:val="bottom"/>
            <w:tcBorders>
              <w:bottom w:val="single" w:sz="8" w:color="3E499A"/>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369</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138</w:t>
            </w:r>
          </w:p>
        </w:tc>
        <w:tc>
          <w:tcPr>
            <w:tcW w:w="1000" w:type="dxa"/>
            <w:vAlign w:val="bottom"/>
            <w:tcBorders>
              <w:bottom w:val="single" w:sz="8" w:color="3E499A"/>
            </w:tcBorders>
          </w:tcPr>
          <w:p>
            <w:pPr>
              <w:ind w:left="60"/>
              <w:spacing w:after="0"/>
              <w:rPr>
                <w:sz w:val="20"/>
                <w:szCs w:val="20"/>
                <w:color w:val="auto"/>
              </w:rPr>
            </w:pPr>
            <w:r>
              <w:rPr>
                <w:rFonts w:ascii="Arial" w:cs="Arial" w:eastAsia="Arial" w:hAnsi="Arial"/>
                <w:sz w:val="18"/>
                <w:szCs w:val="18"/>
                <w:color w:val="auto"/>
              </w:rPr>
              <w:t>$(15)</w:t>
            </w:r>
          </w:p>
        </w:tc>
        <w:tc>
          <w:tcPr>
            <w:tcW w:w="1200" w:type="dxa"/>
            <w:vAlign w:val="bottom"/>
            <w:tcBorders>
              <w:bottom w:val="single" w:sz="8" w:color="3E499A"/>
            </w:tcBorders>
          </w:tcPr>
          <w:p>
            <w:pPr>
              <w:ind w:left="100"/>
              <w:spacing w:after="0"/>
              <w:rPr>
                <w:sz w:val="20"/>
                <w:szCs w:val="20"/>
                <w:color w:val="auto"/>
              </w:rPr>
            </w:pPr>
            <w:r>
              <w:rPr>
                <w:rFonts w:ascii="Arial" w:cs="Arial" w:eastAsia="Arial" w:hAnsi="Arial"/>
                <w:sz w:val="18"/>
                <w:szCs w:val="18"/>
                <w:color w:val="auto"/>
              </w:rPr>
              <w:t>$123</w:t>
            </w:r>
          </w:p>
        </w:tc>
        <w:tc>
          <w:tcPr>
            <w:tcW w:w="1160" w:type="dxa"/>
            <w:vAlign w:val="bottom"/>
            <w:tcBorders>
              <w:bottom w:val="single" w:sz="8" w:color="3E499A"/>
            </w:tcBorders>
          </w:tcPr>
          <w:p>
            <w:pPr>
              <w:ind w:left="60"/>
              <w:spacing w:after="0"/>
              <w:rPr>
                <w:sz w:val="20"/>
                <w:szCs w:val="20"/>
                <w:color w:val="auto"/>
              </w:rPr>
            </w:pPr>
            <w:r>
              <w:rPr>
                <w:rFonts w:ascii="Arial" w:cs="Arial" w:eastAsia="Arial" w:hAnsi="Arial"/>
                <w:sz w:val="18"/>
                <w:szCs w:val="18"/>
                <w:color w:val="auto"/>
              </w:rPr>
              <w:t>$118</w:t>
            </w:r>
          </w:p>
        </w:tc>
        <w:tc>
          <w:tcPr>
            <w:tcW w:w="11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199.2%</w:t>
            </w:r>
          </w:p>
        </w:tc>
        <w:tc>
          <w:tcPr>
            <w:tcW w:w="1120" w:type="dxa"/>
            <w:vAlign w:val="bottom"/>
            <w:tcBorders>
              <w:bottom w:val="single" w:sz="8" w:color="3E499A"/>
            </w:tcBorders>
          </w:tcPr>
          <w:p>
            <w:pPr>
              <w:jc w:val="right"/>
              <w:ind w:right="37"/>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for the period January 29, 2011 through December 31, 2011.</w:t>
      </w:r>
    </w:p>
    <w:p>
      <w:pPr>
        <w:spacing w:after="0" w:line="55" w:lineRule="exact"/>
        <w:rPr>
          <w:rFonts w:ascii="Arial" w:cs="Arial" w:eastAsia="Arial" w:hAnsi="Arial"/>
          <w:sz w:val="14"/>
          <w:szCs w:val="14"/>
          <w:color w:val="auto"/>
        </w:rPr>
      </w:pPr>
    </w:p>
    <w:p>
      <w:pPr>
        <w:jc w:val="both"/>
        <w:ind w:left="300" w:hanging="292"/>
        <w:spacing w:after="0" w:line="225"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for the year ended December 31, 2010. These amounts also include pro forma adjustments as if the NBCUniversal transaction had occurred on January 1, 2010, including the effects of acquisition accounting and the elimination of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3E499A"/>
        </w:rPr>
        <w:t>Advertising</w:t>
      </w:r>
    </w:p>
    <w:p>
      <w:pPr>
        <w:jc w:val="both"/>
        <w:spacing w:after="0" w:line="236" w:lineRule="auto"/>
        <w:rPr>
          <w:sz w:val="20"/>
          <w:szCs w:val="20"/>
          <w:color w:val="auto"/>
        </w:rPr>
      </w:pPr>
      <w:r>
        <w:rPr>
          <w:rFonts w:ascii="Arial" w:cs="Arial" w:eastAsia="Arial" w:hAnsi="Arial"/>
          <w:sz w:val="18"/>
          <w:szCs w:val="18"/>
          <w:color w:val="auto"/>
        </w:rPr>
        <w:t>Advertising revenue is generated from the sale of advertising time on our broadcast networks, owned local television stations and related digital media properties. Our advertising revenue is generally based on audience ratings, the value of our viewer demographics to advertisers, and the number of advertising units we can place in our broadcast networks’ and owned local television stations’ programming schedules. Advertising revenue is affected by the strength of the national and local advertising markets, general economic conditions and the success of our programming.</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increased in 2012 primarily due to $1.2 billion of advertising revenue associated with our broadcasts of the 2012 London Olympics and the 2012 Super Bowl. Excluding the impact of these events, advertising revenue increased 9% in 2012 primarily due to an increase in the price and volume of advertising units sold, which included the impact of higher political advertising. Pro forma combined advertising revenue decreased in 2011 primarily due to $601 million of advertising revenue recognized in 2010 related to the 2010 Vancouver Olympics. Excluding the impact of the 2010 Vancouver Olympics, pro forma combined advertising revenue increased slightly in 2011 primarily due to an increase in the price of advertising units sold, substantially offset by the decline in audience ratings in our primetime schedule.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3E499A"/>
        </w:rPr>
        <w:t>Content Licensing</w:t>
      </w:r>
    </w:p>
    <w:p>
      <w:pPr>
        <w:jc w:val="both"/>
        <w:spacing w:after="0" w:line="239" w:lineRule="auto"/>
        <w:rPr>
          <w:sz w:val="20"/>
          <w:szCs w:val="20"/>
          <w:color w:val="auto"/>
        </w:rPr>
      </w:pPr>
      <w:r>
        <w:rPr>
          <w:rFonts w:ascii="Arial" w:cs="Arial" w:eastAsia="Arial" w:hAnsi="Arial"/>
          <w:sz w:val="18"/>
          <w:szCs w:val="18"/>
          <w:color w:val="auto"/>
        </w:rPr>
        <w:t>Content licensing revenue is generated from the licensing of our owned programming in the United States and internationally, including to cable and broadcast networks and digital distributors, such as Netflix. The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production and distribution costs related to our owned programming generally exceed the revenue generated from the initial network license. The subsequent licensing of our owned television programming following the initial network license is critical to the financial success of a television series.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Content licensing revenue decreased in 2012 and increased in 2011 primarily due to the impact of licensing agreements for our prior season and library content that were entered into in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3E499A"/>
        </w:rPr>
        <w:t>Other</w:t>
      </w:r>
    </w:p>
    <w:p>
      <w:pPr>
        <w:jc w:val="both"/>
        <w:spacing w:after="0" w:line="236" w:lineRule="auto"/>
        <w:rPr>
          <w:sz w:val="20"/>
          <w:szCs w:val="20"/>
          <w:color w:val="auto"/>
        </w:rPr>
      </w:pPr>
      <w:r>
        <w:rPr>
          <w:rFonts w:ascii="Arial" w:cs="Arial" w:eastAsia="Arial" w:hAnsi="Arial"/>
          <w:sz w:val="18"/>
          <w:szCs w:val="18"/>
          <w:color w:val="auto"/>
        </w:rPr>
        <w:t>We also generate revenue from the sale of our owned programming on DVDs and through digital distributors, such as iTunes, and from fees for retransmission consent of our owned local broadcast television stations and associated fees received from our affiliated local television stations. The sale of our owned programming is driven primarily by the popularity of our broadcast networks and programming series and, therefore, fluctuates based on consumer spending and acceptance. Other revenue also includes distribution revenue associated with our periodic broadcasts of the Olympic Games.</w:t>
      </w:r>
    </w:p>
    <w:p>
      <w:pPr>
        <w:spacing w:after="0" w:line="15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Other revenue increased in 2012 primarily due to $266 million of distribution revenue from multichannel video providers associated with our broadcast of the 2012 London Olympics. Pro forma combined other revenue decreased in 2011 primarily due to the absence of the 2010 Vancouver Olympics and a decline in DVD sales.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Broadcast Television segment operating costs and expenses consist of programming and production expenses, advertising and marketing expenses, and other operating and administrative expenses. Programming and production expenses relate to content originating on our broadcast networks and owned local broadcast television stations and include the amortization of owned and acquired programming costs, sports rights, direct production costs, residual and participation payments, production overhead, costs associated with the distribution of our programming to third-party networks and other distribution platforms and on-air talent costs. Advertising and marketing expenses consist primarily of the costs associated with promoting our owned television programming, as well as the marketing of DVDs and costs associated with digital media. Other operating and administrative expenses include salaries, employee benefits, rent and other overhead expenses.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Operating costs and expenses increased in 2012 primarily due to the increase in programming rights and production costs of $1.3 billion associated with our broadcast of the 2012 London Olympics and the 2012 Super Bowl. Excluding the impact of these events, operating costs and expenses increased 3% in 2012, primarily due to higher programming and production costs associated with our continued investment in original programming. Pro forma combined operating costs and expenses decreased in 2011 primarily due to $1 billion of programming and production expenses recognized in 2010 associated with the 2010 Vancouver Olympics. Excluding the impact of the 2010 Vancouver Olympics, operating costs and expenses increased in 2011 primarily due to higher programming and production expenses associated with a greater number of original primetime series in 2011.</w:t>
      </w:r>
    </w:p>
    <w:p>
      <w:pPr>
        <w:spacing w:after="0" w:line="325"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57</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Filmed Entertainment Segment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rPr>
              <w:t>2010</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158"/>
              <w:spacing w:after="0"/>
              <w:rPr>
                <w:sz w:val="20"/>
                <w:szCs w:val="20"/>
                <w:color w:val="auto"/>
              </w:rPr>
            </w:pPr>
            <w:r>
              <w:rPr>
                <w:rFonts w:ascii="Arial" w:cs="Arial" w:eastAsia="Arial" w:hAnsi="Arial"/>
                <w:sz w:val="14"/>
                <w:szCs w:val="14"/>
                <w:color w:val="auto"/>
                <w:w w:val="94"/>
              </w:rPr>
              <w:t>Actual</w:t>
            </w:r>
            <w:r>
              <w:rPr>
                <w:rFonts w:ascii="Arial" w:cs="Arial" w:eastAsia="Arial" w:hAnsi="Arial"/>
                <w:sz w:val="22"/>
                <w:szCs w:val="22"/>
                <w:color w:val="auto"/>
                <w:w w:val="94"/>
                <w:vertAlign w:val="superscript"/>
              </w:rPr>
              <w:t>(a)</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940" w:type="dxa"/>
            <w:vAlign w:val="bottom"/>
            <w:gridSpan w:val="2"/>
          </w:tcPr>
          <w:p>
            <w:pPr>
              <w:jc w:val="right"/>
              <w:ind w:right="75"/>
              <w:spacing w:after="0" w:line="115" w:lineRule="exact"/>
              <w:rPr>
                <w:sz w:val="20"/>
                <w:szCs w:val="20"/>
                <w:color w:val="auto"/>
              </w:rPr>
            </w:pPr>
            <w:r>
              <w:rPr>
                <w:rFonts w:ascii="Arial" w:cs="Arial" w:eastAsia="Arial" w:hAnsi="Arial"/>
                <w:sz w:val="12"/>
                <w:szCs w:val="12"/>
                <w:color w:val="auto"/>
              </w:rPr>
              <w:t>Pro Forma</w:t>
            </w: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Actual</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940" w:type="dxa"/>
            <w:vAlign w:val="bottom"/>
            <w:tcBorders>
              <w:bottom w:val="single" w:sz="8" w:color="auto"/>
            </w:tcBorders>
            <w:gridSpan w:val="2"/>
          </w:tcPr>
          <w:p>
            <w:pPr>
              <w:jc w:val="right"/>
              <w:ind w:right="15"/>
              <w:spacing w:after="0" w:line="176" w:lineRule="exact"/>
              <w:rPr>
                <w:sz w:val="20"/>
                <w:szCs w:val="20"/>
                <w:color w:val="auto"/>
              </w:rPr>
            </w:pPr>
            <w:r>
              <w:rPr>
                <w:rFonts w:ascii="Arial" w:cs="Arial" w:eastAsia="Arial" w:hAnsi="Arial"/>
                <w:sz w:val="13"/>
                <w:szCs w:val="13"/>
                <w:color w:val="auto"/>
              </w:rPr>
              <w:t>Combined</w:t>
            </w:r>
            <w:r>
              <w:rPr>
                <w:rFonts w:ascii="Arial" w:cs="Arial" w:eastAsia="Arial" w:hAnsi="Arial"/>
                <w:sz w:val="20"/>
                <w:szCs w:val="20"/>
                <w:color w:val="auto"/>
                <w:vertAlign w:val="superscript"/>
              </w:rPr>
              <w:t>(c)</w:t>
            </w:r>
          </w:p>
        </w:tc>
        <w:tc>
          <w:tcPr>
            <w:tcW w:w="1000" w:type="dxa"/>
            <w:vAlign w:val="bottom"/>
            <w:tcBorders>
              <w:bottom w:val="single" w:sz="8" w:color="auto"/>
            </w:tcBorders>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104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For the Period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January 29</w:t>
            </w:r>
          </w:p>
        </w:tc>
        <w:tc>
          <w:tcPr>
            <w:tcW w:w="200" w:type="dxa"/>
            <w:vAlign w:val="bottom"/>
          </w:tcPr>
          <w:p>
            <w:pPr>
              <w:spacing w:after="0"/>
              <w:rPr>
                <w:sz w:val="12"/>
                <w:szCs w:val="12"/>
                <w:color w:val="auto"/>
              </w:rPr>
            </w:pPr>
          </w:p>
        </w:tc>
        <w:tc>
          <w:tcPr>
            <w:tcW w:w="840" w:type="dxa"/>
            <w:vAlign w:val="bottom"/>
          </w:tcPr>
          <w:p>
            <w:pPr>
              <w:jc w:val="right"/>
              <w:ind w:right="40"/>
              <w:spacing w:after="0" w:line="149" w:lineRule="exact"/>
              <w:rPr>
                <w:sz w:val="20"/>
                <w:szCs w:val="20"/>
                <w:color w:val="auto"/>
              </w:rPr>
            </w:pPr>
            <w:r>
              <w:rPr>
                <w:rFonts w:ascii="Arial" w:cs="Arial" w:eastAsia="Arial" w:hAnsi="Arial"/>
                <w:sz w:val="14"/>
                <w:szCs w:val="14"/>
                <w:color w:val="auto"/>
              </w:rPr>
              <w:t>January 1</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4"/>
                <w:szCs w:val="14"/>
                <w:color w:val="auto"/>
              </w:rPr>
              <w:t>through</w:t>
            </w:r>
          </w:p>
        </w:tc>
        <w:tc>
          <w:tcPr>
            <w:tcW w:w="200" w:type="dxa"/>
            <w:vAlign w:val="bottom"/>
          </w:tcPr>
          <w:p>
            <w:pPr>
              <w:spacing w:after="0"/>
              <w:rPr>
                <w:sz w:val="11"/>
                <w:szCs w:val="11"/>
                <w:color w:val="auto"/>
              </w:rPr>
            </w:pPr>
          </w:p>
        </w:tc>
        <w:tc>
          <w:tcPr>
            <w:tcW w:w="840" w:type="dxa"/>
            <w:vAlign w:val="bottom"/>
          </w:tcPr>
          <w:p>
            <w:pPr>
              <w:jc w:val="right"/>
              <w:ind w:right="40"/>
              <w:spacing w:after="0" w:line="133" w:lineRule="exact"/>
              <w:rPr>
                <w:sz w:val="20"/>
                <w:szCs w:val="20"/>
                <w:color w:val="auto"/>
              </w:rPr>
            </w:pPr>
            <w:r>
              <w:rPr>
                <w:rFonts w:ascii="Arial" w:cs="Arial" w:eastAsia="Arial" w:hAnsi="Arial"/>
                <w:sz w:val="14"/>
                <w:szCs w:val="14"/>
                <w:color w:val="auto"/>
              </w:rPr>
              <w:t>through</w:t>
            </w:r>
          </w:p>
        </w:tc>
        <w:tc>
          <w:tcPr>
            <w:tcW w:w="16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w w:val="94"/>
              </w:rPr>
              <w:t>Year Ended</w:t>
            </w:r>
          </w:p>
        </w:tc>
        <w:tc>
          <w:tcPr>
            <w:tcW w:w="180" w:type="dxa"/>
            <w:vAlign w:val="bottom"/>
          </w:tcPr>
          <w:p>
            <w:pPr>
              <w:spacing w:after="0"/>
              <w:rPr>
                <w:sz w:val="11"/>
                <w:szCs w:val="11"/>
                <w:color w:val="auto"/>
              </w:rPr>
            </w:pPr>
          </w:p>
        </w:tc>
        <w:tc>
          <w:tcPr>
            <w:tcW w:w="820" w:type="dxa"/>
            <w:vAlign w:val="bottom"/>
          </w:tcPr>
          <w:p>
            <w:pPr>
              <w:jc w:val="right"/>
              <w:ind w:right="37"/>
              <w:spacing w:after="0" w:line="133" w:lineRule="exact"/>
              <w:rPr>
                <w:sz w:val="20"/>
                <w:szCs w:val="20"/>
                <w:color w:val="auto"/>
              </w:rPr>
            </w:pPr>
            <w:r>
              <w:rPr>
                <w:rFonts w:ascii="Arial" w:cs="Arial" w:eastAsia="Arial" w:hAnsi="Arial"/>
                <w:sz w:val="14"/>
                <w:szCs w:val="14"/>
                <w:color w:val="auto"/>
                <w:w w:val="91"/>
              </w:rPr>
              <w:t>Year Ended</w:t>
            </w:r>
          </w:p>
        </w:tc>
        <w:tc>
          <w:tcPr>
            <w:tcW w:w="1100" w:type="dxa"/>
            <w:vAlign w:val="bottom"/>
            <w:vMerge w:val="continue"/>
          </w:tcPr>
          <w:p>
            <w:pPr>
              <w:spacing w:after="0"/>
              <w:rPr>
                <w:sz w:val="11"/>
                <w:szCs w:val="11"/>
                <w:color w:val="auto"/>
              </w:rPr>
            </w:pPr>
          </w:p>
        </w:tc>
        <w:tc>
          <w:tcPr>
            <w:tcW w:w="1120" w:type="dxa"/>
            <w:vAlign w:val="bottom"/>
          </w:tcPr>
          <w:p>
            <w:pPr>
              <w:jc w:val="right"/>
              <w:ind w:right="197"/>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January 28</w:t>
            </w: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December 31</w:t>
            </w: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 to 2012</w:t>
            </w: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2010 to 2011</w:t>
            </w:r>
          </w:p>
        </w:tc>
        <w:tc>
          <w:tcPr>
            <w:tcW w:w="0" w:type="dxa"/>
            <w:vAlign w:val="bottom"/>
          </w:tcPr>
          <w:p>
            <w:pPr>
              <w:spacing w:after="0"/>
              <w:rPr>
                <w:sz w:val="1"/>
                <w:szCs w:val="1"/>
                <w:color w:val="auto"/>
              </w:rPr>
            </w:pPr>
          </w:p>
        </w:tc>
      </w:tr>
      <w:tr>
        <w:trPr>
          <w:trHeight w:val="199"/>
        </w:trPr>
        <w:tc>
          <w:tcPr>
            <w:tcW w:w="42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1,390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tcPr>
          <w:p>
            <w:pPr>
              <w:ind w:left="200"/>
              <w:spacing w:after="0" w:line="181" w:lineRule="exact"/>
              <w:rPr>
                <w:sz w:val="20"/>
                <w:szCs w:val="20"/>
                <w:color w:val="auto"/>
              </w:rPr>
            </w:pPr>
            <w:r>
              <w:rPr>
                <w:rFonts w:ascii="Arial" w:cs="Arial" w:eastAsia="Arial" w:hAnsi="Arial"/>
                <w:sz w:val="18"/>
                <w:szCs w:val="18"/>
                <w:color w:val="auto"/>
              </w:rPr>
              <w:t>Theatrical</w:t>
            </w: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983</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line="181" w:lineRule="exact"/>
              <w:rPr>
                <w:sz w:val="20"/>
                <w:szCs w:val="20"/>
                <w:color w:val="auto"/>
              </w:rPr>
            </w:pPr>
            <w:r>
              <w:rPr>
                <w:rFonts w:ascii="Arial" w:cs="Arial" w:eastAsia="Arial" w:hAnsi="Arial"/>
                <w:sz w:val="18"/>
                <w:szCs w:val="18"/>
                <w:color w:val="auto"/>
              </w:rPr>
              <w:t>58</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1,041</w:t>
            </w:r>
          </w:p>
        </w:tc>
        <w:tc>
          <w:tcPr>
            <w:tcW w:w="180" w:type="dxa"/>
            <w:vAlign w:val="bottom"/>
          </w:tcPr>
          <w:p>
            <w:pPr>
              <w:ind w:left="60"/>
              <w:spacing w:after="0" w:line="181"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37"/>
              <w:spacing w:after="0" w:line="181" w:lineRule="exact"/>
              <w:rPr>
                <w:sz w:val="20"/>
                <w:szCs w:val="20"/>
                <w:color w:val="auto"/>
              </w:rPr>
            </w:pPr>
            <w:r>
              <w:rPr>
                <w:rFonts w:ascii="Arial" w:cs="Arial" w:eastAsia="Arial" w:hAnsi="Arial"/>
                <w:sz w:val="18"/>
                <w:szCs w:val="18"/>
                <w:color w:val="auto"/>
              </w:rPr>
              <w:t>900</w:t>
            </w:r>
          </w:p>
        </w:tc>
        <w:tc>
          <w:tcPr>
            <w:tcW w:w="1100" w:type="dxa"/>
            <w:vAlign w:val="bottom"/>
            <w:vMerge w:val="continue"/>
          </w:tcPr>
          <w:p>
            <w:pPr>
              <w:spacing w:after="0"/>
              <w:rPr>
                <w:sz w:val="15"/>
                <w:szCs w:val="15"/>
                <w:color w:val="auto"/>
              </w:rPr>
            </w:pPr>
          </w:p>
        </w:tc>
        <w:tc>
          <w:tcPr>
            <w:tcW w:w="1120" w:type="dxa"/>
            <w:vAlign w:val="bottom"/>
          </w:tcPr>
          <w:p>
            <w:pPr>
              <w:jc w:val="right"/>
              <w:ind w:right="37"/>
              <w:spacing w:after="0" w:line="181"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1,540</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1,234</w:t>
            </w:r>
          </w:p>
        </w:tc>
        <w:tc>
          <w:tcPr>
            <w:tcW w:w="200" w:type="dxa"/>
            <w:vAlign w:val="bottom"/>
          </w:tcPr>
          <w:p>
            <w:pPr>
              <w:spacing w:after="0"/>
              <w:rPr>
                <w:sz w:val="17"/>
                <w:szCs w:val="17"/>
                <w:color w:val="auto"/>
              </w:rPr>
            </w:pPr>
          </w:p>
        </w:tc>
        <w:tc>
          <w:tcPr>
            <w:tcW w:w="84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171</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1,405</w:t>
            </w:r>
          </w:p>
        </w:tc>
        <w:tc>
          <w:tcPr>
            <w:tcW w:w="180" w:type="dxa"/>
            <w:vAlign w:val="bottom"/>
          </w:tcPr>
          <w:p>
            <w:pPr>
              <w:spacing w:after="0"/>
              <w:rPr>
                <w:sz w:val="17"/>
                <w:szCs w:val="17"/>
                <w:color w:val="auto"/>
              </w:rPr>
            </w:pPr>
          </w:p>
        </w:tc>
        <w:tc>
          <w:tcPr>
            <w:tcW w:w="8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1,336</w:t>
            </w:r>
          </w:p>
        </w:tc>
        <w:tc>
          <w:tcPr>
            <w:tcW w:w="1100" w:type="dxa"/>
            <w:vAlign w:val="bottom"/>
          </w:tcPr>
          <w:p>
            <w:pPr>
              <w:jc w:val="right"/>
              <w:ind w:right="157"/>
              <w:spacing w:after="0" w:line="202" w:lineRule="exact"/>
              <w:rPr>
                <w:sz w:val="20"/>
                <w:szCs w:val="20"/>
                <w:color w:val="auto"/>
              </w:rPr>
            </w:pPr>
            <w:r>
              <w:rPr>
                <w:rFonts w:ascii="Arial" w:cs="Arial" w:eastAsia="Arial" w:hAnsi="Arial"/>
                <w:sz w:val="18"/>
                <w:szCs w:val="18"/>
                <w:b w:val="1"/>
                <w:bCs w:val="1"/>
                <w:color w:val="auto"/>
              </w:rPr>
              <w:t>9.7</w:t>
            </w:r>
          </w:p>
        </w:tc>
        <w:tc>
          <w:tcPr>
            <w:tcW w:w="112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Home entertainment</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1,834</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1,559</w:t>
            </w:r>
          </w:p>
        </w:tc>
        <w:tc>
          <w:tcPr>
            <w:tcW w:w="200" w:type="dxa"/>
            <w:vAlign w:val="bottom"/>
          </w:tcPr>
          <w:p>
            <w:pPr>
              <w:spacing w:after="0"/>
              <w:rPr>
                <w:sz w:val="17"/>
                <w:szCs w:val="17"/>
                <w:color w:val="auto"/>
              </w:rPr>
            </w:pPr>
          </w:p>
        </w:tc>
        <w:tc>
          <w:tcPr>
            <w:tcW w:w="840" w:type="dxa"/>
            <w:vAlign w:val="bottom"/>
          </w:tcPr>
          <w:p>
            <w:pPr>
              <w:jc w:val="right"/>
              <w:ind w:right="40"/>
              <w:spacing w:after="0" w:line="202" w:lineRule="exact"/>
              <w:rPr>
                <w:sz w:val="20"/>
                <w:szCs w:val="20"/>
                <w:color w:val="auto"/>
              </w:rPr>
            </w:pPr>
            <w:r>
              <w:rPr>
                <w:rFonts w:ascii="Arial" w:cs="Arial" w:eastAsia="Arial" w:hAnsi="Arial"/>
                <w:sz w:val="18"/>
                <w:szCs w:val="18"/>
                <w:color w:val="auto"/>
              </w:rPr>
              <w:t>96</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1,655</w:t>
            </w:r>
          </w:p>
        </w:tc>
        <w:tc>
          <w:tcPr>
            <w:tcW w:w="180" w:type="dxa"/>
            <w:vAlign w:val="bottom"/>
          </w:tcPr>
          <w:p>
            <w:pPr>
              <w:spacing w:after="0"/>
              <w:rPr>
                <w:sz w:val="17"/>
                <w:szCs w:val="17"/>
                <w:color w:val="auto"/>
              </w:rPr>
            </w:pPr>
          </w:p>
        </w:tc>
        <w:tc>
          <w:tcPr>
            <w:tcW w:w="8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1,732</w:t>
            </w:r>
          </w:p>
        </w:tc>
        <w:tc>
          <w:tcPr>
            <w:tcW w:w="1100" w:type="dxa"/>
            <w:vAlign w:val="bottom"/>
          </w:tcPr>
          <w:p>
            <w:pPr>
              <w:jc w:val="right"/>
              <w:ind w:right="157"/>
              <w:spacing w:after="0" w:line="202" w:lineRule="exact"/>
              <w:rPr>
                <w:sz w:val="20"/>
                <w:szCs w:val="20"/>
                <w:color w:val="auto"/>
              </w:rPr>
            </w:pPr>
            <w:r>
              <w:rPr>
                <w:rFonts w:ascii="Arial" w:cs="Arial" w:eastAsia="Arial" w:hAnsi="Arial"/>
                <w:sz w:val="18"/>
                <w:szCs w:val="18"/>
                <w:b w:val="1"/>
                <w:bCs w:val="1"/>
                <w:color w:val="auto"/>
              </w:rPr>
              <w:t>10.8</w:t>
            </w:r>
          </w:p>
        </w:tc>
        <w:tc>
          <w:tcPr>
            <w:tcW w:w="112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608</w:t>
            </w: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(19.6)</w:t>
            </w: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22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5,159</w:t>
            </w:r>
          </w:p>
        </w:tc>
        <w:tc>
          <w:tcPr>
            <w:tcW w:w="20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4,239</w:t>
            </w:r>
          </w:p>
        </w:tc>
        <w:tc>
          <w:tcPr>
            <w:tcW w:w="200" w:type="dxa"/>
            <w:vAlign w:val="bottom"/>
          </w:tcPr>
          <w:p>
            <w:pPr>
              <w:spacing w:after="0"/>
              <w:rPr>
                <w:sz w:val="15"/>
                <w:szCs w:val="15"/>
                <w:color w:val="auto"/>
              </w:rPr>
            </w:pPr>
          </w:p>
        </w:tc>
        <w:tc>
          <w:tcPr>
            <w:tcW w:w="840" w:type="dxa"/>
            <w:vAlign w:val="bottom"/>
          </w:tcPr>
          <w:p>
            <w:pPr>
              <w:jc w:val="right"/>
              <w:ind w:right="40"/>
              <w:spacing w:after="0" w:line="177" w:lineRule="exact"/>
              <w:rPr>
                <w:sz w:val="20"/>
                <w:szCs w:val="20"/>
                <w:color w:val="auto"/>
              </w:rPr>
            </w:pPr>
            <w:r>
              <w:rPr>
                <w:rFonts w:ascii="Arial" w:cs="Arial" w:eastAsia="Arial" w:hAnsi="Arial"/>
                <w:sz w:val="18"/>
                <w:szCs w:val="18"/>
                <w:color w:val="auto"/>
              </w:rPr>
              <w:t>353</w:t>
            </w:r>
          </w:p>
        </w:tc>
        <w:tc>
          <w:tcPr>
            <w:tcW w:w="16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4,592</w:t>
            </w:r>
          </w:p>
        </w:tc>
        <w:tc>
          <w:tcPr>
            <w:tcW w:w="180" w:type="dxa"/>
            <w:vAlign w:val="bottom"/>
          </w:tcPr>
          <w:p>
            <w:pPr>
              <w:spacing w:after="0"/>
              <w:rPr>
                <w:sz w:val="15"/>
                <w:szCs w:val="15"/>
                <w:color w:val="auto"/>
              </w:rPr>
            </w:pPr>
          </w:p>
        </w:tc>
        <w:tc>
          <w:tcPr>
            <w:tcW w:w="820" w:type="dxa"/>
            <w:vAlign w:val="bottom"/>
          </w:tcPr>
          <w:p>
            <w:pPr>
              <w:jc w:val="right"/>
              <w:ind w:right="37"/>
              <w:spacing w:after="0" w:line="177" w:lineRule="exact"/>
              <w:rPr>
                <w:sz w:val="20"/>
                <w:szCs w:val="20"/>
                <w:color w:val="auto"/>
              </w:rPr>
            </w:pPr>
            <w:r>
              <w:rPr>
                <w:rFonts w:ascii="Arial" w:cs="Arial" w:eastAsia="Arial" w:hAnsi="Arial"/>
                <w:sz w:val="18"/>
                <w:szCs w:val="18"/>
                <w:color w:val="auto"/>
              </w:rPr>
              <w:t>4,576</w:t>
            </w:r>
          </w:p>
        </w:tc>
        <w:tc>
          <w:tcPr>
            <w:tcW w:w="1100" w:type="dxa"/>
            <w:vAlign w:val="bottom"/>
          </w:tcPr>
          <w:p>
            <w:pPr>
              <w:jc w:val="right"/>
              <w:ind w:right="157"/>
              <w:spacing w:after="0" w:line="177" w:lineRule="exact"/>
              <w:rPr>
                <w:sz w:val="20"/>
                <w:szCs w:val="20"/>
                <w:color w:val="auto"/>
              </w:rPr>
            </w:pPr>
            <w:r>
              <w:rPr>
                <w:rFonts w:ascii="Arial" w:cs="Arial" w:eastAsia="Arial" w:hAnsi="Arial"/>
                <w:sz w:val="18"/>
                <w:szCs w:val="18"/>
                <w:b w:val="1"/>
                <w:bCs w:val="1"/>
                <w:color w:val="auto"/>
              </w:rPr>
              <w:t>12.4</w:t>
            </w:r>
          </w:p>
        </w:tc>
        <w:tc>
          <w:tcPr>
            <w:tcW w:w="1120" w:type="dxa"/>
            <w:vAlign w:val="bottom"/>
          </w:tcPr>
          <w:p>
            <w:pPr>
              <w:jc w:val="right"/>
              <w:ind w:right="177"/>
              <w:spacing w:after="0" w:line="177"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1"/>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356</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4,346</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11.2</w:t>
            </w: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77"/>
        </w:trPr>
        <w:tc>
          <w:tcPr>
            <w:tcW w:w="42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Operating income (loss) before depreciation and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tcBorders>
              <w:bottom w:val="single" w:sz="8" w:color="3E499A"/>
            </w:tcBorders>
          </w:tcPr>
          <w:p>
            <w:pPr>
              <w:ind w:left="20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Borders>
              <w:bottom w:val="single" w:sz="8" w:color="3E499A"/>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79</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3E499A"/>
            </w:tcBorders>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3E499A"/>
            </w:tcBorders>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3E499A"/>
            </w:tcBorders>
          </w:tcPr>
          <w:p>
            <w:pPr>
              <w:jc w:val="right"/>
              <w:ind w:right="37"/>
              <w:spacing w:after="0"/>
              <w:rPr>
                <w:sz w:val="20"/>
                <w:szCs w:val="20"/>
                <w:color w:val="auto"/>
              </w:rPr>
            </w:pPr>
            <w:r>
              <w:rPr>
                <w:rFonts w:ascii="Arial" w:cs="Arial" w:eastAsia="Arial" w:hAnsi="Arial"/>
                <w:sz w:val="18"/>
                <w:szCs w:val="18"/>
                <w:color w:val="auto"/>
              </w:rPr>
              <w:t>230</w:t>
            </w:r>
          </w:p>
        </w:tc>
        <w:tc>
          <w:tcPr>
            <w:tcW w:w="11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234.2%</w:t>
            </w:r>
          </w:p>
        </w:tc>
        <w:tc>
          <w:tcPr>
            <w:tcW w:w="112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for the period January 29, 2011 through December 31, 2011.</w:t>
      </w:r>
    </w:p>
    <w:p>
      <w:pPr>
        <w:spacing w:after="0" w:line="55" w:lineRule="exact"/>
        <w:rPr>
          <w:rFonts w:ascii="Arial" w:cs="Arial" w:eastAsia="Arial" w:hAnsi="Arial"/>
          <w:sz w:val="14"/>
          <w:szCs w:val="14"/>
          <w:color w:val="auto"/>
        </w:rPr>
      </w:pPr>
    </w:p>
    <w:p>
      <w:pPr>
        <w:jc w:val="both"/>
        <w:ind w:left="300" w:hanging="292"/>
        <w:spacing w:after="0" w:line="225"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for the year ended December 31, 2010. These amounts also include pro forma adjustments as if the NBCUniversal transaction had occurred on January 1, 2010, including the effects of acquisition accounting and the elimination of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3E499A"/>
        </w:rPr>
        <w:t>Theatrical</w:t>
      </w:r>
    </w:p>
    <w:p>
      <w:pPr>
        <w:jc w:val="both"/>
        <w:spacing w:after="0" w:line="236" w:lineRule="auto"/>
        <w:rPr>
          <w:sz w:val="20"/>
          <w:szCs w:val="20"/>
          <w:color w:val="auto"/>
        </w:rPr>
      </w:pPr>
      <w:r>
        <w:rPr>
          <w:rFonts w:ascii="Arial" w:cs="Arial" w:eastAsia="Arial" w:hAnsi="Arial"/>
          <w:sz w:val="18"/>
          <w:szCs w:val="18"/>
          <w:color w:val="auto"/>
        </w:rPr>
        <w:t>Theatrical revenue is generated from the worldwide theatrical release of our owned and acquired films for exhibition in movie theaters and is significantly affected by the timing of each release and the number of films we distribute, as well as their acceptance by consumers. Release dates are determined by several factors, including production schedules, vacation and holiday periods, and the timing of competitive releases. Theatrical revenue is also affected by the number of exhibition screens, ticket prices, the percentage of ticket sale retention by the exhibitors and the popularity of competing films at the time our films are released. The success of a film in movie theaters is a significant factor in determining the revenue a film is likely to generate in succeeding distribution platforms.</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Theatrical revenue increased in 2012 primarily due to the strong performance of our 2012 releases, which included </w:t>
      </w:r>
      <w:r>
        <w:rPr>
          <w:rFonts w:ascii="Arial" w:cs="Arial" w:eastAsia="Arial" w:hAnsi="Arial"/>
          <w:sz w:val="18"/>
          <w:szCs w:val="18"/>
          <w:i w:val="1"/>
          <w:iCs w:val="1"/>
          <w:color w:val="auto"/>
        </w:rPr>
        <w:t>Ted</w:t>
      </w:r>
      <w:r>
        <w:rPr>
          <w:rFonts w:ascii="Arial" w:cs="Arial" w:eastAsia="Arial" w:hAnsi="Arial"/>
          <w:sz w:val="18"/>
          <w:szCs w:val="18"/>
          <w:color w:val="auto"/>
        </w:rPr>
        <w:t xml:space="preserve">, </w:t>
      </w:r>
      <w:r>
        <w:rPr>
          <w:rFonts w:ascii="Arial" w:cs="Arial" w:eastAsia="Arial" w:hAnsi="Arial"/>
          <w:sz w:val="18"/>
          <w:szCs w:val="18"/>
          <w:i w:val="1"/>
          <w:iCs w:val="1"/>
          <w:color w:val="auto"/>
        </w:rPr>
        <w:t>Dr. Seuss’ The Lorax</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Bourne Legacy</w:t>
      </w:r>
      <w:r>
        <w:rPr>
          <w:rFonts w:ascii="Arial" w:cs="Arial" w:eastAsia="Arial" w:hAnsi="Arial"/>
          <w:sz w:val="18"/>
          <w:szCs w:val="18"/>
          <w:color w:val="auto"/>
        </w:rPr>
        <w:t>. Pro forma combined theatrical revenue increased in 2011 primarily due to an increase in the number of theatrical releases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2011 slate compared to 2010 and the strong performance of our 2011 releases of </w:t>
      </w:r>
      <w:r>
        <w:rPr>
          <w:rFonts w:ascii="Arial" w:cs="Arial" w:eastAsia="Arial" w:hAnsi="Arial"/>
          <w:sz w:val="18"/>
          <w:szCs w:val="18"/>
          <w:i w:val="1"/>
          <w:iCs w:val="1"/>
          <w:color w:val="auto"/>
        </w:rPr>
        <w:t>Fast Five</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Bridesmaids</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3E499A"/>
        </w:rPr>
        <w:t>Content Licensing</w:t>
      </w:r>
    </w:p>
    <w:p>
      <w:pPr>
        <w:jc w:val="both"/>
        <w:ind w:right="20"/>
        <w:spacing w:after="0" w:line="239" w:lineRule="auto"/>
        <w:rPr>
          <w:sz w:val="20"/>
          <w:szCs w:val="20"/>
          <w:color w:val="auto"/>
        </w:rPr>
      </w:pPr>
      <w:r>
        <w:rPr>
          <w:rFonts w:ascii="Arial" w:cs="Arial" w:eastAsia="Arial" w:hAnsi="Arial"/>
          <w:sz w:val="18"/>
          <w:szCs w:val="18"/>
          <w:color w:val="auto"/>
        </w:rPr>
        <w:t>Content licensing revenue is generated primarily from the licensing of our owned and acquired films to cable, broadcast and premium networks, as well as to digital distributors, such as Netflix.</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Content licensing revenue increased in 2012 primarily due to a higher volume of our owned and acquired films made available to licensees in 2012, as well as an increase in licensing of our content to digital distributors. Pro forma combined content licensing revenue increased in 2011 primarily due to the timing of when our owned and acquired films were made available to licensees.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Home Entertainment</w:t>
      </w:r>
    </w:p>
    <w:p>
      <w:pPr>
        <w:jc w:val="both"/>
        <w:spacing w:after="0" w:line="237" w:lineRule="auto"/>
        <w:rPr>
          <w:sz w:val="20"/>
          <w:szCs w:val="20"/>
          <w:color w:val="auto"/>
        </w:rPr>
      </w:pPr>
      <w:r>
        <w:rPr>
          <w:rFonts w:ascii="Arial" w:cs="Arial" w:eastAsia="Arial" w:hAnsi="Arial"/>
          <w:sz w:val="18"/>
          <w:szCs w:val="18"/>
          <w:color w:val="auto"/>
        </w:rPr>
        <w:t>Home entertainment revenue is generated from the sale of our owned and acquired films on DVDs to retail stores, rental kiosks and subscription by mail services, and through digital distributors, such as iTunes. Home entertainment revenue is significantly affected by the timing and number of our releases and their acceptance by consumers. Release dates are determined by several factors, including the timing of the exhibition of a film in movie theaters, holiday periods and the timing of competitive releases.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Home entertainment revenue increased in 2012 primarily due to an increased number of, and improved performance of, our 2012 releases compared to our 2011 releases. Pro forma combined home entertainment revenue decreased in 2011 primarily due to the overall decline in the DVD market and fewer titles released in 2011.</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DVD market continues to experience declines due to the impact of weak economic conditions, the maturation of the standard-definition DVD format, piracy, and increasing shifts in consumers toward subscription rental services, discount rental kiosks and digital distributors, which generate less revenue per transaction than DVD sales.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Other</w:t>
      </w:r>
    </w:p>
    <w:p>
      <w:pPr>
        <w:jc w:val="both"/>
        <w:spacing w:after="0" w:line="238" w:lineRule="auto"/>
        <w:rPr>
          <w:sz w:val="20"/>
          <w:szCs w:val="20"/>
          <w:color w:val="auto"/>
        </w:rPr>
      </w:pPr>
      <w:r>
        <w:rPr>
          <w:rFonts w:ascii="Arial" w:cs="Arial" w:eastAsia="Arial" w:hAnsi="Arial"/>
          <w:sz w:val="18"/>
          <w:szCs w:val="18"/>
          <w:color w:val="auto"/>
        </w:rPr>
        <w:t>We also generate revenue from producing and licensing live stage plays and distributing filmed entertainment produced by third parties. Other revenue decreased in 2012 and pro forma combined other revenue decreased in 2011 primarily due to lower revenue generated from our stage plays as a result of fewer productions.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Filmed Entertainment segment operating costs and expenses consist primarily of production expenses, advertising and marketing expenses, and other operating and administrative expenses. Production expenses include the amortization of capitalized film production and acquisition costs, residual and participation payments, and distribution expenses. Residual payments represent amounts payable to certain of our employees, including freelance and temporary employees, who are represented by labor unions or guilds and are based on post-theatrical revenue. Participation payments are primarily based on film performance and represent contingent consideration payable to creative talent and other parties involved in the production of a film. Advertising and marketing expenses consist primarily of expenses associated with theatrical prints and advertising and the marketing of DVDs. Other operating and administrative expenses include salaries, employee benefits, rent and other overhead expenses.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incur significant marketing expenses before and throughout the release of a film in movie theaters. As a result, we typically incur losses on a film prior to and during the film’s exhibition in movie theaters and may not realize profits, if any, until the film generates home entertainment and content licensing revenue. The costs of producing and marketing films have generally increased in recent years and may continue to increase in the future, particularly if competition within the filmed entertainment industry continues to intensify.</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costs and expenses increased in 2012 primarily due to higher amortization of film costs associated with the higher cost of our 2012 slate, as well as an increase in marketing costs associated with our 2012 theatrical and DVD releases. These costs were partially offset by lower costs generated from our stage plays as a result of fewer productions. Pro forma combined operating costs and expenses increased in 2011 primarily due to an increase in marketing expenses associated with promoting our 2011 theatrical releases.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59</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Theme Parks Segment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2010</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162"/>
              <w:spacing w:after="0"/>
              <w:rPr>
                <w:sz w:val="20"/>
                <w:szCs w:val="20"/>
                <w:color w:val="auto"/>
              </w:rPr>
            </w:pPr>
            <w:r>
              <w:rPr>
                <w:rFonts w:ascii="Arial" w:cs="Arial" w:eastAsia="Arial" w:hAnsi="Arial"/>
                <w:sz w:val="14"/>
                <w:szCs w:val="14"/>
                <w:color w:val="auto"/>
                <w:w w:val="94"/>
              </w:rPr>
              <w:t>Actual</w:t>
            </w:r>
            <w:r>
              <w:rPr>
                <w:rFonts w:ascii="Arial" w:cs="Arial" w:eastAsia="Arial" w:hAnsi="Arial"/>
                <w:sz w:val="22"/>
                <w:szCs w:val="22"/>
                <w:color w:val="auto"/>
                <w:w w:val="94"/>
                <w:vertAlign w:val="superscript"/>
              </w:rPr>
              <w:t>(a)</w:t>
            </w: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960" w:type="dxa"/>
            <w:vAlign w:val="bottom"/>
            <w:gridSpan w:val="2"/>
          </w:tcPr>
          <w:p>
            <w:pPr>
              <w:jc w:val="right"/>
              <w:ind w:right="77"/>
              <w:spacing w:after="0" w:line="115" w:lineRule="exact"/>
              <w:rPr>
                <w:sz w:val="20"/>
                <w:szCs w:val="20"/>
                <w:color w:val="auto"/>
              </w:rPr>
            </w:pPr>
            <w:r>
              <w:rPr>
                <w:rFonts w:ascii="Arial" w:cs="Arial" w:eastAsia="Arial" w:hAnsi="Arial"/>
                <w:sz w:val="12"/>
                <w:szCs w:val="12"/>
                <w:color w:val="auto"/>
              </w:rPr>
              <w:t>Pro Forma</w:t>
            </w: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color w:val="auto"/>
                <w:w w:val="99"/>
              </w:rPr>
              <w:t>Pro Forma</w:t>
            </w:r>
            <w:r>
              <w:rPr>
                <w:rFonts w:ascii="Arial" w:cs="Arial" w:eastAsia="Arial" w:hAnsi="Arial"/>
                <w:sz w:val="22"/>
                <w:szCs w:val="22"/>
                <w:color w:val="auto"/>
                <w:w w:val="99"/>
                <w:vertAlign w:val="superscript"/>
              </w:rPr>
              <w:t>(b)</w:t>
            </w: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Actual</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960" w:type="dxa"/>
            <w:vAlign w:val="bottom"/>
            <w:tcBorders>
              <w:bottom w:val="single" w:sz="8" w:color="auto"/>
            </w:tcBorders>
            <w:gridSpan w:val="2"/>
          </w:tcPr>
          <w:p>
            <w:pPr>
              <w:jc w:val="right"/>
              <w:ind w:right="37"/>
              <w:spacing w:after="0" w:line="176" w:lineRule="exact"/>
              <w:rPr>
                <w:sz w:val="20"/>
                <w:szCs w:val="20"/>
                <w:color w:val="auto"/>
              </w:rPr>
            </w:pPr>
            <w:r>
              <w:rPr>
                <w:rFonts w:ascii="Arial" w:cs="Arial" w:eastAsia="Arial" w:hAnsi="Arial"/>
                <w:sz w:val="13"/>
                <w:szCs w:val="13"/>
                <w:color w:val="auto"/>
              </w:rPr>
              <w:t>Combined</w:t>
            </w:r>
            <w:r>
              <w:rPr>
                <w:rFonts w:ascii="Arial" w:cs="Arial" w:eastAsia="Arial" w:hAnsi="Arial"/>
                <w:sz w:val="20"/>
                <w:szCs w:val="20"/>
                <w:color w:val="auto"/>
                <w:vertAlign w:val="superscript"/>
              </w:rPr>
              <w:t>(c)</w:t>
            </w:r>
          </w:p>
        </w:tc>
        <w:tc>
          <w:tcPr>
            <w:tcW w:w="940" w:type="dxa"/>
            <w:vAlign w:val="bottom"/>
            <w:tcBorders>
              <w:bottom w:val="single" w:sz="8" w:color="auto"/>
            </w:tcBorders>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98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January 29</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January 1</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4"/>
                <w:szCs w:val="14"/>
                <w:color w:val="auto"/>
              </w:rPr>
              <w:t>through</w:t>
            </w: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rPr>
              <w:t>through</w:t>
            </w:r>
          </w:p>
        </w:tc>
        <w:tc>
          <w:tcPr>
            <w:tcW w:w="18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w w:val="91"/>
              </w:rPr>
              <w:t>Year Ended</w:t>
            </w:r>
          </w:p>
        </w:tc>
        <w:tc>
          <w:tcPr>
            <w:tcW w:w="18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4"/>
                <w:szCs w:val="14"/>
                <w:color w:val="auto"/>
                <w:w w:val="91"/>
              </w:rPr>
              <w:t>Year Ended</w:t>
            </w:r>
          </w:p>
        </w:tc>
        <w:tc>
          <w:tcPr>
            <w:tcW w:w="1120" w:type="dxa"/>
            <w:vAlign w:val="bottom"/>
            <w:vMerge w:val="continue"/>
          </w:tcPr>
          <w:p>
            <w:pPr>
              <w:spacing w:after="0"/>
              <w:rPr>
                <w:sz w:val="11"/>
                <w:szCs w:val="11"/>
                <w:color w:val="auto"/>
              </w:rPr>
            </w:pPr>
          </w:p>
        </w:tc>
        <w:tc>
          <w:tcPr>
            <w:tcW w:w="1080" w:type="dxa"/>
            <w:vAlign w:val="bottom"/>
          </w:tcPr>
          <w:p>
            <w:pPr>
              <w:jc w:val="right"/>
              <w:ind w:right="140"/>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28</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9"/>
              </w:rPr>
              <w:t>December 31</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2011 to 2012</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2010 to 2011</w:t>
            </w:r>
          </w:p>
        </w:tc>
        <w:tc>
          <w:tcPr>
            <w:tcW w:w="0" w:type="dxa"/>
            <w:vAlign w:val="bottom"/>
          </w:tcPr>
          <w:p>
            <w:pPr>
              <w:spacing w:after="0"/>
              <w:rPr>
                <w:sz w:val="1"/>
                <w:szCs w:val="1"/>
                <w:color w:val="auto"/>
              </w:rPr>
            </w:pPr>
          </w:p>
        </w:tc>
      </w:tr>
      <w:tr>
        <w:trPr>
          <w:trHeight w:val="177"/>
        </w:trPr>
        <w:tc>
          <w:tcPr>
            <w:tcW w:w="4380" w:type="dxa"/>
            <w:vAlign w:val="bottom"/>
          </w:tcPr>
          <w:p>
            <w:pPr>
              <w:spacing w:after="0" w:line="177" w:lineRule="exact"/>
              <w:rPr>
                <w:sz w:val="20"/>
                <w:szCs w:val="20"/>
                <w:color w:val="auto"/>
              </w:rPr>
            </w:pPr>
            <w:r>
              <w:rPr>
                <w:rFonts w:ascii="Arial" w:cs="Arial" w:eastAsia="Arial" w:hAnsi="Arial"/>
                <w:sz w:val="18"/>
                <w:szCs w:val="18"/>
                <w:b w:val="1"/>
                <w:bCs w:val="1"/>
                <w:color w:val="auto"/>
              </w:rPr>
              <w:t>Revenue</w:t>
            </w:r>
          </w:p>
        </w:tc>
        <w:tc>
          <w:tcPr>
            <w:tcW w:w="160" w:type="dxa"/>
            <w:vAlign w:val="bottom"/>
          </w:tcPr>
          <w:p>
            <w:pPr>
              <w:ind w:left="60"/>
              <w:spacing w:after="0" w:line="177" w:lineRule="exact"/>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2,085</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1,874</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115</w:t>
            </w:r>
          </w:p>
        </w:tc>
        <w:tc>
          <w:tcPr>
            <w:tcW w:w="180" w:type="dxa"/>
            <w:vAlign w:val="bottom"/>
          </w:tcPr>
          <w:p>
            <w:pPr>
              <w:ind w:left="60"/>
              <w:spacing w:after="0" w:line="177"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1,989</w:t>
            </w:r>
          </w:p>
        </w:tc>
        <w:tc>
          <w:tcPr>
            <w:tcW w:w="180" w:type="dxa"/>
            <w:vAlign w:val="bottom"/>
          </w:tcPr>
          <w:p>
            <w:pPr>
              <w:ind w:left="60"/>
              <w:spacing w:after="0" w:line="177"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77" w:lineRule="exact"/>
              <w:rPr>
                <w:sz w:val="20"/>
                <w:szCs w:val="20"/>
                <w:color w:val="auto"/>
              </w:rPr>
            </w:pPr>
            <w:r>
              <w:rPr>
                <w:rFonts w:ascii="Arial" w:cs="Arial" w:eastAsia="Arial" w:hAnsi="Arial"/>
                <w:sz w:val="18"/>
                <w:szCs w:val="18"/>
                <w:color w:val="auto"/>
              </w:rPr>
              <w:t>1,600</w:t>
            </w:r>
          </w:p>
        </w:tc>
        <w:tc>
          <w:tcPr>
            <w:tcW w:w="1120" w:type="dxa"/>
            <w:vAlign w:val="bottom"/>
          </w:tcPr>
          <w:p>
            <w:pPr>
              <w:ind w:left="640"/>
              <w:spacing w:after="0" w:line="177" w:lineRule="exact"/>
              <w:rPr>
                <w:sz w:val="20"/>
                <w:szCs w:val="20"/>
                <w:color w:val="auto"/>
              </w:rPr>
            </w:pPr>
            <w:r>
              <w:rPr>
                <w:rFonts w:ascii="Arial" w:cs="Arial" w:eastAsia="Arial" w:hAnsi="Arial"/>
                <w:sz w:val="18"/>
                <w:szCs w:val="18"/>
                <w:b w:val="1"/>
                <w:bCs w:val="1"/>
                <w:color w:val="auto"/>
              </w:rPr>
              <w:t>4.8%</w:t>
            </w:r>
          </w:p>
        </w:tc>
        <w:tc>
          <w:tcPr>
            <w:tcW w:w="1080" w:type="dxa"/>
            <w:vAlign w:val="bottom"/>
          </w:tcPr>
          <w:p>
            <w:pPr>
              <w:ind w:left="520"/>
              <w:spacing w:after="0" w:line="177"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1"/>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0.9</w:t>
            </w:r>
          </w:p>
        </w:tc>
        <w:tc>
          <w:tcPr>
            <w:tcW w:w="10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77"/>
        </w:trPr>
        <w:tc>
          <w:tcPr>
            <w:tcW w:w="438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 before depreciation and</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380" w:type="dxa"/>
            <w:vAlign w:val="bottom"/>
            <w:tcBorders>
              <w:bottom w:val="single" w:sz="8" w:color="3E499A"/>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Borders>
              <w:bottom w:val="single" w:sz="8" w:color="3E499A"/>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953</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3E499A"/>
            </w:tcBorders>
          </w:tcPr>
          <w:p>
            <w:pPr>
              <w:ind w:left="6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867</w:t>
            </w:r>
          </w:p>
        </w:tc>
        <w:tc>
          <w:tcPr>
            <w:tcW w:w="180" w:type="dxa"/>
            <w:vAlign w:val="bottom"/>
            <w:tcBorders>
              <w:bottom w:val="single" w:sz="8" w:color="3E499A"/>
            </w:tcBorders>
          </w:tcPr>
          <w:p>
            <w:pPr>
              <w:ind w:left="6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591</w:t>
            </w:r>
          </w:p>
        </w:tc>
        <w:tc>
          <w:tcPr>
            <w:tcW w:w="1120" w:type="dxa"/>
            <w:vAlign w:val="bottom"/>
            <w:tcBorders>
              <w:bottom w:val="single" w:sz="8" w:color="3E499A"/>
            </w:tcBorders>
          </w:tcPr>
          <w:p>
            <w:pPr>
              <w:ind w:left="640"/>
              <w:spacing w:after="0"/>
              <w:rPr>
                <w:sz w:val="20"/>
                <w:szCs w:val="20"/>
                <w:color w:val="auto"/>
              </w:rPr>
            </w:pPr>
            <w:r>
              <w:rPr>
                <w:rFonts w:ascii="Arial" w:cs="Arial" w:eastAsia="Arial" w:hAnsi="Arial"/>
                <w:sz w:val="18"/>
                <w:szCs w:val="18"/>
                <w:b w:val="1"/>
                <w:bCs w:val="1"/>
                <w:color w:val="auto"/>
              </w:rPr>
              <w:t>9.9%</w:t>
            </w:r>
          </w:p>
        </w:tc>
        <w:tc>
          <w:tcPr>
            <w:tcW w:w="1080" w:type="dxa"/>
            <w:vAlign w:val="bottom"/>
            <w:tcBorders>
              <w:bottom w:val="single" w:sz="8" w:color="3E499A"/>
            </w:tcBorders>
          </w:tcPr>
          <w:p>
            <w:pPr>
              <w:ind w:left="5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8"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and Universal Orlando for the period January 29, 2011 through December 31, 2011. The results of operations for Universal Orlando for the period January 29, 2011 through June 30, 2011 are eliminated from our consolidated results because Universal Orlando was recorded as an equity method investment during that period.</w:t>
      </w:r>
    </w:p>
    <w:p>
      <w:pPr>
        <w:spacing w:after="0" w:line="54" w:lineRule="exact"/>
        <w:rPr>
          <w:rFonts w:ascii="Arial" w:cs="Arial" w:eastAsia="Arial" w:hAnsi="Arial"/>
          <w:sz w:val="14"/>
          <w:szCs w:val="14"/>
          <w:color w:val="auto"/>
        </w:rPr>
      </w:pPr>
    </w:p>
    <w:p>
      <w:pPr>
        <w:jc w:val="both"/>
        <w:ind w:left="300" w:hanging="292"/>
        <w:spacing w:after="0" w:line="225"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and Universal Orlando for the period January 1, 2011 through January 28, 2011 and for the year ended December 31, 2010. These amounts also include pro forma adjustments as if the NBCUniversal and Universal Orlando transactions had occurred on January 1, 2010, including the effects of acquisition accounting and the elimination of operating costs and expenses directly related to the transactions,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and Universal Orlando transactions had occurred on January 1, 2010 but are not necessarily indicative of what the results would have been had we operated the businesses since January 1, 2010.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revenue is generated primarily from theme park attendance and per capita spending at our Universal theme parks in Orlando and Hollywood, as well as from licensing and other fees.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Attendance at our theme parks and per capita spending depend heavily on the general environment for travel and tourism, including consumer spending on travel and other recreational activities. License and other fees relate primarily to our agreements with third parties that operate the Universal Studios Japan and the Universal Studios Singapore theme parks to license the Universal Studios brand name and other intellectual property.</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Theme Parks segment revenue and pro forma combined revenue increased in 2012 and 2011 primarily due to higher guest attendance and increases in per capita spending at our Universal theme parks. The increases in 2012 were primarily driven by the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attraction in Hollywood, which opened in May 2012, and the increases in 2011 were attributable to the strong performance of </w:t>
      </w:r>
      <w:r>
        <w:rPr>
          <w:rFonts w:ascii="Arial" w:cs="Arial" w:eastAsia="Arial" w:hAnsi="Arial"/>
          <w:sz w:val="18"/>
          <w:szCs w:val="18"/>
          <w:i w:val="1"/>
          <w:iCs w:val="1"/>
          <w:color w:val="auto"/>
        </w:rPr>
        <w:t>The Wizarding World of Harry</w:t>
      </w:r>
      <w:r>
        <w:rPr>
          <w:rFonts w:ascii="Arial" w:cs="Arial" w:eastAsia="Arial" w:hAnsi="Arial"/>
          <w:sz w:val="18"/>
          <w:szCs w:val="18"/>
          <w:color w:val="auto"/>
        </w:rPr>
        <w:t xml:space="preserve"> </w:t>
      </w:r>
      <w:r>
        <w:rPr>
          <w:rFonts w:ascii="Arial" w:cs="Arial" w:eastAsia="Arial" w:hAnsi="Arial"/>
          <w:sz w:val="18"/>
          <w:szCs w:val="18"/>
          <w:i w:val="1"/>
          <w:iCs w:val="1"/>
          <w:color w:val="auto"/>
        </w:rPr>
        <w:t>Potter</w:t>
      </w:r>
      <w:r>
        <w:rPr>
          <w:rFonts w:ascii="Arial" w:cs="Arial" w:eastAsia="Arial" w:hAnsi="Arial"/>
          <w:sz w:val="18"/>
          <w:szCs w:val="18"/>
          <w:color w:val="auto"/>
        </w:rPr>
        <w:t>™ attraction in Orlando.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Theme Parks segment operating costs and expenses consist primarily of theme park operations, including repairs and maintenance and related administrative expenses; food, beverage and merchandise costs; labor costs; and sales and marketing costs.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Theme Parks segment operating costs and expenses increased slightly in 2012 primarily due to additional costs associated with the increases in attendance and per capita spending at our Universal theme parks and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incremental marketing costs associated with the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attraction in Hollywood. Theme Parks segment pro forma combined operating costs and expenses increased in 2011 primarily due to additional costs associated with increases in attendance and per capita spending at our Universal theme parks.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Headquarters and Other operating costs and expenses incurred by our NBCUniversal businesses include overhead, personnel costs and corporate initiatives, as well as expenses related to the NBCUniversal transaction in 2011. Operating costs and expenses remained flat in 2012 primarily due to higher technology and administrative costs offset by the impact of transaction-related costs associated with the NBCUniversal transaction, including severance and other compensation-related costs, in 2011. Pro forma combined operating costs and expenses increased in 2011 primarily due to these costs.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Eliminations include the results of operations for Universal Orlando for the period January 29, 2011 through June 30, 2011. Our Theme Parks segment included the results of operations of Universal Orlando for this period because these amounts had been reflected in our segment performance measure. These amounts were not included when we measured total NBCUniversal and our consolidated results of operations because we recorded Universal Orlando as an equity method investment for the period January 29, 2011 through June 30,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Consolidated Other Income (Expense)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2011</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2010</w:t>
            </w:r>
          </w:p>
        </w:tc>
      </w:tr>
      <w:tr>
        <w:trPr>
          <w:trHeight w:val="177"/>
        </w:trPr>
        <w:tc>
          <w:tcPr>
            <w:tcW w:w="6240" w:type="dxa"/>
            <w:vAlign w:val="bottom"/>
          </w:tcPr>
          <w:p>
            <w:pPr>
              <w:spacing w:after="0" w:line="177" w:lineRule="exact"/>
              <w:rPr>
                <w:sz w:val="20"/>
                <w:szCs w:val="20"/>
                <w:color w:val="auto"/>
              </w:rPr>
            </w:pPr>
            <w:r>
              <w:rPr>
                <w:rFonts w:ascii="Arial" w:cs="Arial" w:eastAsia="Arial" w:hAnsi="Arial"/>
                <w:sz w:val="18"/>
                <w:szCs w:val="18"/>
                <w:color w:val="auto"/>
              </w:rPr>
              <w:t>Interest expense</w:t>
            </w:r>
          </w:p>
        </w:tc>
        <w:tc>
          <w:tcPr>
            <w:tcW w:w="27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(2,521)</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 (2,505)</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 (2,156)</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Investment income (loss), net</w:t>
            </w:r>
          </w:p>
        </w:tc>
        <w:tc>
          <w:tcPr>
            <w:tcW w:w="2780" w:type="dxa"/>
            <w:vAlign w:val="bottom"/>
          </w:tcPr>
          <w:p>
            <w:pPr>
              <w:spacing w:after="0"/>
              <w:rPr>
                <w:sz w:val="17"/>
                <w:szCs w:val="17"/>
                <w:color w:val="auto"/>
              </w:rPr>
            </w:pPr>
          </w:p>
        </w:tc>
        <w:tc>
          <w:tcPr>
            <w:tcW w:w="68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219</w:t>
            </w:r>
          </w:p>
        </w:tc>
        <w:tc>
          <w:tcPr>
            <w:tcW w:w="8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159</w:t>
            </w:r>
          </w:p>
        </w:tc>
        <w:tc>
          <w:tcPr>
            <w:tcW w:w="8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288</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2780" w:type="dxa"/>
            <w:vAlign w:val="bottom"/>
          </w:tcPr>
          <w:p>
            <w:pPr>
              <w:spacing w:after="0"/>
              <w:rPr>
                <w:sz w:val="17"/>
                <w:szCs w:val="17"/>
                <w:color w:val="auto"/>
              </w:rPr>
            </w:pPr>
          </w:p>
        </w:tc>
        <w:tc>
          <w:tcPr>
            <w:tcW w:w="68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959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r>
      <w:tr>
        <w:trPr>
          <w:trHeight w:val="221"/>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2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773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133</w:t>
            </w:r>
          </w:p>
        </w:tc>
      </w:tr>
      <w:tr>
        <w:trPr>
          <w:trHeight w:val="196"/>
        </w:trPr>
        <w:tc>
          <w:tcPr>
            <w:tcW w:w="624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27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(570)</w:t>
            </w:r>
          </w:p>
        </w:tc>
        <w:tc>
          <w:tcPr>
            <w:tcW w:w="8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(2,514)</w:t>
            </w:r>
          </w:p>
        </w:tc>
        <w:tc>
          <w:tcPr>
            <w:tcW w:w="8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(1,876)</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Interest expense remained flat in 2012. Interest expense increased in 2011 primarily due to the effects of the NBCUniversal and Universal Orlando transactions and the consolidation of their outstanding 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components of investment income (loss), net for 2012, 2011 and 2010 are presented in a table in Note 6 to our consolidated financial statements. We have entered into derivative financial instruments that we account for at fair value and that economically hedge the market price fluctuations in the common stock of substantially all of our investments accounted for as trading securities and available-for-sale securities. The differences between the unrealized gains or losses on securities underlying prepaid forward sale agreements and the mark to market adjustments on the derivative component of prepaid forward sale agreements result from one or more of the following:</w:t>
      </w:r>
    </w:p>
    <w:p>
      <w:pPr>
        <w:spacing w:after="0" w:line="117" w:lineRule="exact"/>
        <w:rPr>
          <w:sz w:val="20"/>
          <w:szCs w:val="20"/>
          <w:color w:val="auto"/>
        </w:rPr>
      </w:pPr>
    </w:p>
    <w:p>
      <w:pPr>
        <w:ind w:left="1020" w:right="1260" w:hanging="215"/>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were unusual changes in the derivative valuation assumptions such as interest rates, volatility and dividend policy</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magnitude of the difference between the market price of the underlying security to which the derivative relates and the strike price of the derivative</w:t>
      </w:r>
    </w:p>
    <w:p>
      <w:pPr>
        <w:spacing w:after="0" w:line="114" w:lineRule="exact"/>
        <w:rPr>
          <w:rFonts w:ascii="Arial" w:cs="Arial" w:eastAsia="Arial" w:hAnsi="Arial"/>
          <w:sz w:val="18"/>
          <w:szCs w:val="18"/>
          <w:color w:val="auto"/>
        </w:rPr>
      </w:pPr>
    </w:p>
    <w:p>
      <w:pPr>
        <w:ind w:left="1020" w:hanging="21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117"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change in equity in net income (losses) of investees, net in 2012 was primarily due to income of $876 million related to the SpectrumCo transaction. See Note 6 to our consolidated financial statements for additional information. The change in equity in net income (losses) of investees, net in 2011 was primarily due to the acquisition of NBCUniversal and its equity method investments, offset by losses related to our investment in Clearwire LLC.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change in other income (expense), net in 2012 was primarily due to a $1 billion gain related to the A&amp;E Television Networks transaction. See Note 6 to our consolidated financial statements for additional information. Other income (expense), net in 2012 and 2011 included $186 million and $57 million, respectively, of expenses related to fair value adjustments to contractual obligations that involve financial interests held by third parties in certain of our businesses. The change in other income (expense), net in 2011 also included the impact of the absence of income in 2011 associated with the sale of one of our equity method investments and income related to the resolution of a contingency of an acquired company, which were each recorded in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Consolidated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effective income tax rate in 2012, 2011 and 2010 was 32.3%, 37.2% and 39.9%, respectively. Income tax expense reflects an effective income tax rate that differs from the federal statutory rate primarily due the state income taxes, uncertain tax positions, and in 2012 and 2011, due to the partnership structure of NBCUniversal, and foreign income taxes. Our effective income tax rate is impacted by NBCUniversal’s partnership structure in that our income tax expense includes taxes on only 51% of NBCUniversal’s pretax income. In 2012, our effective income tax rate decreased due to proportionately higher pretax income at NBCUniversal, which included NBCUniversal’s gain on the sale of its equity interest in A&amp;E Television Networks. In addition, our 2012 income tax expense decreased by $109 million and our 2011 income tax expense increased by $137 million due to certain changes in state tax laws that became effective in 2012 and 2011, respectively. Our income tax expense in the future may continue to be impacted by changes in NBCUniversal pretax income, adjustments to uncertain tax positions and related interest and changes in tax laws. We expect our 2013 annual effective tax rate to be in the range of 35% to 40%, absent changes in tax laws or significant changes in uncertain tax positions.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Consolidated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GE’s 49% common equity interest in NBCUniversal Holdings is recorded as a redeemable noncontrolling interest in our consolidated financial statements due to the redemption provisions outlined in Note 4 to our consolidated financial statements. Net (income) loss attributable to noncontrolling interests includes GE’s allocated share of the earnings of NBCUniversal Holdings and NBCUniversal. The increase in net (income) loss attributable to noncontrolling interests in 2012 was primarily due to GE’s allocated share of the increase in earnings of NBCUniversal during the current year. The increase in net (income) loss attributable to noncontrolling interests in 2011 was primarily due to the NBCUniversal transaction.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as well as the acquisition of GE’s 49% common equity interest in NBCUniversal, through our cash flows from operating activities, existing cash, cash equivalents and investments, available borrowings under our existing credit facilities, and our ability to obtain future external financing. We anticipate that we will continue to use a sub-</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stantial portion of our cash flows to meet our debt repayment obligations, to fund our capital expenditures, to invest in business opportunities, to return capital to shareholders and to fund the acquisition of GE’s 49% common equity interest in NBCUniversal.</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of December 31, 2012, we held $11 billion of cash and cash equivalents, of which $5.9 billion was attributable to NBCUniversal. We also maintain significant availability under our lines of credit and our commercial paper programs to meet our short-term liquidity requirements. In June 2012, Comcast and Comcast Cable Communications, LLC entered into a new $6.25 billion revolving credit facility due June 2017 with a syndicate of banks, which may be used for general corporate purposes. The new credit facility replaced our prior $6.8 billion credit facility that was terminated in connection with the execution of the new credit facility. The interest rate on the new credit facility consists of a base rate plus a borrowing margin that is determined based on Comcast’s credit rating. As of December 31, 2012, the borrowing margin for borrowings based on the London Interbank Offered Rate (“LIBOR”) was 1.125%. The terms of the new credit facility’s financial covenants and guarantees are substantially the same as those under the prior credit facility. As of December 31, 2012, amounts available under the new credit facility and NBCUniversal’s credit facility, net of amounts outstanding under our commercial paper programs and undrawn letters of credit, was $5.8 billion and $1.4 billion, respectively.</w:t>
      </w:r>
    </w:p>
    <w:p>
      <w:pPr>
        <w:spacing w:after="0" w:line="1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and our Cable Communications subsidiaries that have provided guarantees are subject to the covenants and restrictions set forth in the indentures governing Comcast’s public debt securities and in the credit agreements governing Comcast’s and Comcast Cable Communications’ credit facilities (see Note 22 to our consolidated financial statements). NBCUniversal is subject to the covenants and restrictions set forth in the indentures governing its public debt securities and in the credit agreement governing its credit facility. We test for compliance with the covenants for each of our credit facilities on an ongoing basis. The only financial covenant in each of our credit facilities pertains to leverage, which is the ratio of debt to operating income before depreciation and amortization. As of December 31, 2012, we and NBCUniversal each met this financial covenant by a significant margin. Neither we nor NBCUniversal expect to have to reduce debt or improve operating results in order to continue to comply with this financial covenant.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Monetization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monetizes certain of its accounts receivable under programs with a syndicate of banks. The effects of NBCUniversal’s monetization transactions are a component of net cash provided by operating activities in our consolidated statement of cash flows. See Note 17 to our consolidated financial statements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3E499A"/>
        </w:rPr>
        <w:t>Components of Net Cash Provided by Operating Activities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3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2011</w:t>
            </w: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Operating income</w:t>
            </w:r>
          </w:p>
        </w:tc>
        <w:tc>
          <w:tcPr>
            <w:tcW w:w="232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$ 12,179</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$ 10,721</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7,980</w:t>
            </w: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2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7,798</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7,636</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6,616</w:t>
            </w:r>
          </w:p>
        </w:tc>
      </w:tr>
      <w:tr>
        <w:trPr>
          <w:trHeight w:val="177"/>
        </w:trPr>
        <w:tc>
          <w:tcPr>
            <w:tcW w:w="7300" w:type="dxa"/>
            <w:vAlign w:val="bottom"/>
          </w:tcPr>
          <w:p>
            <w:pPr>
              <w:ind w:left="220"/>
              <w:spacing w:after="0" w:line="177" w:lineRule="exact"/>
              <w:rPr>
                <w:sz w:val="20"/>
                <w:szCs w:val="20"/>
                <w:color w:val="auto"/>
              </w:rPr>
            </w:pPr>
            <w:r>
              <w:rPr>
                <w:rFonts w:ascii="Arial" w:cs="Arial" w:eastAsia="Arial" w:hAnsi="Arial"/>
                <w:sz w:val="18"/>
                <w:szCs w:val="18"/>
                <w:color w:val="auto"/>
              </w:rPr>
              <w:t>Operating income before depreciation and amortization</w:t>
            </w:r>
          </w:p>
        </w:tc>
        <w:tc>
          <w:tcPr>
            <w:tcW w:w="232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19,977</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18,357</w:t>
            </w:r>
          </w:p>
        </w:tc>
        <w:tc>
          <w:tcPr>
            <w:tcW w:w="200" w:type="dxa"/>
            <w:vAlign w:val="bottom"/>
          </w:tcPr>
          <w:p>
            <w:pPr>
              <w:spacing w:after="0"/>
              <w:rPr>
                <w:sz w:val="15"/>
                <w:szCs w:val="15"/>
                <w:color w:val="auto"/>
              </w:rPr>
            </w:pP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14,596</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Noncash share-based compensation</w:t>
            </w:r>
          </w:p>
        </w:tc>
        <w:tc>
          <w:tcPr>
            <w:tcW w:w="232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371</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344</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300</w:t>
            </w: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operating assets and liabilities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177"/>
        </w:trPr>
        <w:tc>
          <w:tcPr>
            <w:tcW w:w="7300" w:type="dxa"/>
            <w:vAlign w:val="bottom"/>
          </w:tcPr>
          <w:p>
            <w:pPr>
              <w:ind w:left="220"/>
              <w:spacing w:after="0" w:line="177" w:lineRule="exact"/>
              <w:rPr>
                <w:sz w:val="20"/>
                <w:szCs w:val="20"/>
                <w:color w:val="auto"/>
              </w:rPr>
            </w:pPr>
            <w:r>
              <w:rPr>
                <w:rFonts w:ascii="Arial" w:cs="Arial" w:eastAsia="Arial" w:hAnsi="Arial"/>
                <w:sz w:val="18"/>
                <w:szCs w:val="18"/>
                <w:color w:val="auto"/>
              </w:rPr>
              <w:t>Cash basis operating income</w:t>
            </w:r>
          </w:p>
        </w:tc>
        <w:tc>
          <w:tcPr>
            <w:tcW w:w="232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19,930</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18,098</w:t>
            </w:r>
          </w:p>
        </w:tc>
        <w:tc>
          <w:tcPr>
            <w:tcW w:w="200" w:type="dxa"/>
            <w:vAlign w:val="bottom"/>
          </w:tcPr>
          <w:p>
            <w:pPr>
              <w:spacing w:after="0"/>
              <w:rPr>
                <w:sz w:val="15"/>
                <w:szCs w:val="15"/>
                <w:color w:val="auto"/>
              </w:rPr>
            </w:pP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14,876</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Payments of interest</w:t>
            </w:r>
          </w:p>
        </w:tc>
        <w:tc>
          <w:tcPr>
            <w:tcW w:w="2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(2,314)</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(2,441)</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(1,983)</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Payments of income taxes</w:t>
            </w:r>
          </w:p>
        </w:tc>
        <w:tc>
          <w:tcPr>
            <w:tcW w:w="2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(2,841)</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(1,626)</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(1,864)</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Proceeds from investments and other</w:t>
            </w:r>
          </w:p>
        </w:tc>
        <w:tc>
          <w:tcPr>
            <w:tcW w:w="232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213</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360</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154</w:t>
            </w: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benefits under share-based compensation</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730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320" w:type="dxa"/>
            <w:vAlign w:val="bottom"/>
            <w:tcBorders>
              <w:bottom w:val="single" w:sz="8" w:color="3E499A"/>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$ 14,854</w:t>
            </w:r>
          </w:p>
        </w:tc>
        <w:tc>
          <w:tcPr>
            <w:tcW w:w="92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color w:val="auto"/>
              </w:rPr>
              <w:t>$ 14,345</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11,179</w:t>
            </w:r>
          </w:p>
        </w:tc>
      </w:tr>
      <w:tr>
        <w:trPr>
          <w:trHeight w:val="506"/>
        </w:trPr>
        <w:tc>
          <w:tcPr>
            <w:tcW w:w="7300" w:type="dxa"/>
            <w:vAlign w:val="bottom"/>
          </w:tcPr>
          <w:p>
            <w:pPr>
              <w:ind w:left="5680"/>
              <w:spacing w:after="0"/>
              <w:rPr>
                <w:sz w:val="20"/>
                <w:szCs w:val="20"/>
                <w:color w:val="auto"/>
              </w:rPr>
            </w:pPr>
            <w:r>
              <w:rPr>
                <w:rFonts w:ascii="Arial" w:cs="Arial" w:eastAsia="Arial" w:hAnsi="Arial"/>
                <w:sz w:val="14"/>
                <w:szCs w:val="14"/>
                <w:b w:val="1"/>
                <w:bCs w:val="1"/>
                <w:color w:val="auto"/>
              </w:rPr>
              <w:t>63</w:t>
            </w:r>
          </w:p>
        </w:tc>
        <w:tc>
          <w:tcPr>
            <w:tcW w:w="4120" w:type="dxa"/>
            <w:vAlign w:val="bottom"/>
            <w:gridSpan w:val="4"/>
          </w:tcPr>
          <w:p>
            <w:pPr>
              <w:jc w:val="right"/>
              <w:spacing w:after="0"/>
              <w:rPr>
                <w:sz w:val="20"/>
                <w:szCs w:val="20"/>
                <w:color w:val="auto"/>
              </w:rPr>
            </w:pPr>
            <w:r>
              <w:rPr>
                <w:rFonts w:ascii="Arial" w:cs="Arial" w:eastAsia="Arial" w:hAnsi="Arial"/>
                <w:sz w:val="14"/>
                <w:szCs w:val="14"/>
                <w:color w:val="auto"/>
              </w:rPr>
              <w:t>Comcast 2012 Annual Report on Form 10-K</w:t>
            </w: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changes in operating assets and liabilities in 2012, compared to the changes in 2011, were primarily related to a decrease in film and television costs, partially offset by the settlement in 2012 of a $237 million liability associated with the unfavorable Olympic contract that had been recorded through the application of acquisition accounting in 2011, as well as the timing of other operating items, including accounts receivable and accounts payable related to trade creditors. The changes in operating assets and liabilities in 2011, compared to the changes in 2010, were primarily related to the timing of payments of operating items and payroll, and an increase in film and television costs.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decrease in interest payments in 2012 was primarily due to the repayment and redemption of certain of our debt obligations. The increase in interest payments in 2011 was primarily due to an increase in our outstanding debt as a result of the NBCUniversal transaction.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increase in income tax payments in 2012 was primarily due to increases in taxable income, which resulted in higher federal tax payments made in 2012, and the lower net benefit in 2012 of the economic stimulus legislation. The decrease in income tax payments in 2011 was primarily due to the net income tax benefit in 2011 of the 2010 economic stimulus legislation.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cash used in investing activities in 2012 consisted primarily of cash paid for capital expenditures, cash paid for intangible assets and the purchase of investments, substantially offset by proceeds from sales of businesses and investments and return of capital from investees. Net cash used in investing activities in 2011 and 2010 consisted primarily of capital expenditures and, in 2011, the acquisitions of NBCUniversal and Universal Orlando.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Capital Expenditures</w:t>
      </w:r>
    </w:p>
    <w:p>
      <w:pPr>
        <w:jc w:val="both"/>
        <w:spacing w:after="0" w:line="238" w:lineRule="auto"/>
        <w:rPr>
          <w:sz w:val="20"/>
          <w:szCs w:val="20"/>
          <w:color w:val="auto"/>
        </w:rPr>
      </w:pPr>
      <w:r>
        <w:rPr>
          <w:rFonts w:ascii="Arial" w:cs="Arial" w:eastAsia="Arial" w:hAnsi="Arial"/>
          <w:sz w:val="18"/>
          <w:szCs w:val="18"/>
          <w:color w:val="auto"/>
        </w:rPr>
        <w:t>Our most significant recurring investing activity has been capital expenditures in our Cable Communications segment, and we expect that this will continue in the future. The table below summarizes the capital expenditures we incurred in our Cable Communications segment in 2012, 2011 and 2010.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r>
      <w:tr>
        <w:trPr>
          <w:trHeight w:val="177"/>
        </w:trPr>
        <w:tc>
          <w:tcPr>
            <w:tcW w:w="6040" w:type="dxa"/>
            <w:vAlign w:val="bottom"/>
          </w:tcPr>
          <w:p>
            <w:pPr>
              <w:spacing w:after="0" w:line="177" w:lineRule="exact"/>
              <w:rPr>
                <w:sz w:val="20"/>
                <w:szCs w:val="20"/>
                <w:color w:val="auto"/>
              </w:rPr>
            </w:pPr>
            <w:r>
              <w:rPr>
                <w:rFonts w:ascii="Arial" w:cs="Arial" w:eastAsia="Arial" w:hAnsi="Arial"/>
                <w:sz w:val="18"/>
                <w:szCs w:val="18"/>
                <w:color w:val="auto"/>
              </w:rPr>
              <w:t>Cable distribution system</w:t>
            </w:r>
          </w:p>
        </w:tc>
        <w:tc>
          <w:tcPr>
            <w:tcW w:w="38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$ 1,720</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$ 1,715</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$ 1,553</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Customer premises equipment</w:t>
            </w:r>
          </w:p>
        </w:tc>
        <w:tc>
          <w:tcPr>
            <w:tcW w:w="3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2,678</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2,594</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2,864</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Other equipment</w:t>
            </w:r>
          </w:p>
        </w:tc>
        <w:tc>
          <w:tcPr>
            <w:tcW w:w="3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Buildings and building improvements</w:t>
            </w:r>
          </w:p>
        </w:tc>
        <w:tc>
          <w:tcPr>
            <w:tcW w:w="3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21"/>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04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38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$ 4,921</w:t>
            </w:r>
          </w:p>
        </w:tc>
        <w:tc>
          <w:tcPr>
            <w:tcW w:w="7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$ 4,806</w:t>
            </w:r>
          </w:p>
        </w:tc>
        <w:tc>
          <w:tcPr>
            <w:tcW w:w="7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$ 4,853</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Cable Communications capital expenditures increased in 2012 primarily due to an increase in equipment purchases and increased investment in business services and network capacity. Cable Communications capital expenditures decreased slightly in 2011 primarily due to fewer equipment purchases and improved equipment pricing, partially offset by increased investment in business services and network capacity.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in our NBCUniversal segments increased 75.7% to $763 million in 2012 primarily due to increased investment at our</w:t>
      </w:r>
    </w:p>
    <w:p>
      <w:pPr>
        <w:spacing w:after="0" w:line="234" w:lineRule="auto"/>
        <w:rPr>
          <w:sz w:val="20"/>
          <w:szCs w:val="20"/>
          <w:color w:val="auto"/>
        </w:rPr>
      </w:pPr>
      <w:r>
        <w:rPr>
          <w:rFonts w:ascii="Arial" w:cs="Arial" w:eastAsia="Arial" w:hAnsi="Arial"/>
          <w:sz w:val="18"/>
          <w:szCs w:val="18"/>
          <w:color w:val="auto"/>
        </w:rPr>
        <w:t>Universal theme parks and increased investment in technical infrastructure to support our cable networks and broadcast television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in our NBCUniversal segments were not significant in 2011.</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Capital expenditures for 2013 and for subsequent years will depend on numerous factors, including acquisitions, competition, changes in technology, regulatory changes, and the timing and rate of deployment of new services and capacity for existing services. In addition, we have invested and expect to continue to invest in existing and new attractions at our Universal theme parks.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3E499A"/>
        </w:rPr>
        <w:t>Cash Paid for Intangible Assets</w:t>
      </w:r>
    </w:p>
    <w:p>
      <w:pPr>
        <w:jc w:val="both"/>
        <w:ind w:right="20"/>
        <w:spacing w:after="0" w:line="238" w:lineRule="auto"/>
        <w:rPr>
          <w:sz w:val="20"/>
          <w:szCs w:val="20"/>
          <w:color w:val="auto"/>
        </w:rPr>
      </w:pPr>
      <w:r>
        <w:rPr>
          <w:rFonts w:ascii="Arial" w:cs="Arial" w:eastAsia="Arial" w:hAnsi="Arial"/>
          <w:sz w:val="18"/>
          <w:szCs w:val="18"/>
          <w:color w:val="auto"/>
        </w:rPr>
        <w:t>In 2012, cash paid for intangible assets consisted primarily of software. In 2011, cash paid for intangible assets consisted primarily of software, as well as payments associated with the acquisition of intellectual property rights for use in our theme parks. Cash paid for intangible assets was not significant in 2010.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Acquisitions</w:t>
      </w:r>
    </w:p>
    <w:p>
      <w:pPr>
        <w:jc w:val="both"/>
        <w:spacing w:after="0" w:line="238" w:lineRule="auto"/>
        <w:rPr>
          <w:sz w:val="20"/>
          <w:szCs w:val="20"/>
          <w:color w:val="auto"/>
        </w:rPr>
      </w:pPr>
      <w:r>
        <w:rPr>
          <w:rFonts w:ascii="Arial" w:cs="Arial" w:eastAsia="Arial" w:hAnsi="Arial"/>
          <w:sz w:val="18"/>
          <w:szCs w:val="18"/>
          <w:color w:val="auto"/>
        </w:rPr>
        <w:t>Our 2012 acquisitions were not significant. In 2011, we closed the NBCUniversal transaction and NBCUniversal acquired the remaining 50% equity interest in Universal Orlando that it did not already own. Our 2010 acquisitions were not significant. See Note 4 to our consolidated financial statements for additional information on our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Proceeds from Sales of Businesses and Investments</w:t>
      </w:r>
    </w:p>
    <w:p>
      <w:pPr>
        <w:jc w:val="both"/>
        <w:spacing w:after="0" w:line="236" w:lineRule="auto"/>
        <w:rPr>
          <w:sz w:val="20"/>
          <w:szCs w:val="20"/>
          <w:color w:val="auto"/>
        </w:rPr>
      </w:pPr>
      <w:r>
        <w:rPr>
          <w:rFonts w:ascii="Arial" w:cs="Arial" w:eastAsia="Arial" w:hAnsi="Arial"/>
          <w:sz w:val="18"/>
          <w:szCs w:val="18"/>
          <w:color w:val="auto"/>
        </w:rPr>
        <w:t>In 2012, proceeds from sales of businesses and investments consisted primarily of the A&amp;E Television Networks transaction. Following the close of the A&amp;E Television Networks transaction, NBCUniversal no longer receives dividends from A&amp;E Television Networks. In 2012 and 2011, NBCUniversal received $129 million and $196 million, respectively, in dividends from A&amp;E Television Networks, which were included in net cash provided by operating activities. In 2011, proceeds from sales of businesses and investments consisted primarily of the sale of the Philadelphia 76ers, NBCUniversal’s sale of a Spanish-language local television station and the sale of other investments. Proceeds from sales of businesses and investments were not significant in 2010.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3E499A"/>
        </w:rPr>
        <w:t>Return of Capital from Investees</w:t>
      </w:r>
    </w:p>
    <w:p>
      <w:pPr>
        <w:jc w:val="both"/>
        <w:spacing w:after="0" w:line="239" w:lineRule="auto"/>
        <w:rPr>
          <w:sz w:val="20"/>
          <w:szCs w:val="20"/>
          <w:color w:val="auto"/>
        </w:rPr>
      </w:pPr>
      <w:r>
        <w:rPr>
          <w:rFonts w:ascii="Arial" w:cs="Arial" w:eastAsia="Arial" w:hAnsi="Arial"/>
          <w:sz w:val="18"/>
          <w:szCs w:val="18"/>
          <w:color w:val="auto"/>
        </w:rPr>
        <w:t>In 2012, return of capital from investees consisted primarily of distributions received from the SpectrumCo transaction. Our return of capital from investees in 2011 and 2010 was not significant.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 cash used in financing activities consisted primarily of repurchases of our common stock, repayments of debt, dividend payments, repayments of our short-term borrowings and NBCUniversal’s distributions to GE, offset by proceeds from borrowings and issuances of common stock. Distributions in 2012 to GE, as NBCUniversal’s noncontrolling member, represented tax distributions and included $211 million related to the A&amp;E Television Networks transaction. Proceeds from borrowings fluctuate from year to year based on the amounts paid to fund acquisitions and debt repayments.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2012, we issued $4.5 billion aggregate principal amount of debt, of which $2.0 billion was issued by NBCUniversal. During 2012, we repaid $781 million aggregate principal amount of our debt outstanding at maturity and we redeemed $2.1 billion aggregate principal amount of our debt outstanding prior to maturity.</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January 2013, we issued $750 million aggregate principal amount of 2.850% senior notes due 2023, $1.7 billion aggregate principal amount of 4.250% senior notes due 2033 and $500 million aggregate principal amount of 4.500% senior notes due 2043.</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See Note 9 to our consolidated financial statements for further discussion of our financing activities, including details of our debt repayments and borrowings.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65</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3E499A"/>
        </w:rPr>
        <w:t>Share Repurchases and Dividends</w:t>
      </w:r>
    </w:p>
    <w:p>
      <w:pPr>
        <w:jc w:val="both"/>
        <w:spacing w:after="0" w:line="238" w:lineRule="auto"/>
        <w:rPr>
          <w:sz w:val="20"/>
          <w:szCs w:val="20"/>
          <w:color w:val="auto"/>
        </w:rPr>
      </w:pPr>
      <w:r>
        <w:rPr>
          <w:rFonts w:ascii="Arial" w:cs="Arial" w:eastAsia="Arial" w:hAnsi="Arial"/>
          <w:sz w:val="18"/>
          <w:szCs w:val="18"/>
          <w:color w:val="auto"/>
        </w:rPr>
        <w:t>In February 2012, our Board of Directors approved a $6.5 billion share repurchase authorization, which does not have an expiration date. Under this authorization, we may repurchase shares in the open market or in private transactions. In 2012, we repurchased 96 million shares of our Class A Special common stock for $3.0 billion. We expect to repurchase $2 billion of shares during 2013, subject to market conditions.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of Directors declared quarterly dividends totaling $1.7 billion in 2012. We paid dividends of $1.6 billion in 2012. In February 2013, our Board of Directors approved a 20% increase in our dividend to $0.78 per share on an annualized basis and approved our first quarter dividend of $0.195 per share to be paid in April 2013. We expect to continue to pay quarterly dividends, although each dividend is subject to approval by our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on our share repurchases and dividends paid in 2012,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5145405" cy="1783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future contractual obligations as of December 31, 2012 by period in which the payments are due.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515"/>
              <w:spacing w:after="0"/>
              <w:rPr>
                <w:sz w:val="20"/>
                <w:szCs w:val="20"/>
                <w:color w:val="auto"/>
              </w:rPr>
            </w:pPr>
            <w:r>
              <w:rPr>
                <w:rFonts w:ascii="Arial" w:cs="Arial" w:eastAsia="Arial" w:hAnsi="Arial"/>
                <w:sz w:val="14"/>
                <w:szCs w:val="14"/>
                <w:color w:val="auto"/>
              </w:rPr>
              <w:t>Payment Due by Period</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Year 1</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Years 2-3</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92"/>
              </w:rPr>
              <w:t>Years 4-5</w:t>
            </w:r>
          </w:p>
        </w:tc>
        <w:tc>
          <w:tcPr>
            <w:tcW w:w="94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More than 5</w:t>
            </w:r>
          </w:p>
        </w:tc>
        <w:tc>
          <w:tcPr>
            <w:tcW w:w="0" w:type="dxa"/>
            <w:vAlign w:val="bottom"/>
          </w:tcPr>
          <w:p>
            <w:pPr>
              <w:spacing w:after="0"/>
              <w:rPr>
                <w:sz w:val="1"/>
                <w:szCs w:val="1"/>
                <w:color w:val="auto"/>
              </w:rPr>
            </w:pPr>
          </w:p>
        </w:tc>
      </w:tr>
      <w:tr>
        <w:trPr>
          <w:trHeight w:val="199"/>
        </w:trPr>
        <w:tc>
          <w:tcPr>
            <w:tcW w:w="692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900" w:type="dxa"/>
            <w:vAlign w:val="bottom"/>
          </w:tcPr>
          <w:p>
            <w:pPr>
              <w:jc w:val="right"/>
              <w:ind w:right="15"/>
              <w:spacing w:after="0" w:line="200" w:lineRule="exact"/>
              <w:rPr>
                <w:sz w:val="20"/>
                <w:szCs w:val="20"/>
                <w:color w:val="auto"/>
              </w:rPr>
            </w:pPr>
            <w:r>
              <w:rPr>
                <w:rFonts w:ascii="Arial" w:cs="Arial" w:eastAsia="Arial" w:hAnsi="Arial"/>
                <w:sz w:val="18"/>
                <w:szCs w:val="18"/>
                <w:color w:val="auto"/>
              </w:rPr>
              <w:t>$ 40,345</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2,363</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5,375</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5,352</w:t>
            </w:r>
          </w:p>
        </w:tc>
        <w:tc>
          <w:tcPr>
            <w:tcW w:w="24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27,255</w:t>
            </w: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113</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3,217</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819</w:t>
            </w:r>
          </w:p>
        </w:tc>
        <w:tc>
          <w:tcPr>
            <w:tcW w:w="20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683</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3"/>
        </w:trPr>
        <w:tc>
          <w:tcPr>
            <w:tcW w:w="692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39,020</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7,410</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8,242</w:t>
            </w:r>
          </w:p>
        </w:tc>
        <w:tc>
          <w:tcPr>
            <w:tcW w:w="20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6,738</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16,630</w:t>
            </w:r>
          </w:p>
        </w:tc>
        <w:tc>
          <w:tcPr>
            <w:tcW w:w="0" w:type="dxa"/>
            <w:vAlign w:val="bottom"/>
          </w:tcPr>
          <w:p>
            <w:pPr>
              <w:spacing w:after="0"/>
              <w:rPr>
                <w:sz w:val="1"/>
                <w:szCs w:val="1"/>
                <w:color w:val="auto"/>
              </w:rPr>
            </w:pPr>
          </w:p>
        </w:tc>
      </w:tr>
      <w:tr>
        <w:trPr>
          <w:trHeight w:val="199"/>
        </w:trPr>
        <w:tc>
          <w:tcPr>
            <w:tcW w:w="6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long-term liabilities reflected on the balance sheet</w:t>
            </w:r>
            <w:r>
              <w:rPr>
                <w:rFonts w:ascii="Arial" w:cs="Arial" w:eastAsia="Arial" w:hAnsi="Arial"/>
                <w:sz w:val="22"/>
                <w:szCs w:val="22"/>
                <w:color w:val="auto"/>
                <w:vertAlign w:val="superscript"/>
              </w:rPr>
              <w:t>(c)</w:t>
            </w:r>
          </w:p>
        </w:tc>
        <w:tc>
          <w:tcPr>
            <w:tcW w:w="9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10,545</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1,882</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3,670</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822</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3E499A"/>
            </w:tcBorders>
          </w:tcPr>
          <w:p>
            <w:pPr>
              <w:spacing w:after="0" w:line="197" w:lineRule="exact"/>
              <w:rPr>
                <w:sz w:val="20"/>
                <w:szCs w:val="20"/>
                <w:color w:val="auto"/>
              </w:rPr>
            </w:pPr>
            <w:r>
              <w:rPr>
                <w:rFonts w:ascii="Arial" w:cs="Arial" w:eastAsia="Arial" w:hAnsi="Arial"/>
                <w:sz w:val="18"/>
                <w:szCs w:val="18"/>
                <w:color w:val="auto"/>
              </w:rPr>
              <w:t>Total</w:t>
            </w:r>
            <w:r>
              <w:rPr>
                <w:rFonts w:ascii="Arial" w:cs="Arial" w:eastAsia="Arial" w:hAnsi="Arial"/>
                <w:sz w:val="22"/>
                <w:szCs w:val="22"/>
                <w:color w:val="auto"/>
                <w:vertAlign w:val="superscript"/>
              </w:rPr>
              <w:t>(d)</w:t>
            </w:r>
          </w:p>
        </w:tc>
        <w:tc>
          <w:tcPr>
            <w:tcW w:w="900" w:type="dxa"/>
            <w:vAlign w:val="bottom"/>
            <w:tcBorders>
              <w:bottom w:val="single" w:sz="8" w:color="3E499A"/>
            </w:tcBorders>
          </w:tcPr>
          <w:p>
            <w:pPr>
              <w:jc w:val="right"/>
              <w:ind w:right="15"/>
              <w:spacing w:after="0" w:line="196" w:lineRule="exact"/>
              <w:rPr>
                <w:sz w:val="20"/>
                <w:szCs w:val="20"/>
                <w:color w:val="auto"/>
              </w:rPr>
            </w:pPr>
            <w:r>
              <w:rPr>
                <w:rFonts w:ascii="Arial" w:cs="Arial" w:eastAsia="Arial" w:hAnsi="Arial"/>
                <w:sz w:val="18"/>
                <w:szCs w:val="18"/>
                <w:color w:val="auto"/>
              </w:rPr>
              <w:t>$ 93,240</w:t>
            </w:r>
          </w:p>
        </w:tc>
        <w:tc>
          <w:tcPr>
            <w:tcW w:w="2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12,165</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18,127</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3E499A"/>
            </w:tcBorders>
          </w:tcPr>
          <w:p>
            <w:pPr>
              <w:jc w:val="right"/>
              <w:ind w:right="35"/>
              <w:spacing w:after="0" w:line="196" w:lineRule="exact"/>
              <w:rPr>
                <w:sz w:val="20"/>
                <w:szCs w:val="20"/>
                <w:color w:val="auto"/>
              </w:rPr>
            </w:pPr>
            <w:r>
              <w:rPr>
                <w:rFonts w:ascii="Arial" w:cs="Arial" w:eastAsia="Arial" w:hAnsi="Arial"/>
                <w:sz w:val="18"/>
                <w:szCs w:val="18"/>
                <w:color w:val="auto"/>
              </w:rPr>
              <w:t>13,611</w:t>
            </w:r>
          </w:p>
        </w:tc>
        <w:tc>
          <w:tcPr>
            <w:tcW w:w="240" w:type="dxa"/>
            <w:vAlign w:val="bottom"/>
            <w:tcBorders>
              <w:bottom w:val="single" w:sz="8" w:color="3E499A"/>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3E499A"/>
            </w:tcBorders>
          </w:tcPr>
          <w:p>
            <w:pPr>
              <w:jc w:val="right"/>
              <w:ind w:right="12"/>
              <w:spacing w:after="0" w:line="196" w:lineRule="exact"/>
              <w:rPr>
                <w:sz w:val="20"/>
                <w:szCs w:val="20"/>
                <w:color w:val="auto"/>
              </w:rPr>
            </w:pPr>
            <w:r>
              <w:rPr>
                <w:rFonts w:ascii="Arial" w:cs="Arial" w:eastAsia="Arial" w:hAnsi="Arial"/>
                <w:sz w:val="18"/>
                <w:szCs w:val="18"/>
                <w:color w:val="auto"/>
              </w:rPr>
              <w:t>49,337</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9 (long-term debt) and Note 18 (commitments and contingencies) to our consolidated financial statements.</w:t>
      </w:r>
    </w:p>
    <w:p>
      <w:pPr>
        <w:spacing w:after="0" w:line="55"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55" w:lineRule="exact"/>
        <w:rPr>
          <w:rFonts w:ascii="Arial" w:cs="Arial" w:eastAsia="Arial" w:hAnsi="Arial"/>
          <w:sz w:val="14"/>
          <w:szCs w:val="14"/>
          <w:color w:val="auto"/>
        </w:rPr>
      </w:pPr>
    </w:p>
    <w:p>
      <w:pPr>
        <w:jc w:val="both"/>
        <w:ind w:left="300" w:hanging="292"/>
        <w:spacing w:after="0" w:line="266" w:lineRule="auto"/>
        <w:tabs>
          <w:tab w:leader="none" w:pos="3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Purchase obligations consist of agreements to purchase goods and services that are legally binding on us and specify all significant terms, including fixed or minimum quantities to be purchased and price provisions. Our purchase obligations related to our Cable Communications segment include programming contracts with cable networks and local broadcast television stations, contracts with customer premises equipment manufacturers, communication vendors and multichannel video providers for which we provide advertising sales representation, and other contracts entered into in the normal course of business. Cable Communications programming contracts in the table above include amounts payable under fixed or minimum guaranteed commitments and do not represent the total fees that are expected to be paid under programming contracts, which we expect to be higher because these contracts are generally based on the number of subscribers receiving the programming. Our purchase obligations related to our NBCUniversal segments consist primarily</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spacing w:after="0" w:line="229" w:lineRule="auto"/>
        <w:rPr>
          <w:sz w:val="20"/>
          <w:szCs w:val="20"/>
          <w:color w:val="auto"/>
        </w:rPr>
      </w:pPr>
      <w:r>
        <w:rPr>
          <w:rFonts w:ascii="Arial" w:cs="Arial" w:eastAsia="Arial" w:hAnsi="Arial"/>
          <w:sz w:val="14"/>
          <w:szCs w:val="14"/>
          <w:color w:val="auto"/>
        </w:rPr>
        <w:t xml:space="preserve">of the commitments to acquire film and television programming, including U.S. television rights to future Olympic Games through 2020, </w:t>
      </w:r>
      <w:r>
        <w:rPr>
          <w:rFonts w:ascii="Arial" w:cs="Arial" w:eastAsia="Arial" w:hAnsi="Arial"/>
          <w:sz w:val="14"/>
          <w:szCs w:val="14"/>
          <w:i w:val="1"/>
          <w:iCs w:val="1"/>
          <w:color w:val="auto"/>
        </w:rPr>
        <w:t>Sunday Night Football</w:t>
      </w:r>
      <w:r>
        <w:rPr>
          <w:rFonts w:ascii="Arial" w:cs="Arial" w:eastAsia="Arial" w:hAnsi="Arial"/>
          <w:sz w:val="14"/>
          <w:szCs w:val="14"/>
          <w:color w:val="auto"/>
        </w:rPr>
        <w:t xml:space="preserve"> on NBC through the 2022-23 season, including the Super Bowl in 2015, 2018 and 2021, NHL games through the 2020-21 season, Spanish-language U.S. television rights to FIFA World Cup games through 2022, U.S television rights to English Premier League soccer games through the 2015-16 season and certain PGA TOUR golf events through 2021, as well as obligations under various creative talent and employment agreements, including obligations to actors, producers, television personalities and executives, and various other television commitments. Purchase obligations do not include contracts with immaterial future commitments.</w:t>
      </w:r>
    </w:p>
    <w:p>
      <w:pPr>
        <w:spacing w:after="0" w:line="56" w:lineRule="exact"/>
        <w:rPr>
          <w:sz w:val="20"/>
          <w:szCs w:val="20"/>
          <w:color w:val="auto"/>
        </w:rPr>
      </w:pPr>
    </w:p>
    <w:p>
      <w:pPr>
        <w:jc w:val="both"/>
        <w:ind w:left="280" w:hanging="272"/>
        <w:spacing w:after="0" w:line="224" w:lineRule="auto"/>
        <w:tabs>
          <w:tab w:leader="none" w:pos="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long-term obligations consist primarily of prepaid forward sale agreements of equity securities we hold; subsidiary preferred shares; deferred compensation obligations; pension, postretirement and postemployment benefit obligations; the contingent consideration obligation related to the NBCUniversal transaction; and certain contractual obligations acquired in connection with the NBCUniversal and Universal Orlando transactions. These contractual obligations involve financial interests held by third parties in certain NBCUniversal businesses and are based on a percentage of future revenue of the specified businesses. One of these contractual obligations provides the third party with the option, beginning in 2017, to require NBCUniversal to purchase the interest for cash in an amount equal to the fair value of the estimated future payments. Reserves for uncertain tax positions of $1.6 billion are not included in the table above because it is uncertain if and when these reserves will become payable. Payments of $1.8 billion of participations and residuals are also not included in the table above because we cannot make a reliable estimate of the period in which these obligations will be settled.</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contractual obligations are made up of the following components.</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41"/>
        </w:trPr>
        <w:tc>
          <w:tcPr>
            <w:tcW w:w="68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Liabilities recorded on the balance sheet</w:t>
            </w:r>
          </w:p>
        </w:tc>
        <w:tc>
          <w:tcPr>
            <w:tcW w:w="4560" w:type="dxa"/>
            <w:vAlign w:val="bottom"/>
            <w:tcBorders>
              <w:top w:val="single" w:sz="8" w:color="auto"/>
            </w:tcBorders>
          </w:tcPr>
          <w:p>
            <w:pPr>
              <w:jc w:val="right"/>
              <w:ind w:right="12"/>
              <w:spacing w:after="0" w:line="141" w:lineRule="exact"/>
              <w:rPr>
                <w:sz w:val="20"/>
                <w:szCs w:val="20"/>
                <w:color w:val="auto"/>
              </w:rPr>
            </w:pPr>
            <w:r>
              <w:rPr>
                <w:rFonts w:ascii="Arial" w:cs="Arial" w:eastAsia="Arial" w:hAnsi="Arial"/>
                <w:sz w:val="14"/>
                <w:szCs w:val="14"/>
                <w:color w:val="auto"/>
              </w:rPr>
              <w:t>$ 52,032</w:t>
            </w:r>
          </w:p>
        </w:tc>
      </w:tr>
      <w:tr>
        <w:trPr>
          <w:trHeight w:val="149"/>
        </w:trPr>
        <w:tc>
          <w:tcPr>
            <w:tcW w:w="68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Commitments not recorded on the balance sheet</w:t>
            </w:r>
          </w:p>
        </w:tc>
        <w:tc>
          <w:tcPr>
            <w:tcW w:w="4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41,208</w:t>
            </w:r>
          </w:p>
        </w:tc>
      </w:tr>
      <w:tr>
        <w:trPr>
          <w:trHeight w:val="142"/>
        </w:trPr>
        <w:tc>
          <w:tcPr>
            <w:tcW w:w="6860" w:type="dxa"/>
            <w:vAlign w:val="bottom"/>
            <w:tcBorders>
              <w:bottom w:val="single" w:sz="8" w:color="3E499A"/>
            </w:tcBorders>
          </w:tcPr>
          <w:p>
            <w:pPr>
              <w:spacing w:after="0" w:line="142" w:lineRule="exact"/>
              <w:rPr>
                <w:sz w:val="20"/>
                <w:szCs w:val="20"/>
                <w:color w:val="auto"/>
              </w:rPr>
            </w:pPr>
            <w:r>
              <w:rPr>
                <w:rFonts w:ascii="Arial" w:cs="Arial" w:eastAsia="Arial" w:hAnsi="Arial"/>
                <w:sz w:val="14"/>
                <w:szCs w:val="14"/>
                <w:b w:val="1"/>
                <w:bCs w:val="1"/>
                <w:color w:val="auto"/>
              </w:rPr>
              <w:t>Total</w:t>
            </w:r>
          </w:p>
        </w:tc>
        <w:tc>
          <w:tcPr>
            <w:tcW w:w="4560" w:type="dxa"/>
            <w:vAlign w:val="bottom"/>
            <w:tcBorders>
              <w:bottom w:val="single" w:sz="8" w:color="3E499A"/>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$ 93,240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 Redemption Rights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operating agreement of NBCUniversal Holdings, during the six month period beginning July 28, 2014, GE has the right to cause NBCUniversal Holdings to redeem, in cash, half of GE’s interest in NBCUniversal Holdings, and during the six month period beginning January 28, 2018, GE has the right to cause NBCUniversal Holdings to redeem GE’s remaining interest, if any. If GE exercises its first redemption right, we have the immediate right to purchase the remainder of GE’s interest. Subject to various limitations, we are committed to fund up to $2.875 billion in cash or our common stock for each of the two redemptions (up to an aggregate of $5.75 billion) to the extent NBCUniversal Holdings cannot fund the redemptions, with amounts not used in the first redemption to be available for the second redemption. None of these amounts are included in the table above. See Note 4 to our consolidated financial statements for additional information.</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12, 2013, we entered into an agreement to acquire GE’s 49% common equity interest in NBCUniversal Holdings. See Note 21 to our consolidated financial statements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2012, we did not have any material off-balance sheet arrangements that are reasonably likely to have a current or future effect on our financial condition, results of operations, liquidity, capital expenditures or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the accounting for film and television costs, and the accounting for income taxes are</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67</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critical in the preparation of our consolidated financial statements. Management has discussed the development and selection of these critical accounting judgments and estimates with the Audit Committee of our Board of Directors, and the Audit Committee has reviewed our disclosures relating to them, which are presented below. See Notes 8, 5 and 15 to our consolidated financial statements, respectively, for a discussion of our accounting policies with respect to these items.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Cable Franchise Rights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largest asset, our cable franchise rights, results from agreements we have with state and local governments that allow us to construct and operate a cable business within a specified geographic area. The value of a franchise is derived from the economic benefits we receive from the right to solicit new customers and to market new services, such as advanced video services and high-speed Internet and voice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 carrying value of our cable franchise rights annually, or more frequently whenever events or changes in circumstances indicate that the carrying amount may exceed the fair value (“impairment testing”). When performing a quantitative assessment, we estimate the fair value of our cable franchise rights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were to determine that the value of our cable franchise rights was less than the carrying amount, we would recognize an impairment charge for the difference between the estimated fair value and the carrying value of the assets. For purposes of our impairment testing, we have grouped the recorded values of our various cable franchise rights into our Cable Communications divisions or units of account. We evaluate the unit of account periodically to ensure our impairment testing is performed at an appropriate level.</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Since the adoption of the accounting guidance related to goodwill and intangible assets in 2002, we have not recorded any significant impairment charges to cable franchise rights as a result of our impairment testing. A future change in the unit of account could result in the recognition of an impairment charge.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could also record impairment charges in the future if there are changes in long-term market conditions, in expected future operating results, or in federal or state regulations that prevent us from recovering the carrying value of these cable franchise rights. Assumptions made about increased competition and economic conditions could also impact the valuations used in future annual impairment testing and result in a reduction of fair values from those determined in the July 1, 2012 annual impairment testing. The table below illustrates the impairment related to our Cable Communications divisions that would have occurred had the hypothetical reductions in fair value existed at the time of our last annual impairment testing.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3E499A"/>
        </w:rPr>
        <w:t>Percent Hypothetical Reduction in Fair Value and Related Impairment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10%</w:t>
            </w:r>
          </w:p>
        </w:tc>
        <w:tc>
          <w:tcPr>
            <w:tcW w:w="5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color w:val="auto"/>
              </w:rPr>
              <w:t>15%</w:t>
            </w:r>
          </w:p>
        </w:tc>
        <w:tc>
          <w:tcPr>
            <w:tcW w:w="7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color w:val="auto"/>
              </w:rPr>
              <w:t>20%</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25%</w:t>
            </w:r>
          </w:p>
        </w:tc>
      </w:tr>
      <w:tr>
        <w:trPr>
          <w:trHeight w:val="199"/>
        </w:trPr>
        <w:tc>
          <w:tcPr>
            <w:tcW w:w="4180" w:type="dxa"/>
            <w:vAlign w:val="bottom"/>
          </w:tcPr>
          <w:p>
            <w:pPr>
              <w:spacing w:after="0" w:line="200" w:lineRule="exact"/>
              <w:rPr>
                <w:sz w:val="20"/>
                <w:szCs w:val="20"/>
                <w:color w:val="auto"/>
              </w:rPr>
            </w:pPr>
            <w:r>
              <w:rPr>
                <w:rFonts w:ascii="Arial" w:cs="Arial" w:eastAsia="Arial" w:hAnsi="Arial"/>
                <w:sz w:val="18"/>
                <w:szCs w:val="18"/>
                <w:color w:val="auto"/>
              </w:rPr>
              <w:t>Northeast Division</w:t>
            </w:r>
          </w:p>
        </w:tc>
        <w:tc>
          <w:tcPr>
            <w:tcW w:w="5080" w:type="dxa"/>
            <w:vAlign w:val="bottom"/>
          </w:tcPr>
          <w:p>
            <w:pPr>
              <w:jc w:val="right"/>
              <w:ind w:right="19"/>
              <w:spacing w:after="0" w:line="200" w:lineRule="exact"/>
              <w:rPr>
                <w:sz w:val="20"/>
                <w:szCs w:val="20"/>
                <w:color w:val="auto"/>
              </w:rPr>
            </w:pPr>
            <w:r>
              <w:rPr>
                <w:rFonts w:ascii="Arial" w:cs="Arial" w:eastAsia="Arial" w:hAnsi="Arial"/>
                <w:sz w:val="18"/>
                <w:szCs w:val="18"/>
                <w:color w:val="auto"/>
              </w:rPr>
              <w:t>$ —</w:t>
            </w:r>
          </w:p>
        </w:tc>
        <w:tc>
          <w:tcPr>
            <w:tcW w:w="560" w:type="dxa"/>
            <w:vAlign w:val="bottom"/>
          </w:tcPr>
          <w:p>
            <w:pPr>
              <w:jc w:val="right"/>
              <w:ind w:right="36"/>
              <w:spacing w:after="0" w:line="200" w:lineRule="exact"/>
              <w:rPr>
                <w:sz w:val="20"/>
                <w:szCs w:val="20"/>
                <w:color w:val="auto"/>
              </w:rPr>
            </w:pPr>
            <w:r>
              <w:rPr>
                <w:rFonts w:ascii="Arial" w:cs="Arial" w:eastAsia="Arial" w:hAnsi="Arial"/>
                <w:sz w:val="18"/>
                <w:szCs w:val="18"/>
                <w:color w:val="auto"/>
              </w:rPr>
              <w:t>$ —</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 (402)</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 (1,842)</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Central Division</w:t>
            </w:r>
          </w:p>
        </w:tc>
        <w:tc>
          <w:tcPr>
            <w:tcW w:w="50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199"/>
        </w:trPr>
        <w:tc>
          <w:tcPr>
            <w:tcW w:w="4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West Division</w:t>
            </w:r>
          </w:p>
        </w:tc>
        <w:tc>
          <w:tcPr>
            <w:tcW w:w="508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6"/>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w:t>
            </w:r>
          </w:p>
        </w:tc>
      </w:tr>
      <w:tr>
        <w:trPr>
          <w:trHeight w:val="196"/>
        </w:trPr>
        <w:tc>
          <w:tcPr>
            <w:tcW w:w="41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5080" w:type="dxa"/>
            <w:vAlign w:val="bottom"/>
            <w:tcBorders>
              <w:bottom w:val="single" w:sz="8" w:color="3E499A"/>
            </w:tcBorders>
          </w:tcPr>
          <w:p>
            <w:pPr>
              <w:jc w:val="right"/>
              <w:ind w:right="19"/>
              <w:spacing w:after="0" w:line="196" w:lineRule="exact"/>
              <w:rPr>
                <w:sz w:val="20"/>
                <w:szCs w:val="20"/>
                <w:color w:val="auto"/>
              </w:rPr>
            </w:pPr>
            <w:r>
              <w:rPr>
                <w:rFonts w:ascii="Arial" w:cs="Arial" w:eastAsia="Arial" w:hAnsi="Arial"/>
                <w:sz w:val="18"/>
                <w:szCs w:val="18"/>
                <w:color w:val="auto"/>
              </w:rPr>
              <w:t>$ —</w:t>
            </w:r>
          </w:p>
        </w:tc>
        <w:tc>
          <w:tcPr>
            <w:tcW w:w="560" w:type="dxa"/>
            <w:vAlign w:val="bottom"/>
            <w:tcBorders>
              <w:bottom w:val="single" w:sz="8" w:color="3E499A"/>
            </w:tcBorders>
          </w:tcPr>
          <w:p>
            <w:pPr>
              <w:jc w:val="right"/>
              <w:ind w:right="36"/>
              <w:spacing w:after="0" w:line="196" w:lineRule="exact"/>
              <w:rPr>
                <w:sz w:val="20"/>
                <w:szCs w:val="20"/>
                <w:color w:val="auto"/>
              </w:rPr>
            </w:pPr>
            <w:r>
              <w:rPr>
                <w:rFonts w:ascii="Arial" w:cs="Arial" w:eastAsia="Arial" w:hAnsi="Arial"/>
                <w:sz w:val="18"/>
                <w:szCs w:val="18"/>
                <w:color w:val="auto"/>
              </w:rPr>
              <w:t>$ —</w:t>
            </w:r>
          </w:p>
        </w:tc>
        <w:tc>
          <w:tcPr>
            <w:tcW w:w="7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(402)</w:t>
            </w:r>
          </w:p>
        </w:tc>
        <w:tc>
          <w:tcPr>
            <w:tcW w:w="8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(1,842)</w:t>
            </w:r>
          </w:p>
        </w:tc>
      </w:tr>
      <w:tr>
        <w:trPr>
          <w:trHeight w:val="506"/>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5080" w:type="dxa"/>
            <w:vAlign w:val="bottom"/>
          </w:tcPr>
          <w:p>
            <w:pPr>
              <w:jc w:val="right"/>
              <w:ind w:right="3339"/>
              <w:spacing w:after="0"/>
              <w:rPr>
                <w:sz w:val="20"/>
                <w:szCs w:val="20"/>
                <w:color w:val="auto"/>
              </w:rPr>
            </w:pPr>
            <w:r>
              <w:rPr>
                <w:rFonts w:ascii="Arial" w:cs="Arial" w:eastAsia="Arial" w:hAnsi="Arial"/>
                <w:sz w:val="14"/>
                <w:szCs w:val="14"/>
                <w:b w:val="1"/>
                <w:bCs w:val="1"/>
                <w:color w:val="auto"/>
              </w:rPr>
              <w:t>68</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 We generally record the amortization and the accrued costs using the film forecast computation method, which amortizes such costs using the ratio of the current period’s actual revenue to estimated total remaining gross revenue from all sources (“ultimate revenue”). Estimates of ultimate revenue have a significant impact on how quickly capitalized costs are amortized and, therefore, are updated regularly.</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home entertainment and other distribution platforms, are revised based on historical relationships and an analysis of current market trends.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series can be licensed in subsequent platforms, revenue estimates for these platforms, such as U.S. and international syndication, home entertainment, and other distribution platforms, are included in ultimate revenue. In the case of television series and owned television programming, revenue estimates for produced episodes include revenue expected to be earned within 10 years of delivery of the initial episode or, if still in production, five years from the delivery of the most recent episode, if later.</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Capitalized film and television costs, as well as stage play production costs, are subject to impairment testing when certain triggering events are identified. If the fair value of a production falls below its unamortized cost, we would record an adjustment for the amount by which the unamortized capitalized costs exceed the production’s fair value. The fair value assessment is generally based on estimated future discounted cash flows, which are supported by our internal forecasts. Adjustments to capitalized film and stage play production costs of $161 million and $57 million were recorded in 2012 and 2011,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prepare and file tax returns based on our interpretation of tax laws and regulations, and we record estimates based on these judgments and interpretations.</w:t>
      </w:r>
    </w:p>
    <w:p>
      <w:pPr>
        <w:spacing w:after="0" w:line="1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we engage in transactions in which the tax consequences may be subject to uncertainty. In these cases, we evaluate our tax positions using the recognition threshold and the measurement attribute in accordance with the accounting guidance related to uncertain tax positions. Examples of these transactions include business acquisitions and disposals, including consideration paid or received in connection with these transactions, and certain financing transactions.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In evaluating whether a tax position has met the more-likely-than-not recognition threshold, we presume that the position will be examined by the appropriate</w:t>
      </w:r>
    </w:p>
    <w:p>
      <w:pPr>
        <w:spacing w:after="0" w:line="32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69</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taxing authority that has full knowledge of all relevant information. A tax position that meets the more-likely-than-not recognition threshold is measured to determine the amount of benefit to be recognized in our financial statements. The tax position is measured at the largest amount of benefit that has a greater than 50% likelihood of being realized when the position is ultimately resolved.</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adjust our estimates periodically to reflect changes in circumstances in ongoing examinations by and settlements with the various taxing authorities, as well as changes in tax laws, regulations and precedent. We believe that adequate accruals have been made for income taxes. When uncertain tax positions are ultimately resolved, either individually or in the aggregate, differences between our estimated amounts and the actual amounts are not expected to have a material adverse effect on our consolidated financial position but could possibly be material to our consolidated results of operations or cash flow for any one period. As of December 31, 2012, our uncertain tax positions and related accrued interest were $1.6 billion and $721 million,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24"/>
          <w:szCs w:val="24"/>
          <w:color w:val="3E499A"/>
        </w:rPr>
        <w:t>Item 7A: Quantitative and Qualitative Disclosures About Market Risk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monitor our exposure to the risk of adverse changes in interest rates through the use of techniques that include market value and sensitivity analyses. We do not engage in any speculative or leveraged derivative transactions.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interest rate derivative financial instruments, which may include swaps, rate locks, caps and collars, represent an integral part of our interest rate risk management program. Our interest rate derivative financial instruments reduced the portion of our total debt at fixed rates to 89.5% from 99.9% as of December 31, 2012. In 2012, 2011 and 2010, the effect of our interest rate derivative financial instruments was a decrease in our interest expense of $106 million, $136 million and $132 million, respectively. Interest rate derivative financial instruments may have a significant effect on our interest expense in the future.</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the fair values and contract terms of financial instruments subject to interest rate risk maintained by us as of December 31,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4"/>
                <w:szCs w:val="14"/>
                <w:color w:val="auto"/>
              </w:rPr>
              <w:t>Estimated</w:t>
            </w:r>
          </w:p>
        </w:tc>
      </w:tr>
      <w:tr>
        <w:trPr>
          <w:trHeight w:val="149"/>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Fair Value as of</w:t>
            </w:r>
          </w:p>
        </w:tc>
      </w:tr>
      <w:tr>
        <w:trPr>
          <w:trHeight w:val="149"/>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2"/>
              <w:spacing w:after="0" w:line="149" w:lineRule="exact"/>
              <w:rPr>
                <w:sz w:val="20"/>
                <w:szCs w:val="20"/>
                <w:color w:val="auto"/>
              </w:rPr>
            </w:pPr>
            <w:r>
              <w:rPr>
                <w:rFonts w:ascii="Arial" w:cs="Arial" w:eastAsia="Arial" w:hAnsi="Arial"/>
                <w:sz w:val="14"/>
                <w:szCs w:val="14"/>
                <w:color w:val="auto"/>
                <w:w w:val="95"/>
              </w:rPr>
              <w:t>December 31,</w:t>
            </w:r>
          </w:p>
        </w:tc>
      </w:tr>
      <w:tr>
        <w:trPr>
          <w:trHeight w:val="163"/>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2014</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2017</w:t>
            </w:r>
          </w:p>
        </w:tc>
        <w:tc>
          <w:tcPr>
            <w:tcW w:w="9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2012</w:t>
            </w:r>
          </w:p>
        </w:tc>
      </w:tr>
      <w:tr>
        <w:trPr>
          <w:trHeight w:val="199"/>
        </w:trPr>
        <w:tc>
          <w:tcPr>
            <w:tcW w:w="3300" w:type="dxa"/>
            <w:vAlign w:val="bottom"/>
          </w:tcPr>
          <w:p>
            <w:pPr>
              <w:spacing w:after="0" w:line="200" w:lineRule="exact"/>
              <w:rPr>
                <w:sz w:val="20"/>
                <w:szCs w:val="20"/>
                <w:color w:val="auto"/>
              </w:rPr>
            </w:pPr>
            <w:r>
              <w:rPr>
                <w:rFonts w:ascii="Arial" w:cs="Arial" w:eastAsia="Arial" w:hAnsi="Arial"/>
                <w:sz w:val="18"/>
                <w:szCs w:val="18"/>
                <w:b w:val="1"/>
                <w:bCs w:val="1"/>
                <w:color w:val="auto"/>
              </w:rPr>
              <w:t>Debt</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Fixed rate</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2,376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1,969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3,386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2,813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2,554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27,318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8"/>
              </w:rPr>
              <w:t>40,416</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47,690</w:t>
            </w:r>
          </w:p>
        </w:tc>
      </w:tr>
      <w:tr>
        <w:trPr>
          <w:trHeight w:val="203"/>
        </w:trPr>
        <w:tc>
          <w:tcPr>
            <w:tcW w:w="330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7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Variable rate</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42</w:t>
            </w:r>
          </w:p>
        </w:tc>
      </w:tr>
      <w:tr>
        <w:trPr>
          <w:trHeight w:val="181"/>
        </w:trPr>
        <w:tc>
          <w:tcPr>
            <w:tcW w:w="3300" w:type="dxa"/>
            <w:vAlign w:val="bottom"/>
          </w:tcPr>
          <w:p>
            <w:pPr>
              <w:ind w:left="220"/>
              <w:spacing w:after="0" w:line="181" w:lineRule="exact"/>
              <w:rPr>
                <w:sz w:val="20"/>
                <w:szCs w:val="20"/>
                <w:color w:val="auto"/>
              </w:rPr>
            </w:pPr>
            <w:r>
              <w:rPr>
                <w:rFonts w:ascii="Arial" w:cs="Arial" w:eastAsia="Arial" w:hAnsi="Arial"/>
                <w:sz w:val="18"/>
                <w:szCs w:val="18"/>
                <w:color w:val="auto"/>
              </w:rPr>
              <w:t>Average interest rate</w:t>
            </w:r>
          </w:p>
        </w:tc>
        <w:tc>
          <w:tcPr>
            <w:tcW w:w="78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5"/>
        </w:trPr>
        <w:tc>
          <w:tcPr>
            <w:tcW w:w="3300" w:type="dxa"/>
            <w:vAlign w:val="bottom"/>
          </w:tcPr>
          <w:p>
            <w:pPr>
              <w:spacing w:after="0"/>
              <w:rPr>
                <w:sz w:val="20"/>
                <w:szCs w:val="20"/>
                <w:color w:val="auto"/>
              </w:rPr>
            </w:pPr>
            <w:r>
              <w:rPr>
                <w:rFonts w:ascii="Arial" w:cs="Arial" w:eastAsia="Arial" w:hAnsi="Arial"/>
                <w:sz w:val="18"/>
                <w:szCs w:val="18"/>
                <w:b w:val="1"/>
                <w:bCs w:val="1"/>
                <w:color w:val="auto"/>
              </w:rPr>
              <w:t>Interest Rate Instruments</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1,550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1,100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800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4,200</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244</w:t>
            </w:r>
          </w:p>
        </w:tc>
      </w:tr>
      <w:tr>
        <w:trPr>
          <w:trHeight w:val="203"/>
        </w:trPr>
        <w:tc>
          <w:tcPr>
            <w:tcW w:w="330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7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3300" w:type="dxa"/>
            <w:vAlign w:val="bottom"/>
            <w:tcBorders>
              <w:bottom w:val="single" w:sz="8" w:color="3E499A"/>
            </w:tcBorders>
          </w:tcPr>
          <w:p>
            <w:pPr>
              <w:ind w:left="220"/>
              <w:spacing w:after="0" w:line="200" w:lineRule="exact"/>
              <w:rPr>
                <w:sz w:val="20"/>
                <w:szCs w:val="20"/>
                <w:color w:val="auto"/>
              </w:rPr>
            </w:pPr>
            <w:r>
              <w:rPr>
                <w:rFonts w:ascii="Arial" w:cs="Arial" w:eastAsia="Arial" w:hAnsi="Arial"/>
                <w:sz w:val="18"/>
                <w:szCs w:val="18"/>
                <w:color w:val="auto"/>
              </w:rPr>
              <w:t>Average receive rate</w:t>
            </w:r>
          </w:p>
        </w:tc>
        <w:tc>
          <w:tcPr>
            <w:tcW w:w="780" w:type="dxa"/>
            <w:vAlign w:val="bottom"/>
            <w:tcBorders>
              <w:bottom w:val="single" w:sz="8" w:color="3E499A"/>
            </w:tcBorders>
          </w:tcPr>
          <w:p>
            <w:pPr>
              <w:spacing w:after="0"/>
              <w:rPr>
                <w:sz w:val="17"/>
                <w:szCs w:val="17"/>
                <w:color w:val="auto"/>
              </w:rPr>
            </w:pPr>
          </w:p>
        </w:tc>
        <w:tc>
          <w:tcPr>
            <w:tcW w:w="68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8.0%</w:t>
            </w:r>
          </w:p>
        </w:tc>
        <w:tc>
          <w:tcPr>
            <w:tcW w:w="200" w:type="dxa"/>
            <w:vAlign w:val="bottom"/>
            <w:tcBorders>
              <w:bottom w:val="single" w:sz="8" w:color="3E499A"/>
            </w:tcBorders>
          </w:tcPr>
          <w:p>
            <w:pPr>
              <w:spacing w:after="0"/>
              <w:rPr>
                <w:sz w:val="17"/>
                <w:szCs w:val="17"/>
                <w:color w:val="auto"/>
              </w:rPr>
            </w:pPr>
          </w:p>
        </w:tc>
        <w:tc>
          <w:tcPr>
            <w:tcW w:w="68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4.4%</w:t>
            </w:r>
          </w:p>
        </w:tc>
        <w:tc>
          <w:tcPr>
            <w:tcW w:w="220" w:type="dxa"/>
            <w:vAlign w:val="bottom"/>
            <w:tcBorders>
              <w:bottom w:val="single" w:sz="8" w:color="3E499A"/>
            </w:tcBorders>
          </w:tcPr>
          <w:p>
            <w:pPr>
              <w:spacing w:after="0"/>
              <w:rPr>
                <w:sz w:val="17"/>
                <w:szCs w:val="17"/>
                <w:color w:val="auto"/>
              </w:rPr>
            </w:pPr>
          </w:p>
        </w:tc>
        <w:tc>
          <w:tcPr>
            <w:tcW w:w="68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3.7%</w:t>
            </w:r>
          </w:p>
        </w:tc>
        <w:tc>
          <w:tcPr>
            <w:tcW w:w="200" w:type="dxa"/>
            <w:vAlign w:val="bottom"/>
            <w:tcBorders>
              <w:bottom w:val="single" w:sz="8" w:color="3E499A"/>
            </w:tcBorders>
          </w:tcPr>
          <w:p>
            <w:pPr>
              <w:spacing w:after="0"/>
              <w:rPr>
                <w:sz w:val="17"/>
                <w:szCs w:val="17"/>
                <w:color w:val="auto"/>
              </w:rPr>
            </w:pPr>
          </w:p>
        </w:tc>
        <w:tc>
          <w:tcPr>
            <w:tcW w:w="70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4.8%</w:t>
            </w:r>
          </w:p>
        </w:tc>
        <w:tc>
          <w:tcPr>
            <w:tcW w:w="200" w:type="dxa"/>
            <w:vAlign w:val="bottom"/>
            <w:tcBorders>
              <w:bottom w:val="single" w:sz="8" w:color="3E499A"/>
            </w:tcBorders>
          </w:tcPr>
          <w:p>
            <w:pPr>
              <w:spacing w:after="0"/>
              <w:rPr>
                <w:sz w:val="17"/>
                <w:szCs w:val="17"/>
                <w:color w:val="auto"/>
              </w:rPr>
            </w:pPr>
          </w:p>
        </w:tc>
        <w:tc>
          <w:tcPr>
            <w:tcW w:w="70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0.0%</w:t>
            </w:r>
          </w:p>
        </w:tc>
        <w:tc>
          <w:tcPr>
            <w:tcW w:w="180" w:type="dxa"/>
            <w:vAlign w:val="bottom"/>
            <w:tcBorders>
              <w:bottom w:val="single" w:sz="8" w:color="3E499A"/>
            </w:tcBorders>
          </w:tcPr>
          <w:p>
            <w:pPr>
              <w:spacing w:after="0"/>
              <w:rPr>
                <w:sz w:val="17"/>
                <w:szCs w:val="17"/>
                <w:color w:val="auto"/>
              </w:rPr>
            </w:pPr>
          </w:p>
        </w:tc>
        <w:tc>
          <w:tcPr>
            <w:tcW w:w="80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5.7%</w:t>
            </w:r>
          </w:p>
        </w:tc>
        <w:tc>
          <w:tcPr>
            <w:tcW w:w="200" w:type="dxa"/>
            <w:vAlign w:val="bottom"/>
            <w:tcBorders>
              <w:bottom w:val="single" w:sz="8" w:color="3E499A"/>
            </w:tcBorders>
          </w:tcPr>
          <w:p>
            <w:pPr>
              <w:spacing w:after="0"/>
              <w:rPr>
                <w:sz w:val="17"/>
                <w:szCs w:val="17"/>
                <w:color w:val="auto"/>
              </w:rPr>
            </w:pPr>
          </w:p>
        </w:tc>
        <w:tc>
          <w:tcPr>
            <w:tcW w:w="78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6.0%</w:t>
            </w:r>
          </w:p>
        </w:tc>
        <w:tc>
          <w:tcPr>
            <w:tcW w:w="160" w:type="dxa"/>
            <w:vAlign w:val="bottom"/>
            <w:tcBorders>
              <w:bottom w:val="single" w:sz="8" w:color="3E499A"/>
            </w:tcBorders>
          </w:tcPr>
          <w:p>
            <w:pPr>
              <w:spacing w:after="0"/>
              <w:rPr>
                <w:sz w:val="17"/>
                <w:szCs w:val="17"/>
                <w:color w:val="auto"/>
              </w:rPr>
            </w:pPr>
          </w:p>
        </w:tc>
        <w:tc>
          <w:tcPr>
            <w:tcW w:w="960" w:type="dxa"/>
            <w:vAlign w:val="bottom"/>
            <w:tcBorders>
              <w:bottom w:val="single" w:sz="8" w:color="3E499A"/>
            </w:tcBorders>
          </w:tcPr>
          <w:p>
            <w:pPr>
              <w:spacing w:after="0"/>
              <w:rPr>
                <w:sz w:val="17"/>
                <w:szCs w:val="17"/>
                <w:color w:val="auto"/>
              </w:rPr>
            </w:pPr>
          </w:p>
        </w:tc>
      </w:tr>
      <w:tr>
        <w:trPr>
          <w:trHeight w:val="506"/>
        </w:trPr>
        <w:tc>
          <w:tcPr>
            <w:tcW w:w="330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notional amount of each instrument to calculate the interest to be paid or received. The notional amounts do not represent our exposure to credit loss. The estimated fair value approximates the amount of payments to be made or proceeds to be received to settle the outstanding contracts, including accrued interest. We estimate interest rates on variable rate debt and swaps using the average implied forward LIBOR through the year of maturity based on the yield curve in effect on December 31, 2012, plus the applicable borrowing margin on December 31, 2012.</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our financial contracts include credit-ratings-based triggers that could affect our liquidity. In the ordinary course of business, some of our swaps could be subject to termination provisions if we do not maintain investment grade credit ratings. As of December 31, 2012 and 2011, the estimated fair value of those swaps was an asset of $13 million and $19 million, respectively. The amount to be paid or received upon termination, if any, would be based on the fair value of the outstanding contracts at that time. See Note 2 to our consolidated financial statements for additional information on our accounting policies for derivative financial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has significant operations in a number of countries outside the United States, and certain of NBCUniversal’s operations are conducted in foreign currencies. The value of these currencies fluctuates relative to the U.S. dollar. These changes could adversely affect the U.S. dollar value of our non-U.S. revenue and operating costs and expenses and reduce international demand for our content, all of which could negatively affect our business, financial condition and results of operations in a given period or in specific territories.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overall strategy to manage the level of exposure to the risk of foreign exchange rate fluctuations, we enter into derivative financial instruments related to a significant portion of our foreign currency exposures. We enter into foreign currency forward contracts that change in value as foreign exchange rates change to protect the U.S. dollar equivalent value of our foreign currency assets, liabilities, commitments, and forecasted foreign currency revenue and expenses. In accordance with our policy, we hedge forecasted foreign currency transactions for periods generally not to exceed one year. In certain circumstances we enter into foreign exchange contracts with initial maturities in excess of one year. As of December 31, 2012 and 2011, we had foreign exchange contracts with a total notional value of $820 million and $767 million, respectively. As of December 31, 2012 and 2011, the aggregate estimated fair value of these foreign exchange contracts was not material.</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analyzed our foreign currency exposures related to NBCUniversal’s operations as of December 31, 2012, including our hedging contracts, to identify assets and liabilities denominated in a currency other than their relevant functional currency. For these assets and liabilities, we then evaluated the effect of a 10% shift in currency exchange rates between those currencies and the U.S. dollar. The analysis of such shift in exchange rates indicated that there would be an immaterial effect on our 2012 income.</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also exposed to the market risks associated with fluctuations in foreign exchange rates as they relate to our foreign currency denominated debt obligations. Cross-currency swaps are used to effectively convert fixed-rate foreign currency denominated debt to fixed-rate U.S. dollar denominated debt, in order to hedge the risk that the cash flows related to annual interest payments and the payment of principal at maturity may be adversely affected by fluctuations in currency exchange rates. The gains and losses on the cross-currency swaps offset changes in the U.S. dollar equivalent value of the related exposures. As of December 31, 2012 and 2011, the fair value of our cross-currency swaps on our £625 million principal amount of 5.50% senior notes due 2029 was an asset of $30 million and a liability of $69 million, respectively.</w:t>
      </w:r>
    </w:p>
    <w:p>
      <w:pPr>
        <w:spacing w:after="0" w:line="30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consolidated financial statements for additional information on our accounting policies for derivative financial instruments.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Equity Price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exposed to the market risk of changes in the equity prices of our investments in marketable securities. We enter into various derivative transactions in accordance with our policies to manage the volatility related to these exposures. Through market value and sensitivity analyses, we monitor our equity price risk exposures to ensure that the instruments are matched with the underlying assets or liabilities, reduce our risks relating to equity prices, and maintain a high correlation to the risk inherent in the hedged item.</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limit our exposure to and the benefits from price fluctuations in the common stock of some of our investments, we use equity derivative financial instruments. These derivative financial instruments, which are accounted for at fair value, may include equity collar agreements, prepaid forward sale agreements and indexed debt instruments.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Except as described above in Item 7 under the heading “Investment Income (Loss), Net,” the changes in the fair value of the investments that we accounted for as available-for-sale or trading securities were substantially offset by the changes in the fair values of the equity derivative financial instruments. See Note 2 to our consolidated financial statements for additional information on our accounting policies for derivative financial instruments and Note 6 to our consolidated financial statements for additional information on our investments.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December 31, 2012 and 2011, neither we nor any of the counterparties were required to post collateral under the terms of the agreements.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3E499A"/>
        </w:rPr>
        <w:t>Item 8: Financial Statements and Supplementary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Index</w:t>
            </w:r>
          </w:p>
        </w:tc>
        <w:tc>
          <w:tcPr>
            <w:tcW w:w="4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169"/>
        </w:trPr>
        <w:tc>
          <w:tcPr>
            <w:tcW w:w="7320" w:type="dxa"/>
            <w:vAlign w:val="bottom"/>
            <w:gridSpan w:val="9"/>
          </w:tcPr>
          <w:p>
            <w:pPr>
              <w:spacing w:after="0" w:line="170" w:lineRule="exact"/>
              <w:rPr>
                <w:rFonts w:ascii="Arial" w:cs="Arial" w:eastAsia="Arial" w:hAnsi="Arial"/>
                <w:sz w:val="18"/>
                <w:szCs w:val="18"/>
                <w:color w:val="0000EE"/>
              </w:rPr>
            </w:pPr>
            <w:hyperlink w:anchor="page76">
              <w:r>
                <w:rPr>
                  <w:rFonts w:ascii="Arial" w:cs="Arial" w:eastAsia="Arial" w:hAnsi="Arial"/>
                  <w:sz w:val="18"/>
                  <w:szCs w:val="18"/>
                  <w:color w:val="0000EE"/>
                </w:rPr>
                <w:t>Report of Management</w:t>
              </w:r>
            </w:hyperlink>
          </w:p>
        </w:tc>
        <w:tc>
          <w:tcPr>
            <w:tcW w:w="4100" w:type="dxa"/>
            <w:vAlign w:val="bottom"/>
          </w:tcPr>
          <w:p>
            <w:pPr>
              <w:jc w:val="right"/>
              <w:spacing w:after="0" w:line="170" w:lineRule="exact"/>
              <w:rPr>
                <w:sz w:val="20"/>
                <w:szCs w:val="20"/>
                <w:color w:val="auto"/>
              </w:rPr>
            </w:pPr>
            <w:r>
              <w:rPr>
                <w:rFonts w:ascii="Arial" w:cs="Arial" w:eastAsia="Arial" w:hAnsi="Arial"/>
                <w:sz w:val="18"/>
                <w:szCs w:val="18"/>
                <w:color w:val="auto"/>
              </w:rPr>
              <w:t>74</w:t>
            </w:r>
          </w:p>
        </w:tc>
      </w:tr>
      <w:tr>
        <w:trPr>
          <w:trHeight w:val="20"/>
        </w:trPr>
        <w:tc>
          <w:tcPr>
            <w:tcW w:w="1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91"/>
        </w:trPr>
        <w:tc>
          <w:tcPr>
            <w:tcW w:w="45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77">
              <w:r>
                <w:rPr>
                  <w:rFonts w:ascii="Arial" w:cs="Arial" w:eastAsia="Arial" w:hAnsi="Arial"/>
                  <w:sz w:val="18"/>
                  <w:szCs w:val="18"/>
                  <w:color w:val="0000EE"/>
                  <w:w w:val="97"/>
                </w:rPr>
                <w:t>Report of Independent Registered Public Accounting Firm</w:t>
              </w:r>
            </w:hyperlink>
          </w:p>
        </w:tc>
        <w:tc>
          <w:tcPr>
            <w:tcW w:w="282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91"/>
        </w:trPr>
        <w:tc>
          <w:tcPr>
            <w:tcW w:w="7320" w:type="dxa"/>
            <w:vAlign w:val="bottom"/>
            <w:gridSpan w:val="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Balance Sheet</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2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91"/>
        </w:trPr>
        <w:tc>
          <w:tcPr>
            <w:tcW w:w="7320" w:type="dxa"/>
            <w:vAlign w:val="bottom"/>
            <w:gridSpan w:val="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 of Income</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2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91"/>
        </w:trPr>
        <w:tc>
          <w:tcPr>
            <w:tcW w:w="39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80">
              <w:r>
                <w:rPr>
                  <w:rFonts w:ascii="Arial" w:cs="Arial" w:eastAsia="Arial" w:hAnsi="Arial"/>
                  <w:sz w:val="18"/>
                  <w:szCs w:val="18"/>
                  <w:color w:val="0000EE"/>
                  <w:w w:val="97"/>
                </w:rPr>
                <w:t>Consolidated Statement of Comprehensive Income</w:t>
              </w:r>
            </w:hyperlink>
          </w:p>
        </w:tc>
        <w:tc>
          <w:tcPr>
            <w:tcW w:w="3340" w:type="dxa"/>
            <w:vAlign w:val="bottom"/>
            <w:gridSpan w:val="2"/>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91"/>
        </w:trPr>
        <w:tc>
          <w:tcPr>
            <w:tcW w:w="7320" w:type="dxa"/>
            <w:vAlign w:val="bottom"/>
            <w:gridSpan w:val="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 of Cash Flows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30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91"/>
        </w:trPr>
        <w:tc>
          <w:tcPr>
            <w:tcW w:w="35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82">
              <w:r>
                <w:rPr>
                  <w:rFonts w:ascii="Arial" w:cs="Arial" w:eastAsia="Arial" w:hAnsi="Arial"/>
                  <w:sz w:val="18"/>
                  <w:szCs w:val="18"/>
                  <w:color w:val="0000EE"/>
                  <w:w w:val="97"/>
                </w:rPr>
                <w:t>Consolidated Statement of Changes in Equity</w:t>
              </w:r>
            </w:hyperlink>
          </w:p>
        </w:tc>
        <w:tc>
          <w:tcPr>
            <w:tcW w:w="3760" w:type="dxa"/>
            <w:vAlign w:val="bottom"/>
            <w:gridSpan w:val="3"/>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91"/>
        </w:trPr>
        <w:tc>
          <w:tcPr>
            <w:tcW w:w="7320" w:type="dxa"/>
            <w:vAlign w:val="bottom"/>
            <w:gridSpan w:val="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18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r>
      <w:tr>
        <w:trPr>
          <w:trHeight w:val="493"/>
        </w:trPr>
        <w:tc>
          <w:tcPr>
            <w:tcW w:w="7320" w:type="dxa"/>
            <w:vAlign w:val="bottom"/>
            <w:gridSpan w:val="9"/>
          </w:tcPr>
          <w:p>
            <w:pPr>
              <w:ind w:left="5680"/>
              <w:spacing w:after="0"/>
              <w:rPr>
                <w:sz w:val="20"/>
                <w:szCs w:val="20"/>
                <w:color w:val="auto"/>
              </w:rPr>
            </w:pPr>
            <w:r>
              <w:rPr>
                <w:rFonts w:ascii="Arial" w:cs="Arial" w:eastAsia="Arial" w:hAnsi="Arial"/>
                <w:sz w:val="14"/>
                <w:szCs w:val="14"/>
                <w:b w:val="1"/>
                <w:bCs w:val="1"/>
                <w:color w:val="auto"/>
              </w:rPr>
              <w:t>73</w:t>
            </w:r>
          </w:p>
        </w:tc>
        <w:tc>
          <w:tcPr>
            <w:tcW w:w="4100" w:type="dxa"/>
            <w:vAlign w:val="bottom"/>
          </w:tcPr>
          <w:p>
            <w:pPr>
              <w:jc w:val="right"/>
              <w:spacing w:after="0"/>
              <w:rPr>
                <w:sz w:val="20"/>
                <w:szCs w:val="20"/>
                <w:color w:val="auto"/>
              </w:rPr>
            </w:pPr>
            <w:r>
              <w:rPr>
                <w:rFonts w:ascii="Arial" w:cs="Arial" w:eastAsia="Arial" w:hAnsi="Arial"/>
                <w:sz w:val="14"/>
                <w:szCs w:val="14"/>
                <w:color w:val="auto"/>
              </w:rPr>
              <w:t>Comcast 2012 Annual Report on Form 10-K</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our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our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020" w:right="1260" w:hanging="215"/>
        <w:spacing w:after="0" w:line="23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14" w:lineRule="exact"/>
        <w:rPr>
          <w:rFonts w:ascii="Arial" w:cs="Arial" w:eastAsia="Arial" w:hAnsi="Arial"/>
          <w:sz w:val="18"/>
          <w:szCs w:val="18"/>
          <w:color w:val="auto"/>
        </w:rPr>
      </w:pPr>
    </w:p>
    <w:p>
      <w:pPr>
        <w:jc w:val="both"/>
        <w:ind w:left="1020" w:right="1260" w:hanging="215"/>
        <w:spacing w:after="0" w:line="281"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83" w:lineRule="exact"/>
        <w:rPr>
          <w:rFonts w:ascii="Arial" w:cs="Arial" w:eastAsia="Arial" w:hAnsi="Arial"/>
          <w:sz w:val="16"/>
          <w:szCs w:val="16"/>
          <w:color w:val="auto"/>
        </w:rPr>
      </w:pPr>
    </w:p>
    <w:p>
      <w:pPr>
        <w:ind w:left="1020" w:right="1260" w:hanging="215"/>
        <w:spacing w:after="0" w:line="23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our management concluded that our system of internal control over financial reporting was effective as of December 31, 2012. The effectiveness of our internal controls over financial reporting has been audited by Deloitte &amp; Touche LLP, an independent registered public accounting firm, as stated in their report, which is included herein.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of the Board of Directors, which is comprised solely of independent directors, has oversight responsibility for our financial reporting process and the audits of our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329055"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29055" cy="24003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122555</wp:posOffset>
            </wp:positionV>
            <wp:extent cx="3361690" cy="3771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16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20"/>
                <w:szCs w:val="20"/>
                <w:color w:val="auto"/>
              </w:rPr>
            </w:pPr>
            <w:r>
              <w:rPr>
                <w:rFonts w:ascii="Arial" w:cs="Arial" w:eastAsia="Arial" w:hAnsi="Arial"/>
                <w:sz w:val="18"/>
                <w:szCs w:val="18"/>
                <w:b w:val="1"/>
                <w:bCs w:val="1"/>
                <w:color w:val="auto"/>
              </w:rPr>
              <w:t>Brian L. Roberts</w:t>
            </w:r>
          </w:p>
        </w:tc>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Michael J. Angelakis</w:t>
            </w:r>
          </w:p>
        </w:tc>
        <w:tc>
          <w:tcPr>
            <w:tcW w:w="3980" w:type="dxa"/>
            <w:vAlign w:val="bottom"/>
          </w:tcPr>
          <w:p>
            <w:pPr>
              <w:ind w:left="960"/>
              <w:spacing w:after="0"/>
              <w:rPr>
                <w:sz w:val="20"/>
                <w:szCs w:val="20"/>
                <w:color w:val="auto"/>
              </w:rPr>
            </w:pPr>
            <w:r>
              <w:rPr>
                <w:rFonts w:ascii="Arial" w:cs="Arial" w:eastAsia="Arial" w:hAnsi="Arial"/>
                <w:sz w:val="18"/>
                <w:szCs w:val="18"/>
                <w:b w:val="1"/>
                <w:bCs w:val="1"/>
                <w:color w:val="auto"/>
              </w:rPr>
              <w:t>Lawrence J. Salva</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Chairman and</w:t>
            </w:r>
          </w:p>
        </w:tc>
        <w:tc>
          <w:tcPr>
            <w:tcW w:w="3480" w:type="dxa"/>
            <w:vAlign w:val="bottom"/>
          </w:tcPr>
          <w:p>
            <w:pPr>
              <w:ind w:left="680"/>
              <w:spacing w:after="0" w:line="202" w:lineRule="exact"/>
              <w:rPr>
                <w:sz w:val="20"/>
                <w:szCs w:val="20"/>
                <w:color w:val="auto"/>
              </w:rPr>
            </w:pPr>
            <w:r>
              <w:rPr>
                <w:rFonts w:ascii="Arial" w:cs="Arial" w:eastAsia="Arial" w:hAnsi="Arial"/>
                <w:sz w:val="18"/>
                <w:szCs w:val="18"/>
                <w:color w:val="auto"/>
              </w:rPr>
              <w:t>Vice Chairman and</w:t>
            </w:r>
          </w:p>
        </w:tc>
        <w:tc>
          <w:tcPr>
            <w:tcW w:w="3980" w:type="dxa"/>
            <w:vAlign w:val="bottom"/>
          </w:tcPr>
          <w:p>
            <w:pPr>
              <w:ind w:left="960"/>
              <w:spacing w:after="0" w:line="202" w:lineRule="exact"/>
              <w:rPr>
                <w:sz w:val="20"/>
                <w:szCs w:val="20"/>
                <w:color w:val="auto"/>
              </w:rPr>
            </w:pPr>
            <w:r>
              <w:rPr>
                <w:rFonts w:ascii="Arial" w:cs="Arial" w:eastAsia="Arial" w:hAnsi="Arial"/>
                <w:sz w:val="18"/>
                <w:szCs w:val="18"/>
                <w:color w:val="auto"/>
              </w:rPr>
              <w:t>Senior Vice President,</w:t>
            </w:r>
          </w:p>
        </w:tc>
      </w:tr>
      <w:tr>
        <w:trPr>
          <w:trHeight w:val="211"/>
        </w:trPr>
        <w:tc>
          <w:tcPr>
            <w:tcW w:w="33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480" w:type="dxa"/>
            <w:vAlign w:val="bottom"/>
          </w:tcPr>
          <w:p>
            <w:pPr>
              <w:ind w:left="680"/>
              <w:spacing w:after="0"/>
              <w:rPr>
                <w:sz w:val="20"/>
                <w:szCs w:val="20"/>
                <w:color w:val="auto"/>
              </w:rPr>
            </w:pPr>
            <w:r>
              <w:rPr>
                <w:rFonts w:ascii="Arial" w:cs="Arial" w:eastAsia="Arial" w:hAnsi="Arial"/>
                <w:sz w:val="18"/>
                <w:szCs w:val="18"/>
                <w:color w:val="auto"/>
              </w:rPr>
              <w:t>Chief Financial Officer</w:t>
            </w:r>
          </w:p>
        </w:tc>
        <w:tc>
          <w:tcPr>
            <w:tcW w:w="3980" w:type="dxa"/>
            <w:vAlign w:val="bottom"/>
          </w:tcPr>
          <w:p>
            <w:pPr>
              <w:ind w:left="960"/>
              <w:spacing w:after="0"/>
              <w:rPr>
                <w:sz w:val="20"/>
                <w:szCs w:val="20"/>
                <w:color w:val="auto"/>
              </w:rPr>
            </w:pPr>
            <w:r>
              <w:rPr>
                <w:rFonts w:ascii="Arial" w:cs="Arial" w:eastAsia="Arial" w:hAnsi="Arial"/>
                <w:sz w:val="18"/>
                <w:szCs w:val="18"/>
                <w:color w:val="auto"/>
                <w:w w:val="96"/>
              </w:rPr>
              <w:t>Chief Accounting Officer and Controller</w:t>
            </w:r>
          </w:p>
        </w:tc>
      </w:tr>
      <w:tr>
        <w:trPr>
          <w:trHeight w:val="515"/>
        </w:trPr>
        <w:tc>
          <w:tcPr>
            <w:tcW w:w="334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3480" w:type="dxa"/>
            <w:vAlign w:val="bottom"/>
          </w:tcPr>
          <w:p>
            <w:pPr>
              <w:jc w:val="right"/>
              <w:ind w:right="897"/>
              <w:spacing w:after="0"/>
              <w:rPr>
                <w:sz w:val="20"/>
                <w:szCs w:val="20"/>
                <w:color w:val="auto"/>
              </w:rPr>
            </w:pPr>
            <w:r>
              <w:rPr>
                <w:rFonts w:ascii="Arial" w:cs="Arial" w:eastAsia="Arial" w:hAnsi="Arial"/>
                <w:sz w:val="14"/>
                <w:szCs w:val="14"/>
                <w:b w:val="1"/>
                <w:bCs w:val="1"/>
                <w:color w:val="auto"/>
              </w:rPr>
              <w:t>74</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accompanying consolidated balance sheets of Comcast Corporation and subsidiaries (the “Company”) as of December 31, 2012 and 2011, and the related consolidated statements of income, comprehensive income, cash flows and changes in equity for each of the three years in the period ended December 31, 2012. We also have audited the Company’s internal control over financial reporting as of December 31, 2012, based on criteria established in Internal Control – Integrated Framework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Comcast Corporation and subsidiaries as of December 31, 2012 and 2011, and the results of their operations and their cash flows for each of the three years in the period ended December 31, 2012, in conformity with accounting principles generally accepted in the United States of America. Also, in our opinion, the Company maintained, in all material respects, effective internal control over financial reporting as of December 31, 2012, based on the criteria established in Internal Control – Integrated Framework issued by the Committee of Sponsoring Organizations of the Treadway Commission.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20, 2013</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75</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Balance Sheet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 except share data)</w:t>
            </w:r>
          </w:p>
        </w:tc>
        <w:tc>
          <w:tcPr>
            <w:tcW w:w="3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58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10,951</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35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1,464</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5,521</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909</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3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1,146</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3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19,991</w:t>
            </w:r>
          </w:p>
        </w:tc>
        <w:tc>
          <w:tcPr>
            <w:tcW w:w="20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5,054</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6,325</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27,232</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27,559</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59,364</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59,376</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26,985</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17,840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18,165</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3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2,180</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580" w:type="dxa"/>
            <w:vAlign w:val="bottom"/>
            <w:tcBorders>
              <w:bottom w:val="single" w:sz="8" w:color="3E499A"/>
            </w:tcBorders>
          </w:tcPr>
          <w:p>
            <w:pPr>
              <w:spacing w:after="0"/>
              <w:rPr>
                <w:sz w:val="17"/>
                <w:szCs w:val="17"/>
                <w:color w:val="auto"/>
              </w:rPr>
            </w:pPr>
          </w:p>
        </w:tc>
        <w:tc>
          <w:tcPr>
            <w:tcW w:w="5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E499A"/>
            </w:tcBorders>
          </w:tcPr>
          <w:p>
            <w:pPr>
              <w:jc w:val="right"/>
              <w:ind w:right="53"/>
              <w:spacing w:after="0" w:line="196" w:lineRule="exact"/>
              <w:rPr>
                <w:sz w:val="20"/>
                <w:szCs w:val="20"/>
                <w:color w:val="auto"/>
              </w:rPr>
            </w:pPr>
            <w:r>
              <w:rPr>
                <w:rFonts w:ascii="Arial" w:cs="Arial" w:eastAsia="Arial" w:hAnsi="Arial"/>
                <w:sz w:val="18"/>
                <w:szCs w:val="18"/>
                <w:b w:val="1"/>
                <w:bCs w:val="1"/>
                <w:color w:val="auto"/>
                <w:w w:val="98"/>
              </w:rPr>
              <w:t>164,971</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color w:val="auto"/>
              </w:rPr>
              <w:t>157,818</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58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6,206</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35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1,350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851</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5,931</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3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2,376</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3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16,714</w:t>
            </w:r>
          </w:p>
        </w:tc>
        <w:tc>
          <w:tcPr>
            <w:tcW w:w="20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38,082</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37,942</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30,110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29,932</w:t>
            </w:r>
          </w:p>
        </w:tc>
        <w:tc>
          <w:tcPr>
            <w:tcW w:w="0" w:type="dxa"/>
            <w:vAlign w:val="bottom"/>
          </w:tcPr>
          <w:p>
            <w:pPr>
              <w:spacing w:after="0"/>
              <w:rPr>
                <w:sz w:val="1"/>
                <w:szCs w:val="1"/>
                <w:color w:val="auto"/>
              </w:rPr>
            </w:pPr>
          </w:p>
        </w:tc>
      </w:tr>
      <w:tr>
        <w:trPr>
          <w:trHeight w:val="225"/>
        </w:trPr>
        <w:tc>
          <w:tcPr>
            <w:tcW w:w="5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b w:val="1"/>
                <w:bCs w:val="1"/>
                <w:color w:val="auto"/>
              </w:rPr>
              <w:t>13,271</w:t>
            </w:r>
          </w:p>
        </w:tc>
        <w:tc>
          <w:tcPr>
            <w:tcW w:w="20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18)</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16,998</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Preferred stock—authorized, 20,000,000 shares; issued, zero</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common stock, $0.01 par value—authorized, 7,500,000,000 shares; issued, 2,487,739,385 and</w:t>
            </w: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25</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440"/>
              <w:spacing w:after="0" w:line="202" w:lineRule="exact"/>
              <w:rPr>
                <w:sz w:val="20"/>
                <w:szCs w:val="20"/>
                <w:color w:val="auto"/>
              </w:rPr>
            </w:pPr>
            <w:r>
              <w:rPr>
                <w:rFonts w:ascii="Arial" w:cs="Arial" w:eastAsia="Arial" w:hAnsi="Arial"/>
                <w:sz w:val="18"/>
                <w:szCs w:val="18"/>
                <w:color w:val="auto"/>
              </w:rPr>
              <w:t>2,460,937,253; outstanding, 2,122,278,635 and 2,095,476,503</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Special common stock, $0.01 par value—authorized, 7,500,000,000 shares; issued, 578,704,227 and</w:t>
            </w: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440"/>
              <w:spacing w:after="0" w:line="181" w:lineRule="exact"/>
              <w:rPr>
                <w:sz w:val="20"/>
                <w:szCs w:val="20"/>
                <w:color w:val="auto"/>
              </w:rPr>
            </w:pPr>
            <w:r>
              <w:rPr>
                <w:rFonts w:ascii="Arial" w:cs="Arial" w:eastAsia="Arial" w:hAnsi="Arial"/>
                <w:sz w:val="18"/>
                <w:szCs w:val="18"/>
                <w:color w:val="auto"/>
              </w:rPr>
              <w:t>671,947,577; outstanding, 507,769,463 and 601,012,813</w:t>
            </w:r>
          </w:p>
        </w:tc>
        <w:tc>
          <w:tcPr>
            <w:tcW w:w="3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40,547</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40,940</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16,280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5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(7,517)</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15</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Comcast Corporation shareholders’ equity</w:t>
            </w:r>
          </w:p>
        </w:tc>
        <w:tc>
          <w:tcPr>
            <w:tcW w:w="3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49,356</w:t>
            </w:r>
          </w:p>
        </w:tc>
        <w:tc>
          <w:tcPr>
            <w:tcW w:w="20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440</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35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49,796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3580" w:type="dxa"/>
            <w:vAlign w:val="bottom"/>
            <w:tcBorders>
              <w:bottom w:val="single" w:sz="8" w:color="3E499A"/>
            </w:tcBorders>
          </w:tcPr>
          <w:p>
            <w:pPr>
              <w:spacing w:after="0"/>
              <w:rPr>
                <w:sz w:val="17"/>
                <w:szCs w:val="17"/>
                <w:color w:val="auto"/>
              </w:rPr>
            </w:pPr>
          </w:p>
        </w:tc>
        <w:tc>
          <w:tcPr>
            <w:tcW w:w="5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E499A"/>
            </w:tcBorders>
          </w:tcPr>
          <w:p>
            <w:pPr>
              <w:jc w:val="right"/>
              <w:ind w:right="53"/>
              <w:spacing w:after="0" w:line="196" w:lineRule="exact"/>
              <w:rPr>
                <w:sz w:val="20"/>
                <w:szCs w:val="20"/>
                <w:color w:val="auto"/>
              </w:rPr>
            </w:pPr>
            <w:r>
              <w:rPr>
                <w:rFonts w:ascii="Arial" w:cs="Arial" w:eastAsia="Arial" w:hAnsi="Arial"/>
                <w:sz w:val="18"/>
                <w:szCs w:val="18"/>
                <w:b w:val="1"/>
                <w:bCs w:val="1"/>
                <w:color w:val="auto"/>
                <w:w w:val="98"/>
              </w:rPr>
              <w:t>164,971</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color w:val="auto"/>
              </w:rPr>
              <w:t>157,818</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54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3580" w:type="dxa"/>
            <w:vAlign w:val="bottom"/>
          </w:tcPr>
          <w:p>
            <w:pPr>
              <w:jc w:val="right"/>
              <w:ind w:right="3212"/>
              <w:spacing w:after="0"/>
              <w:rPr>
                <w:sz w:val="20"/>
                <w:szCs w:val="20"/>
                <w:color w:val="auto"/>
              </w:rPr>
            </w:pPr>
            <w:r>
              <w:rPr>
                <w:rFonts w:ascii="Arial" w:cs="Arial" w:eastAsia="Arial" w:hAnsi="Arial"/>
                <w:sz w:val="14"/>
                <w:szCs w:val="14"/>
                <w:b w:val="1"/>
                <w:bCs w:val="1"/>
                <w:color w:val="auto"/>
              </w:rPr>
              <w:t>76</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7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81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780" w:type="dxa"/>
            <w:vAlign w:val="bottom"/>
          </w:tcPr>
          <w:p>
            <w:pPr>
              <w:ind w:left="660"/>
              <w:spacing w:after="0" w:line="200"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62,570</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55,842</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37,937</w:t>
            </w: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78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19,929</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7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16,598</w:t>
            </w: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7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17,857</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16,656</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7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4,807</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4,231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7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6,150</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6,040</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1,648</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1,596</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50,391</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45,121</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29,957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0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78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12,179</w:t>
            </w:r>
          </w:p>
        </w:tc>
        <w:tc>
          <w:tcPr>
            <w:tcW w:w="20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10,721</w:t>
            </w:r>
          </w:p>
        </w:tc>
        <w:tc>
          <w:tcPr>
            <w:tcW w:w="20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7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(2,521)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(2,505)</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7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219</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7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959</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773</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(570)</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177"/>
        </w:trPr>
        <w:tc>
          <w:tcPr>
            <w:tcW w:w="812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11,609</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8,207</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21"/>
        </w:trPr>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(3,744)</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177"/>
        </w:trPr>
        <w:tc>
          <w:tcPr>
            <w:tcW w:w="8120" w:type="dxa"/>
            <w:vAlign w:val="bottom"/>
            <w:gridSpan w:val="2"/>
          </w:tcPr>
          <w:p>
            <w:pPr>
              <w:spacing w:after="0" w:line="177" w:lineRule="exact"/>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7,865</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5,157</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21"/>
        </w:trPr>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3E499A"/>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780" w:type="dxa"/>
            <w:vAlign w:val="bottom"/>
            <w:tcBorders>
              <w:bottom w:val="single" w:sz="8" w:color="3E499A"/>
            </w:tcBorders>
          </w:tcPr>
          <w:p>
            <w:pPr>
              <w:ind w:left="660"/>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3E499A"/>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6,203</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3E499A"/>
            </w:tcBorders>
          </w:tcPr>
          <w:p>
            <w:pPr>
              <w:jc w:val="right"/>
              <w:ind w:right="53"/>
              <w:spacing w:after="0" w:line="196" w:lineRule="exact"/>
              <w:rPr>
                <w:sz w:val="20"/>
                <w:szCs w:val="20"/>
                <w:color w:val="auto"/>
              </w:rPr>
            </w:pPr>
            <w:r>
              <w:rPr>
                <w:rFonts w:ascii="Arial" w:cs="Arial" w:eastAsia="Arial" w:hAnsi="Arial"/>
                <w:sz w:val="18"/>
                <w:szCs w:val="18"/>
                <w:color w:val="auto"/>
              </w:rPr>
              <w:t>4,160</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177"/>
        </w:trPr>
        <w:tc>
          <w:tcPr>
            <w:tcW w:w="81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780" w:type="dxa"/>
            <w:vAlign w:val="bottom"/>
          </w:tcPr>
          <w:p>
            <w:pPr>
              <w:ind w:left="660"/>
              <w:spacing w:after="0" w:line="177"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2.32</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1.51</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780" w:type="dxa"/>
            <w:vAlign w:val="bottom"/>
          </w:tcPr>
          <w:p>
            <w:pPr>
              <w:ind w:left="660"/>
              <w:spacing w:after="0" w:line="202"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2.28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1"/>
        </w:trPr>
        <w:tc>
          <w:tcPr>
            <w:tcW w:w="8120" w:type="dxa"/>
            <w:vAlign w:val="bottom"/>
            <w:tcBorders>
              <w:bottom w:val="single" w:sz="8" w:color="3E499A"/>
            </w:tcBorders>
            <w:gridSpan w:val="2"/>
          </w:tcPr>
          <w:p>
            <w:pPr>
              <w:spacing w:after="0"/>
              <w:rPr>
                <w:sz w:val="20"/>
                <w:szCs w:val="20"/>
                <w:color w:val="auto"/>
              </w:rPr>
            </w:pPr>
            <w:r>
              <w:rPr>
                <w:rFonts w:ascii="Arial" w:cs="Arial" w:eastAsia="Arial" w:hAnsi="Arial"/>
                <w:sz w:val="18"/>
                <w:szCs w:val="18"/>
                <w:b w:val="1"/>
                <w:bCs w:val="1"/>
                <w:color w:val="auto"/>
              </w:rPr>
              <w:t>Dividends declared per common share attributable to Comcast Corporation shareholders</w:t>
            </w:r>
          </w:p>
        </w:tc>
        <w:tc>
          <w:tcPr>
            <w:tcW w:w="780" w:type="dxa"/>
            <w:vAlign w:val="bottom"/>
            <w:tcBorders>
              <w:bottom w:val="single" w:sz="8" w:color="3E499A"/>
            </w:tcBorders>
          </w:tcPr>
          <w:p>
            <w:pPr>
              <w:ind w:left="66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3E499A"/>
            </w:tcBorders>
          </w:tcPr>
          <w:p>
            <w:pPr>
              <w:jc w:val="right"/>
              <w:ind w:right="53"/>
              <w:spacing w:after="0"/>
              <w:rPr>
                <w:sz w:val="20"/>
                <w:szCs w:val="20"/>
                <w:color w:val="auto"/>
              </w:rPr>
            </w:pPr>
            <w:r>
              <w:rPr>
                <w:rFonts w:ascii="Arial" w:cs="Arial" w:eastAsia="Arial" w:hAnsi="Arial"/>
                <w:sz w:val="18"/>
                <w:szCs w:val="18"/>
                <w:b w:val="1"/>
                <w:bCs w:val="1"/>
                <w:color w:val="auto"/>
              </w:rPr>
              <w:t>0.65</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3E499A"/>
            </w:tcBorders>
          </w:tcPr>
          <w:p>
            <w:pPr>
              <w:jc w:val="right"/>
              <w:ind w:right="53"/>
              <w:spacing w:after="0"/>
              <w:rPr>
                <w:sz w:val="20"/>
                <w:szCs w:val="20"/>
                <w:color w:val="auto"/>
              </w:rPr>
            </w:pPr>
            <w:r>
              <w:rPr>
                <w:rFonts w:ascii="Arial" w:cs="Arial" w:eastAsia="Arial" w:hAnsi="Arial"/>
                <w:sz w:val="18"/>
                <w:szCs w:val="18"/>
                <w:color w:val="auto"/>
              </w:rPr>
              <w:t>0.45</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3E499A"/>
            </w:tcBorders>
          </w:tcPr>
          <w:p>
            <w:pPr>
              <w:jc w:val="right"/>
              <w:ind w:right="13"/>
              <w:spacing w:after="0"/>
              <w:rPr>
                <w:sz w:val="20"/>
                <w:szCs w:val="20"/>
                <w:color w:val="auto"/>
              </w:rPr>
            </w:pPr>
            <w:r>
              <w:rPr>
                <w:rFonts w:ascii="Arial" w:cs="Arial" w:eastAsia="Arial" w:hAnsi="Arial"/>
                <w:sz w:val="18"/>
                <w:szCs w:val="18"/>
                <w:color w:val="auto"/>
              </w:rPr>
              <w:t>0.378</w:t>
            </w:r>
          </w:p>
        </w:tc>
        <w:tc>
          <w:tcPr>
            <w:tcW w:w="0" w:type="dxa"/>
            <w:vAlign w:val="bottom"/>
          </w:tcPr>
          <w:p>
            <w:pPr>
              <w:spacing w:after="0"/>
              <w:rPr>
                <w:sz w:val="1"/>
                <w:szCs w:val="1"/>
                <w:color w:val="auto"/>
              </w:rPr>
            </w:pPr>
          </w:p>
        </w:tc>
      </w:tr>
      <w:tr>
        <w:trPr>
          <w:trHeight w:val="209"/>
        </w:trPr>
        <w:tc>
          <w:tcPr>
            <w:tcW w:w="812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8120" w:type="dxa"/>
            <w:vAlign w:val="bottom"/>
            <w:gridSpan w:val="2"/>
          </w:tcPr>
          <w:p>
            <w:pPr>
              <w:ind w:left="5680"/>
              <w:spacing w:after="0"/>
              <w:rPr>
                <w:sz w:val="20"/>
                <w:szCs w:val="20"/>
                <w:color w:val="auto"/>
              </w:rPr>
            </w:pPr>
            <w:r>
              <w:rPr>
                <w:rFonts w:ascii="Arial" w:cs="Arial" w:eastAsia="Arial" w:hAnsi="Arial"/>
                <w:sz w:val="14"/>
                <w:szCs w:val="14"/>
                <w:b w:val="1"/>
                <w:bCs w:val="1"/>
                <w:color w:val="auto"/>
              </w:rPr>
              <w:t>77</w:t>
            </w:r>
          </w:p>
        </w:tc>
        <w:tc>
          <w:tcPr>
            <w:tcW w:w="3300" w:type="dxa"/>
            <w:vAlign w:val="bottom"/>
            <w:gridSpan w:val="6"/>
          </w:tcPr>
          <w:p>
            <w:pPr>
              <w:ind w:left="660"/>
              <w:spacing w:after="0"/>
              <w:rPr>
                <w:sz w:val="20"/>
                <w:szCs w:val="20"/>
                <w:color w:val="auto"/>
              </w:rPr>
            </w:pPr>
            <w:r>
              <w:rPr>
                <w:rFonts w:ascii="Arial" w:cs="Arial" w:eastAsia="Arial" w:hAnsi="Arial"/>
                <w:sz w:val="14"/>
                <w:szCs w:val="14"/>
                <w:color w:val="auto"/>
                <w:w w:val="95"/>
              </w:rPr>
              <w:t>Comcast 2012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Comprehensive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7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5700" w:type="dxa"/>
            <w:vAlign w:val="bottom"/>
          </w:tcPr>
          <w:p>
            <w:pPr>
              <w:spacing w:after="0" w:line="200" w:lineRule="exact"/>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7"/>
                <w:szCs w:val="17"/>
                <w:color w:val="auto"/>
              </w:rPr>
            </w:pPr>
          </w:p>
        </w:tc>
        <w:tc>
          <w:tcPr>
            <w:tcW w:w="2320" w:type="dxa"/>
            <w:vAlign w:val="bottom"/>
          </w:tcPr>
          <w:p>
            <w:pPr>
              <w:jc w:val="right"/>
              <w:ind w:right="54"/>
              <w:spacing w:after="0" w:line="200" w:lineRule="exact"/>
              <w:rPr>
                <w:sz w:val="20"/>
                <w:szCs w:val="20"/>
                <w:color w:val="auto"/>
              </w:rPr>
            </w:pPr>
            <w:r>
              <w:rPr>
                <w:rFonts w:ascii="Arial" w:cs="Arial" w:eastAsia="Arial" w:hAnsi="Arial"/>
                <w:sz w:val="18"/>
                <w:szCs w:val="18"/>
                <w:b w:val="1"/>
                <w:bCs w:val="1"/>
                <w:color w:val="auto"/>
              </w:rPr>
              <w:t>$ 7,865</w:t>
            </w:r>
          </w:p>
        </w:tc>
        <w:tc>
          <w:tcPr>
            <w:tcW w:w="8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$ 5,157</w:t>
            </w:r>
          </w:p>
        </w:tc>
        <w:tc>
          <w:tcPr>
            <w:tcW w:w="8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$ 3,668</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w w:val="98"/>
              </w:rPr>
              <w:t>Unrealized gains (losses) on marketable securities, net of deferred taxes</w:t>
            </w:r>
          </w:p>
        </w:tc>
        <w:tc>
          <w:tcPr>
            <w:tcW w:w="1780" w:type="dxa"/>
            <w:vAlign w:val="bottom"/>
          </w:tcPr>
          <w:p>
            <w:pPr>
              <w:spacing w:after="0"/>
              <w:rPr>
                <w:sz w:val="17"/>
                <w:szCs w:val="17"/>
                <w:color w:val="auto"/>
              </w:rPr>
            </w:pPr>
          </w:p>
        </w:tc>
        <w:tc>
          <w:tcPr>
            <w:tcW w:w="23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161</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2" w:lineRule="exact"/>
              <w:rPr>
                <w:sz w:val="20"/>
                <w:szCs w:val="20"/>
                <w:color w:val="auto"/>
              </w:rPr>
            </w:pPr>
            <w:r>
              <w:rPr>
                <w:rFonts w:ascii="Arial" w:cs="Arial" w:eastAsia="Arial" w:hAnsi="Arial"/>
                <w:sz w:val="18"/>
                <w:szCs w:val="18"/>
                <w:color w:val="auto"/>
              </w:rPr>
              <w:t>of $(95), $(2) and $ —</w:t>
            </w:r>
          </w:p>
        </w:tc>
        <w:tc>
          <w:tcPr>
            <w:tcW w:w="178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 net of deferred taxes</w:t>
            </w:r>
          </w:p>
        </w:tc>
        <w:tc>
          <w:tcPr>
            <w:tcW w:w="1780" w:type="dxa"/>
            <w:vAlign w:val="bottom"/>
          </w:tcPr>
          <w:p>
            <w:pPr>
              <w:spacing w:after="0"/>
              <w:rPr>
                <w:sz w:val="17"/>
                <w:szCs w:val="17"/>
                <w:color w:val="auto"/>
              </w:rPr>
            </w:pPr>
          </w:p>
        </w:tc>
        <w:tc>
          <w:tcPr>
            <w:tcW w:w="23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58</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2" w:lineRule="exact"/>
              <w:rPr>
                <w:sz w:val="20"/>
                <w:szCs w:val="20"/>
                <w:color w:val="auto"/>
              </w:rPr>
            </w:pPr>
            <w:r>
              <w:rPr>
                <w:rFonts w:ascii="Arial" w:cs="Arial" w:eastAsia="Arial" w:hAnsi="Arial"/>
                <w:sz w:val="18"/>
                <w:szCs w:val="18"/>
                <w:color w:val="auto"/>
              </w:rPr>
              <w:t>of $(34), $15 and $47</w:t>
            </w:r>
          </w:p>
        </w:tc>
        <w:tc>
          <w:tcPr>
            <w:tcW w:w="178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Amounts reclassified to net income:</w:t>
            </w:r>
          </w:p>
        </w:tc>
        <w:tc>
          <w:tcPr>
            <w:tcW w:w="17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2" w:lineRule="exact"/>
              <w:rPr>
                <w:sz w:val="20"/>
                <w:szCs w:val="20"/>
                <w:color w:val="auto"/>
              </w:rPr>
            </w:pPr>
            <w:r>
              <w:rPr>
                <w:rFonts w:ascii="Arial" w:cs="Arial" w:eastAsia="Arial" w:hAnsi="Arial"/>
                <w:sz w:val="18"/>
                <w:szCs w:val="18"/>
                <w:color w:val="auto"/>
                <w:w w:val="97"/>
              </w:rPr>
              <w:t>Realized (gains) losses on marketable securities, net of deferred taxes</w:t>
            </w:r>
          </w:p>
        </w:tc>
        <w:tc>
          <w:tcPr>
            <w:tcW w:w="1780" w:type="dxa"/>
            <w:vAlign w:val="bottom"/>
          </w:tcPr>
          <w:p>
            <w:pPr>
              <w:spacing w:after="0"/>
              <w:rPr>
                <w:sz w:val="17"/>
                <w:szCs w:val="17"/>
                <w:color w:val="auto"/>
              </w:rPr>
            </w:pPr>
          </w:p>
        </w:tc>
        <w:tc>
          <w:tcPr>
            <w:tcW w:w="23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440"/>
              <w:spacing w:after="0" w:line="202" w:lineRule="exact"/>
              <w:rPr>
                <w:sz w:val="20"/>
                <w:szCs w:val="20"/>
                <w:color w:val="auto"/>
              </w:rPr>
            </w:pPr>
            <w:r>
              <w:rPr>
                <w:rFonts w:ascii="Arial" w:cs="Arial" w:eastAsia="Arial" w:hAnsi="Arial"/>
                <w:sz w:val="18"/>
                <w:szCs w:val="18"/>
                <w:color w:val="auto"/>
              </w:rPr>
              <w:t>of $ —, $5 and $2</w:t>
            </w:r>
          </w:p>
        </w:tc>
        <w:tc>
          <w:tcPr>
            <w:tcW w:w="178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2" w:lineRule="exact"/>
              <w:rPr>
                <w:sz w:val="20"/>
                <w:szCs w:val="20"/>
                <w:color w:val="auto"/>
              </w:rPr>
            </w:pPr>
            <w:r>
              <w:rPr>
                <w:rFonts w:ascii="Arial" w:cs="Arial" w:eastAsia="Arial" w:hAnsi="Arial"/>
                <w:sz w:val="18"/>
                <w:szCs w:val="18"/>
                <w:color w:val="auto"/>
              </w:rPr>
              <w:t>Realized (gains) losses on cash flow hedges, net of deferred taxes</w:t>
            </w:r>
          </w:p>
        </w:tc>
        <w:tc>
          <w:tcPr>
            <w:tcW w:w="1780" w:type="dxa"/>
            <w:vAlign w:val="bottom"/>
          </w:tcPr>
          <w:p>
            <w:pPr>
              <w:spacing w:after="0"/>
              <w:rPr>
                <w:sz w:val="17"/>
                <w:szCs w:val="17"/>
                <w:color w:val="auto"/>
              </w:rPr>
            </w:pPr>
          </w:p>
        </w:tc>
        <w:tc>
          <w:tcPr>
            <w:tcW w:w="2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00" w:type="dxa"/>
            <w:vAlign w:val="bottom"/>
          </w:tcPr>
          <w:p>
            <w:pPr>
              <w:ind w:left="440"/>
              <w:spacing w:after="0" w:line="181" w:lineRule="exact"/>
              <w:rPr>
                <w:sz w:val="20"/>
                <w:szCs w:val="20"/>
                <w:color w:val="auto"/>
              </w:rPr>
            </w:pPr>
            <w:r>
              <w:rPr>
                <w:rFonts w:ascii="Arial" w:cs="Arial" w:eastAsia="Arial" w:hAnsi="Arial"/>
                <w:sz w:val="18"/>
                <w:szCs w:val="18"/>
                <w:color w:val="auto"/>
              </w:rPr>
              <w:t>of $8, $(11) and $(21)</w:t>
            </w:r>
          </w:p>
        </w:tc>
        <w:tc>
          <w:tcPr>
            <w:tcW w:w="1780" w:type="dxa"/>
            <w:vAlign w:val="bottom"/>
          </w:tcPr>
          <w:p>
            <w:pPr>
              <w:spacing w:after="0"/>
              <w:rPr>
                <w:sz w:val="15"/>
                <w:szCs w:val="15"/>
                <w:color w:val="auto"/>
              </w:rPr>
            </w:pPr>
          </w:p>
        </w:tc>
        <w:tc>
          <w:tcPr>
            <w:tcW w:w="2320" w:type="dxa"/>
            <w:vAlign w:val="bottom"/>
            <w:vMerge w:val="continue"/>
          </w:tcPr>
          <w:p>
            <w:pPr>
              <w:spacing w:after="0"/>
              <w:rPr>
                <w:sz w:val="15"/>
                <w:szCs w:val="15"/>
                <w:color w:val="auto"/>
              </w:rPr>
            </w:pPr>
          </w:p>
        </w:tc>
        <w:tc>
          <w:tcPr>
            <w:tcW w:w="820" w:type="dxa"/>
            <w:vAlign w:val="bottom"/>
          </w:tcPr>
          <w:p>
            <w:pPr>
              <w:jc w:val="right"/>
              <w:ind w:right="54"/>
              <w:spacing w:after="0" w:line="181" w:lineRule="exact"/>
              <w:rPr>
                <w:sz w:val="20"/>
                <w:szCs w:val="20"/>
                <w:color w:val="auto"/>
              </w:rPr>
            </w:pPr>
            <w:r>
              <w:rPr>
                <w:rFonts w:ascii="Arial" w:cs="Arial" w:eastAsia="Arial" w:hAnsi="Arial"/>
                <w:sz w:val="18"/>
                <w:szCs w:val="18"/>
                <w:color w:val="auto"/>
              </w:rPr>
              <w:t>20</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Employee benefit obligations, net of deferred taxes of $22, $22 and $9</w:t>
            </w:r>
          </w:p>
        </w:tc>
        <w:tc>
          <w:tcPr>
            <w:tcW w:w="178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translation adjustments, net of deferred taxes of $ —, $3, and $ —</w:t>
            </w:r>
          </w:p>
        </w:tc>
        <w:tc>
          <w:tcPr>
            <w:tcW w:w="2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7"/>
        </w:trPr>
        <w:tc>
          <w:tcPr>
            <w:tcW w:w="5700" w:type="dxa"/>
            <w:vAlign w:val="bottom"/>
          </w:tcPr>
          <w:p>
            <w:pPr>
              <w:spacing w:after="0" w:line="177" w:lineRule="exact"/>
              <w:rPr>
                <w:sz w:val="20"/>
                <w:szCs w:val="20"/>
                <w:color w:val="auto"/>
              </w:rPr>
            </w:pPr>
            <w:r>
              <w:rPr>
                <w:rFonts w:ascii="Arial" w:cs="Arial" w:eastAsia="Arial" w:hAnsi="Arial"/>
                <w:sz w:val="18"/>
                <w:szCs w:val="18"/>
                <w:color w:val="auto"/>
              </w:rPr>
              <w:t>Comprehensive income</w:t>
            </w:r>
          </w:p>
        </w:tc>
        <w:tc>
          <w:tcPr>
            <w:tcW w:w="1780" w:type="dxa"/>
            <w:vAlign w:val="bottom"/>
          </w:tcPr>
          <w:p>
            <w:pPr>
              <w:spacing w:after="0"/>
              <w:rPr>
                <w:sz w:val="15"/>
                <w:szCs w:val="15"/>
                <w:color w:val="auto"/>
              </w:rPr>
            </w:pPr>
          </w:p>
        </w:tc>
        <w:tc>
          <w:tcPr>
            <w:tcW w:w="23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8,038</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5,066</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Net (income) loss attributable to noncontrolling interests</w:t>
            </w:r>
          </w:p>
        </w:tc>
        <w:tc>
          <w:tcPr>
            <w:tcW w:w="178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(1,662)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1"/>
        </w:trPr>
        <w:tc>
          <w:tcPr>
            <w:tcW w:w="7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Comprehensive income attributable to Comcast Corporation</w:t>
            </w:r>
          </w:p>
        </w:tc>
        <w:tc>
          <w:tcPr>
            <w:tcW w:w="1780" w:type="dxa"/>
            <w:vAlign w:val="bottom"/>
            <w:tcBorders>
              <w:bottom w:val="single" w:sz="8" w:color="3E499A"/>
            </w:tcBorders>
          </w:tcPr>
          <w:p>
            <w:pPr>
              <w:spacing w:after="0"/>
              <w:rPr>
                <w:sz w:val="17"/>
                <w:szCs w:val="17"/>
                <w:color w:val="auto"/>
              </w:rPr>
            </w:pPr>
          </w:p>
        </w:tc>
        <w:tc>
          <w:tcPr>
            <w:tcW w:w="232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$ 6,370</w:t>
            </w:r>
          </w:p>
        </w:tc>
        <w:tc>
          <w:tcPr>
            <w:tcW w:w="82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color w:val="auto"/>
              </w:rPr>
              <w:t>$ 4,107</w:t>
            </w:r>
          </w:p>
        </w:tc>
        <w:tc>
          <w:tcPr>
            <w:tcW w:w="80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$ 3,582</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17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80" w:type="dxa"/>
            <w:vAlign w:val="bottom"/>
          </w:tcPr>
          <w:p>
            <w:pPr>
              <w:jc w:val="right"/>
              <w:ind w:right="1572"/>
              <w:spacing w:after="0"/>
              <w:rPr>
                <w:sz w:val="20"/>
                <w:szCs w:val="20"/>
                <w:color w:val="auto"/>
              </w:rPr>
            </w:pPr>
            <w:r>
              <w:rPr>
                <w:rFonts w:ascii="Arial" w:cs="Arial" w:eastAsia="Arial" w:hAnsi="Arial"/>
                <w:sz w:val="14"/>
                <w:szCs w:val="14"/>
                <w:b w:val="1"/>
                <w:bCs w:val="1"/>
                <w:color w:val="auto"/>
                <w:w w:val="76"/>
              </w:rPr>
              <w:t>78</w:t>
            </w:r>
          </w:p>
        </w:tc>
        <w:tc>
          <w:tcPr>
            <w:tcW w:w="2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7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110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7,865</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1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5,157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100" w:type="dxa"/>
            <w:vAlign w:val="bottom"/>
          </w:tcPr>
          <w:p>
            <w:pPr>
              <w:spacing w:after="0"/>
              <w:rPr>
                <w:sz w:val="17"/>
                <w:szCs w:val="17"/>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7,798</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53"/>
              <w:spacing w:after="0" w:line="181" w:lineRule="exact"/>
              <w:rPr>
                <w:sz w:val="20"/>
                <w:szCs w:val="20"/>
                <w:color w:val="auto"/>
              </w:rPr>
            </w:pPr>
            <w:r>
              <w:rPr>
                <w:rFonts w:ascii="Arial" w:cs="Arial" w:eastAsia="Arial" w:hAnsi="Arial"/>
                <w:sz w:val="18"/>
                <w:szCs w:val="18"/>
                <w:color w:val="auto"/>
              </w:rPr>
              <w:t>7,636</w:t>
            </w:r>
          </w:p>
        </w:tc>
        <w:tc>
          <w:tcPr>
            <w:tcW w:w="180" w:type="dxa"/>
            <w:vAlign w:val="bottom"/>
          </w:tcPr>
          <w:p>
            <w:pPr>
              <w:spacing w:after="0"/>
              <w:rPr>
                <w:sz w:val="15"/>
                <w:szCs w:val="15"/>
                <w:color w:val="auto"/>
              </w:rPr>
            </w:pPr>
          </w:p>
        </w:tc>
        <w:tc>
          <w:tcPr>
            <w:tcW w:w="660" w:type="dxa"/>
            <w:vAlign w:val="bottom"/>
          </w:tcPr>
          <w:p>
            <w:pPr>
              <w:jc w:val="right"/>
              <w:ind w:right="13"/>
              <w:spacing w:after="0" w:line="181" w:lineRule="exact"/>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film and television costs</w:t>
            </w:r>
          </w:p>
        </w:tc>
        <w:tc>
          <w:tcPr>
            <w:tcW w:w="110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9,454</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6,787</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110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371</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344</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 expense (income), net</w:t>
            </w:r>
          </w:p>
        </w:tc>
        <w:tc>
          <w:tcPr>
            <w:tcW w:w="110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193</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146</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(959)</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110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195</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(1,062)</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b w:val="1"/>
                <w:bCs w:val="1"/>
                <w:color w:val="auto"/>
              </w:rPr>
              <w:t>139</w:t>
            </w:r>
          </w:p>
        </w:tc>
        <w:tc>
          <w:tcPr>
            <w:tcW w:w="18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1,058</w:t>
            </w:r>
          </w:p>
        </w:tc>
        <w:tc>
          <w:tcPr>
            <w:tcW w:w="18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1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(823)</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Change in current and noncurrent receivables, net</w:t>
            </w:r>
          </w:p>
        </w:tc>
        <w:tc>
          <w:tcPr>
            <w:tcW w:w="1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(427)</w:t>
            </w:r>
          </w:p>
        </w:tc>
        <w:tc>
          <w:tcPr>
            <w:tcW w:w="18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Change in film and television costs</w:t>
            </w:r>
          </w:p>
        </w:tc>
        <w:tc>
          <w:tcPr>
            <w:tcW w:w="1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(9,432)</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(7,080)</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Change in accounts payable and accrued expenses related to trade creditors</w:t>
            </w:r>
          </w:p>
        </w:tc>
        <w:tc>
          <w:tcPr>
            <w:tcW w:w="110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366</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Change in other operating assets and liabilities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749</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440</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1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w w:val="98"/>
              </w:rPr>
              <w:t>14,854</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14,345</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11,179</w:t>
            </w:r>
          </w:p>
        </w:tc>
        <w:tc>
          <w:tcPr>
            <w:tcW w:w="0" w:type="dxa"/>
            <w:vAlign w:val="bottom"/>
          </w:tcPr>
          <w:p>
            <w:pPr>
              <w:spacing w:after="0"/>
              <w:rPr>
                <w:sz w:val="1"/>
                <w:szCs w:val="1"/>
                <w:color w:val="auto"/>
              </w:rPr>
            </w:pPr>
          </w:p>
        </w:tc>
      </w:tr>
      <w:tr>
        <w:trPr>
          <w:trHeight w:val="199"/>
        </w:trPr>
        <w:tc>
          <w:tcPr>
            <w:tcW w:w="7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11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(5,714)</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1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(5,307)</w:t>
            </w:r>
          </w:p>
        </w:tc>
        <w:tc>
          <w:tcPr>
            <w:tcW w:w="18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1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(923)</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(954)</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1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(6,407)</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10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3,102</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277</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110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2,362</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1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(297)</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74</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1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(1,486)</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(12,508)</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199"/>
        </w:trPr>
        <w:tc>
          <w:tcPr>
            <w:tcW w:w="7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11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(544)</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53"/>
              <w:spacing w:after="0" w:line="181" w:lineRule="exact"/>
              <w:rPr>
                <w:sz w:val="20"/>
                <w:szCs w:val="20"/>
                <w:color w:val="auto"/>
              </w:rPr>
            </w:pPr>
            <w:r>
              <w:rPr>
                <w:rFonts w:ascii="Arial" w:cs="Arial" w:eastAsia="Arial" w:hAnsi="Arial"/>
                <w:sz w:val="18"/>
                <w:szCs w:val="18"/>
                <w:color w:val="auto"/>
              </w:rPr>
              <w:t>544</w:t>
            </w:r>
          </w:p>
        </w:tc>
        <w:tc>
          <w:tcPr>
            <w:tcW w:w="180" w:type="dxa"/>
            <w:vAlign w:val="bottom"/>
          </w:tcPr>
          <w:p>
            <w:pPr>
              <w:spacing w:after="0"/>
              <w:rPr>
                <w:sz w:val="15"/>
                <w:szCs w:val="15"/>
                <w:color w:val="auto"/>
              </w:rPr>
            </w:pPr>
          </w:p>
        </w:tc>
        <w:tc>
          <w:tcPr>
            <w:tcW w:w="660" w:type="dxa"/>
            <w:vAlign w:val="bottom"/>
          </w:tcPr>
          <w:p>
            <w:pPr>
              <w:jc w:val="right"/>
              <w:ind w:right="13"/>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110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4,544</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1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(2,881)</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(3,216)</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(3,000)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1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(1,608)</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(1,187)</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1100" w:type="dxa"/>
            <w:vAlign w:val="bottom"/>
          </w:tcPr>
          <w:p>
            <w:pPr>
              <w:spacing w:after="0"/>
              <w:rPr>
                <w:sz w:val="17"/>
                <w:szCs w:val="17"/>
                <w:color w:val="auto"/>
              </w:rPr>
            </w:pPr>
          </w:p>
        </w:tc>
        <w:tc>
          <w:tcPr>
            <w:tcW w:w="7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233</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283</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NBCUniversal noncontrolling member</w:t>
            </w:r>
          </w:p>
        </w:tc>
        <w:tc>
          <w:tcPr>
            <w:tcW w:w="1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(473)</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other noncontrolling interests</w:t>
            </w:r>
          </w:p>
        </w:tc>
        <w:tc>
          <w:tcPr>
            <w:tcW w:w="1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(218)</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1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(4,037)</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(6,201)</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77"/>
        </w:trPr>
        <w:tc>
          <w:tcPr>
            <w:tcW w:w="784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1100" w:type="dxa"/>
            <w:vAlign w:val="bottom"/>
          </w:tcPr>
          <w:p>
            <w:pPr>
              <w:spacing w:after="0"/>
              <w:rPr>
                <w:sz w:val="15"/>
                <w:szCs w:val="15"/>
                <w:color w:val="auto"/>
              </w:rPr>
            </w:pPr>
          </w:p>
        </w:tc>
        <w:tc>
          <w:tcPr>
            <w:tcW w:w="70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9,331</w:t>
            </w:r>
          </w:p>
        </w:tc>
        <w:tc>
          <w:tcPr>
            <w:tcW w:w="180" w:type="dxa"/>
            <w:vAlign w:val="bottom"/>
          </w:tcPr>
          <w:p>
            <w:pPr>
              <w:spacing w:after="0"/>
              <w:rPr>
                <w:sz w:val="15"/>
                <w:szCs w:val="15"/>
                <w:color w:val="auto"/>
              </w:rPr>
            </w:pPr>
          </w:p>
        </w:tc>
        <w:tc>
          <w:tcPr>
            <w:tcW w:w="760" w:type="dxa"/>
            <w:vAlign w:val="bottom"/>
          </w:tcPr>
          <w:p>
            <w:pPr>
              <w:jc w:val="right"/>
              <w:spacing w:after="0" w:line="177" w:lineRule="exact"/>
              <w:rPr>
                <w:sz w:val="20"/>
                <w:szCs w:val="20"/>
                <w:color w:val="auto"/>
              </w:rPr>
            </w:pPr>
            <w:r>
              <w:rPr>
                <w:rFonts w:ascii="Arial" w:cs="Arial" w:eastAsia="Arial" w:hAnsi="Arial"/>
                <w:sz w:val="18"/>
                <w:szCs w:val="18"/>
                <w:color w:val="auto"/>
              </w:rPr>
              <w:t>(4,364)</w:t>
            </w:r>
          </w:p>
        </w:tc>
        <w:tc>
          <w:tcPr>
            <w:tcW w:w="180" w:type="dxa"/>
            <w:vAlign w:val="bottom"/>
          </w:tcPr>
          <w:p>
            <w:pPr>
              <w:spacing w:after="0"/>
              <w:rPr>
                <w:sz w:val="15"/>
                <w:szCs w:val="15"/>
                <w:color w:val="auto"/>
              </w:rPr>
            </w:pPr>
          </w:p>
        </w:tc>
        <w:tc>
          <w:tcPr>
            <w:tcW w:w="660" w:type="dxa"/>
            <w:vAlign w:val="bottom"/>
          </w:tcPr>
          <w:p>
            <w:pPr>
              <w:jc w:val="right"/>
              <w:ind w:right="13"/>
              <w:spacing w:after="0" w:line="177" w:lineRule="exact"/>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21"/>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1,620</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5,984</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3E499A"/>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1100" w:type="dxa"/>
            <w:vAlign w:val="bottom"/>
            <w:tcBorders>
              <w:bottom w:val="single" w:sz="8" w:color="3E499A"/>
            </w:tcBorders>
          </w:tcPr>
          <w:p>
            <w:pPr>
              <w:ind w:left="96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3E499A"/>
            </w:tcBorders>
          </w:tcPr>
          <w:p>
            <w:pPr>
              <w:jc w:val="right"/>
              <w:ind w:right="53"/>
              <w:spacing w:after="0" w:line="196" w:lineRule="exact"/>
              <w:rPr>
                <w:sz w:val="20"/>
                <w:szCs w:val="20"/>
                <w:color w:val="auto"/>
              </w:rPr>
            </w:pPr>
            <w:r>
              <w:rPr>
                <w:rFonts w:ascii="Arial" w:cs="Arial" w:eastAsia="Arial" w:hAnsi="Arial"/>
                <w:sz w:val="18"/>
                <w:szCs w:val="18"/>
                <w:b w:val="1"/>
                <w:bCs w:val="1"/>
                <w:color w:val="auto"/>
                <w:w w:val="98"/>
              </w:rPr>
              <w:t>10,951</w:t>
            </w:r>
          </w:p>
        </w:tc>
        <w:tc>
          <w:tcPr>
            <w:tcW w:w="1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3E499A"/>
            </w:tcBorders>
          </w:tcPr>
          <w:p>
            <w:pPr>
              <w:jc w:val="right"/>
              <w:ind w:right="53"/>
              <w:spacing w:after="0" w:line="196" w:lineRule="exact"/>
              <w:rPr>
                <w:sz w:val="20"/>
                <w:szCs w:val="20"/>
                <w:color w:val="auto"/>
              </w:rPr>
            </w:pPr>
            <w:r>
              <w:rPr>
                <w:rFonts w:ascii="Arial" w:cs="Arial" w:eastAsia="Arial" w:hAnsi="Arial"/>
                <w:sz w:val="18"/>
                <w:szCs w:val="18"/>
                <w:color w:val="auto"/>
              </w:rPr>
              <w:t>1,620</w:t>
            </w:r>
          </w:p>
        </w:tc>
        <w:tc>
          <w:tcPr>
            <w:tcW w:w="1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09"/>
        </w:trPr>
        <w:tc>
          <w:tcPr>
            <w:tcW w:w="784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7840" w:type="dxa"/>
            <w:vAlign w:val="bottom"/>
            <w:gridSpan w:val="2"/>
          </w:tcPr>
          <w:p>
            <w:pPr>
              <w:ind w:left="5680"/>
              <w:spacing w:after="0"/>
              <w:rPr>
                <w:sz w:val="20"/>
                <w:szCs w:val="20"/>
                <w:color w:val="auto"/>
              </w:rPr>
            </w:pPr>
            <w:r>
              <w:rPr>
                <w:rFonts w:ascii="Arial" w:cs="Arial" w:eastAsia="Arial" w:hAnsi="Arial"/>
                <w:sz w:val="14"/>
                <w:szCs w:val="14"/>
                <w:b w:val="1"/>
                <w:bCs w:val="1"/>
                <w:color w:val="auto"/>
              </w:rPr>
              <w:t>79</w:t>
            </w:r>
          </w:p>
        </w:tc>
        <w:tc>
          <w:tcPr>
            <w:tcW w:w="3580" w:type="dxa"/>
            <w:vAlign w:val="bottom"/>
            <w:gridSpan w:val="6"/>
          </w:tcPr>
          <w:p>
            <w:pPr>
              <w:ind w:left="940"/>
              <w:spacing w:after="0"/>
              <w:rPr>
                <w:sz w:val="20"/>
                <w:szCs w:val="20"/>
                <w:color w:val="auto"/>
              </w:rPr>
            </w:pPr>
            <w:r>
              <w:rPr>
                <w:rFonts w:ascii="Arial" w:cs="Arial" w:eastAsia="Arial" w:hAnsi="Arial"/>
                <w:sz w:val="14"/>
                <w:szCs w:val="14"/>
                <w:color w:val="auto"/>
                <w:w w:val="95"/>
              </w:rPr>
              <w:t>Comcast 2012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Changes in Equity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100" w:type="dxa"/>
            <w:vAlign w:val="bottom"/>
            <w:tcBorders>
              <w:right w:val="single" w:sz="8" w:color="auto"/>
            </w:tcBorders>
            <w:gridSpan w:val="2"/>
          </w:tcPr>
          <w:p>
            <w:pPr>
              <w:jc w:val="center"/>
              <w:ind w:right="134"/>
              <w:spacing w:after="0"/>
              <w:rPr>
                <w:sz w:val="20"/>
                <w:szCs w:val="20"/>
                <w:color w:val="auto"/>
              </w:rPr>
            </w:pPr>
            <w:r>
              <w:rPr>
                <w:rFonts w:ascii="Arial" w:cs="Arial" w:eastAsia="Arial" w:hAnsi="Arial"/>
                <w:sz w:val="14"/>
                <w:szCs w:val="14"/>
                <w:color w:val="auto"/>
                <w:w w:val="95"/>
              </w:rPr>
              <w:t>Redeemable</w:t>
            </w:r>
          </w:p>
        </w:tc>
        <w:tc>
          <w:tcPr>
            <w:tcW w:w="140" w:type="dxa"/>
            <w:vAlign w:val="bottom"/>
          </w:tcPr>
          <w:p>
            <w:pPr>
              <w:spacing w:after="0"/>
              <w:rPr>
                <w:sz w:val="14"/>
                <w:szCs w:val="14"/>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Common Stock</w:t>
            </w:r>
          </w:p>
        </w:tc>
        <w:tc>
          <w:tcPr>
            <w:tcW w:w="880" w:type="dxa"/>
            <w:vAlign w:val="bottom"/>
            <w:vMerge w:val="restart"/>
          </w:tcPr>
          <w:p>
            <w:pPr>
              <w:jc w:val="right"/>
              <w:ind w:right="75"/>
              <w:spacing w:after="0"/>
              <w:rPr>
                <w:sz w:val="20"/>
                <w:szCs w:val="20"/>
                <w:color w:val="auto"/>
              </w:rPr>
            </w:pPr>
            <w:r>
              <w:rPr>
                <w:rFonts w:ascii="Arial" w:cs="Arial" w:eastAsia="Arial" w:hAnsi="Arial"/>
                <w:sz w:val="14"/>
                <w:szCs w:val="14"/>
                <w:color w:val="auto"/>
              </w:rPr>
              <w:t>Additional</w:t>
            </w:r>
          </w:p>
        </w:tc>
        <w:tc>
          <w:tcPr>
            <w:tcW w:w="86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7"/>
              </w:rPr>
              <w:t>Treasury</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6"/>
              </w:rPr>
              <w:t>Accumulated</w:t>
            </w:r>
          </w:p>
        </w:tc>
        <w:tc>
          <w:tcPr>
            <w:tcW w:w="180" w:type="dxa"/>
            <w:vAlign w:val="bottom"/>
          </w:tcPr>
          <w:p>
            <w:pPr>
              <w:spacing w:after="0"/>
              <w:rPr>
                <w:sz w:val="14"/>
                <w:szCs w:val="14"/>
                <w:color w:val="auto"/>
              </w:rPr>
            </w:pPr>
          </w:p>
        </w:tc>
        <w:tc>
          <w:tcPr>
            <w:tcW w:w="600" w:type="dxa"/>
            <w:vAlign w:val="bottom"/>
            <w:vMerge w:val="restart"/>
          </w:tcPr>
          <w:p>
            <w:pPr>
              <w:jc w:val="right"/>
              <w:ind w:right="194"/>
              <w:spacing w:after="0"/>
              <w:rPr>
                <w:sz w:val="20"/>
                <w:szCs w:val="20"/>
                <w:color w:val="auto"/>
              </w:rPr>
            </w:pPr>
            <w:r>
              <w:rPr>
                <w:rFonts w:ascii="Arial" w:cs="Arial" w:eastAsia="Arial" w:hAnsi="Arial"/>
                <w:sz w:val="14"/>
                <w:szCs w:val="14"/>
                <w:color w:val="auto"/>
                <w:w w:val="98"/>
              </w:rPr>
              <w:t>Non-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right w:val="single" w:sz="8" w:color="auto"/>
            </w:tcBorders>
          </w:tcPr>
          <w:p>
            <w:pPr>
              <w:jc w:val="center"/>
              <w:ind w:right="314"/>
              <w:spacing w:after="0" w:line="135" w:lineRule="exact"/>
              <w:rPr>
                <w:sz w:val="20"/>
                <w:szCs w:val="20"/>
                <w:color w:val="auto"/>
              </w:rPr>
            </w:pPr>
            <w:r>
              <w:rPr>
                <w:rFonts w:ascii="Arial" w:cs="Arial" w:eastAsia="Arial" w:hAnsi="Arial"/>
                <w:sz w:val="14"/>
                <w:szCs w:val="14"/>
                <w:color w:val="auto"/>
                <w:w w:val="98"/>
              </w:rPr>
              <w:t>Non-</w:t>
            </w:r>
          </w:p>
        </w:tc>
        <w:tc>
          <w:tcPr>
            <w:tcW w:w="14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right="215"/>
              <w:spacing w:after="0" w:line="135" w:lineRule="exact"/>
              <w:rPr>
                <w:sz w:val="20"/>
                <w:szCs w:val="20"/>
                <w:color w:val="auto"/>
              </w:rPr>
            </w:pPr>
            <w:r>
              <w:rPr>
                <w:rFonts w:ascii="Arial" w:cs="Arial" w:eastAsia="Arial" w:hAnsi="Arial"/>
                <w:sz w:val="14"/>
                <w:szCs w:val="14"/>
                <w:color w:val="auto"/>
                <w:w w:val="96"/>
              </w:rPr>
              <w:t>Other</w:t>
            </w:r>
          </w:p>
        </w:tc>
        <w:tc>
          <w:tcPr>
            <w:tcW w:w="1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154"/>
              <w:spacing w:after="0" w:line="129" w:lineRule="exact"/>
              <w:rPr>
                <w:sz w:val="20"/>
                <w:szCs w:val="20"/>
                <w:color w:val="auto"/>
              </w:rPr>
            </w:pPr>
            <w:r>
              <w:rPr>
                <w:rFonts w:ascii="Arial" w:cs="Arial" w:eastAsia="Arial" w:hAnsi="Arial"/>
                <w:sz w:val="14"/>
                <w:szCs w:val="14"/>
                <w:color w:val="auto"/>
                <w:w w:val="97"/>
              </w:rPr>
              <w:t>controlling</w:t>
            </w: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color w:val="auto"/>
              </w:rPr>
              <w:t>A</w:t>
            </w: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155"/>
              <w:spacing w:after="0" w:line="129" w:lineRule="exact"/>
              <w:rPr>
                <w:sz w:val="20"/>
                <w:szCs w:val="20"/>
                <w:color w:val="auto"/>
              </w:rPr>
            </w:pPr>
            <w:r>
              <w:rPr>
                <w:rFonts w:ascii="Arial" w:cs="Arial" w:eastAsia="Arial" w:hAnsi="Arial"/>
                <w:sz w:val="14"/>
                <w:szCs w:val="14"/>
                <w:color w:val="auto"/>
              </w:rPr>
              <w:t>Paid-In</w:t>
            </w:r>
          </w:p>
        </w:tc>
        <w:tc>
          <w:tcPr>
            <w:tcW w:w="860" w:type="dxa"/>
            <w:vAlign w:val="bottom"/>
          </w:tcPr>
          <w:p>
            <w:pPr>
              <w:jc w:val="right"/>
              <w:ind w:right="94"/>
              <w:spacing w:after="0" w:line="129" w:lineRule="exact"/>
              <w:rPr>
                <w:sz w:val="20"/>
                <w:szCs w:val="20"/>
                <w:color w:val="auto"/>
              </w:rPr>
            </w:pPr>
            <w:r>
              <w:rPr>
                <w:rFonts w:ascii="Arial" w:cs="Arial" w:eastAsia="Arial" w:hAnsi="Arial"/>
                <w:sz w:val="14"/>
                <w:szCs w:val="14"/>
                <w:color w:val="auto"/>
              </w:rPr>
              <w:t>Retained</w:t>
            </w:r>
          </w:p>
        </w:tc>
        <w:tc>
          <w:tcPr>
            <w:tcW w:w="840" w:type="dxa"/>
            <w:vAlign w:val="bottom"/>
          </w:tcPr>
          <w:p>
            <w:pPr>
              <w:jc w:val="center"/>
              <w:spacing w:after="0" w:line="129" w:lineRule="exact"/>
              <w:rPr>
                <w:sz w:val="20"/>
                <w:szCs w:val="20"/>
                <w:color w:val="auto"/>
              </w:rPr>
            </w:pPr>
            <w:r>
              <w:rPr>
                <w:rFonts w:ascii="Arial" w:cs="Arial" w:eastAsia="Arial" w:hAnsi="Arial"/>
                <w:sz w:val="14"/>
                <w:szCs w:val="14"/>
                <w:color w:val="auto"/>
                <w:w w:val="98"/>
              </w:rPr>
              <w:t>Stock at</w:t>
            </w: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95"/>
              </w:rPr>
              <w:t>Comprehensive</w:t>
            </w: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color w:val="auto"/>
              </w:rPr>
              <w:t>controlling</w:t>
            </w:r>
          </w:p>
        </w:tc>
        <w:tc>
          <w:tcPr>
            <w:tcW w:w="860" w:type="dxa"/>
            <w:vAlign w:val="bottom"/>
          </w:tcPr>
          <w:p>
            <w:pPr>
              <w:jc w:val="right"/>
              <w:ind w:right="234"/>
              <w:spacing w:after="0" w:line="12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294"/>
              <w:spacing w:after="0"/>
              <w:rPr>
                <w:sz w:val="20"/>
                <w:szCs w:val="20"/>
                <w:color w:val="auto"/>
              </w:rPr>
            </w:pPr>
            <w:r>
              <w:rPr>
                <w:rFonts w:ascii="Arial" w:cs="Arial" w:eastAsia="Arial" w:hAnsi="Arial"/>
                <w:sz w:val="14"/>
                <w:szCs w:val="14"/>
                <w:color w:val="auto"/>
                <w:w w:val="96"/>
              </w:rPr>
              <w:t>Interests</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A</w:t>
            </w: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Special</w:t>
            </w:r>
          </w:p>
        </w:tc>
        <w:tc>
          <w:tcPr>
            <w:tcW w:w="4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B</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Capital</w:t>
            </w: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Earnings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Cost</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Income (Loss)</w:t>
            </w:r>
          </w:p>
        </w:tc>
        <w:tc>
          <w:tcPr>
            <w:tcW w:w="7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color w:val="auto"/>
              </w:rPr>
              <w:t>Interests</w:t>
            </w: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3280" w:type="dxa"/>
            <w:vAlign w:val="bottom"/>
          </w:tcPr>
          <w:p>
            <w:pPr>
              <w:spacing w:after="0" w:line="200" w:lineRule="exact"/>
              <w:rPr>
                <w:sz w:val="20"/>
                <w:szCs w:val="20"/>
                <w:color w:val="auto"/>
              </w:rPr>
            </w:pPr>
            <w:r>
              <w:rPr>
                <w:rFonts w:ascii="Arial" w:cs="Arial" w:eastAsia="Arial" w:hAnsi="Arial"/>
                <w:sz w:val="18"/>
                <w:szCs w:val="18"/>
                <w:color w:val="auto"/>
              </w:rPr>
              <w:t>Balance, January 1, 2010</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194"/>
              <w:spacing w:after="0" w:line="200" w:lineRule="exact"/>
              <w:rPr>
                <w:sz w:val="20"/>
                <w:szCs w:val="20"/>
                <w:color w:val="auto"/>
              </w:rPr>
            </w:pPr>
            <w:r>
              <w:rPr>
                <w:rFonts w:ascii="Arial" w:cs="Arial" w:eastAsia="Arial" w:hAnsi="Arial"/>
                <w:sz w:val="18"/>
                <w:szCs w:val="18"/>
                <w:color w:val="auto"/>
              </w:rPr>
              <w:t>166</w:t>
            </w:r>
          </w:p>
        </w:tc>
        <w:tc>
          <w:tcPr>
            <w:tcW w:w="140" w:type="dxa"/>
            <w:vAlign w:val="bottom"/>
          </w:tcPr>
          <w:p>
            <w:pPr>
              <w:spacing w:after="0"/>
              <w:rPr>
                <w:sz w:val="17"/>
                <w:szCs w:val="17"/>
                <w:color w:val="auto"/>
              </w:rPr>
            </w:pPr>
          </w:p>
        </w:tc>
        <w:tc>
          <w:tcPr>
            <w:tcW w:w="440" w:type="dxa"/>
            <w:vAlign w:val="bottom"/>
          </w:tcPr>
          <w:p>
            <w:pPr>
              <w:jc w:val="right"/>
              <w:spacing w:after="0" w:line="200" w:lineRule="exact"/>
              <w:rPr>
                <w:sz w:val="20"/>
                <w:szCs w:val="20"/>
                <w:color w:val="auto"/>
              </w:rPr>
            </w:pPr>
            <w:r>
              <w:rPr>
                <w:rFonts w:ascii="Arial" w:cs="Arial" w:eastAsia="Arial" w:hAnsi="Arial"/>
                <w:sz w:val="18"/>
                <w:szCs w:val="18"/>
                <w:color w:val="auto"/>
                <w:w w:val="96"/>
              </w:rPr>
              <w:t>$ 24</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8</w:t>
            </w:r>
          </w:p>
        </w:tc>
        <w:tc>
          <w:tcPr>
            <w:tcW w:w="48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 —</w:t>
            </w:r>
          </w:p>
        </w:tc>
        <w:tc>
          <w:tcPr>
            <w:tcW w:w="8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$ 40,247</w:t>
            </w:r>
          </w:p>
        </w:tc>
        <w:tc>
          <w:tcPr>
            <w:tcW w:w="8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$ 10,005</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 (7,517)</w:t>
            </w:r>
          </w:p>
        </w:tc>
        <w:tc>
          <w:tcPr>
            <w:tcW w:w="240" w:type="dxa"/>
            <w:vAlign w:val="bottom"/>
          </w:tcPr>
          <w:p>
            <w:pPr>
              <w:jc w:val="right"/>
              <w:ind w:right="24"/>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(46)</w:t>
            </w:r>
          </w:p>
        </w:tc>
        <w:tc>
          <w:tcPr>
            <w:tcW w:w="180" w:type="dxa"/>
            <w:vAlign w:val="bottom"/>
          </w:tcPr>
          <w:p>
            <w:pPr>
              <w:ind w:left="40"/>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90</w:t>
            </w:r>
          </w:p>
        </w:tc>
        <w:tc>
          <w:tcPr>
            <w:tcW w:w="8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$ 42,811</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242</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w w:val="98"/>
              </w:rPr>
              <w:t>Repurchases and retirements of common</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stock</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(781)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61</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(1,059)</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Sale (purchase) of subsidiary shares to</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(from) noncontrolling interests, net</w:t>
            </w:r>
          </w:p>
        </w:tc>
        <w:tc>
          <w:tcPr>
            <w:tcW w:w="160" w:type="dxa"/>
            <w:vAlign w:val="bottom"/>
          </w:tcPr>
          <w:p>
            <w:pPr>
              <w:spacing w:after="0"/>
              <w:rPr>
                <w:sz w:val="17"/>
                <w:szCs w:val="17"/>
                <w:color w:val="auto"/>
              </w:rPr>
            </w:pPr>
          </w:p>
        </w:tc>
        <w:tc>
          <w:tcPr>
            <w:tcW w:w="940" w:type="dxa"/>
            <w:vAlign w:val="bottom"/>
            <w:tcBorders>
              <w:right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 net</w:t>
            </w:r>
          </w:p>
        </w:tc>
        <w:tc>
          <w:tcPr>
            <w:tcW w:w="160" w:type="dxa"/>
            <w:vAlign w:val="bottom"/>
          </w:tcPr>
          <w:p>
            <w:pPr>
              <w:spacing w:after="0"/>
              <w:rPr>
                <w:sz w:val="17"/>
                <w:szCs w:val="17"/>
                <w:color w:val="auto"/>
              </w:rPr>
            </w:pPr>
          </w:p>
        </w:tc>
        <w:tc>
          <w:tcPr>
            <w:tcW w:w="940" w:type="dxa"/>
            <w:vAlign w:val="bottom"/>
            <w:tcBorders>
              <w:right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9"/>
        </w:trPr>
        <w:tc>
          <w:tcPr>
            <w:tcW w:w="3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3,635</w:t>
            </w: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34</w:t>
            </w: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199"/>
        </w:trPr>
        <w:tc>
          <w:tcPr>
            <w:tcW w:w="3280" w:type="dxa"/>
            <w:vAlign w:val="bottom"/>
          </w:tcPr>
          <w:p>
            <w:pPr>
              <w:spacing w:after="0" w:line="200" w:lineRule="exact"/>
              <w:rPr>
                <w:sz w:val="20"/>
                <w:szCs w:val="20"/>
                <w:color w:val="auto"/>
              </w:rPr>
            </w:pPr>
            <w:r>
              <w:rPr>
                <w:rFonts w:ascii="Arial" w:cs="Arial" w:eastAsia="Arial" w:hAnsi="Arial"/>
                <w:sz w:val="18"/>
                <w:szCs w:val="18"/>
                <w:color w:val="auto"/>
              </w:rPr>
              <w:t>Balance, December 31, 2010</w:t>
            </w:r>
          </w:p>
        </w:tc>
        <w:tc>
          <w:tcPr>
            <w:tcW w:w="160" w:type="dxa"/>
            <w:vAlign w:val="bottom"/>
          </w:tcPr>
          <w:p>
            <w:pPr>
              <w:spacing w:after="0"/>
              <w:rPr>
                <w:sz w:val="17"/>
                <w:szCs w:val="17"/>
                <w:color w:val="auto"/>
              </w:rPr>
            </w:pPr>
          </w:p>
        </w:tc>
        <w:tc>
          <w:tcPr>
            <w:tcW w:w="940" w:type="dxa"/>
            <w:vAlign w:val="bottom"/>
            <w:tcBorders>
              <w:right w:val="single" w:sz="8" w:color="auto"/>
            </w:tcBorders>
          </w:tcPr>
          <w:p>
            <w:pPr>
              <w:jc w:val="right"/>
              <w:ind w:right="194"/>
              <w:spacing w:after="0" w:line="200" w:lineRule="exact"/>
              <w:rPr>
                <w:sz w:val="20"/>
                <w:szCs w:val="20"/>
                <w:color w:val="auto"/>
              </w:rPr>
            </w:pPr>
            <w:r>
              <w:rPr>
                <w:rFonts w:ascii="Arial" w:cs="Arial" w:eastAsia="Arial" w:hAnsi="Arial"/>
                <w:sz w:val="18"/>
                <w:szCs w:val="18"/>
                <w:color w:val="auto"/>
              </w:rPr>
              <w:t>143</w:t>
            </w:r>
          </w:p>
        </w:tc>
        <w:tc>
          <w:tcPr>
            <w:tcW w:w="140" w:type="dxa"/>
            <w:vAlign w:val="bottom"/>
          </w:tcPr>
          <w:p>
            <w:pPr>
              <w:spacing w:after="0"/>
              <w:rPr>
                <w:sz w:val="17"/>
                <w:szCs w:val="17"/>
                <w:color w:val="auto"/>
              </w:rPr>
            </w:pPr>
          </w:p>
        </w:tc>
        <w:tc>
          <w:tcPr>
            <w:tcW w:w="440" w:type="dxa"/>
            <w:vAlign w:val="bottom"/>
          </w:tcPr>
          <w:p>
            <w:pPr>
              <w:jc w:val="right"/>
              <w:spacing w:after="0" w:line="200"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3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8</w:t>
            </w:r>
          </w:p>
        </w:tc>
        <w:tc>
          <w:tcPr>
            <w:tcW w:w="48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39,780</w:t>
            </w:r>
          </w:p>
        </w:tc>
        <w:tc>
          <w:tcPr>
            <w:tcW w:w="8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12,158</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(7,517)</w:t>
            </w:r>
          </w:p>
        </w:tc>
        <w:tc>
          <w:tcPr>
            <w:tcW w:w="24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(99)</w:t>
            </w:r>
          </w:p>
        </w:tc>
        <w:tc>
          <w:tcPr>
            <w:tcW w:w="18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80</w:t>
            </w:r>
          </w:p>
        </w:tc>
        <w:tc>
          <w:tcPr>
            <w:tcW w:w="8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44,434</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509</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w w:val="98"/>
              </w:rPr>
              <w:t>Repurchases and retirements of common</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stock</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(1,067)</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(1,073)</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Employee stock purchase plans</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68</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7"/>
                <w:szCs w:val="17"/>
                <w:color w:val="auto"/>
              </w:rPr>
            </w:pPr>
          </w:p>
        </w:tc>
        <w:tc>
          <w:tcPr>
            <w:tcW w:w="940" w:type="dxa"/>
            <w:vAlign w:val="bottom"/>
            <w:tcBorders>
              <w:right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(38)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NBCUniversal transaction</w:t>
            </w:r>
          </w:p>
        </w:tc>
        <w:tc>
          <w:tcPr>
            <w:tcW w:w="160" w:type="dxa"/>
            <w:vAlign w:val="bottom"/>
          </w:tcPr>
          <w:p>
            <w:pPr>
              <w:spacing w:after="0"/>
              <w:rPr>
                <w:sz w:val="17"/>
                <w:szCs w:val="17"/>
                <w:color w:val="auto"/>
              </w:rPr>
            </w:pPr>
          </w:p>
        </w:tc>
        <w:tc>
          <w:tcPr>
            <w:tcW w:w="940" w:type="dxa"/>
            <w:vAlign w:val="bottom"/>
            <w:tcBorders>
              <w:right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15,198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1,605</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264</w:t>
            </w: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Issuance of subsidiary shares to</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7"/>
                <w:szCs w:val="17"/>
                <w:color w:val="auto"/>
              </w:rPr>
            </w:pPr>
          </w:p>
        </w:tc>
        <w:tc>
          <w:tcPr>
            <w:tcW w:w="940" w:type="dxa"/>
            <w:vAlign w:val="bottom"/>
            <w:tcBorders>
              <w:right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83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45</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43</w:t>
            </w: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 net</w:t>
            </w:r>
          </w:p>
        </w:tc>
        <w:tc>
          <w:tcPr>
            <w:tcW w:w="160" w:type="dxa"/>
            <w:vAlign w:val="bottom"/>
          </w:tcPr>
          <w:p>
            <w:pPr>
              <w:spacing w:after="0"/>
              <w:rPr>
                <w:sz w:val="17"/>
                <w:szCs w:val="17"/>
                <w:color w:val="auto"/>
              </w:rPr>
            </w:pPr>
          </w:p>
        </w:tc>
        <w:tc>
          <w:tcPr>
            <w:tcW w:w="940" w:type="dxa"/>
            <w:vAlign w:val="bottom"/>
            <w:tcBorders>
              <w:right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(214)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9"/>
        </w:trPr>
        <w:tc>
          <w:tcPr>
            <w:tcW w:w="3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194"/>
              <w:spacing w:after="0" w:line="200" w:lineRule="exact"/>
              <w:rPr>
                <w:sz w:val="20"/>
                <w:szCs w:val="20"/>
                <w:color w:val="auto"/>
              </w:rPr>
            </w:pPr>
            <w:r>
              <w:rPr>
                <w:rFonts w:ascii="Arial" w:cs="Arial" w:eastAsia="Arial" w:hAnsi="Arial"/>
                <w:sz w:val="18"/>
                <w:szCs w:val="18"/>
                <w:color w:val="auto"/>
              </w:rPr>
              <w:t>842</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4,160</w:t>
            </w: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155</w:t>
            </w: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177"/>
        </w:trPr>
        <w:tc>
          <w:tcPr>
            <w:tcW w:w="3280" w:type="dxa"/>
            <w:vAlign w:val="bottom"/>
          </w:tcPr>
          <w:p>
            <w:pPr>
              <w:spacing w:after="0" w:line="177" w:lineRule="exact"/>
              <w:rPr>
                <w:sz w:val="20"/>
                <w:szCs w:val="20"/>
                <w:color w:val="auto"/>
              </w:rPr>
            </w:pPr>
            <w:r>
              <w:rPr>
                <w:rFonts w:ascii="Arial" w:cs="Arial" w:eastAsia="Arial" w:hAnsi="Arial"/>
                <w:sz w:val="18"/>
                <w:szCs w:val="18"/>
                <w:color w:val="auto"/>
              </w:rPr>
              <w:t>Balance, December 31, 2011</w:t>
            </w:r>
          </w:p>
        </w:tc>
        <w:tc>
          <w:tcPr>
            <w:tcW w:w="160" w:type="dxa"/>
            <w:vAlign w:val="bottom"/>
          </w:tcPr>
          <w:p>
            <w:pPr>
              <w:spacing w:after="0"/>
              <w:rPr>
                <w:sz w:val="15"/>
                <w:szCs w:val="15"/>
                <w:color w:val="auto"/>
              </w:rPr>
            </w:pPr>
          </w:p>
        </w:tc>
        <w:tc>
          <w:tcPr>
            <w:tcW w:w="940" w:type="dxa"/>
            <w:vAlign w:val="bottom"/>
            <w:tcBorders>
              <w:right w:val="single" w:sz="8" w:color="auto"/>
            </w:tcBorders>
          </w:tcPr>
          <w:p>
            <w:pPr>
              <w:jc w:val="right"/>
              <w:ind w:right="194"/>
              <w:spacing w:after="0" w:line="177" w:lineRule="exact"/>
              <w:rPr>
                <w:sz w:val="20"/>
                <w:szCs w:val="20"/>
                <w:color w:val="auto"/>
              </w:rPr>
            </w:pPr>
            <w:r>
              <w:rPr>
                <w:rFonts w:ascii="Arial" w:cs="Arial" w:eastAsia="Arial" w:hAnsi="Arial"/>
                <w:sz w:val="18"/>
                <w:szCs w:val="18"/>
                <w:color w:val="auto"/>
              </w:rPr>
              <w:t>16,014</w:t>
            </w:r>
          </w:p>
        </w:tc>
        <w:tc>
          <w:tcPr>
            <w:tcW w:w="140" w:type="dxa"/>
            <w:vAlign w:val="bottom"/>
          </w:tcPr>
          <w:p>
            <w:pPr>
              <w:spacing w:after="0"/>
              <w:rPr>
                <w:sz w:val="15"/>
                <w:szCs w:val="15"/>
                <w:color w:val="auto"/>
              </w:rPr>
            </w:pPr>
          </w:p>
        </w:tc>
        <w:tc>
          <w:tcPr>
            <w:tcW w:w="440" w:type="dxa"/>
            <w:vAlign w:val="bottom"/>
          </w:tcPr>
          <w:p>
            <w:pPr>
              <w:jc w:val="right"/>
              <w:spacing w:after="0" w:line="177"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5"/>
                <w:szCs w:val="15"/>
                <w:color w:val="auto"/>
              </w:rPr>
            </w:pPr>
          </w:p>
        </w:tc>
        <w:tc>
          <w:tcPr>
            <w:tcW w:w="360" w:type="dxa"/>
            <w:vAlign w:val="bottom"/>
          </w:tcPr>
          <w:p>
            <w:pPr>
              <w:jc w:val="right"/>
              <w:ind w:right="15"/>
              <w:spacing w:after="0" w:line="177" w:lineRule="exact"/>
              <w:rPr>
                <w:sz w:val="20"/>
                <w:szCs w:val="20"/>
                <w:color w:val="auto"/>
              </w:rPr>
            </w:pPr>
            <w:r>
              <w:rPr>
                <w:rFonts w:ascii="Arial" w:cs="Arial" w:eastAsia="Arial" w:hAnsi="Arial"/>
                <w:sz w:val="18"/>
                <w:szCs w:val="18"/>
                <w:color w:val="auto"/>
              </w:rPr>
              <w:t>7</w:t>
            </w:r>
          </w:p>
        </w:tc>
        <w:tc>
          <w:tcPr>
            <w:tcW w:w="480" w:type="dxa"/>
            <w:vAlign w:val="bottom"/>
            <w:gridSpan w:val="2"/>
          </w:tcPr>
          <w:p>
            <w:pPr>
              <w:jc w:val="right"/>
              <w:ind w:right="80"/>
              <w:spacing w:after="0" w:line="177"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line="177" w:lineRule="exact"/>
              <w:rPr>
                <w:sz w:val="20"/>
                <w:szCs w:val="20"/>
                <w:color w:val="auto"/>
              </w:rPr>
            </w:pPr>
            <w:r>
              <w:rPr>
                <w:rFonts w:ascii="Arial" w:cs="Arial" w:eastAsia="Arial" w:hAnsi="Arial"/>
                <w:sz w:val="18"/>
                <w:szCs w:val="18"/>
                <w:color w:val="auto"/>
              </w:rPr>
              <w:t>40,940</w:t>
            </w:r>
          </w:p>
        </w:tc>
        <w:tc>
          <w:tcPr>
            <w:tcW w:w="86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13,971</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(7,517)</w:t>
            </w:r>
          </w:p>
        </w:tc>
        <w:tc>
          <w:tcPr>
            <w:tcW w:w="2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(152)</w:t>
            </w:r>
          </w:p>
        </w:tc>
        <w:tc>
          <w:tcPr>
            <w:tcW w:w="18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381</w:t>
            </w:r>
          </w:p>
        </w:tc>
        <w:tc>
          <w:tcPr>
            <w:tcW w:w="860" w:type="dxa"/>
            <w:vAlign w:val="bottom"/>
          </w:tcPr>
          <w:p>
            <w:pPr>
              <w:jc w:val="right"/>
              <w:ind w:right="14"/>
              <w:spacing w:after="0" w:line="177" w:lineRule="exact"/>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b w:val="1"/>
                <w:bCs w:val="1"/>
                <w:color w:val="auto"/>
              </w:rPr>
              <w:t>Stock compensation plans</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612</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(240)</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372</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b w:val="1"/>
                <w:bCs w:val="1"/>
                <w:color w:val="auto"/>
              </w:rPr>
              <w:t>Repurchases and retirements of</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(1,081)</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(1,918)</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(3,000)</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b w:val="1"/>
                <w:bCs w:val="1"/>
                <w:color w:val="auto"/>
              </w:rPr>
              <w:t>Employee stock purchase plans</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80</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(1,736)</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(1,736)</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160" w:type="dxa"/>
            <w:vAlign w:val="bottom"/>
          </w:tcPr>
          <w:p>
            <w:pPr>
              <w:spacing w:after="0"/>
              <w:rPr>
                <w:sz w:val="17"/>
                <w:szCs w:val="17"/>
                <w:color w:val="auto"/>
              </w:rPr>
            </w:pPr>
          </w:p>
        </w:tc>
        <w:tc>
          <w:tcPr>
            <w:tcW w:w="940" w:type="dxa"/>
            <w:vAlign w:val="bottom"/>
            <w:tcBorders>
              <w:right w:val="single" w:sz="8" w:color="auto"/>
            </w:tcBorders>
          </w:tcPr>
          <w:p>
            <w:pPr>
              <w:jc w:val="right"/>
              <w:ind w:right="194"/>
              <w:spacing w:after="0" w:line="202" w:lineRule="exact"/>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167</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b w:val="1"/>
                <w:bCs w:val="1"/>
                <w:color w:val="auto"/>
              </w:rPr>
              <w:t>Contributions from (distributions</w:t>
            </w:r>
          </w:p>
        </w:tc>
        <w:tc>
          <w:tcPr>
            <w:tcW w:w="1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to) noncontrolling interests, net</w:t>
            </w:r>
          </w:p>
        </w:tc>
        <w:tc>
          <w:tcPr>
            <w:tcW w:w="160" w:type="dxa"/>
            <w:vAlign w:val="bottom"/>
          </w:tcPr>
          <w:p>
            <w:pPr>
              <w:spacing w:after="0"/>
              <w:rPr>
                <w:sz w:val="17"/>
                <w:szCs w:val="17"/>
                <w:color w:val="auto"/>
              </w:rPr>
            </w:pPr>
          </w:p>
        </w:tc>
        <w:tc>
          <w:tcPr>
            <w:tcW w:w="940" w:type="dxa"/>
            <w:vAlign w:val="bottom"/>
            <w:tcBorders>
              <w:right w:val="single" w:sz="8" w:color="auto"/>
            </w:tcBorders>
          </w:tcPr>
          <w:p>
            <w:pPr>
              <w:jc w:val="right"/>
              <w:ind w:right="134"/>
              <w:spacing w:after="0" w:line="202" w:lineRule="exact"/>
              <w:rPr>
                <w:sz w:val="20"/>
                <w:szCs w:val="20"/>
                <w:color w:val="auto"/>
              </w:rPr>
            </w:pPr>
            <w:r>
              <w:rPr>
                <w:rFonts w:ascii="Arial" w:cs="Arial" w:eastAsia="Arial" w:hAnsi="Arial"/>
                <w:sz w:val="18"/>
                <w:szCs w:val="18"/>
                <w:b w:val="1"/>
                <w:bCs w:val="1"/>
                <w:color w:val="auto"/>
              </w:rPr>
              <w:t>(493)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7"/>
                <w:szCs w:val="17"/>
                <w:color w:val="auto"/>
              </w:rPr>
            </w:pPr>
          </w:p>
        </w:tc>
        <w:tc>
          <w:tcPr>
            <w:tcW w:w="940" w:type="dxa"/>
            <w:vAlign w:val="bottom"/>
            <w:tcBorders>
              <w:right w:val="single" w:sz="8" w:color="auto"/>
            </w:tcBorders>
          </w:tcPr>
          <w:p>
            <w:pPr>
              <w:jc w:val="right"/>
              <w:ind w:right="134"/>
              <w:spacing w:after="0" w:line="202" w:lineRule="exact"/>
              <w:rPr>
                <w:sz w:val="20"/>
                <w:szCs w:val="20"/>
                <w:color w:val="auto"/>
              </w:rPr>
            </w:pPr>
            <w:r>
              <w:rPr>
                <w:rFonts w:ascii="Arial" w:cs="Arial" w:eastAsia="Arial" w:hAnsi="Arial"/>
                <w:sz w:val="18"/>
                <w:szCs w:val="18"/>
                <w:b w:val="1"/>
                <w:bCs w:val="1"/>
                <w:color w:val="auto"/>
              </w:rPr>
              <w:t>(43)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80</w:t>
            </w: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21"/>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1,514</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6,203</w:t>
            </w: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148</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6,351</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Balance, December 31, 2012</w:t>
            </w:r>
          </w:p>
        </w:tc>
        <w:tc>
          <w:tcPr>
            <w:tcW w:w="1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3E499A"/>
              <w:right w:val="single" w:sz="8" w:color="auto"/>
            </w:tcBorders>
          </w:tcPr>
          <w:p>
            <w:pPr>
              <w:jc w:val="right"/>
              <w:ind w:right="194"/>
              <w:spacing w:after="0" w:line="196" w:lineRule="exact"/>
              <w:rPr>
                <w:sz w:val="20"/>
                <w:szCs w:val="20"/>
                <w:color w:val="auto"/>
              </w:rPr>
            </w:pPr>
            <w:r>
              <w:rPr>
                <w:rFonts w:ascii="Arial" w:cs="Arial" w:eastAsia="Arial" w:hAnsi="Arial"/>
                <w:sz w:val="18"/>
                <w:szCs w:val="18"/>
                <w:b w:val="1"/>
                <w:bCs w:val="1"/>
                <w:color w:val="auto"/>
              </w:rPr>
              <w:t>16,998</w:t>
            </w:r>
          </w:p>
        </w:tc>
        <w:tc>
          <w:tcPr>
            <w:tcW w:w="140" w:type="dxa"/>
            <w:vAlign w:val="bottom"/>
            <w:tcBorders>
              <w:bottom w:val="single" w:sz="8" w:color="3E499A"/>
            </w:tcBorders>
          </w:tcPr>
          <w:p>
            <w:pPr>
              <w:spacing w:after="0"/>
              <w:rPr>
                <w:sz w:val="17"/>
                <w:szCs w:val="17"/>
                <w:color w:val="auto"/>
              </w:rPr>
            </w:pPr>
          </w:p>
        </w:tc>
        <w:tc>
          <w:tcPr>
            <w:tcW w:w="4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w w:val="96"/>
              </w:rPr>
              <w:t>$ 25</w:t>
            </w:r>
          </w:p>
        </w:tc>
        <w:tc>
          <w:tcPr>
            <w:tcW w:w="28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3E499A"/>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6</w:t>
            </w:r>
          </w:p>
        </w:tc>
        <w:tc>
          <w:tcPr>
            <w:tcW w:w="480" w:type="dxa"/>
            <w:vAlign w:val="bottom"/>
            <w:tcBorders>
              <w:bottom w:val="single" w:sz="8" w:color="3E499A"/>
            </w:tcBorders>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3E499A"/>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$ 40,547</w:t>
            </w:r>
          </w:p>
        </w:tc>
        <w:tc>
          <w:tcPr>
            <w:tcW w:w="86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$ 16,280</w:t>
            </w:r>
          </w:p>
        </w:tc>
        <w:tc>
          <w:tcPr>
            <w:tcW w:w="8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 (7,517)</w:t>
            </w:r>
          </w:p>
        </w:tc>
        <w:tc>
          <w:tcPr>
            <w:tcW w:w="240" w:type="dxa"/>
            <w:vAlign w:val="bottom"/>
            <w:tcBorders>
              <w:bottom w:val="single" w:sz="8" w:color="3E499A"/>
            </w:tcBorders>
          </w:tcPr>
          <w:p>
            <w:pPr>
              <w:jc w:val="right"/>
              <w:ind w:right="24"/>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3E499A"/>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15</w:t>
            </w:r>
          </w:p>
        </w:tc>
        <w:tc>
          <w:tcPr>
            <w:tcW w:w="180" w:type="dxa"/>
            <w:vAlign w:val="bottom"/>
            <w:tcBorders>
              <w:bottom w:val="single" w:sz="8" w:color="3E499A"/>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440</w:t>
            </w:r>
          </w:p>
        </w:tc>
        <w:tc>
          <w:tcPr>
            <w:tcW w:w="86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$ 49,796</w:t>
            </w:r>
          </w:p>
        </w:tc>
        <w:tc>
          <w:tcPr>
            <w:tcW w:w="0" w:type="dxa"/>
            <w:vAlign w:val="bottom"/>
          </w:tcPr>
          <w:p>
            <w:pPr>
              <w:spacing w:after="0"/>
              <w:rPr>
                <w:sz w:val="1"/>
                <w:szCs w:val="1"/>
                <w:color w:val="auto"/>
              </w:rPr>
            </w:pPr>
          </w:p>
        </w:tc>
      </w:tr>
      <w:tr>
        <w:trPr>
          <w:trHeight w:val="209"/>
        </w:trPr>
        <w:tc>
          <w:tcPr>
            <w:tcW w:w="4520" w:type="dxa"/>
            <w:vAlign w:val="bottom"/>
            <w:gridSpan w:val="4"/>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32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jc w:val="right"/>
              <w:ind w:right="79"/>
              <w:spacing w:after="0"/>
              <w:rPr>
                <w:sz w:val="20"/>
                <w:szCs w:val="20"/>
                <w:color w:val="auto"/>
              </w:rPr>
            </w:pPr>
            <w:r>
              <w:rPr>
                <w:rFonts w:ascii="Arial" w:cs="Arial" w:eastAsia="Arial" w:hAnsi="Arial"/>
                <w:sz w:val="14"/>
                <w:szCs w:val="14"/>
                <w:b w:val="1"/>
                <w:bCs w:val="1"/>
                <w:color w:val="auto"/>
              </w:rPr>
              <w:t>80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Pennsylvania corporation and were incorporated in December 2001. Through our predecessors, we have developed, managed and operated cable systems since 1963, and in 2011, we closed the NBCUniversal transaction in which we acquired control of the businesses of NBC Universal, Inc. (now named NBCUniversal Media, LLC (“NBCUniversal”)).</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present our operations as the following five reportable business segments: Cable Communications, Cable Networks, Broadcast Television, Filmed Entertainment and Theme Parks. See Note 19 for additional information on our reportable business segments.</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Cable Communications segment is primarily involved in the management and operation of cable systems serving residential and business customers in the United States. As of December 31, 2012, we served 22.0 million video customers, 19.4 million high-speed Internet customers and 10.0 million voice customers.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Networks segment consists primarily of our national cable entertainment networks (USA Network, Syfy, E!, Bravo, Oxygen, Style, G4, Chiller, Cloo and Universal HD); our national cable news and information networks (CNBC, MSNBC and CNBC World); our national cable sports networks (Golf Channel and NBC Sports Network); our regional sports and news networks; our international cable networks (including CNBC Europe, CNBC Asia and our Universal Networks International portfolio of networks); our cable television production studio; and our related digital media properties, which are primarily brand-aligned and other websites.</w:t>
      </w:r>
    </w:p>
    <w:p>
      <w:pPr>
        <w:spacing w:after="0" w:line="15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which are primarily brand-aligned websites.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produces, acquires, markets and distributes filmed entertainment worldwide. Our films are produced primarily under the Universal Pictures, Focus Features and Illumination names. We also develop, produce and license live stage plays.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The accompanying consolidated financial statements include all entities in which we have a controlling voting interest (“subsidiaries”) and variable interest entities (“VIEs”) required to be consolidated in accordance with generally accepted accounting principles in the United States (“GAAP”).</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translate assets and liabilities of our foreign subsidiaries where the functional currency is the local currency, primarily the euro and the British pound, into U.S. dollars at the exchange rate in effect at the balance sheet date. The related translation adjustments are recorded as a component of accumulated other comprehensive income (loss). We translate revenue and expenses using average monthly exchange rates, and the related foreign currency transaction gains and losses are included in our consolidated statement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Reclassifications have been made to the prior year’s consolidated financial statements to conform to classifications used in the current year. In addition, costs and expenses for 2011 and 2010 in our consolidated</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81</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statement of income have been adjusted to separately present the components of these costs and expenses as programming and production, other operating and administrative, and advertising, marketing and promotion.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the judgments and related estimates for the following items are critical in the preparation of our consolidated financial statements:</w:t>
      </w:r>
    </w:p>
    <w:p>
      <w:pPr>
        <w:spacing w:after="0" w:line="114" w:lineRule="exact"/>
        <w:rPr>
          <w:sz w:val="20"/>
          <w:szCs w:val="20"/>
          <w:color w:val="auto"/>
        </w:rPr>
      </w:pPr>
    </w:p>
    <w:p>
      <w:pPr>
        <w:ind w:left="1020" w:hanging="21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valuation and impairment testing of cable franchise rights (see Note 8)</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film and television costs (see Note 5)</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income taxes (see Note 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policies are specific to the industries in which we operate:</w:t>
      </w:r>
    </w:p>
    <w:p>
      <w:pPr>
        <w:spacing w:after="0" w:line="117" w:lineRule="exact"/>
        <w:rPr>
          <w:sz w:val="20"/>
          <w:szCs w:val="20"/>
          <w:color w:val="auto"/>
        </w:rPr>
      </w:pPr>
    </w:p>
    <w:p>
      <w:pPr>
        <w:ind w:left="1020" w:hanging="21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5)</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 installation costs in our Cable Communications segment (see Note 7)</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Information related to our accounting policies or methods related to investments, property and equipment, goodwill and other intangibles, postretirement, pension and other employee benefits, share-based compensation, and receivables monetization are included in their respective footnotes that follow. Below is a discussion of accounting policies and methods used in our consolidated financial statements that are not presented within other footnotes.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3E499A"/>
        </w:rPr>
        <w:t>Cable Communications Segment</w:t>
      </w:r>
    </w:p>
    <w:p>
      <w:pPr>
        <w:jc w:val="both"/>
        <w:spacing w:after="0" w:line="236" w:lineRule="auto"/>
        <w:rPr>
          <w:sz w:val="20"/>
          <w:szCs w:val="20"/>
          <w:color w:val="auto"/>
        </w:rPr>
      </w:pPr>
      <w:r>
        <w:rPr>
          <w:rFonts w:ascii="Arial" w:cs="Arial" w:eastAsia="Arial" w:hAnsi="Arial"/>
          <w:sz w:val="18"/>
          <w:szCs w:val="18"/>
          <w:color w:val="auto"/>
        </w:rPr>
        <w:t>Our Cable Communications segment generates revenue primarily from subscriptions to our video, high-speed Internet and voice services (“cable services”) and from the sale of advertising. We recognize revenue from cable services as each service is provided. Customers are typically billed in advance on a monthly basis.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services. Since installation revenue obtained from the connection of customers to our cable systems is less than related direct selling costs, we recognize revenue as connections are completed.</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that we may sell to local, regional and national advertisers. We recognize advertising revenue when the advertising is aired and based on the broadcast calendar. In most cases, the available advertising time is sold by our sales force. In some cases, we work with representation firms as an extension of our sales force to sell a portion of the advertising time allocated to us. We also coordinate the advertising sales efforts of other multichannel video providers in some markets. Since we are acting as the principal in these arrangements, we report the advertising that is sold as revenue and the fees paid to representation firms and multichannel video providers as other operating and administrative expenses.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82</w:t>
            </w: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earned from other sources is recognized when services are provided or events occur. Under the terms of our cable franchise agreements, we are generally required to pay to the franchising authority an amount based on our gross video revenue. We normally pass these fees through to our cable customers and classify the fees as a component of revenue with the corresponding costs included in other operating and administrative expenses. We present other taxes imposed on a revenue-producing transaction as revenue if we are acting as the principal or as a reduction to other operating and administrative expenses if we are acting as an agent.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E499A"/>
        </w:rPr>
        <w:t>Cable Networks and Broadcast Television Segments</w:t>
      </w:r>
    </w:p>
    <w:p>
      <w:pPr>
        <w:jc w:val="both"/>
        <w:spacing w:after="0" w:line="236"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to multichannel video providers, the sale of advertising and the licensing of our owned programming. Our Broadcast Television segment generates revenue primarily from the sale of advertising and the licensing of our owned programming.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Advertising revenue for our Cable Networks and Broadcast Television segments is recognized in the period in which commercials are aired or viewed. In some instances, we guarantee viewer ratings for the commercials. To the extent there is a shortfall in the ratings that were guaranteed, a portion of the revenue is deferred until the shortfall is settled, primarily by providing additional advertising time. We record revenue from the licensing of our owned programming when the content is available for use by the licensee, and when certain other conditions are met. When license fees include advertising time, we recognize the advertising time component of revenue when the advertisements are aired.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3E499A"/>
        </w:rPr>
        <w:t>Filmed Entertainment Segment</w:t>
      </w: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owned and acquired films for exhibition in movie theaters, the licensing of our owned and acquired films to cable, broadcast and premium networks and digital distributors, and the sale of our owned and acquired films on both DVD and Blu-ray discs (together, “DVDs”) and through digital distributors. We also generate revenue from producing and licensing live stage plays and distributing filmed entertainment produced by third parties. We recognize revenue from the distribution of films to movie theaters when the films are exhibited. We record revenue from the licensing of a film when the film is available for use by the licensee, and when certain other conditions are met. We recognize revenue from DVD sales, net of estimated returns and customer incentives, on the date that DVDs are delivered to and made available for sale by retailers.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3E499A"/>
        </w:rPr>
        <w:t>Theme Parks Segment</w:t>
      </w:r>
    </w:p>
    <w:p>
      <w:pPr>
        <w:jc w:val="both"/>
        <w:spacing w:after="0" w:line="238"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theme parks in Orlando and Hollywood, as well as from licensing and other fees. We recognize revenue from advance theme park ticket sales when the tickets are used. For annual passes, we recognize revenue on a straight-line basis over the annual period following the initial redemption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Programming Expenses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Cable Communications programming expenses are the fees we pay to license the programming we distribute to our video customers. Programming is acquired for distribution to our video customers, generally under multiyear distribution agreements, with rates typically based on the number of customers that receive the</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programming, adjusted for channel positioning and the extent of distribution. From time to time these contracts expire and programming continues to be provided under interim arrangements while the parties negotiate new contractual terms, sometimes with effective dates that affect prior periods. While payments are typically made under the prior contract’s terms, the amount of our programming expenses recorded during these interim arrangements is based on our estimates of the ultimate contractual terms expected to be negotiated. Differences between actual amounts determined upon resolution of negotiations and amounts recorded during these interim arrangements are recorded in the period of resolution.</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When our Cable Communications segment receives incentives from cable networks for the licensing of their programming, we defer a portion of these incentives, which are included in other current and noncurrent liabilities, and recognize them over the term of the contract as a reduction to programming and production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our cash equivalents approximate their fair value. Our cash equivalents consist primarily of money market funds and 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less than three months when purchased.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derivative financial instruments are recorded on our consolidated balance sheet at fair value. See Note 6 for additional information on the derivative component of our prepaid forward sale agreements. The impact of our other derivative financial instruments on our consolidated financial statements was not material during the years ended December 31, 2012, 2011 and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any liabilities associated with such agreements. A remote possibility exists that franchise agreements could be terminated unexpectedly, which could result in us incurring significant expense in complying with restoration or removal provisions. The disposal obligations related to our properties are not material to our consolidated financial statements. We do not have any significant liabilities related to asset retirements recorded in our consolidated financial statements.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3: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E499A"/>
        </w:rPr>
        <w:t>Computation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20" w:type="dxa"/>
            <w:vAlign w:val="bottom"/>
          </w:tcPr>
          <w:p>
            <w:pPr>
              <w:spacing w:after="0"/>
              <w:rPr>
                <w:sz w:val="10"/>
                <w:szCs w:val="10"/>
                <w:color w:val="auto"/>
              </w:rPr>
            </w:pPr>
          </w:p>
        </w:tc>
        <w:tc>
          <w:tcPr>
            <w:tcW w:w="94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rPr>
              <w:t>Net Income</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Attributable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Attributable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Attributable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line="149" w:lineRule="exact"/>
              <w:rPr>
                <w:sz w:val="20"/>
                <w:szCs w:val="20"/>
                <w:color w:val="auto"/>
              </w:rPr>
            </w:pPr>
            <w:r>
              <w:rPr>
                <w:rFonts w:ascii="Arial" w:cs="Arial" w:eastAsia="Arial" w:hAnsi="Arial"/>
                <w:sz w:val="14"/>
                <w:szCs w:val="14"/>
                <w:color w:val="auto"/>
              </w:rPr>
              <w:t>Year ended December 31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to Comcast</w:t>
            </w:r>
          </w:p>
        </w:tc>
        <w:tc>
          <w:tcPr>
            <w:tcW w:w="6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Per Share</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to Comcast</w:t>
            </w:r>
          </w:p>
        </w:tc>
        <w:tc>
          <w:tcPr>
            <w:tcW w:w="6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Per Share</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to Comcast</w:t>
            </w:r>
          </w:p>
        </w:tc>
        <w:tc>
          <w:tcPr>
            <w:tcW w:w="6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65"/>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Amount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99"/>
        </w:trPr>
        <w:tc>
          <w:tcPr>
            <w:tcW w:w="4620" w:type="dxa"/>
            <w:vAlign w:val="bottom"/>
          </w:tcPr>
          <w:p>
            <w:pPr>
              <w:spacing w:after="0" w:line="200" w:lineRule="exact"/>
              <w:rPr>
                <w:sz w:val="20"/>
                <w:szCs w:val="20"/>
                <w:color w:val="auto"/>
              </w:rPr>
            </w:pPr>
            <w:r>
              <w:rPr>
                <w:rFonts w:ascii="Arial" w:cs="Arial" w:eastAsia="Arial" w:hAnsi="Arial"/>
                <w:sz w:val="18"/>
                <w:szCs w:val="18"/>
                <w:color w:val="auto"/>
              </w:rPr>
              <w:t>Basic EPS attributable to Comcast Corporation</w:t>
            </w:r>
          </w:p>
        </w:tc>
        <w:tc>
          <w:tcPr>
            <w:tcW w:w="300" w:type="dxa"/>
            <w:vAlign w:val="bottom"/>
            <w:vMerge w:val="restart"/>
          </w:tcPr>
          <w:p>
            <w:pPr>
              <w:jc w:val="right"/>
              <w:ind w:right="46"/>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6,203</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2,678</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2.32</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3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4,160</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2,746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24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3,635</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2,808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Assumed exercise or issuance of shares relating to stock</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plans</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20" w:type="dxa"/>
            <w:vAlign w:val="bottom"/>
          </w:tcPr>
          <w:p>
            <w:pPr>
              <w:spacing w:after="0" w:line="200" w:lineRule="exact"/>
              <w:rPr>
                <w:sz w:val="20"/>
                <w:szCs w:val="20"/>
                <w:color w:val="auto"/>
              </w:rPr>
            </w:pPr>
            <w:r>
              <w:rPr>
                <w:rFonts w:ascii="Arial" w:cs="Arial" w:eastAsia="Arial" w:hAnsi="Arial"/>
                <w:sz w:val="18"/>
                <w:szCs w:val="18"/>
                <w:color w:val="auto"/>
              </w:rPr>
              <w:t>Diluted EPS attributable to Comcast Corporation</w:t>
            </w:r>
          </w:p>
        </w:tc>
        <w:tc>
          <w:tcPr>
            <w:tcW w:w="300" w:type="dxa"/>
            <w:vAlign w:val="bottom"/>
            <w:vMerge w:val="restart"/>
          </w:tcPr>
          <w:p>
            <w:pPr>
              <w:jc w:val="right"/>
              <w:ind w:right="46"/>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6,203</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2,717</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2.28</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20" w:type="dxa"/>
            <w:vAlign w:val="bottom"/>
            <w:tcBorders>
              <w:bottom w:val="single" w:sz="8" w:color="3E499A"/>
            </w:tcBorders>
          </w:tcPr>
          <w:p>
            <w:pPr>
              <w:ind w:left="220"/>
              <w:spacing w:after="0" w:line="200" w:lineRule="exact"/>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3E499A"/>
            </w:tcBorders>
            <w:vMerge w:val="continue"/>
          </w:tcPr>
          <w:p>
            <w:pPr>
              <w:spacing w:after="0"/>
              <w:rPr>
                <w:sz w:val="17"/>
                <w:szCs w:val="17"/>
                <w:color w:val="auto"/>
              </w:rPr>
            </w:pPr>
          </w:p>
        </w:tc>
        <w:tc>
          <w:tcPr>
            <w:tcW w:w="640" w:type="dxa"/>
            <w:vAlign w:val="bottom"/>
            <w:tcBorders>
              <w:bottom w:val="single" w:sz="8" w:color="3E499A"/>
            </w:tcBorders>
            <w:vMerge w:val="continue"/>
          </w:tcPr>
          <w:p>
            <w:pPr>
              <w:spacing w:after="0"/>
              <w:rPr>
                <w:sz w:val="17"/>
                <w:szCs w:val="17"/>
                <w:color w:val="auto"/>
              </w:rPr>
            </w:pPr>
          </w:p>
        </w:tc>
        <w:tc>
          <w:tcPr>
            <w:tcW w:w="620" w:type="dxa"/>
            <w:vAlign w:val="bottom"/>
            <w:tcBorders>
              <w:bottom w:val="single" w:sz="8" w:color="3E499A"/>
            </w:tcBorders>
            <w:vMerge w:val="continue"/>
          </w:tcPr>
          <w:p>
            <w:pPr>
              <w:spacing w:after="0"/>
              <w:rPr>
                <w:sz w:val="17"/>
                <w:szCs w:val="17"/>
                <w:color w:val="auto"/>
              </w:rPr>
            </w:pPr>
          </w:p>
        </w:tc>
        <w:tc>
          <w:tcPr>
            <w:tcW w:w="180" w:type="dxa"/>
            <w:vAlign w:val="bottom"/>
            <w:tcBorders>
              <w:bottom w:val="single" w:sz="8" w:color="3E499A"/>
            </w:tcBorders>
            <w:vMerge w:val="continue"/>
          </w:tcPr>
          <w:p>
            <w:pPr>
              <w:spacing w:after="0"/>
              <w:rPr>
                <w:sz w:val="17"/>
                <w:szCs w:val="17"/>
                <w:color w:val="auto"/>
              </w:rPr>
            </w:pPr>
          </w:p>
        </w:tc>
        <w:tc>
          <w:tcPr>
            <w:tcW w:w="580" w:type="dxa"/>
            <w:vAlign w:val="bottom"/>
            <w:tcBorders>
              <w:bottom w:val="single" w:sz="8" w:color="3E499A"/>
            </w:tcBorders>
            <w:vMerge w:val="continue"/>
          </w:tcPr>
          <w:p>
            <w:pPr>
              <w:spacing w:after="0"/>
              <w:rPr>
                <w:sz w:val="17"/>
                <w:szCs w:val="17"/>
                <w:color w:val="auto"/>
              </w:rPr>
            </w:pPr>
          </w:p>
        </w:tc>
        <w:tc>
          <w:tcPr>
            <w:tcW w:w="260" w:type="dxa"/>
            <w:vAlign w:val="bottom"/>
            <w:tcBorders>
              <w:bottom w:val="single" w:sz="8" w:color="3E499A"/>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4,160</w:t>
            </w:r>
          </w:p>
        </w:tc>
        <w:tc>
          <w:tcPr>
            <w:tcW w:w="62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2,778</w:t>
            </w:r>
          </w:p>
        </w:tc>
        <w:tc>
          <w:tcPr>
            <w:tcW w:w="18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1.50</w:t>
            </w:r>
          </w:p>
        </w:tc>
        <w:tc>
          <w:tcPr>
            <w:tcW w:w="240" w:type="dxa"/>
            <w:vAlign w:val="bottom"/>
            <w:tcBorders>
              <w:bottom w:val="single" w:sz="8" w:color="3E499A"/>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3,635</w:t>
            </w:r>
          </w:p>
        </w:tc>
        <w:tc>
          <w:tcPr>
            <w:tcW w:w="62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2,820</w:t>
            </w:r>
          </w:p>
        </w:tc>
        <w:tc>
          <w:tcPr>
            <w:tcW w:w="20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Diluted EPS for 2012, 2011 and 2010 excludes 1 million, 45 million and 168 million, respectively, of potential common shares related to our share-based compensation plans, because the inclusion of the potential common shares would have had an antidilutive effect.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4: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businesses of NBCUniversal, which is a wholly owned subsidiary of NBCUniversal Holdings. We contributed our national cable networks, our regional sports and news networks, certain of our Internet businesses and other related assets (the “Comcast Content Business”). In addition to contributing the Comcast Content Business, we also made a cash payment to GE of $6.2 billion, which included transaction-related costs. We have received and expect to continue to receive tax benefits related to the transaction and have agreed to share with GE certain of these future tax benefits as they are realized.</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operating agreement of NBCUniversal Holdings, during the six month period beginning on July 28, 2014, GE has the right to cause NBCUniversal Holdings to redeem, in cash, half of GE’s interest in NBCUniversal Holdings, and we would have the immediate right to purchase the remainder of GE’s interest. If, however, we elect not to exercise this right, during the six month period beginning January 28, 2018, GE has the right to cause NBCUniversal Holdings to redeem GE’s remaining interest, if any. If GE does not exercise its first redemption right, we have the right, during the six month period beginning January 28, 2016, to purchase half of GE’s interest in NBCUniversal Holdings, and during the six month period beginning</w:t>
      </w:r>
    </w:p>
    <w:p>
      <w:pPr>
        <w:spacing w:after="0" w:line="326"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85</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January 28, 2019, we have the right to purchase GE’s remaining interest, if any, in NBCUniversal Holdings. The purchase price to be paid in connection with any purchase or redemption described in this paragraph will be equal to the ownership percentage being purchased multiplied by an amount equal to 120% of the fully distributed public market trading value of NBCUniversal Holdings (determined pursuant to an appraisal process if NBCUniversal Holdings is not then publicly traded), less 50% of an amount (not less than zero) equal to the excess of 120% of the fully distributed public market trading value over $28.4 billion. Subject to various limitations, we are committed to fund up to $2.875 billion in cash or our common stock for each of the two redemptions (up to an aggregate of $5.75 billion) to the extent that NBCUniversal Holdings cannot fund the redemptions, with amounts not used in the first redemption to be available for the second redemption.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Until July 28, 2014, GE may not directly or indirectly transfer its interest in NBCUniversal Holdings. Thereafter, GE may transfer its interest to a third party, subject to our right of first offer. The right of first offer would permit us to purchase all, but not less than all, of the interests proposed to be transferred. If GE makes a registration request in accordance with certain registration rights that are granted to it under the agreement, we will have the right to purchase, for cash at the market value (determined pursuant to an appraisal process if NBCUniversal Holdings is not then publicly traded), all of GE’s interest in NBCUniversal Holdings that GE is seeking to register.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so long as GE continues to own at least 20% of NBCUniversal Holdings, GE will have veto rights with respect to certain matters, which include</w:t>
      </w:r>
    </w:p>
    <w:p>
      <w:pPr>
        <w:spacing w:after="0" w:line="19" w:lineRule="exact"/>
        <w:rPr>
          <w:sz w:val="20"/>
          <w:szCs w:val="20"/>
          <w:color w:val="auto"/>
        </w:rPr>
      </w:pPr>
    </w:p>
    <w:p>
      <w:pPr>
        <w:ind w:firstLine="8"/>
        <w:spacing w:after="0" w:line="239" w:lineRule="auto"/>
        <w:tabs>
          <w:tab w:leader="none" w:pos="2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issuances or repurchases of equity, (ii) certain distributions to equity holders, (iii) certain debt incurrences and (iv) certain loans to or guarantees for other persons made outside of the ordinary course of business.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12, 2013, we entered into an agreement to acquire GE’s 49% common equity interest in NBCUniversal Holdings. See Note 21 for additional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3E499A"/>
        </w:rPr>
        <w:t>Allocation of Purchase Price</w:t>
      </w:r>
    </w:p>
    <w:p>
      <w:pPr>
        <w:jc w:val="both"/>
        <w:spacing w:after="0" w:line="236" w:lineRule="auto"/>
        <w:rPr>
          <w:sz w:val="20"/>
          <w:szCs w:val="20"/>
          <w:color w:val="auto"/>
        </w:rPr>
      </w:pPr>
      <w:r>
        <w:rPr>
          <w:rFonts w:ascii="Arial" w:cs="Arial" w:eastAsia="Arial" w:hAnsi="Arial"/>
          <w:sz w:val="18"/>
          <w:szCs w:val="18"/>
          <w:color w:val="auto"/>
        </w:rPr>
        <w:t>We applied acquisition accounting to the NBCUniversal contributed businesses and their results of operations are included in our consolidated results of operations following the acquisition date. The net assets of the NBCUniversal contributed businesses were recorded at their estimated fair value primarily using Level 3 inputs (see Note 10 for an explanation of Level 3 inputs). In valuing acquired assets and liabilities, fair value estimates are based on, but are not limited to, future expected cash flows, market rate assumptions for contractual obligations, actuarial assumptions for benefit plans and appropriate discount rates. The Comcast Content Business continues at its historical or carry-over basis. GE’s interest in NBCUniversal Holdings is recorded as a redeemable noncontrolling interest in our consolidated financial statements due to the redemption provisions outlined above. GE’s redeemable noncontrolling interest has been recorded at fair value for the portion attributable to the net assets we acquired, and at our historical cost for the portion attributable to the Comcast Content Business.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tables below present the fair value of the consideration transferred and the allocation of purchase price to the assets and liabilities of the NBCUniversal businesses acquired as a result of the NBCUniversal transaction.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86</w:t>
            </w: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3E499A"/>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85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Cash</w:t>
            </w:r>
          </w:p>
        </w:tc>
        <w:tc>
          <w:tcPr>
            <w:tcW w:w="21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6,120</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Fair value of 49% of the Comcast Content Business</w:t>
            </w:r>
          </w:p>
        </w:tc>
        <w:tc>
          <w:tcPr>
            <w:tcW w:w="2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4,308</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Fair value of contingent consideration</w:t>
            </w:r>
          </w:p>
        </w:tc>
        <w:tc>
          <w:tcPr>
            <w:tcW w:w="2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590</w:t>
            </w:r>
          </w:p>
        </w:tc>
      </w:tr>
      <w:tr>
        <w:trPr>
          <w:trHeight w:val="199"/>
        </w:trPr>
        <w:tc>
          <w:tcPr>
            <w:tcW w:w="85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Fair value of redeemable noncontrolling interest associated with net assets acquired</w:t>
            </w:r>
          </w:p>
        </w:tc>
        <w:tc>
          <w:tcPr>
            <w:tcW w:w="2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13,071</w:t>
            </w:r>
          </w:p>
        </w:tc>
      </w:tr>
      <w:tr>
        <w:trPr>
          <w:trHeight w:val="196"/>
        </w:trPr>
        <w:tc>
          <w:tcPr>
            <w:tcW w:w="85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21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24,089</w:t>
            </w:r>
          </w:p>
        </w:tc>
      </w:tr>
      <w:tr>
        <w:trPr>
          <w:trHeight w:val="370"/>
        </w:trPr>
        <w:tc>
          <w:tcPr>
            <w:tcW w:w="8580" w:type="dxa"/>
            <w:vAlign w:val="bottom"/>
          </w:tcPr>
          <w:p>
            <w:pPr>
              <w:spacing w:after="0"/>
              <w:rPr>
                <w:sz w:val="20"/>
                <w:szCs w:val="20"/>
                <w:color w:val="auto"/>
              </w:rPr>
            </w:pPr>
            <w:r>
              <w:rPr>
                <w:rFonts w:ascii="Arial" w:cs="Arial" w:eastAsia="Arial" w:hAnsi="Arial"/>
                <w:sz w:val="18"/>
                <w:szCs w:val="18"/>
                <w:color w:val="3E499A"/>
              </w:rPr>
              <w:t>Allocation of Purchase Price</w:t>
            </w:r>
          </w:p>
        </w:tc>
        <w:tc>
          <w:tcPr>
            <w:tcW w:w="2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
        </w:trPr>
        <w:tc>
          <w:tcPr>
            <w:tcW w:w="85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37"/>
        </w:trPr>
        <w:tc>
          <w:tcPr>
            <w:tcW w:w="8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199"/>
        </w:trPr>
        <w:tc>
          <w:tcPr>
            <w:tcW w:w="8580" w:type="dxa"/>
            <w:vAlign w:val="bottom"/>
          </w:tcPr>
          <w:p>
            <w:pPr>
              <w:spacing w:after="0" w:line="200" w:lineRule="exact"/>
              <w:rPr>
                <w:sz w:val="20"/>
                <w:szCs w:val="20"/>
                <w:color w:val="auto"/>
              </w:rPr>
            </w:pPr>
            <w:r>
              <w:rPr>
                <w:rFonts w:ascii="Arial" w:cs="Arial" w:eastAsia="Arial" w:hAnsi="Arial"/>
                <w:sz w:val="18"/>
                <w:szCs w:val="18"/>
                <w:color w:val="auto"/>
              </w:rPr>
              <w:t>Film and television costs</w:t>
            </w:r>
          </w:p>
        </w:tc>
        <w:tc>
          <w:tcPr>
            <w:tcW w:w="2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5,049</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180" w:type="dxa"/>
            <w:vAlign w:val="bottom"/>
          </w:tcPr>
          <w:p>
            <w:pPr>
              <w:spacing w:after="0"/>
              <w:rPr>
                <w:sz w:val="17"/>
                <w:szCs w:val="17"/>
                <w:color w:val="auto"/>
              </w:rPr>
            </w:pP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4,339</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180" w:type="dxa"/>
            <w:vAlign w:val="bottom"/>
          </w:tcPr>
          <w:p>
            <w:pPr>
              <w:spacing w:after="0"/>
              <w:rPr>
                <w:sz w:val="17"/>
                <w:szCs w:val="17"/>
                <w:color w:val="auto"/>
              </w:rPr>
            </w:pP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2,322</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180" w:type="dxa"/>
            <w:vAlign w:val="bottom"/>
          </w:tcPr>
          <w:p>
            <w:pPr>
              <w:spacing w:after="0"/>
              <w:rPr>
                <w:sz w:val="17"/>
                <w:szCs w:val="17"/>
                <w:color w:val="auto"/>
              </w:rPr>
            </w:pPr>
          </w:p>
        </w:tc>
        <w:tc>
          <w:tcPr>
            <w:tcW w:w="66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8"/>
              </w:rPr>
              <w:t>14,585</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2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(1,734)</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(9,115)</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Deferred income tax liabilities</w:t>
            </w:r>
          </w:p>
        </w:tc>
        <w:tc>
          <w:tcPr>
            <w:tcW w:w="2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Other noncurrent assets and liabilities</w:t>
            </w:r>
          </w:p>
        </w:tc>
        <w:tc>
          <w:tcPr>
            <w:tcW w:w="2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(2,005)</w:t>
            </w:r>
          </w:p>
        </w:tc>
      </w:tr>
      <w:tr>
        <w:trPr>
          <w:trHeight w:val="199"/>
        </w:trPr>
        <w:tc>
          <w:tcPr>
            <w:tcW w:w="85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 acquired</w:t>
            </w:r>
          </w:p>
        </w:tc>
        <w:tc>
          <w:tcPr>
            <w:tcW w:w="2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(262)</w:t>
            </w:r>
          </w:p>
        </w:tc>
      </w:tr>
      <w:tr>
        <w:trPr>
          <w:trHeight w:val="199"/>
        </w:trPr>
        <w:tc>
          <w:tcPr>
            <w:tcW w:w="8580" w:type="dxa"/>
            <w:vAlign w:val="bottom"/>
          </w:tcPr>
          <w:p>
            <w:pPr>
              <w:spacing w:after="0" w:line="200" w:lineRule="exact"/>
              <w:rPr>
                <w:sz w:val="20"/>
                <w:szCs w:val="20"/>
                <w:color w:val="auto"/>
              </w:rPr>
            </w:pPr>
            <w:r>
              <w:rPr>
                <w:rFonts w:ascii="Arial" w:cs="Arial" w:eastAsia="Arial" w:hAnsi="Arial"/>
                <w:sz w:val="18"/>
                <w:szCs w:val="18"/>
                <w:color w:val="auto"/>
              </w:rPr>
              <w:t>Fair value of identifiable net assets acquired</w:t>
            </w:r>
          </w:p>
        </w:tc>
        <w:tc>
          <w:tcPr>
            <w:tcW w:w="2180" w:type="dxa"/>
            <w:vAlign w:val="bottom"/>
          </w:tcPr>
          <w:p>
            <w:pPr>
              <w:spacing w:after="0"/>
              <w:rPr>
                <w:sz w:val="17"/>
                <w:szCs w:val="17"/>
                <w:color w:val="auto"/>
              </w:rPr>
            </w:pPr>
          </w:p>
        </w:tc>
        <w:tc>
          <w:tcPr>
            <w:tcW w:w="660" w:type="dxa"/>
            <w:vAlign w:val="bottom"/>
          </w:tcPr>
          <w:p>
            <w:pPr>
              <w:jc w:val="right"/>
              <w:ind w:right="12"/>
              <w:spacing w:after="0" w:line="200" w:lineRule="exact"/>
              <w:rPr>
                <w:sz w:val="20"/>
                <w:szCs w:val="20"/>
                <w:color w:val="auto"/>
              </w:rPr>
            </w:pPr>
            <w:r>
              <w:rPr>
                <w:rFonts w:ascii="Arial" w:cs="Arial" w:eastAsia="Arial" w:hAnsi="Arial"/>
                <w:sz w:val="18"/>
                <w:szCs w:val="18"/>
                <w:color w:val="auto"/>
                <w:w w:val="98"/>
              </w:rPr>
              <w:t>13,144</w:t>
            </w:r>
          </w:p>
        </w:tc>
      </w:tr>
      <w:tr>
        <w:trPr>
          <w:trHeight w:val="199"/>
        </w:trPr>
        <w:tc>
          <w:tcPr>
            <w:tcW w:w="85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w:t>
            </w:r>
          </w:p>
        </w:tc>
        <w:tc>
          <w:tcPr>
            <w:tcW w:w="2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w w:val="98"/>
              </w:rPr>
              <w:t>10,945</w:t>
            </w:r>
          </w:p>
        </w:tc>
      </w:tr>
      <w:tr>
        <w:trPr>
          <w:trHeight w:val="196"/>
        </w:trPr>
        <w:tc>
          <w:tcPr>
            <w:tcW w:w="85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21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3E499A"/>
            </w:tcBorders>
          </w:tcPr>
          <w:p>
            <w:pPr>
              <w:jc w:val="right"/>
              <w:ind w:right="12"/>
              <w:spacing w:after="0" w:line="196" w:lineRule="exact"/>
              <w:rPr>
                <w:sz w:val="20"/>
                <w:szCs w:val="20"/>
                <w:color w:val="auto"/>
              </w:rPr>
            </w:pPr>
            <w:r>
              <w:rPr>
                <w:rFonts w:ascii="Arial" w:cs="Arial" w:eastAsia="Arial" w:hAnsi="Arial"/>
                <w:sz w:val="18"/>
                <w:szCs w:val="18"/>
                <w:color w:val="auto"/>
                <w:w w:val="98"/>
              </w:rPr>
              <w:t>24,089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3E499A"/>
        </w:rPr>
        <w:t>Income Taxes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responsible for the tax matters of both NBCUniversal Holdings and NBCUniversal, including the filing of returns and the administering of any proceedings with taxing authorities. See Note 15 for additional information on the partnership structure of NBCUniversal Holdings and NBCUniversal. GE has indemnified us and NBCUniversal Holdings for any income tax liability attributable to the NBCUniversal contributed businesses for periods prior to the acquisition date. We have also indemnified GE and NBCUniversal Holdings for any income tax liability attributable to the Comcast Content Business for periods prior to the acquisition date.</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recognized net deferred income tax liabilities of $35 million in the allocation of purchase price, which related primarily to acquired intangible assets in state and foreign jurisdictions. In addition, Comcast recognized $576 million of deferred tax liabilities in connection with the NBCUniversal transaction. Because we maintained control of the Comcast Content Business, the excess of fair value received over historical book value and the related tax impact were recorded to additional paid-in capital.</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agreed to share with GE certain tax benefits as they are realized that relate to the form and structure of the transaction. These payments to GE are contingent on us realizing tax benefits in the future and are accounted for as contingent consideration. See Note 10 for additional information on the fair value of this contingent consideration as of December 31, 2012.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3E499A"/>
        </w:rPr>
        <w:t>Goodwill</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Goodwill is calculated as the excess of the consideration transferred over the identifiable net assets acquired and represents the future economic benefits expected to arise from other intangible assets acquired that do not qualify for separate recognition, including assembled workforce, noncontractual relationships, and agreements between us and NBCUniversal. Due to the partnership structure of NBCUniversal Holdings, goodwill related to the NBCUniversal transaction is not deductible for tax purposes.</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87</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3E499A"/>
        </w:rPr>
        <w:t>Transaction-Related Expenses</w:t>
      </w:r>
    </w:p>
    <w:p>
      <w:pPr>
        <w:jc w:val="both"/>
        <w:spacing w:after="0" w:line="239" w:lineRule="auto"/>
        <w:rPr>
          <w:sz w:val="20"/>
          <w:szCs w:val="20"/>
          <w:color w:val="auto"/>
        </w:rPr>
      </w:pPr>
      <w:r>
        <w:rPr>
          <w:rFonts w:ascii="Arial" w:cs="Arial" w:eastAsia="Arial" w:hAnsi="Arial"/>
          <w:sz w:val="18"/>
          <w:szCs w:val="18"/>
          <w:color w:val="auto"/>
        </w:rPr>
        <w:t>We incurred the following expenses in 2011 and 2010 that resulted either directly from the NBCUniversal transaction or from shared costs associated with NBCUniversal’s debt issuances prior to the close of the NBCUniversal transaction.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9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2010</w:t>
            </w:r>
          </w:p>
        </w:tc>
      </w:tr>
      <w:tr>
        <w:trPr>
          <w:trHeight w:val="199"/>
        </w:trPr>
        <w:tc>
          <w:tcPr>
            <w:tcW w:w="6840" w:type="dxa"/>
            <w:vAlign w:val="bottom"/>
          </w:tcPr>
          <w:p>
            <w:pPr>
              <w:spacing w:after="0" w:line="200" w:lineRule="exact"/>
              <w:rPr>
                <w:sz w:val="20"/>
                <w:szCs w:val="20"/>
                <w:color w:val="auto"/>
              </w:rPr>
            </w:pPr>
            <w:r>
              <w:rPr>
                <w:rFonts w:ascii="Arial" w:cs="Arial" w:eastAsia="Arial" w:hAnsi="Arial"/>
                <w:sz w:val="18"/>
                <w:szCs w:val="18"/>
                <w:color w:val="auto"/>
              </w:rPr>
              <w:t>Other operating and administrative expenses</w:t>
            </w:r>
          </w:p>
        </w:tc>
        <w:tc>
          <w:tcPr>
            <w:tcW w:w="3940" w:type="dxa"/>
            <w:vAlign w:val="bottom"/>
          </w:tcPr>
          <w:p>
            <w:pPr>
              <w:jc w:val="right"/>
              <w:ind w:right="56"/>
              <w:spacing w:after="0" w:line="200" w:lineRule="exact"/>
              <w:rPr>
                <w:sz w:val="20"/>
                <w:szCs w:val="20"/>
                <w:color w:val="auto"/>
              </w:rPr>
            </w:pPr>
            <w:r>
              <w:rPr>
                <w:rFonts w:ascii="Arial" w:cs="Arial" w:eastAsia="Arial" w:hAnsi="Arial"/>
                <w:sz w:val="18"/>
                <w:szCs w:val="18"/>
                <w:color w:val="auto"/>
              </w:rPr>
              <w:t>$ 155</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0" w:lineRule="exact"/>
              <w:rPr>
                <w:sz w:val="20"/>
                <w:szCs w:val="20"/>
                <w:color w:val="auto"/>
              </w:rPr>
            </w:pPr>
            <w:r>
              <w:rPr>
                <w:rFonts w:ascii="Arial" w:cs="Arial" w:eastAsia="Arial" w:hAnsi="Arial"/>
                <w:sz w:val="18"/>
                <w:szCs w:val="18"/>
                <w:color w:val="auto"/>
              </w:rPr>
              <w:t>80</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39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16</w:t>
            </w:r>
          </w:p>
        </w:tc>
        <w:tc>
          <w:tcPr>
            <w:tcW w:w="2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9"/>
              </w:rPr>
              <w:t>129</w:t>
            </w:r>
          </w:p>
        </w:tc>
      </w:tr>
      <w:tr>
        <w:trPr>
          <w:trHeight w:val="199"/>
        </w:trPr>
        <w:tc>
          <w:tcPr>
            <w:tcW w:w="68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Interest expense</w:t>
            </w:r>
          </w:p>
        </w:tc>
        <w:tc>
          <w:tcPr>
            <w:tcW w:w="3940" w:type="dxa"/>
            <w:vAlign w:val="bottom"/>
            <w:tcBorders>
              <w:bottom w:val="single" w:sz="8" w:color="auto"/>
            </w:tcBorders>
          </w:tcPr>
          <w:p>
            <w:pPr>
              <w:jc w:val="right"/>
              <w:ind w:right="56"/>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w:t>
            </w:r>
          </w:p>
        </w:tc>
      </w:tr>
      <w:tr>
        <w:trPr>
          <w:trHeight w:val="196"/>
        </w:trPr>
        <w:tc>
          <w:tcPr>
            <w:tcW w:w="684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3940" w:type="dxa"/>
            <w:vAlign w:val="bottom"/>
            <w:tcBorders>
              <w:bottom w:val="single" w:sz="8" w:color="3E499A"/>
            </w:tcBorders>
          </w:tcPr>
          <w:p>
            <w:pPr>
              <w:jc w:val="right"/>
              <w:ind w:right="56"/>
              <w:spacing w:after="0" w:line="196" w:lineRule="exact"/>
              <w:rPr>
                <w:sz w:val="20"/>
                <w:szCs w:val="20"/>
                <w:color w:val="auto"/>
              </w:rPr>
            </w:pPr>
            <w:r>
              <w:rPr>
                <w:rFonts w:ascii="Arial" w:cs="Arial" w:eastAsia="Arial" w:hAnsi="Arial"/>
                <w:sz w:val="18"/>
                <w:szCs w:val="18"/>
                <w:color w:val="auto"/>
              </w:rPr>
              <w:t>$ 171</w:t>
            </w:r>
          </w:p>
        </w:tc>
        <w:tc>
          <w:tcPr>
            <w:tcW w:w="2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w w:val="99"/>
              </w:rPr>
              <w:t>216</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Orlando Transaction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 2011, NBCUniversal acquired the remaining 50% equity interest in Universal Orlando that it did not already own for $1 billion. Following the close of the transaction, Universal Orlando is a wholly owned consolidated subsidiary of NBCUniversal, and its operations are reported in our Theme Parks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Allocation of Purchase Price</w:t>
      </w:r>
    </w:p>
    <w:p>
      <w:pPr>
        <w:jc w:val="both"/>
        <w:spacing w:after="0" w:line="239" w:lineRule="auto"/>
        <w:rPr>
          <w:sz w:val="20"/>
          <w:szCs w:val="20"/>
          <w:color w:val="auto"/>
        </w:rPr>
      </w:pPr>
      <w:r>
        <w:rPr>
          <w:rFonts w:ascii="Arial" w:cs="Arial" w:eastAsia="Arial" w:hAnsi="Arial"/>
          <w:sz w:val="18"/>
          <w:szCs w:val="18"/>
          <w:color w:val="auto"/>
        </w:rPr>
        <w:t>We applied acquisition accounting to the businesses of Universal Orlando, and its results of operations are included in our consolidated results of operations following the acquisition date.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carrying value of our investment in Universal Orlando on July 1, 2011 was $1 billion, which approximated its fair value and, therefore, no gain or loss was recognized as a result of the acquisition.</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presents the fair value of the consideration transferred and the allocation of purchase price to the assets and liabilities of Universal Orlando.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3E499A"/>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78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Cash</w:t>
            </w:r>
          </w:p>
        </w:tc>
        <w:tc>
          <w:tcPr>
            <w:tcW w:w="35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$ 1,019</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Fair value of 50% equity method investment in Universal Orlando</w:t>
            </w:r>
          </w:p>
        </w:tc>
        <w:tc>
          <w:tcPr>
            <w:tcW w:w="3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1,039</w:t>
            </w:r>
          </w:p>
        </w:tc>
      </w:tr>
      <w:tr>
        <w:trPr>
          <w:trHeight w:val="196"/>
        </w:trPr>
        <w:tc>
          <w:tcPr>
            <w:tcW w:w="78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35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$ 2,058</w:t>
            </w:r>
          </w:p>
        </w:tc>
      </w:tr>
      <w:tr>
        <w:trPr>
          <w:trHeight w:val="370"/>
        </w:trPr>
        <w:tc>
          <w:tcPr>
            <w:tcW w:w="7880" w:type="dxa"/>
            <w:vAlign w:val="bottom"/>
          </w:tcPr>
          <w:p>
            <w:pPr>
              <w:spacing w:after="0"/>
              <w:rPr>
                <w:sz w:val="20"/>
                <w:szCs w:val="20"/>
                <w:color w:val="auto"/>
              </w:rPr>
            </w:pPr>
            <w:r>
              <w:rPr>
                <w:rFonts w:ascii="Arial" w:cs="Arial" w:eastAsia="Arial" w:hAnsi="Arial"/>
                <w:sz w:val="18"/>
                <w:szCs w:val="18"/>
                <w:color w:val="3E499A"/>
              </w:rPr>
              <w:t>Allocation of Purchase Price</w:t>
            </w:r>
          </w:p>
        </w:tc>
        <w:tc>
          <w:tcPr>
            <w:tcW w:w="3540" w:type="dxa"/>
            <w:vAlign w:val="bottom"/>
          </w:tcPr>
          <w:p>
            <w:pPr>
              <w:spacing w:after="0"/>
              <w:rPr>
                <w:sz w:val="24"/>
                <w:szCs w:val="24"/>
                <w:color w:val="auto"/>
              </w:rPr>
            </w:pPr>
          </w:p>
        </w:tc>
      </w:tr>
      <w:tr>
        <w:trPr>
          <w:trHeight w:val="43"/>
        </w:trPr>
        <w:tc>
          <w:tcPr>
            <w:tcW w:w="788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r>
        <w:trPr>
          <w:trHeight w:val="237"/>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540" w:type="dxa"/>
            <w:vAlign w:val="bottom"/>
            <w:tcBorders>
              <w:bottom w:val="single" w:sz="8" w:color="auto"/>
            </w:tcBorders>
          </w:tcPr>
          <w:p>
            <w:pPr>
              <w:spacing w:after="0"/>
              <w:rPr>
                <w:sz w:val="20"/>
                <w:szCs w:val="20"/>
                <w:color w:val="auto"/>
              </w:rPr>
            </w:pPr>
          </w:p>
        </w:tc>
      </w:tr>
      <w:tr>
        <w:trPr>
          <w:trHeight w:val="199"/>
        </w:trPr>
        <w:tc>
          <w:tcPr>
            <w:tcW w:w="7880" w:type="dxa"/>
            <w:vAlign w:val="bottom"/>
          </w:tcPr>
          <w:p>
            <w:pPr>
              <w:spacing w:after="0" w:line="200" w:lineRule="exact"/>
              <w:rPr>
                <w:sz w:val="20"/>
                <w:szCs w:val="20"/>
                <w:color w:val="auto"/>
              </w:rPr>
            </w:pPr>
            <w:r>
              <w:rPr>
                <w:rFonts w:ascii="Arial" w:cs="Arial" w:eastAsia="Arial" w:hAnsi="Arial"/>
                <w:sz w:val="18"/>
                <w:szCs w:val="18"/>
                <w:color w:val="auto"/>
              </w:rPr>
              <w:t>Property and equipment</w:t>
            </w:r>
          </w:p>
        </w:tc>
        <w:tc>
          <w:tcPr>
            <w:tcW w:w="35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$ 2,422</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3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591</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3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241</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Other noncurrent assets and liabilities</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(580)</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 acquired</w:t>
            </w:r>
          </w:p>
        </w:tc>
        <w:tc>
          <w:tcPr>
            <w:tcW w:w="3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r>
      <w:tr>
        <w:trPr>
          <w:trHeight w:val="199"/>
        </w:trPr>
        <w:tc>
          <w:tcPr>
            <w:tcW w:w="7880" w:type="dxa"/>
            <w:vAlign w:val="bottom"/>
          </w:tcPr>
          <w:p>
            <w:pPr>
              <w:spacing w:after="0" w:line="200" w:lineRule="exact"/>
              <w:rPr>
                <w:sz w:val="20"/>
                <w:szCs w:val="20"/>
                <w:color w:val="auto"/>
              </w:rPr>
            </w:pPr>
            <w:r>
              <w:rPr>
                <w:rFonts w:ascii="Arial" w:cs="Arial" w:eastAsia="Arial" w:hAnsi="Arial"/>
                <w:sz w:val="18"/>
                <w:szCs w:val="18"/>
                <w:color w:val="auto"/>
              </w:rPr>
              <w:t>Fair value of identifiable net assets acquired</w:t>
            </w:r>
          </w:p>
        </w:tc>
        <w:tc>
          <w:tcPr>
            <w:tcW w:w="35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1,076</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w:t>
            </w:r>
          </w:p>
        </w:tc>
        <w:tc>
          <w:tcPr>
            <w:tcW w:w="35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982</w:t>
            </w:r>
          </w:p>
        </w:tc>
      </w:tr>
      <w:tr>
        <w:trPr>
          <w:trHeight w:val="196"/>
        </w:trPr>
        <w:tc>
          <w:tcPr>
            <w:tcW w:w="78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3540" w:type="dxa"/>
            <w:vAlign w:val="bottom"/>
            <w:tcBorders>
              <w:bottom w:val="single" w:sz="8" w:color="3E499A"/>
            </w:tcBorders>
          </w:tcPr>
          <w:p>
            <w:pPr>
              <w:jc w:val="right"/>
              <w:ind w:right="12"/>
              <w:spacing w:after="0" w:line="196" w:lineRule="exact"/>
              <w:rPr>
                <w:sz w:val="20"/>
                <w:szCs w:val="20"/>
                <w:color w:val="auto"/>
              </w:rPr>
            </w:pPr>
            <w:r>
              <w:rPr>
                <w:rFonts w:ascii="Arial" w:cs="Arial" w:eastAsia="Arial" w:hAnsi="Arial"/>
                <w:sz w:val="18"/>
                <w:szCs w:val="18"/>
                <w:color w:val="auto"/>
              </w:rPr>
              <w:t>$ 2,058</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Due to the partnership structure of NBCUniversal Holdings, goodwill related to the Universal Orlando transaction is not deductible for tax purposes.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3E499A"/>
        </w:rPr>
        <w:t>Unaudited Actual and Pro Forma Information</w:t>
      </w:r>
    </w:p>
    <w:p>
      <w:pPr>
        <w:jc w:val="both"/>
        <w:spacing w:after="0" w:line="239" w:lineRule="auto"/>
        <w:rPr>
          <w:sz w:val="20"/>
          <w:szCs w:val="20"/>
          <w:color w:val="auto"/>
        </w:rPr>
      </w:pPr>
      <w:r>
        <w:rPr>
          <w:rFonts w:ascii="Arial" w:cs="Arial" w:eastAsia="Arial" w:hAnsi="Arial"/>
          <w:sz w:val="18"/>
          <w:szCs w:val="18"/>
          <w:color w:val="auto"/>
        </w:rPr>
        <w:t>Our consolidated revenue and net income (loss) attributable to Comcast Corporation for the year ended December 31, 2011 included $14.5 billion and $493 million, respectively, from the NBCUniversal contributed businesses.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consolidated revenue and net income (loss) attributable to Comcast Corporation for the year ended December 31, 2011 included $712 million and $42 million, respectively, from the acquisition of the remaining 50% equity interest in Universal Orlando.</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unaudited pro forma information has been presented as if both the NBCUniversal transaction and the Universal Orlando transaction occurred on January 1, 2010. This information is based on historical results of operations, adjusted for the allocation of purchase price and other acquisition accounting adjustments, and is not necessarily indicative of what our results would have been had we operated the businesses since January 1, 2010. No pro forma adjustments have been made for our incremental transaction-related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amounts)</w:t>
            </w:r>
          </w:p>
        </w:tc>
        <w:tc>
          <w:tcPr>
            <w:tcW w:w="16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818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2400" w:type="dxa"/>
            <w:vAlign w:val="bottom"/>
            <w:gridSpan w:val="2"/>
          </w:tcPr>
          <w:p>
            <w:pPr>
              <w:jc w:val="right"/>
              <w:ind w:right="95"/>
              <w:spacing w:after="0" w:line="200" w:lineRule="exact"/>
              <w:rPr>
                <w:sz w:val="20"/>
                <w:szCs w:val="20"/>
                <w:color w:val="auto"/>
              </w:rPr>
            </w:pPr>
            <w:r>
              <w:rPr>
                <w:rFonts w:ascii="Arial" w:cs="Arial" w:eastAsia="Arial" w:hAnsi="Arial"/>
                <w:sz w:val="18"/>
                <w:szCs w:val="18"/>
                <w:color w:val="auto"/>
              </w:rPr>
              <w:t>$ 57,661</w:t>
            </w:r>
          </w:p>
        </w:tc>
        <w:tc>
          <w:tcPr>
            <w:tcW w:w="8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$ 55,054</w:t>
            </w: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5,169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4,149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 shareholders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1.51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99"/>
        </w:trPr>
        <w:tc>
          <w:tcPr>
            <w:tcW w:w="8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Diluted earnings per common share attributable to Comcast Corporation shareholders</w:t>
            </w:r>
          </w:p>
        </w:tc>
        <w:tc>
          <w:tcPr>
            <w:tcW w:w="1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5"/>
              <w:spacing w:after="0" w:line="200" w:lineRule="exact"/>
              <w:rPr>
                <w:sz w:val="20"/>
                <w:szCs w:val="20"/>
                <w:color w:val="auto"/>
              </w:rPr>
            </w:pPr>
            <w:r>
              <w:rPr>
                <w:rFonts w:ascii="Arial" w:cs="Arial" w:eastAsia="Arial" w:hAnsi="Arial"/>
                <w:sz w:val="18"/>
                <w:szCs w:val="18"/>
                <w:color w:val="auto"/>
              </w:rPr>
              <w:t>1.49</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532"/>
        </w:trPr>
        <w:tc>
          <w:tcPr>
            <w:tcW w:w="8180" w:type="dxa"/>
            <w:vAlign w:val="bottom"/>
          </w:tcPr>
          <w:p>
            <w:pPr>
              <w:spacing w:after="0"/>
              <w:rPr>
                <w:sz w:val="20"/>
                <w:szCs w:val="20"/>
                <w:color w:val="auto"/>
              </w:rPr>
            </w:pPr>
            <w:r>
              <w:rPr>
                <w:rFonts w:ascii="Arial" w:cs="Arial" w:eastAsia="Arial" w:hAnsi="Arial"/>
                <w:sz w:val="18"/>
                <w:szCs w:val="18"/>
                <w:b w:val="1"/>
                <w:bCs w:val="1"/>
                <w:color w:val="3E499A"/>
              </w:rPr>
              <w:t>Note 5: Film and Television Costs</w:t>
            </w: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8180" w:type="dxa"/>
            <w:vAlign w:val="bottom"/>
            <w:tcBorders>
              <w:bottom w:val="single" w:sz="8" w:color="3E499A"/>
            </w:tcBorders>
          </w:tcPr>
          <w:p>
            <w:pPr>
              <w:spacing w:after="0"/>
              <w:rPr>
                <w:sz w:val="3"/>
                <w:szCs w:val="3"/>
                <w:color w:val="auto"/>
              </w:rPr>
            </w:pPr>
          </w:p>
        </w:tc>
        <w:tc>
          <w:tcPr>
            <w:tcW w:w="1660" w:type="dxa"/>
            <w:vAlign w:val="bottom"/>
            <w:tcBorders>
              <w:bottom w:val="single" w:sz="8" w:color="3E499A"/>
            </w:tcBorders>
          </w:tcPr>
          <w:p>
            <w:pPr>
              <w:spacing w:after="0"/>
              <w:rPr>
                <w:sz w:val="3"/>
                <w:szCs w:val="3"/>
                <w:color w:val="auto"/>
              </w:rPr>
            </w:pPr>
          </w:p>
        </w:tc>
        <w:tc>
          <w:tcPr>
            <w:tcW w:w="740" w:type="dxa"/>
            <w:vAlign w:val="bottom"/>
            <w:tcBorders>
              <w:bottom w:val="single" w:sz="8" w:color="3E499A"/>
            </w:tcBorders>
          </w:tcPr>
          <w:p>
            <w:pPr>
              <w:spacing w:after="0"/>
              <w:rPr>
                <w:sz w:val="3"/>
                <w:szCs w:val="3"/>
                <w:color w:val="auto"/>
              </w:rPr>
            </w:pPr>
          </w:p>
        </w:tc>
        <w:tc>
          <w:tcPr>
            <w:tcW w:w="260" w:type="dxa"/>
            <w:vAlign w:val="bottom"/>
            <w:tcBorders>
              <w:bottom w:val="single" w:sz="8" w:color="3E499A"/>
            </w:tcBorders>
          </w:tcPr>
          <w:p>
            <w:pPr>
              <w:spacing w:after="0"/>
              <w:rPr>
                <w:sz w:val="3"/>
                <w:szCs w:val="3"/>
                <w:color w:val="auto"/>
              </w:rPr>
            </w:pPr>
          </w:p>
        </w:tc>
        <w:tc>
          <w:tcPr>
            <w:tcW w:w="580" w:type="dxa"/>
            <w:vAlign w:val="bottom"/>
            <w:tcBorders>
              <w:bottom w:val="single" w:sz="8" w:color="3E499A"/>
            </w:tcBorders>
          </w:tcPr>
          <w:p>
            <w:pPr>
              <w:spacing w:after="0"/>
              <w:rPr>
                <w:sz w:val="3"/>
                <w:szCs w:val="3"/>
                <w:color w:val="auto"/>
              </w:rPr>
            </w:pPr>
          </w:p>
        </w:tc>
        <w:tc>
          <w:tcPr>
            <w:tcW w:w="0" w:type="dxa"/>
            <w:vAlign w:val="bottom"/>
          </w:tcPr>
          <w:p>
            <w:pPr>
              <w:spacing w:after="0"/>
              <w:rPr>
                <w:sz w:val="1"/>
                <w:szCs w:val="1"/>
                <w:color w:val="auto"/>
              </w:rPr>
            </w:pPr>
          </w:p>
        </w:tc>
      </w:tr>
      <w:tr>
        <w:trPr>
          <w:trHeight w:val="372"/>
        </w:trPr>
        <w:tc>
          <w:tcPr>
            <w:tcW w:w="8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8180" w:type="dxa"/>
            <w:vAlign w:val="bottom"/>
          </w:tcPr>
          <w:p>
            <w:pPr>
              <w:spacing w:after="0" w:line="200" w:lineRule="exact"/>
              <w:rPr>
                <w:sz w:val="20"/>
                <w:szCs w:val="20"/>
                <w:color w:val="auto"/>
              </w:rPr>
            </w:pPr>
            <w:r>
              <w:rPr>
                <w:rFonts w:ascii="Arial" w:cs="Arial" w:eastAsia="Arial" w:hAnsi="Arial"/>
                <w:sz w:val="18"/>
                <w:szCs w:val="18"/>
                <w:color w:val="auto"/>
              </w:rPr>
              <w:t>Film Costs:</w:t>
            </w:r>
          </w:p>
        </w:tc>
        <w:tc>
          <w:tcPr>
            <w:tcW w:w="1660" w:type="dxa"/>
            <w:vAlign w:val="bottom"/>
          </w:tcPr>
          <w:p>
            <w:pPr>
              <w:spacing w:after="0"/>
              <w:rPr>
                <w:sz w:val="17"/>
                <w:szCs w:val="17"/>
                <w:color w:val="auto"/>
              </w:rPr>
            </w:pPr>
          </w:p>
        </w:tc>
        <w:tc>
          <w:tcPr>
            <w:tcW w:w="74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$ 1,472</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18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16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$ 1,428</w:t>
            </w:r>
          </w:p>
        </w:tc>
        <w:tc>
          <w:tcPr>
            <w:tcW w:w="0" w:type="dxa"/>
            <w:vAlign w:val="bottom"/>
          </w:tcPr>
          <w:p>
            <w:pPr>
              <w:spacing w:after="0"/>
              <w:rPr>
                <w:sz w:val="1"/>
                <w:szCs w:val="1"/>
                <w:color w:val="auto"/>
              </w:rPr>
            </w:pPr>
          </w:p>
        </w:tc>
      </w:tr>
      <w:tr>
        <w:trPr>
          <w:trHeight w:val="203"/>
        </w:trPr>
        <w:tc>
          <w:tcPr>
            <w:tcW w:w="818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166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99</w:t>
            </w:r>
          </w:p>
        </w:tc>
        <w:tc>
          <w:tcPr>
            <w:tcW w:w="2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1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1,048</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6"/>
        </w:trPr>
        <w:tc>
          <w:tcPr>
            <w:tcW w:w="8180" w:type="dxa"/>
            <w:vAlign w:val="bottom"/>
            <w:vMerge w:val="restart"/>
          </w:tcPr>
          <w:p>
            <w:pPr>
              <w:spacing w:after="0"/>
              <w:rPr>
                <w:sz w:val="20"/>
                <w:szCs w:val="20"/>
                <w:color w:val="auto"/>
              </w:rPr>
            </w:pPr>
            <w:r>
              <w:rPr>
                <w:rFonts w:ascii="Arial" w:cs="Arial" w:eastAsia="Arial" w:hAnsi="Arial"/>
                <w:sz w:val="18"/>
                <w:szCs w:val="18"/>
                <w:color w:val="auto"/>
              </w:rPr>
              <w:t>Television Costs:</w:t>
            </w:r>
          </w:p>
        </w:tc>
        <w:tc>
          <w:tcPr>
            <w:tcW w:w="166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b w:val="1"/>
                <w:bCs w:val="1"/>
                <w:color w:val="auto"/>
              </w:rPr>
              <w:t>2,619</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175"/>
        </w:trPr>
        <w:tc>
          <w:tcPr>
            <w:tcW w:w="81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74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1,124</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18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16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1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334</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77"/>
        </w:trPr>
        <w:tc>
          <w:tcPr>
            <w:tcW w:w="8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40" w:type="dxa"/>
            <w:vAlign w:val="bottom"/>
          </w:tcPr>
          <w:p>
            <w:pPr>
              <w:jc w:val="right"/>
              <w:ind w:right="15"/>
              <w:spacing w:after="0" w:line="177" w:lineRule="exact"/>
              <w:rPr>
                <w:sz w:val="20"/>
                <w:szCs w:val="20"/>
                <w:color w:val="auto"/>
              </w:rPr>
            </w:pPr>
            <w:r>
              <w:rPr>
                <w:rFonts w:ascii="Arial" w:cs="Arial" w:eastAsia="Arial" w:hAnsi="Arial"/>
                <w:sz w:val="18"/>
                <w:szCs w:val="18"/>
                <w:b w:val="1"/>
                <w:bCs w:val="1"/>
                <w:color w:val="auto"/>
              </w:rPr>
              <w:t>1,458</w:t>
            </w:r>
          </w:p>
        </w:tc>
        <w:tc>
          <w:tcPr>
            <w:tcW w:w="26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1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1,886</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177"/>
        </w:trPr>
        <w:tc>
          <w:tcPr>
            <w:tcW w:w="8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40" w:type="dxa"/>
            <w:vAlign w:val="bottom"/>
          </w:tcPr>
          <w:p>
            <w:pPr>
              <w:jc w:val="right"/>
              <w:ind w:right="15"/>
              <w:spacing w:after="0" w:line="177" w:lineRule="exact"/>
              <w:rPr>
                <w:sz w:val="20"/>
                <w:szCs w:val="20"/>
                <w:color w:val="auto"/>
              </w:rPr>
            </w:pPr>
            <w:r>
              <w:rPr>
                <w:rFonts w:ascii="Arial" w:cs="Arial" w:eastAsia="Arial" w:hAnsi="Arial"/>
                <w:sz w:val="18"/>
                <w:szCs w:val="18"/>
                <w:b w:val="1"/>
                <w:bCs w:val="1"/>
                <w:color w:val="auto"/>
              </w:rPr>
              <w:t>5,963</w:t>
            </w:r>
          </w:p>
        </w:tc>
        <w:tc>
          <w:tcPr>
            <w:tcW w:w="26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1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909</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Film and television costs</w:t>
            </w:r>
          </w:p>
        </w:tc>
        <w:tc>
          <w:tcPr>
            <w:tcW w:w="1660" w:type="dxa"/>
            <w:vAlign w:val="bottom"/>
            <w:tcBorders>
              <w:bottom w:val="single" w:sz="8" w:color="3E499A"/>
            </w:tcBorders>
          </w:tcPr>
          <w:p>
            <w:pPr>
              <w:spacing w:after="0"/>
              <w:rPr>
                <w:sz w:val="17"/>
                <w:szCs w:val="17"/>
                <w:color w:val="auto"/>
              </w:rPr>
            </w:pPr>
          </w:p>
        </w:tc>
        <w:tc>
          <w:tcPr>
            <w:tcW w:w="740" w:type="dxa"/>
            <w:vAlign w:val="bottom"/>
            <w:tcBorders>
              <w:bottom w:val="single" w:sz="8" w:color="3E499A"/>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$ 5,054</w:t>
            </w:r>
          </w:p>
        </w:tc>
        <w:tc>
          <w:tcPr>
            <w:tcW w:w="840" w:type="dxa"/>
            <w:vAlign w:val="bottom"/>
            <w:tcBorders>
              <w:bottom w:val="single" w:sz="8" w:color="3E499A"/>
            </w:tcBorders>
            <w:gridSpan w:val="2"/>
          </w:tcPr>
          <w:p>
            <w:pPr>
              <w:jc w:val="right"/>
              <w:spacing w:after="0" w:line="196" w:lineRule="exact"/>
              <w:rPr>
                <w:sz w:val="20"/>
                <w:szCs w:val="20"/>
                <w:color w:val="auto"/>
              </w:rPr>
            </w:pPr>
            <w:r>
              <w:rPr>
                <w:rFonts w:ascii="Arial" w:cs="Arial" w:eastAsia="Arial" w:hAnsi="Arial"/>
                <w:sz w:val="18"/>
                <w:szCs w:val="18"/>
                <w:color w:val="auto"/>
              </w:rPr>
              <w:t>$ 5,227</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our estimates of the ratio of the current period’s actual revenue to the estimated total remaining gross revenue from all sources (“ultimate revenue”), as of December 31, 2012, approximately $1.1 billion of film and television costs associated with our original film and television productions that have been released, or completed and not yet released, are expected to be amortized during 2013. Approximately 87% of unamortized film and television costs for our released productions, excluding amounts allocated to acquired libraries, are expected to be amortized through 2015.</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89</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acquired film and television libraries, which are included within the “released, less amortization” captions in the table above, had remaining unamortized costs of $867 million. These costs are generally amortized over a period not to exceed 20 years, and approximately 47% of these costs are expected to be amortized through 2015.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 We generally record the amortization and the accrued costs using the film forecast computation method, which amortizes such costs in the same ratio as the associated ultimate revenue. Estimates of total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distribution of a film to movie theaters or the licensing or sale of a film or television production, which are primarily costs associated with the marketing and distribution of film and television programming.</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determining the estimated lives and method of amortization of acquired film and television libraries, we generally use the method and the life that most closely follow the undiscounted cash flows over the estimated life of the asset.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the occurrence of an event or change in circumstance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arrangements with third parties to jointly finance and distribute certain of our film productions. These arrangements, which are referred to as cofinancing arrangements, can take various forms. In most cases, the arrangement involves the grant of an economic interest in a film to a third-party investor. The number of investors and the terms of these arrangements can also vary, although in most cases an investor assumes full risk for the portion of the film acquired in these arrangements. We account for the proceeds received from a third-party investor under these arrangements as a reduction to our capitalized film costs. In these arrangements, the investor owns an undivided copyright interest in the film and, therefore, in each period we record either a charge or benefit to programming and production expense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available for use. We amortize capitalized programming costs as the associated programs are broadcast. We amortize multiyear, live-event sports programming rights using the ratio of the current period’s actual revenue to the estimated total remaining revenue or over the contract term.</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Acquired programming costs are recorded at the lower of unamortized cost or net realizable value on a program by program, package, channel or daypart basis. A daypart is an aggregation of programs broadcast during a particular time of day or programs of a similar type. Acquired programming used in our Cable Networks segment is primarily tested on a channel basis for impairment, whereas acquired programming used in our Broadcast Television segment is tested on a daypart basis. If we determine that the estimates of future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cash flows are insufficient or if there is no plan to broadcast certain programming, we recognize an impairment charge to programming and production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880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580" w:type="dxa"/>
            <w:vAlign w:val="bottom"/>
          </w:tcPr>
          <w:p>
            <w:pPr>
              <w:spacing w:after="0"/>
              <w:rPr>
                <w:sz w:val="17"/>
                <w:szCs w:val="17"/>
                <w:color w:val="auto"/>
              </w:rPr>
            </w:pPr>
          </w:p>
        </w:tc>
        <w:tc>
          <w:tcPr>
            <w:tcW w:w="620" w:type="dxa"/>
            <w:vAlign w:val="bottom"/>
          </w:tcPr>
          <w:p>
            <w:pPr>
              <w:ind w:left="20"/>
              <w:spacing w:after="0" w:line="200" w:lineRule="exact"/>
              <w:rPr>
                <w:sz w:val="20"/>
                <w:szCs w:val="20"/>
                <w:color w:val="auto"/>
              </w:rPr>
            </w:pPr>
            <w:r>
              <w:rPr>
                <w:rFonts w:ascii="Arial" w:cs="Arial" w:eastAsia="Arial" w:hAnsi="Arial"/>
                <w:sz w:val="18"/>
                <w:szCs w:val="18"/>
                <w:b w:val="1"/>
                <w:bCs w:val="1"/>
                <w:color w:val="auto"/>
                <w:w w:val="96"/>
              </w:rPr>
              <w:t>$ 4,493</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$ 3,028</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800" w:type="dxa"/>
            <w:vAlign w:val="bottom"/>
          </w:tcPr>
          <w:p>
            <w:pPr>
              <w:ind w:left="220"/>
              <w:spacing w:after="0" w:line="181" w:lineRule="exact"/>
              <w:rPr>
                <w:sz w:val="20"/>
                <w:szCs w:val="20"/>
                <w:color w:val="auto"/>
              </w:rPr>
            </w:pPr>
            <w:r>
              <w:rPr>
                <w:rFonts w:ascii="Arial" w:cs="Arial" w:eastAsia="Arial" w:hAnsi="Arial"/>
                <w:sz w:val="18"/>
                <w:szCs w:val="18"/>
                <w:color w:val="auto"/>
              </w:rPr>
              <w:t>A&amp;E Television Networks</w:t>
            </w: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70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3"/>
        </w:trPr>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SpectrumCo</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w w:val="79"/>
              </w:rPr>
              <w:t>10</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3"/>
        </w:trPr>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The Weather Channel</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gridSpan w:val="2"/>
          </w:tcPr>
          <w:p>
            <w:pPr>
              <w:jc w:val="right"/>
              <w:ind w:right="194"/>
              <w:spacing w:after="0" w:line="202" w:lineRule="exact"/>
              <w:rPr>
                <w:sz w:val="20"/>
                <w:szCs w:val="20"/>
                <w:color w:val="auto"/>
              </w:rPr>
            </w:pPr>
            <w:r>
              <w:rPr>
                <w:rFonts w:ascii="Arial" w:cs="Arial" w:eastAsia="Arial" w:hAnsi="Arial"/>
                <w:sz w:val="18"/>
                <w:szCs w:val="18"/>
                <w:b w:val="1"/>
                <w:bCs w:val="1"/>
                <w:color w:val="auto"/>
              </w:rPr>
              <w:t>471</w:t>
            </w:r>
          </w:p>
        </w:tc>
        <w:tc>
          <w:tcPr>
            <w:tcW w:w="2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3"/>
        </w:trPr>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MSNBC.com</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8800" w:type="dxa"/>
            <w:vAlign w:val="bottom"/>
          </w:tcPr>
          <w:p>
            <w:pPr>
              <w:ind w:left="220"/>
              <w:spacing w:after="0" w:line="202" w:lineRule="exact"/>
              <w:rPr>
                <w:sz w:val="20"/>
                <w:szCs w:val="20"/>
                <w:color w:val="auto"/>
              </w:rPr>
            </w:pPr>
            <w:r>
              <w:rPr>
                <w:rFonts w:ascii="Arial" w:cs="Arial" w:eastAsia="Arial" w:hAnsi="Arial"/>
                <w:sz w:val="18"/>
                <w:szCs w:val="18"/>
                <w:color w:val="auto"/>
              </w:rPr>
              <w:t>Clearwire LLC</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1"/>
        </w:trPr>
        <w:tc>
          <w:tcPr>
            <w:tcW w:w="8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8"/>
                <w:szCs w:val="18"/>
                <w:b w:val="1"/>
                <w:bCs w:val="1"/>
                <w:color w:val="auto"/>
              </w:rPr>
              <w:t>683</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6"/>
        </w:trPr>
        <w:tc>
          <w:tcPr>
            <w:tcW w:w="8800" w:type="dxa"/>
            <w:vAlign w:val="bottom"/>
            <w:vMerge w:val="restart"/>
          </w:tcPr>
          <w:p>
            <w:pPr>
              <w:spacing w:after="0"/>
              <w:rPr>
                <w:sz w:val="20"/>
                <w:szCs w:val="20"/>
                <w:color w:val="auto"/>
              </w:rPr>
            </w:pPr>
            <w:r>
              <w:rPr>
                <w:rFonts w:ascii="Arial" w:cs="Arial" w:eastAsia="Arial" w:hAnsi="Arial"/>
                <w:sz w:val="18"/>
                <w:szCs w:val="18"/>
                <w:color w:val="auto"/>
              </w:rPr>
              <w:t>Cost Method:</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gridSpan w:val="2"/>
          </w:tcPr>
          <w:p>
            <w:pPr>
              <w:jc w:val="right"/>
              <w:ind w:right="194"/>
              <w:spacing w:after="0"/>
              <w:rPr>
                <w:sz w:val="20"/>
                <w:szCs w:val="20"/>
                <w:color w:val="auto"/>
              </w:rPr>
            </w:pPr>
            <w:r>
              <w:rPr>
                <w:rFonts w:ascii="Arial" w:cs="Arial" w:eastAsia="Arial" w:hAnsi="Arial"/>
                <w:sz w:val="18"/>
                <w:szCs w:val="18"/>
                <w:b w:val="1"/>
                <w:bCs w:val="1"/>
                <w:color w:val="auto"/>
                <w:w w:val="93"/>
              </w:rPr>
              <w:t>1,164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175"/>
        </w:trPr>
        <w:tc>
          <w:tcPr>
            <w:tcW w:w="88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gridSpan w:val="2"/>
            <w:vMerge w:val="restart"/>
          </w:tcPr>
          <w:p>
            <w:pPr>
              <w:jc w:val="right"/>
              <w:ind w:right="194"/>
              <w:spacing w:after="0"/>
              <w:rPr>
                <w:sz w:val="20"/>
                <w:szCs w:val="20"/>
                <w:color w:val="auto"/>
              </w:rPr>
            </w:pPr>
            <w:r>
              <w:rPr>
                <w:rFonts w:ascii="Arial" w:cs="Arial" w:eastAsia="Arial" w:hAnsi="Arial"/>
                <w:sz w:val="18"/>
                <w:szCs w:val="18"/>
                <w:b w:val="1"/>
                <w:bCs w:val="1"/>
                <w:color w:val="auto"/>
                <w:w w:val="93"/>
              </w:rPr>
              <w:t>1,538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800" w:type="dxa"/>
            <w:vAlign w:val="bottom"/>
          </w:tcPr>
          <w:p>
            <w:pPr>
              <w:ind w:left="220"/>
              <w:spacing w:after="0" w:line="181" w:lineRule="exact"/>
              <w:rPr>
                <w:sz w:val="20"/>
                <w:szCs w:val="20"/>
                <w:color w:val="auto"/>
              </w:rPr>
            </w:pPr>
            <w:r>
              <w:rPr>
                <w:rFonts w:ascii="Arial" w:cs="Arial" w:eastAsia="Arial" w:hAnsi="Arial"/>
                <w:sz w:val="18"/>
                <w:szCs w:val="18"/>
                <w:color w:val="auto"/>
              </w:rPr>
              <w:t>AirTouch</w:t>
            </w: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0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1"/>
        </w:trPr>
        <w:tc>
          <w:tcPr>
            <w:tcW w:w="8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8"/>
                <w:szCs w:val="18"/>
                <w:b w:val="1"/>
                <w:bCs w:val="1"/>
                <w:color w:val="auto"/>
              </w:rPr>
              <w:t>594</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177"/>
        </w:trPr>
        <w:tc>
          <w:tcPr>
            <w:tcW w:w="8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gridSpan w:val="2"/>
          </w:tcPr>
          <w:p>
            <w:pPr>
              <w:jc w:val="right"/>
              <w:ind w:right="194"/>
              <w:spacing w:after="0" w:line="177" w:lineRule="exact"/>
              <w:rPr>
                <w:sz w:val="20"/>
                <w:szCs w:val="20"/>
                <w:color w:val="auto"/>
              </w:rPr>
            </w:pPr>
            <w:r>
              <w:rPr>
                <w:rFonts w:ascii="Arial" w:cs="Arial" w:eastAsia="Arial" w:hAnsi="Arial"/>
                <w:sz w:val="18"/>
                <w:szCs w:val="18"/>
                <w:b w:val="1"/>
                <w:bCs w:val="1"/>
                <w:color w:val="auto"/>
                <w:w w:val="93"/>
              </w:rPr>
              <w:t>2,132</w:t>
            </w:r>
          </w:p>
        </w:tc>
        <w:tc>
          <w:tcPr>
            <w:tcW w:w="70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Total investments</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gridSpan w:val="2"/>
          </w:tcPr>
          <w:p>
            <w:pPr>
              <w:jc w:val="right"/>
              <w:ind w:right="194"/>
              <w:spacing w:after="0" w:line="202" w:lineRule="exact"/>
              <w:rPr>
                <w:sz w:val="20"/>
                <w:szCs w:val="20"/>
                <w:color w:val="auto"/>
              </w:rPr>
            </w:pPr>
            <w:r>
              <w:rPr>
                <w:rFonts w:ascii="Arial" w:cs="Arial" w:eastAsia="Arial" w:hAnsi="Arial"/>
                <w:sz w:val="18"/>
                <w:szCs w:val="18"/>
                <w:b w:val="1"/>
                <w:bCs w:val="1"/>
                <w:color w:val="auto"/>
                <w:w w:val="93"/>
              </w:rPr>
              <w:t>7,789</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9,908</w:t>
            </w:r>
          </w:p>
        </w:tc>
        <w:tc>
          <w:tcPr>
            <w:tcW w:w="0" w:type="dxa"/>
            <w:vAlign w:val="bottom"/>
          </w:tcPr>
          <w:p>
            <w:pPr>
              <w:spacing w:after="0"/>
              <w:rPr>
                <w:sz w:val="1"/>
                <w:szCs w:val="1"/>
                <w:color w:val="auto"/>
              </w:rPr>
            </w:pPr>
          </w:p>
        </w:tc>
      </w:tr>
      <w:tr>
        <w:trPr>
          <w:trHeight w:val="221"/>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8"/>
                <w:szCs w:val="18"/>
                <w:b w:val="1"/>
                <w:bCs w:val="1"/>
                <w:color w:val="auto"/>
                <w:w w:val="93"/>
              </w:rPr>
              <w:t>1,464</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880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Noncurrent investments</w:t>
            </w:r>
          </w:p>
        </w:tc>
        <w:tc>
          <w:tcPr>
            <w:tcW w:w="580" w:type="dxa"/>
            <w:vAlign w:val="bottom"/>
            <w:tcBorders>
              <w:bottom w:val="single" w:sz="8" w:color="3E499A"/>
            </w:tcBorders>
          </w:tcPr>
          <w:p>
            <w:pPr>
              <w:spacing w:after="0"/>
              <w:rPr>
                <w:sz w:val="17"/>
                <w:szCs w:val="17"/>
                <w:color w:val="auto"/>
              </w:rPr>
            </w:pPr>
          </w:p>
        </w:tc>
        <w:tc>
          <w:tcPr>
            <w:tcW w:w="620" w:type="dxa"/>
            <w:vAlign w:val="bottom"/>
            <w:tcBorders>
              <w:bottom w:val="single" w:sz="8" w:color="3E499A"/>
            </w:tcBorders>
          </w:tcPr>
          <w:p>
            <w:pPr>
              <w:ind w:left="20"/>
              <w:spacing w:after="0" w:line="196" w:lineRule="exact"/>
              <w:rPr>
                <w:sz w:val="20"/>
                <w:szCs w:val="20"/>
                <w:color w:val="auto"/>
              </w:rPr>
            </w:pPr>
            <w:r>
              <w:rPr>
                <w:rFonts w:ascii="Arial" w:cs="Arial" w:eastAsia="Arial" w:hAnsi="Arial"/>
                <w:sz w:val="18"/>
                <w:szCs w:val="18"/>
                <w:b w:val="1"/>
                <w:bCs w:val="1"/>
                <w:color w:val="auto"/>
              </w:rPr>
              <w:t>$6,325</w:t>
            </w:r>
          </w:p>
        </w:tc>
        <w:tc>
          <w:tcPr>
            <w:tcW w:w="260" w:type="dxa"/>
            <w:vAlign w:val="bottom"/>
            <w:tcBorders>
              <w:bottom w:val="single" w:sz="8" w:color="3E499A"/>
            </w:tcBorders>
          </w:tcPr>
          <w:p>
            <w:pPr>
              <w:spacing w:after="0"/>
              <w:rPr>
                <w:sz w:val="17"/>
                <w:szCs w:val="17"/>
                <w:color w:val="auto"/>
              </w:rPr>
            </w:pPr>
          </w:p>
        </w:tc>
        <w:tc>
          <w:tcPr>
            <w:tcW w:w="460" w:type="dxa"/>
            <w:vAlign w:val="bottom"/>
            <w:tcBorders>
              <w:bottom w:val="single" w:sz="8" w:color="3E499A"/>
            </w:tcBorders>
          </w:tcPr>
          <w:p>
            <w:pPr>
              <w:spacing w:after="0"/>
              <w:rPr>
                <w:sz w:val="17"/>
                <w:szCs w:val="17"/>
                <w:color w:val="auto"/>
              </w:rPr>
            </w:pPr>
          </w:p>
        </w:tc>
        <w:tc>
          <w:tcPr>
            <w:tcW w:w="700" w:type="dxa"/>
            <w:vAlign w:val="bottom"/>
            <w:tcBorders>
              <w:bottom w:val="single" w:sz="8" w:color="3E499A"/>
            </w:tcBorders>
            <w:gridSpan w:val="2"/>
          </w:tcPr>
          <w:p>
            <w:pPr>
              <w:jc w:val="right"/>
              <w:spacing w:after="0" w:line="196" w:lineRule="exact"/>
              <w:rPr>
                <w:sz w:val="20"/>
                <w:szCs w:val="20"/>
                <w:color w:val="auto"/>
              </w:rPr>
            </w:pPr>
            <w:r>
              <w:rPr>
                <w:rFonts w:ascii="Arial" w:cs="Arial" w:eastAsia="Arial" w:hAnsi="Arial"/>
                <w:sz w:val="18"/>
                <w:szCs w:val="18"/>
                <w:color w:val="auto"/>
              </w:rPr>
              <w:t>$ 9,854</w:t>
            </w:r>
          </w:p>
        </w:tc>
        <w:tc>
          <w:tcPr>
            <w:tcW w:w="0" w:type="dxa"/>
            <w:vAlign w:val="bottom"/>
          </w:tcPr>
          <w:p>
            <w:pPr>
              <w:spacing w:after="0"/>
              <w:rPr>
                <w:sz w:val="1"/>
                <w:szCs w:val="1"/>
                <w:color w:val="auto"/>
              </w:rPr>
            </w:pPr>
          </w:p>
        </w:tc>
      </w:tr>
      <w:tr>
        <w:trPr>
          <w:trHeight w:val="370"/>
        </w:trPr>
        <w:tc>
          <w:tcPr>
            <w:tcW w:w="8800" w:type="dxa"/>
            <w:vAlign w:val="bottom"/>
          </w:tcPr>
          <w:p>
            <w:pPr>
              <w:spacing w:after="0"/>
              <w:rPr>
                <w:sz w:val="20"/>
                <w:szCs w:val="20"/>
                <w:color w:val="auto"/>
              </w:rPr>
            </w:pPr>
            <w:r>
              <w:rPr>
                <w:rFonts w:ascii="Arial" w:cs="Arial" w:eastAsia="Arial" w:hAnsi="Arial"/>
                <w:sz w:val="18"/>
                <w:szCs w:val="18"/>
                <w:color w:val="3E499A"/>
              </w:rPr>
              <w:t>Investment Income (Loss), Net</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88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77"/>
        </w:trPr>
        <w:tc>
          <w:tcPr>
            <w:tcW w:w="8800" w:type="dxa"/>
            <w:vAlign w:val="bottom"/>
          </w:tcPr>
          <w:p>
            <w:pPr>
              <w:spacing w:after="0" w:line="177" w:lineRule="exact"/>
              <w:rPr>
                <w:sz w:val="20"/>
                <w:szCs w:val="20"/>
                <w:color w:val="auto"/>
              </w:rPr>
            </w:pPr>
            <w:r>
              <w:rPr>
                <w:rFonts w:ascii="Arial" w:cs="Arial" w:eastAsia="Arial" w:hAnsi="Arial"/>
                <w:sz w:val="18"/>
                <w:szCs w:val="18"/>
                <w:color w:val="auto"/>
              </w:rPr>
              <w:t>Gains on sales and exchanges of investments, net</w:t>
            </w:r>
          </w:p>
        </w:tc>
        <w:tc>
          <w:tcPr>
            <w:tcW w:w="5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30</w:t>
            </w:r>
          </w:p>
        </w:tc>
        <w:tc>
          <w:tcPr>
            <w:tcW w:w="2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4"/>
              <w:spacing w:after="0" w:line="177" w:lineRule="exact"/>
              <w:rPr>
                <w:sz w:val="20"/>
                <w:szCs w:val="20"/>
                <w:color w:val="auto"/>
              </w:rPr>
            </w:pPr>
            <w:r>
              <w:rPr>
                <w:rFonts w:ascii="Arial" w:cs="Arial" w:eastAsia="Arial" w:hAnsi="Arial"/>
                <w:sz w:val="18"/>
                <w:szCs w:val="18"/>
                <w:color w:val="auto"/>
              </w:rPr>
              <w:t>41</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Investment impairment losses</w:t>
            </w:r>
          </w:p>
        </w:tc>
        <w:tc>
          <w:tcPr>
            <w:tcW w:w="5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8800" w:type="dxa"/>
            <w:vAlign w:val="bottom"/>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1,159</w:t>
            </w:r>
          </w:p>
        </w:tc>
        <w:tc>
          <w:tcPr>
            <w:tcW w:w="260" w:type="dxa"/>
            <w:vAlign w:val="bottom"/>
          </w:tcPr>
          <w:p>
            <w:pPr>
              <w:spacing w:after="0"/>
              <w:rPr>
                <w:sz w:val="19"/>
                <w:szCs w:val="19"/>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Mark to market adjustments on derivative component of prepaid forward sale agreements and indexed debt</w:t>
            </w:r>
          </w:p>
        </w:tc>
        <w:tc>
          <w:tcPr>
            <w:tcW w:w="5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(1,071)</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800" w:type="dxa"/>
            <w:vAlign w:val="bottom"/>
          </w:tcPr>
          <w:p>
            <w:pPr>
              <w:ind w:left="220"/>
              <w:spacing w:after="0" w:line="181" w:lineRule="exact"/>
              <w:rPr>
                <w:sz w:val="20"/>
                <w:szCs w:val="20"/>
                <w:color w:val="auto"/>
              </w:rPr>
            </w:pPr>
            <w:r>
              <w:rPr>
                <w:rFonts w:ascii="Arial" w:cs="Arial" w:eastAsia="Arial" w:hAnsi="Arial"/>
                <w:sz w:val="18"/>
                <w:szCs w:val="18"/>
                <w:color w:val="auto"/>
              </w:rPr>
              <w:t>instruments</w:t>
            </w:r>
          </w:p>
        </w:tc>
        <w:tc>
          <w:tcPr>
            <w:tcW w:w="5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8"/>
                <w:szCs w:val="18"/>
                <w:color w:val="auto"/>
                <w:w w:val="95"/>
              </w:rPr>
              <w:t>(119)</w:t>
            </w:r>
          </w:p>
        </w:tc>
        <w:tc>
          <w:tcPr>
            <w:tcW w:w="22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8"/>
                <w:szCs w:val="18"/>
                <w:color w:val="auto"/>
                <w:w w:val="99"/>
              </w:rPr>
              <w:t>(665)</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5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119</w:t>
            </w:r>
          </w:p>
        </w:tc>
        <w:tc>
          <w:tcPr>
            <w:tcW w:w="260" w:type="dxa"/>
            <w:vAlign w:val="bottom"/>
          </w:tcPr>
          <w:p>
            <w:pPr>
              <w:spacing w:after="0"/>
              <w:rPr>
                <w:sz w:val="17"/>
                <w:szCs w:val="17"/>
                <w:color w:val="auto"/>
              </w:rPr>
            </w:pPr>
          </w:p>
        </w:tc>
        <w:tc>
          <w:tcPr>
            <w:tcW w:w="4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110</w:t>
            </w:r>
          </w:p>
        </w:tc>
        <w:tc>
          <w:tcPr>
            <w:tcW w:w="220" w:type="dxa"/>
            <w:vAlign w:val="bottom"/>
          </w:tcPr>
          <w:p>
            <w:pPr>
              <w:spacing w:after="0"/>
              <w:rPr>
                <w:sz w:val="17"/>
                <w:szCs w:val="17"/>
                <w:color w:val="auto"/>
              </w:rPr>
            </w:pPr>
          </w:p>
        </w:tc>
        <w:tc>
          <w:tcPr>
            <w:tcW w:w="4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1"/>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Investment income (loss), net</w:t>
            </w:r>
          </w:p>
        </w:tc>
        <w:tc>
          <w:tcPr>
            <w:tcW w:w="5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219</w:t>
            </w:r>
          </w:p>
        </w:tc>
        <w:tc>
          <w:tcPr>
            <w:tcW w:w="2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159</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3E499A"/>
            </w:tcBorders>
          </w:tcPr>
          <w:p>
            <w:pPr>
              <w:jc w:val="right"/>
              <w:ind w:right="15"/>
              <w:spacing w:after="0" w:line="196"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classify publicly traded investments that are not accounted for under the equity method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We classify the cash flows related to purchases of and proceeds from the sale of trading securities based on the nature of the securities and the purpose for which they were acquired. Investments in privately held companies are generally stated at cost.</w:t>
      </w:r>
    </w:p>
    <w:p>
      <w:pPr>
        <w:spacing w:after="0" w:line="325"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91</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2012, substantially all of our fair value method investments were equity securities which were held as collateral related to our obligations under prepaid forward sale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3E499A"/>
        </w:rPr>
        <w:t>Prepaid Forward Sale Agreements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3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color w:val="auto"/>
              </w:rPr>
              <w:t>Assets:</w:t>
            </w:r>
          </w:p>
        </w:tc>
        <w:tc>
          <w:tcPr>
            <w:tcW w:w="332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$ 4,143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Fair value equity securities held</w:t>
            </w:r>
          </w:p>
        </w:tc>
        <w:tc>
          <w:tcPr>
            <w:tcW w:w="33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$ 2,984</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color w:val="auto"/>
              </w:rPr>
              <w:t>Liabilities:</w:t>
            </w:r>
          </w:p>
        </w:tc>
        <w:tc>
          <w:tcPr>
            <w:tcW w:w="332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$ 1,248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Obligations under prepaid forward sale agreements</w:t>
            </w:r>
          </w:p>
        </w:tc>
        <w:tc>
          <w:tcPr>
            <w:tcW w:w="3320" w:type="dxa"/>
            <w:vAlign w:val="bottom"/>
            <w:vMerge w:val="continue"/>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$ 1,177</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component of prepaid forward sale agreements</w:t>
            </w:r>
          </w:p>
        </w:tc>
        <w:tc>
          <w:tcPr>
            <w:tcW w:w="3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2,302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3320" w:type="dxa"/>
            <w:vAlign w:val="bottom"/>
            <w:tcBorders>
              <w:bottom w:val="single" w:sz="8" w:color="3E499A"/>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$ 3,550</w:t>
            </w:r>
          </w:p>
        </w:tc>
        <w:tc>
          <w:tcPr>
            <w:tcW w:w="8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$ 2,405</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obligations related to these investments terminate between 2013 and 2015. At termination, the counterparties are entitled to receive some or all of the equity securities, or an equivalent amount of cash at our option, based on the market value of the equity securities at that time. As of December 31, 2012 and 2011, our prepaid forward sale obligations had an estimated fair value of $3.6 billion and $2.5 billion, respectively.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derivative component of the prepaid forward sale agreements are equity derivative financial instruments embedded in the related contracts, which we use to manage our exposure to and benefits from price fluctuations in the common stock of the related investments. For these derivative financial instruments we separate the derivative component from the host contract and changes in its value are recorded each period to investment income (loss), net.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Clearwire LLC</w:t>
      </w:r>
    </w:p>
    <w:p>
      <w:pPr>
        <w:jc w:val="both"/>
        <w:spacing w:after="0" w:line="237" w:lineRule="auto"/>
        <w:rPr>
          <w:sz w:val="20"/>
          <w:szCs w:val="20"/>
          <w:color w:val="auto"/>
        </w:rPr>
      </w:pPr>
      <w:r>
        <w:rPr>
          <w:rFonts w:ascii="Arial" w:cs="Arial" w:eastAsia="Arial" w:hAnsi="Arial"/>
          <w:sz w:val="18"/>
          <w:szCs w:val="18"/>
          <w:color w:val="auto"/>
        </w:rPr>
        <w:t>In September 2012, we exchanged our ownership units in Clearwire Communications LLC (“Clearwire LLC”) and our voting Class B stock of Clearwire Corporation (“Clearwire”) for 89 million Class A shares of Clearwire. Following this exchange, we now account for our investment in Clearwire as an available-for-sale security under the fair value method. As of December 31, 2012, the fair value of our investment in Clearwire was $256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Equity method investments are recorded at cost and are adjusted to recognize (i) our proportionate share of the investee’s net income or losses after the date of investment, (ii) amortization of the recorded investment that exceeds our share of the book value of the investee’s net assets, (iii) additional contributions made and dividends received and (iv)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(expense), net. If an equity method investee were to issue additional securities that would change our proportionate share of the entity, we would recognize the change, if any, as a gain or loss in our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A&amp;E Television Networks</w:t>
      </w:r>
    </w:p>
    <w:p>
      <w:pPr>
        <w:jc w:val="both"/>
        <w:spacing w:after="0" w:line="275" w:lineRule="auto"/>
        <w:rPr>
          <w:sz w:val="20"/>
          <w:szCs w:val="20"/>
          <w:color w:val="auto"/>
        </w:rPr>
      </w:pPr>
      <w:r>
        <w:rPr>
          <w:rFonts w:ascii="Arial" w:cs="Arial" w:eastAsia="Arial" w:hAnsi="Arial"/>
          <w:sz w:val="16"/>
          <w:szCs w:val="16"/>
          <w:color w:val="auto"/>
        </w:rPr>
        <w:t>In August 2012, NBCUniversal closed its redemption agreement with A&amp;E Television Networks LLC (“A&amp;E Television Networks”) whereby A&amp;E Television Networks redeemed NBCUniversal’s 15.8% equity interest in A&amp;E Television Networks for $3 billion in cash. NBCUniversal recognized a pretax gain of $1 billion, which is included in other income (expense), net in our consolidated statement of income in 2012. In 2012, we recorded net income attributable to noncontrolling interests of $495 million and consolidated income tax expense of $196 million related to this transaction.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92</w:t>
            </w: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3E499A"/>
        </w:rPr>
        <w:t>SpectrumCo</w:t>
      </w:r>
    </w:p>
    <w:p>
      <w:pPr>
        <w:jc w:val="both"/>
        <w:spacing w:after="0" w:line="237" w:lineRule="auto"/>
        <w:rPr>
          <w:sz w:val="20"/>
          <w:szCs w:val="20"/>
          <w:color w:val="auto"/>
        </w:rPr>
      </w:pPr>
      <w:r>
        <w:rPr>
          <w:rFonts w:ascii="Arial" w:cs="Arial" w:eastAsia="Arial" w:hAnsi="Arial"/>
          <w:sz w:val="18"/>
          <w:szCs w:val="18"/>
          <w:color w:val="auto"/>
        </w:rPr>
        <w:t>SpectrumCo, LLC (“SpectrumCo”) is a joint venture in which we, along with Time Warner Cable and Bright House Networks, are partners. We account for this joint venture as an equity method investment based on its governance structure, notwithstanding our majority interest. SpectrumCo was the successful bidder for 137 advanced wireless services (“AWS”) spectrum licenses for $2.4 billion in the FCC’s AWS spectrum auction that concluded in September 2006. Our portion of the total cost to purchase the licenses was $1.3 billion.</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August 2012, SpectrumCo closed its agreement to sell its AWS spectrum licenses to Verizon Wireless for $3.6 billion. Our portion of SpectrumCo’s gain on sale of its AWS spectrum licenses was $876 million, which is included in equity in net income (losses) of investees, net in our consolidated statement of income in 2012. Following the close of the transaction, SpectrumCo distributed to us $2.3 billion, which represents our portion of the sale proceeds. These proceeds are reflected as a return of capital from investees in our consolidated statement of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3E499A"/>
        </w:rPr>
        <w:t>MSNBC.com</w:t>
      </w:r>
    </w:p>
    <w:p>
      <w:pPr>
        <w:jc w:val="both"/>
        <w:spacing w:after="0" w:line="237" w:lineRule="auto"/>
        <w:rPr>
          <w:sz w:val="20"/>
          <w:szCs w:val="20"/>
          <w:color w:val="auto"/>
        </w:rPr>
      </w:pPr>
      <w:r>
        <w:rPr>
          <w:rFonts w:ascii="Arial" w:cs="Arial" w:eastAsia="Arial" w:hAnsi="Arial"/>
          <w:sz w:val="18"/>
          <w:szCs w:val="18"/>
          <w:color w:val="auto"/>
        </w:rPr>
        <w:t>In July 2012, NBCUniversal acquired the remaining 50% equity interest in MSNBC Interactive News, LLC and other related entities (“MSNBC.com”) that it did not already own. The total purchase price was $195 million, which was net of $100 million of cash and cash equivalents held at MSNBC.com that were acquired in the transaction, which were not previously attributable to NBCUniversal. Following the close of the transaction, MSNBC.com is a wholly owned consolidated subsidiary of NBCUniversal.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use the cost method to account for investments not accounted for under the fair value method and in which we do not have the ability to exercise significant influence over the investee’s operating and financial policies.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3E499A"/>
        </w:rPr>
        <w:t>AirTouch Communications, Inc.</w:t>
      </w:r>
    </w:p>
    <w:p>
      <w:pPr>
        <w:jc w:val="both"/>
        <w:ind w:right="20"/>
        <w:spacing w:after="0" w:line="239" w:lineRule="auto"/>
        <w:rPr>
          <w:sz w:val="20"/>
          <w:szCs w:val="20"/>
          <w:color w:val="auto"/>
        </w:rPr>
      </w:pPr>
      <w:r>
        <w:rPr>
          <w:rFonts w:ascii="Arial" w:cs="Arial" w:eastAsia="Arial" w:hAnsi="Arial"/>
          <w:sz w:val="18"/>
          <w:szCs w:val="18"/>
          <w:color w:val="auto"/>
        </w:rPr>
        <w:t>We hold two series of preferred stock of AirTouch Communications, Inc. (“AirTouch”), a subsidiary of Vodafone, which are redeemable in April 2020. As of both December 31, 2012 and 2011, the estimated fair value of the AirTouch preferred stock was $1.8 billion.</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 billion. Substantially all of the preferred shares are redeemable in April 2020 at a redemption value of $1.65 billion. As of both December 31, 2012 and 2011, the two redeemable series of subsidiary preferred shares were recorded at $1.5 billion, and those amounts are included in other noncurrent liabilities. As of both December 31, 2012 and 2011, these redeemable subsidiary preferred shares had an estimated fair value of $1.8 billion. The estimated fair values are primarily based on Level 2 inputs using pricing models whose inputs are derived from or corroborated by observable market data through correlation or other means for substantially the full term of the financial instrument. The one nonredeemable series of subsidiary preferred shares was recorded at $100 million as of both December 31, 2012 and 2011, and those amounts are included in noncontrolling interests in our consolidated balance sheet. The carrying amounts of the nonredeemable subsidiary preferred shares approximate their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w:t>
      </w:r>
    </w:p>
    <w:p>
      <w:pPr>
        <w:spacing w:after="0" w:line="29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93</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is deemed to have experienced an other-than-temporary decline below its cost basis, we reduce the carrying amount of the investment to its quoted or estimated fair value, as applicable, and establish a new cost basis for the investment. For our AFS and cost method investments, we record the impairment to investment income (loss), net. For our equity method investments, we record the impairment to other income (expense), net.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7: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4120" w:type="dxa"/>
            <w:vAlign w:val="bottom"/>
          </w:tcPr>
          <w:p>
            <w:pPr>
              <w:jc w:val="right"/>
              <w:ind w:right="40"/>
              <w:spacing w:after="0"/>
              <w:rPr>
                <w:sz w:val="20"/>
                <w:szCs w:val="20"/>
                <w:color w:val="auto"/>
              </w:rPr>
            </w:pPr>
            <w:r>
              <w:rPr>
                <w:rFonts w:ascii="Arial" w:cs="Arial" w:eastAsia="Arial" w:hAnsi="Arial"/>
                <w:sz w:val="14"/>
                <w:szCs w:val="14"/>
                <w:color w:val="auto"/>
              </w:rPr>
              <w:t>Weighted-Average</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4120" w:type="dxa"/>
            <w:vAlign w:val="bottom"/>
          </w:tcPr>
          <w:p>
            <w:pPr>
              <w:jc w:val="right"/>
              <w:ind w:right="40"/>
              <w:spacing w:after="0" w:line="149" w:lineRule="exact"/>
              <w:rPr>
                <w:sz w:val="20"/>
                <w:szCs w:val="20"/>
                <w:color w:val="auto"/>
              </w:rPr>
            </w:pPr>
            <w:r>
              <w:rPr>
                <w:rFonts w:ascii="Arial" w:cs="Arial" w:eastAsia="Arial" w:hAnsi="Arial"/>
                <w:sz w:val="14"/>
                <w:szCs w:val="14"/>
                <w:color w:val="auto"/>
              </w:rPr>
              <w:t>Original Useful Life</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4120" w:type="dxa"/>
            <w:vAlign w:val="bottom"/>
            <w:tcBorders>
              <w:bottom w:val="single" w:sz="8" w:color="auto"/>
            </w:tcBorders>
          </w:tcPr>
          <w:p>
            <w:pPr>
              <w:jc w:val="right"/>
              <w:ind w:right="40"/>
              <w:spacing w:after="0" w:line="149" w:lineRule="exact"/>
              <w:rPr>
                <w:sz w:val="20"/>
                <w:szCs w:val="20"/>
                <w:color w:val="auto"/>
              </w:rPr>
            </w:pPr>
            <w:r>
              <w:rPr>
                <w:rFonts w:ascii="Arial" w:cs="Arial" w:eastAsia="Arial" w:hAnsi="Arial"/>
                <w:sz w:val="14"/>
                <w:szCs w:val="14"/>
                <w:color w:val="auto"/>
              </w:rPr>
              <w:t>as of December 31, 2012</w:t>
            </w:r>
          </w:p>
        </w:tc>
        <w:tc>
          <w:tcPr>
            <w:tcW w:w="88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5520" w:type="dxa"/>
            <w:vAlign w:val="bottom"/>
          </w:tcPr>
          <w:p>
            <w:pPr>
              <w:spacing w:after="0" w:line="177" w:lineRule="exact"/>
              <w:rPr>
                <w:sz w:val="20"/>
                <w:szCs w:val="20"/>
                <w:color w:val="auto"/>
              </w:rPr>
            </w:pPr>
            <w:r>
              <w:rPr>
                <w:rFonts w:ascii="Arial" w:cs="Arial" w:eastAsia="Arial" w:hAnsi="Arial"/>
                <w:sz w:val="18"/>
                <w:szCs w:val="18"/>
                <w:color w:val="auto"/>
              </w:rPr>
              <w:t>Cable distribution system</w:t>
            </w:r>
          </w:p>
        </w:tc>
        <w:tc>
          <w:tcPr>
            <w:tcW w:w="4120" w:type="dxa"/>
            <w:vAlign w:val="bottom"/>
          </w:tcPr>
          <w:p>
            <w:pPr>
              <w:jc w:val="right"/>
              <w:ind w:right="40"/>
              <w:spacing w:after="0" w:line="177" w:lineRule="exact"/>
              <w:rPr>
                <w:sz w:val="20"/>
                <w:szCs w:val="20"/>
                <w:color w:val="auto"/>
              </w:rPr>
            </w:pPr>
            <w:r>
              <w:rPr>
                <w:rFonts w:ascii="Arial" w:cs="Arial" w:eastAsia="Arial" w:hAnsi="Arial"/>
                <w:sz w:val="18"/>
                <w:szCs w:val="18"/>
                <w:color w:val="auto"/>
              </w:rPr>
              <w:t>11 years</w:t>
            </w: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$ 29,528</w:t>
            </w:r>
          </w:p>
        </w:tc>
        <w:tc>
          <w:tcPr>
            <w:tcW w:w="9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$ 28,781</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Customer premises equipment</w:t>
            </w:r>
          </w:p>
        </w:tc>
        <w:tc>
          <w:tcPr>
            <w:tcW w:w="41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6 years</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24,763</w:t>
            </w: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23,552</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Other equipment</w:t>
            </w:r>
          </w:p>
        </w:tc>
        <w:tc>
          <w:tcPr>
            <w:tcW w:w="41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5 years</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5,909</w:t>
            </w: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41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14 years</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5,468</w:t>
            </w: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41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177"/>
        </w:trPr>
        <w:tc>
          <w:tcPr>
            <w:tcW w:w="552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412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66,657</w:t>
            </w:r>
          </w:p>
        </w:tc>
        <w:tc>
          <w:tcPr>
            <w:tcW w:w="9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64,087</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4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39,425</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36,528</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4120" w:type="dxa"/>
            <w:vAlign w:val="bottom"/>
            <w:tcBorders>
              <w:bottom w:val="single" w:sz="8" w:color="3E499A"/>
            </w:tcBorders>
          </w:tcPr>
          <w:p>
            <w:pPr>
              <w:spacing w:after="0"/>
              <w:rPr>
                <w:sz w:val="17"/>
                <w:szCs w:val="17"/>
                <w:color w:val="auto"/>
              </w:rPr>
            </w:pPr>
          </w:p>
        </w:tc>
        <w:tc>
          <w:tcPr>
            <w:tcW w:w="8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$ 27,232</w:t>
            </w:r>
          </w:p>
        </w:tc>
        <w:tc>
          <w:tcPr>
            <w:tcW w:w="90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$ 27,559</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For assets that are sold or retired, we remove the applicable cost and accumulated depreciation and, unless the gain or loss on disposition is presented separately, we recognize it as a component of depreciation expense.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the costs associated with the construction of and improvements to our cable transmission and distribution facilities, costs associated with acquiring and deploying new customer premise equipment, and costs associated with installation of our services in accordance with accounting guidance related to cable television companies. Costs capitalized include all direct labor and materials, as well as various indirect costs. All costs incurred in connection with subsequent disconnects and reconnects are expensed as they are incurred. We record depreciation using the straight-line method over the asset’s estimated useful life.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94</w:t>
            </w: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8: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color w:val="auto"/>
              </w:rPr>
              <w:t>Cable</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w w:val="95"/>
              </w:rPr>
              <w:t>NBCUniversal</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color w:val="auto"/>
              </w:rPr>
              <w:t>Corporate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35"/>
              <w:spacing w:after="0" w:line="141" w:lineRule="exact"/>
              <w:rPr>
                <w:sz w:val="20"/>
                <w:szCs w:val="20"/>
                <w:color w:val="auto"/>
              </w:rPr>
            </w:pPr>
            <w:r>
              <w:rPr>
                <w:rFonts w:ascii="Arial" w:cs="Arial" w:eastAsia="Arial" w:hAnsi="Arial"/>
                <w:sz w:val="14"/>
                <w:szCs w:val="14"/>
                <w:color w:val="auto"/>
              </w:rPr>
              <w:t>Cable</w:t>
            </w:r>
          </w:p>
        </w:tc>
        <w:tc>
          <w:tcPr>
            <w:tcW w:w="82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Broadcast</w:t>
            </w:r>
          </w:p>
        </w:tc>
        <w:tc>
          <w:tcPr>
            <w:tcW w:w="480" w:type="dxa"/>
            <w:vAlign w:val="bottom"/>
          </w:tcPr>
          <w:p>
            <w:pPr>
              <w:spacing w:after="0"/>
              <w:rPr>
                <w:sz w:val="12"/>
                <w:szCs w:val="12"/>
                <w:color w:val="auto"/>
              </w:rPr>
            </w:pPr>
          </w:p>
        </w:tc>
        <w:tc>
          <w:tcPr>
            <w:tcW w:w="540" w:type="dxa"/>
            <w:vAlign w:val="bottom"/>
          </w:tcPr>
          <w:p>
            <w:pPr>
              <w:jc w:val="right"/>
              <w:ind w:right="14"/>
              <w:spacing w:after="0" w:line="141" w:lineRule="exact"/>
              <w:rPr>
                <w:sz w:val="20"/>
                <w:szCs w:val="20"/>
                <w:color w:val="auto"/>
              </w:rPr>
            </w:pPr>
            <w:r>
              <w:rPr>
                <w:rFonts w:ascii="Arial" w:cs="Arial" w:eastAsia="Arial" w:hAnsi="Arial"/>
                <w:sz w:val="14"/>
                <w:szCs w:val="14"/>
                <w:color w:val="auto"/>
                <w:w w:val="99"/>
              </w:rPr>
              <w:t>Filmed</w:t>
            </w:r>
          </w:p>
        </w:tc>
        <w:tc>
          <w:tcPr>
            <w:tcW w:w="220" w:type="dxa"/>
            <w:vAlign w:val="bottom"/>
          </w:tcPr>
          <w:p>
            <w:pPr>
              <w:spacing w:after="0"/>
              <w:rPr>
                <w:sz w:val="12"/>
                <w:szCs w:val="12"/>
                <w:color w:val="auto"/>
              </w:rPr>
            </w:pPr>
          </w:p>
        </w:tc>
        <w:tc>
          <w:tcPr>
            <w:tcW w:w="600" w:type="dxa"/>
            <w:vAlign w:val="bottom"/>
          </w:tcPr>
          <w:p>
            <w:pPr>
              <w:jc w:val="right"/>
              <w:ind w:right="35"/>
              <w:spacing w:after="0" w:line="141" w:lineRule="exact"/>
              <w:rPr>
                <w:sz w:val="20"/>
                <w:szCs w:val="20"/>
                <w:color w:val="auto"/>
              </w:rPr>
            </w:pPr>
            <w:r>
              <w:rPr>
                <w:rFonts w:ascii="Arial" w:cs="Arial" w:eastAsia="Arial" w:hAnsi="Arial"/>
                <w:sz w:val="14"/>
                <w:szCs w:val="14"/>
                <w:color w:val="auto"/>
              </w:rPr>
              <w:t>Theme</w:t>
            </w:r>
          </w:p>
        </w:tc>
        <w:tc>
          <w:tcPr>
            <w:tcW w:w="8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480" w:type="dxa"/>
            <w:vAlign w:val="bottom"/>
            <w:tcBorders>
              <w:bottom w:val="single" w:sz="8" w:color="auto"/>
            </w:tcBorders>
            <w:gridSpan w:val="2"/>
          </w:tcPr>
          <w:p>
            <w:pPr>
              <w:ind w:left="1360"/>
              <w:spacing w:after="0" w:line="149" w:lineRule="exact"/>
              <w:rPr>
                <w:sz w:val="20"/>
                <w:szCs w:val="20"/>
                <w:color w:val="auto"/>
              </w:rPr>
            </w:pPr>
            <w:r>
              <w:rPr>
                <w:rFonts w:ascii="Arial" w:cs="Arial" w:eastAsia="Arial" w:hAnsi="Arial"/>
                <w:sz w:val="14"/>
                <w:szCs w:val="14"/>
                <w:color w:val="auto"/>
              </w:rPr>
              <w:t>Communications</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
              <w:spacing w:after="0" w:line="149" w:lineRule="exact"/>
              <w:rPr>
                <w:sz w:val="20"/>
                <w:szCs w:val="20"/>
                <w:color w:val="auto"/>
              </w:rPr>
            </w:pPr>
            <w:r>
              <w:rPr>
                <w:rFonts w:ascii="Arial" w:cs="Arial" w:eastAsia="Arial" w:hAnsi="Arial"/>
                <w:sz w:val="14"/>
                <w:szCs w:val="14"/>
                <w:color w:val="auto"/>
                <w:w w:val="95"/>
              </w:rPr>
              <w:t>Networks</w:t>
            </w:r>
          </w:p>
        </w:tc>
        <w:tc>
          <w:tcPr>
            <w:tcW w:w="82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Television</w:t>
            </w:r>
          </w:p>
        </w:tc>
        <w:tc>
          <w:tcPr>
            <w:tcW w:w="102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Entertainment</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5"/>
              <w:spacing w:after="0" w:line="149" w:lineRule="exact"/>
              <w:rPr>
                <w:sz w:val="20"/>
                <w:szCs w:val="20"/>
                <w:color w:val="auto"/>
              </w:rPr>
            </w:pPr>
            <w:r>
              <w:rPr>
                <w:rFonts w:ascii="Arial" w:cs="Arial" w:eastAsia="Arial" w:hAnsi="Arial"/>
                <w:sz w:val="14"/>
                <w:szCs w:val="14"/>
                <w:color w:val="auto"/>
              </w:rPr>
              <w:t>Parks</w:t>
            </w:r>
          </w:p>
        </w:tc>
        <w:tc>
          <w:tcPr>
            <w:tcW w:w="80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and Other</w:t>
            </w:r>
          </w:p>
        </w:tc>
        <w:tc>
          <w:tcPr>
            <w:tcW w:w="880" w:type="dxa"/>
            <w:vAlign w:val="bottom"/>
            <w:tcBorders>
              <w:bottom w:val="single" w:sz="8" w:color="auto"/>
            </w:tcBorders>
          </w:tcPr>
          <w:p>
            <w:pPr>
              <w:jc w:val="right"/>
              <w:ind w:right="234"/>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3700" w:type="dxa"/>
            <w:vAlign w:val="bottom"/>
          </w:tcPr>
          <w:p>
            <w:pPr>
              <w:spacing w:after="0" w:line="200" w:lineRule="exact"/>
              <w:rPr>
                <w:sz w:val="20"/>
                <w:szCs w:val="20"/>
                <w:color w:val="auto"/>
              </w:rPr>
            </w:pPr>
            <w:r>
              <w:rPr>
                <w:rFonts w:ascii="Arial" w:cs="Arial" w:eastAsia="Arial" w:hAnsi="Arial"/>
                <w:sz w:val="18"/>
                <w:szCs w:val="18"/>
                <w:color w:val="auto"/>
              </w:rPr>
              <w:t>Balance, December 31, 2010</w:t>
            </w:r>
          </w:p>
        </w:tc>
        <w:tc>
          <w:tcPr>
            <w:tcW w:w="1580" w:type="dxa"/>
            <w:vAlign w:val="bottom"/>
          </w:tcPr>
          <w:p>
            <w:pPr>
              <w:ind w:left="136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12,207</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2,564</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48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187</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$ 14,958</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color w:val="auto"/>
              </w:rPr>
              <w:t>NBCUniversal</w:t>
            </w:r>
          </w:p>
        </w:tc>
        <w:tc>
          <w:tcPr>
            <w:tcW w:w="158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10,180</w:t>
            </w:r>
          </w:p>
        </w:tc>
        <w:tc>
          <w:tcPr>
            <w:tcW w:w="280" w:type="dxa"/>
            <w:vAlign w:val="bottom"/>
          </w:tcPr>
          <w:p>
            <w:pPr>
              <w:spacing w:after="0"/>
              <w:rPr>
                <w:sz w:val="17"/>
                <w:szCs w:val="17"/>
                <w:color w:val="auto"/>
              </w:rPr>
            </w:pPr>
          </w:p>
        </w:tc>
        <w:tc>
          <w:tcPr>
            <w:tcW w:w="5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765</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color w:val="auto"/>
              </w:rPr>
              <w:t>Universal Orlando</w:t>
            </w:r>
          </w:p>
        </w:tc>
        <w:tc>
          <w:tcPr>
            <w:tcW w:w="158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1,140</w:t>
            </w:r>
          </w:p>
        </w:tc>
        <w:tc>
          <w:tcPr>
            <w:tcW w:w="24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Dispositions</w:t>
            </w:r>
          </w:p>
        </w:tc>
        <w:tc>
          <w:tcPr>
            <w:tcW w:w="158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99"/>
        </w:trPr>
        <w:tc>
          <w:tcPr>
            <w:tcW w:w="37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Adjustments</w:t>
            </w:r>
          </w:p>
        </w:tc>
        <w:tc>
          <w:tcPr>
            <w:tcW w:w="1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7"/>
        </w:trPr>
        <w:tc>
          <w:tcPr>
            <w:tcW w:w="3700" w:type="dxa"/>
            <w:vAlign w:val="bottom"/>
          </w:tcPr>
          <w:p>
            <w:pPr>
              <w:spacing w:after="0" w:line="177" w:lineRule="exact"/>
              <w:rPr>
                <w:sz w:val="20"/>
                <w:szCs w:val="20"/>
                <w:color w:val="auto"/>
              </w:rPr>
            </w:pPr>
            <w:r>
              <w:rPr>
                <w:rFonts w:ascii="Arial" w:cs="Arial" w:eastAsia="Arial" w:hAnsi="Arial"/>
                <w:sz w:val="18"/>
                <w:szCs w:val="18"/>
                <w:color w:val="auto"/>
              </w:rPr>
              <w:t>Balance, December 31, 2011</w:t>
            </w:r>
          </w:p>
        </w:tc>
        <w:tc>
          <w:tcPr>
            <w:tcW w:w="1580" w:type="dxa"/>
            <w:vAlign w:val="bottom"/>
          </w:tcPr>
          <w:p>
            <w:pPr>
              <w:spacing w:after="0"/>
              <w:rPr>
                <w:sz w:val="15"/>
                <w:szCs w:val="15"/>
                <w:color w:val="auto"/>
              </w:rPr>
            </w:pPr>
          </w:p>
        </w:tc>
        <w:tc>
          <w:tcPr>
            <w:tcW w:w="9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12,208</w:t>
            </w:r>
          </w:p>
        </w:tc>
        <w:tc>
          <w:tcPr>
            <w:tcW w:w="200" w:type="dxa"/>
            <w:vAlign w:val="bottom"/>
          </w:tcPr>
          <w:p>
            <w:pPr>
              <w:spacing w:after="0"/>
              <w:rPr>
                <w:sz w:val="15"/>
                <w:szCs w:val="15"/>
                <w:color w:val="auto"/>
              </w:rPr>
            </w:pPr>
          </w:p>
        </w:tc>
        <w:tc>
          <w:tcPr>
            <w:tcW w:w="700" w:type="dxa"/>
            <w:vAlign w:val="bottom"/>
          </w:tcPr>
          <w:p>
            <w:pPr>
              <w:jc w:val="right"/>
              <w:ind w:right="35"/>
              <w:spacing w:after="0" w:line="177" w:lineRule="exact"/>
              <w:rPr>
                <w:sz w:val="20"/>
                <w:szCs w:val="20"/>
                <w:color w:val="auto"/>
              </w:rPr>
            </w:pPr>
            <w:r>
              <w:rPr>
                <w:rFonts w:ascii="Arial" w:cs="Arial" w:eastAsia="Arial" w:hAnsi="Arial"/>
                <w:sz w:val="18"/>
                <w:szCs w:val="18"/>
                <w:color w:val="auto"/>
              </w:rPr>
              <w:t>12,744</w:t>
            </w:r>
          </w:p>
        </w:tc>
        <w:tc>
          <w:tcPr>
            <w:tcW w:w="280" w:type="dxa"/>
            <w:vAlign w:val="bottom"/>
          </w:tcPr>
          <w:p>
            <w:pPr>
              <w:spacing w:after="0"/>
              <w:rPr>
                <w:sz w:val="15"/>
                <w:szCs w:val="15"/>
                <w:color w:val="auto"/>
              </w:rPr>
            </w:pPr>
          </w:p>
        </w:tc>
        <w:tc>
          <w:tcPr>
            <w:tcW w:w="540" w:type="dxa"/>
            <w:vAlign w:val="bottom"/>
          </w:tcPr>
          <w:p>
            <w:pPr>
              <w:jc w:val="right"/>
              <w:ind w:right="34"/>
              <w:spacing w:after="0" w:line="177" w:lineRule="exact"/>
              <w:rPr>
                <w:sz w:val="20"/>
                <w:szCs w:val="20"/>
                <w:color w:val="auto"/>
              </w:rPr>
            </w:pPr>
            <w:r>
              <w:rPr>
                <w:rFonts w:ascii="Arial" w:cs="Arial" w:eastAsia="Arial" w:hAnsi="Arial"/>
                <w:sz w:val="18"/>
                <w:szCs w:val="18"/>
                <w:color w:val="auto"/>
              </w:rPr>
              <w:t>772</w:t>
            </w:r>
          </w:p>
        </w:tc>
        <w:tc>
          <w:tcPr>
            <w:tcW w:w="480" w:type="dxa"/>
            <w:vAlign w:val="bottom"/>
          </w:tcPr>
          <w:p>
            <w:pPr>
              <w:spacing w:after="0"/>
              <w:rPr>
                <w:sz w:val="15"/>
                <w:szCs w:val="15"/>
                <w:color w:val="auto"/>
              </w:rPr>
            </w:pPr>
          </w:p>
        </w:tc>
        <w:tc>
          <w:tcPr>
            <w:tcW w:w="54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600" w:type="dxa"/>
            <w:vAlign w:val="bottom"/>
          </w:tcPr>
          <w:p>
            <w:pPr>
              <w:jc w:val="right"/>
              <w:ind w:right="35"/>
              <w:spacing w:after="0" w:line="177" w:lineRule="exact"/>
              <w:rPr>
                <w:sz w:val="20"/>
                <w:szCs w:val="20"/>
                <w:color w:val="auto"/>
              </w:rPr>
            </w:pPr>
            <w:r>
              <w:rPr>
                <w:rFonts w:ascii="Arial" w:cs="Arial" w:eastAsia="Arial" w:hAnsi="Arial"/>
                <w:sz w:val="18"/>
                <w:szCs w:val="18"/>
                <w:color w:val="auto"/>
              </w:rPr>
              <w:t>1,140</w:t>
            </w:r>
          </w:p>
        </w:tc>
        <w:tc>
          <w:tcPr>
            <w:tcW w:w="240" w:type="dxa"/>
            <w:vAlign w:val="bottom"/>
          </w:tcPr>
          <w:p>
            <w:pPr>
              <w:spacing w:after="0"/>
              <w:rPr>
                <w:sz w:val="15"/>
                <w:szCs w:val="15"/>
                <w:color w:val="auto"/>
              </w:rPr>
            </w:pPr>
          </w:p>
        </w:tc>
        <w:tc>
          <w:tcPr>
            <w:tcW w:w="560" w:type="dxa"/>
            <w:vAlign w:val="bottom"/>
          </w:tcPr>
          <w:p>
            <w:pPr>
              <w:jc w:val="right"/>
              <w:ind w:right="32"/>
              <w:spacing w:after="0" w:line="177" w:lineRule="exact"/>
              <w:rPr>
                <w:sz w:val="20"/>
                <w:szCs w:val="20"/>
                <w:color w:val="auto"/>
              </w:rPr>
            </w:pPr>
            <w:r>
              <w:rPr>
                <w:rFonts w:ascii="Arial" w:cs="Arial" w:eastAsia="Arial" w:hAnsi="Arial"/>
                <w:sz w:val="18"/>
                <w:szCs w:val="18"/>
                <w:color w:val="auto"/>
              </w:rPr>
              <w:t>9</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b w:val="1"/>
                <w:bCs w:val="1"/>
                <w:color w:val="auto"/>
              </w:rPr>
              <w:t>Acquisitions:</w:t>
            </w: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MSNBC.com</w:t>
            </w:r>
          </w:p>
        </w:tc>
        <w:tc>
          <w:tcPr>
            <w:tcW w:w="158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227</w:t>
            </w:r>
          </w:p>
        </w:tc>
        <w:tc>
          <w:tcPr>
            <w:tcW w:w="280" w:type="dxa"/>
            <w:vAlign w:val="bottom"/>
          </w:tcPr>
          <w:p>
            <w:pPr>
              <w:spacing w:after="0"/>
              <w:rPr>
                <w:sz w:val="17"/>
                <w:szCs w:val="17"/>
                <w:color w:val="auto"/>
              </w:rPr>
            </w:pPr>
          </w:p>
        </w:tc>
        <w:tc>
          <w:tcPr>
            <w:tcW w:w="5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03"/>
        </w:trPr>
        <w:tc>
          <w:tcPr>
            <w:tcW w:w="37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Other</w:t>
            </w:r>
          </w:p>
        </w:tc>
        <w:tc>
          <w:tcPr>
            <w:tcW w:w="158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79</w:t>
            </w:r>
          </w:p>
        </w:tc>
        <w:tc>
          <w:tcPr>
            <w:tcW w:w="280" w:type="dxa"/>
            <w:vAlign w:val="bottom"/>
          </w:tcPr>
          <w:p>
            <w:pPr>
              <w:spacing w:after="0"/>
              <w:rPr>
                <w:sz w:val="17"/>
                <w:szCs w:val="17"/>
                <w:color w:val="auto"/>
              </w:rPr>
            </w:pPr>
          </w:p>
        </w:tc>
        <w:tc>
          <w:tcPr>
            <w:tcW w:w="5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b w:val="1"/>
                <w:bCs w:val="1"/>
                <w:color w:val="auto"/>
              </w:rPr>
              <w:t>Dispositions</w:t>
            </w:r>
          </w:p>
        </w:tc>
        <w:tc>
          <w:tcPr>
            <w:tcW w:w="15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5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1"/>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Adjustments</w:t>
            </w:r>
          </w:p>
        </w:tc>
        <w:tc>
          <w:tcPr>
            <w:tcW w:w="1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Balance, December 31, 2012</w:t>
            </w:r>
          </w:p>
        </w:tc>
        <w:tc>
          <w:tcPr>
            <w:tcW w:w="1580" w:type="dxa"/>
            <w:vAlign w:val="bottom"/>
            <w:tcBorders>
              <w:bottom w:val="single" w:sz="8" w:color="3E499A"/>
            </w:tcBorders>
          </w:tcPr>
          <w:p>
            <w:pPr>
              <w:ind w:left="136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12,206</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3E499A"/>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13,026</w:t>
            </w:r>
          </w:p>
        </w:tc>
        <w:tc>
          <w:tcPr>
            <w:tcW w:w="28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761</w:t>
            </w:r>
          </w:p>
        </w:tc>
        <w:tc>
          <w:tcPr>
            <w:tcW w:w="480" w:type="dxa"/>
            <w:vAlign w:val="bottom"/>
            <w:tcBorders>
              <w:bottom w:val="single" w:sz="8" w:color="3E499A"/>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982</w:t>
            </w:r>
          </w:p>
        </w:tc>
        <w:tc>
          <w:tcPr>
            <w:tcW w:w="24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3E499A"/>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9</w:t>
            </w:r>
          </w:p>
        </w:tc>
        <w:tc>
          <w:tcPr>
            <w:tcW w:w="8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$ 26,985</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assess the recoverability of our goodwill annually, or more frequently whenever events or substantive changes in circumstances indicate that an asset might be impaired.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five reportable segments. We evaluate the determination of our reporting units used to test for impairment periodically or whenever events or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 likely than 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200" w:lineRule="exact"/>
        <w:rPr>
          <w:sz w:val="20"/>
          <w:szCs w:val="20"/>
          <w:color w:val="auto"/>
        </w:rPr>
      </w:pPr>
    </w:p>
    <w:p>
      <w:pPr>
        <w:spacing w:after="0" w:line="308"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95</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Pr>
          <w:p>
            <w:pPr>
              <w:spacing w:after="0"/>
              <w:rPr>
                <w:sz w:val="14"/>
                <w:szCs w:val="14"/>
                <w:color w:val="auto"/>
              </w:rPr>
            </w:pPr>
          </w:p>
        </w:tc>
        <w:tc>
          <w:tcPr>
            <w:tcW w:w="2220" w:type="dxa"/>
            <w:vAlign w:val="bottom"/>
            <w:vMerge w:val="restart"/>
          </w:tcPr>
          <w:p>
            <w:pPr>
              <w:jc w:val="right"/>
              <w:ind w:right="218"/>
              <w:spacing w:after="0"/>
              <w:rPr>
                <w:sz w:val="20"/>
                <w:szCs w:val="20"/>
                <w:color w:val="auto"/>
              </w:rPr>
            </w:pPr>
            <w:r>
              <w:rPr>
                <w:rFonts w:ascii="Arial" w:cs="Arial" w:eastAsia="Arial" w:hAnsi="Arial"/>
                <w:sz w:val="14"/>
                <w:szCs w:val="14"/>
                <w:color w:val="auto"/>
              </w:rPr>
              <w:t>Weighted-Average</w:t>
            </w: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color w:val="auto"/>
              </w:rPr>
              <w:t>2011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48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4"/>
                <w:szCs w:val="14"/>
                <w:color w:val="auto"/>
              </w:rPr>
              <w:t>Gross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220" w:type="dxa"/>
            <w:vAlign w:val="bottom"/>
          </w:tcPr>
          <w:p>
            <w:pPr>
              <w:jc w:val="right"/>
              <w:ind w:right="218"/>
              <w:spacing w:after="0" w:line="149" w:lineRule="exact"/>
              <w:rPr>
                <w:sz w:val="20"/>
                <w:szCs w:val="20"/>
                <w:color w:val="auto"/>
              </w:rPr>
            </w:pPr>
            <w:r>
              <w:rPr>
                <w:rFonts w:ascii="Arial" w:cs="Arial" w:eastAsia="Arial" w:hAnsi="Arial"/>
                <w:sz w:val="14"/>
                <w:szCs w:val="14"/>
                <w:color w:val="auto"/>
              </w:rPr>
              <w:t>Original Useful Life</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5"/>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2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color w:val="auto"/>
              </w:rPr>
              <w:t>as of December 31, 2012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99"/>
        </w:trPr>
        <w:tc>
          <w:tcPr>
            <w:tcW w:w="5480" w:type="dxa"/>
            <w:vAlign w:val="bottom"/>
          </w:tcPr>
          <w:p>
            <w:pPr>
              <w:spacing w:after="0" w:line="200" w:lineRule="exact"/>
              <w:rPr>
                <w:sz w:val="20"/>
                <w:szCs w:val="20"/>
                <w:color w:val="auto"/>
              </w:rPr>
            </w:pPr>
            <w:r>
              <w:rPr>
                <w:rFonts w:ascii="Arial" w:cs="Arial" w:eastAsia="Arial" w:hAnsi="Arial"/>
                <w:sz w:val="18"/>
                <w:szCs w:val="18"/>
                <w:color w:val="auto"/>
              </w:rPr>
              <w:t>Indefinite-Lived Intangible Assets:</w:t>
            </w:r>
          </w:p>
        </w:tc>
        <w:tc>
          <w:tcPr>
            <w:tcW w:w="2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$ 59,364</w:t>
            </w:r>
          </w:p>
        </w:tc>
        <w:tc>
          <w:tcPr>
            <w:tcW w:w="4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80" w:type="dxa"/>
            <w:vAlign w:val="bottom"/>
          </w:tcPr>
          <w:p>
            <w:pPr>
              <w:ind w:left="220"/>
              <w:spacing w:after="0" w:line="181" w:lineRule="exact"/>
              <w:rPr>
                <w:sz w:val="20"/>
                <w:szCs w:val="20"/>
                <w:color w:val="auto"/>
              </w:rPr>
            </w:pPr>
            <w:r>
              <w:rPr>
                <w:rFonts w:ascii="Arial" w:cs="Arial" w:eastAsia="Arial" w:hAnsi="Arial"/>
                <w:sz w:val="18"/>
                <w:szCs w:val="18"/>
                <w:color w:val="auto"/>
              </w:rPr>
              <w:t>Franchise rights</w:t>
            </w:r>
          </w:p>
        </w:tc>
        <w:tc>
          <w:tcPr>
            <w:tcW w:w="2220" w:type="dxa"/>
            <w:vAlign w:val="bottom"/>
          </w:tcPr>
          <w:p>
            <w:pPr>
              <w:jc w:val="right"/>
              <w:ind w:right="218"/>
              <w:spacing w:after="0" w:line="181" w:lineRule="exact"/>
              <w:rPr>
                <w:sz w:val="20"/>
                <w:szCs w:val="20"/>
                <w:color w:val="auto"/>
              </w:rPr>
            </w:pPr>
            <w:r>
              <w:rPr>
                <w:rFonts w:ascii="Arial" w:cs="Arial" w:eastAsia="Arial" w:hAnsi="Arial"/>
                <w:sz w:val="18"/>
                <w:szCs w:val="18"/>
                <w:color w:val="auto"/>
              </w:rPr>
              <w:t>N/A</w:t>
            </w: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$ 59,376</w:t>
            </w:r>
          </w:p>
        </w:tc>
        <w:tc>
          <w:tcPr>
            <w:tcW w:w="2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Trade names</w:t>
            </w:r>
          </w:p>
        </w:tc>
        <w:tc>
          <w:tcPr>
            <w:tcW w:w="22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N/A</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3,080</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3,006</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80" w:type="dxa"/>
            <w:vAlign w:val="bottom"/>
          </w:tcPr>
          <w:p>
            <w:pPr>
              <w:ind w:left="220"/>
              <w:spacing w:after="0"/>
              <w:rPr>
                <w:sz w:val="20"/>
                <w:szCs w:val="20"/>
                <w:color w:val="auto"/>
              </w:rPr>
            </w:pPr>
            <w:r>
              <w:rPr>
                <w:rFonts w:ascii="Arial" w:cs="Arial" w:eastAsia="Arial" w:hAnsi="Arial"/>
                <w:sz w:val="18"/>
                <w:szCs w:val="18"/>
                <w:color w:val="auto"/>
              </w:rPr>
              <w:t>FCC licenses</w:t>
            </w:r>
          </w:p>
        </w:tc>
        <w:tc>
          <w:tcPr>
            <w:tcW w:w="2220" w:type="dxa"/>
            <w:vAlign w:val="bottom"/>
          </w:tcPr>
          <w:p>
            <w:pPr>
              <w:jc w:val="right"/>
              <w:ind w:right="218"/>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636</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Finite-Lived Intangible Assets:</w:t>
            </w:r>
          </w:p>
        </w:tc>
        <w:tc>
          <w:tcPr>
            <w:tcW w:w="2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14,970</w:t>
            </w:r>
          </w:p>
        </w:tc>
        <w:tc>
          <w:tcPr>
            <w:tcW w:w="4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(3,971)</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80" w:type="dxa"/>
            <w:vAlign w:val="bottom"/>
          </w:tcPr>
          <w:p>
            <w:pPr>
              <w:ind w:left="220"/>
              <w:spacing w:after="0" w:line="181" w:lineRule="exact"/>
              <w:rPr>
                <w:sz w:val="20"/>
                <w:szCs w:val="20"/>
                <w:color w:val="auto"/>
              </w:rPr>
            </w:pPr>
            <w:r>
              <w:rPr>
                <w:rFonts w:ascii="Arial" w:cs="Arial" w:eastAsia="Arial" w:hAnsi="Arial"/>
                <w:sz w:val="18"/>
                <w:szCs w:val="18"/>
                <w:color w:val="auto"/>
              </w:rPr>
              <w:t>Customer relationships</w:t>
            </w:r>
          </w:p>
        </w:tc>
        <w:tc>
          <w:tcPr>
            <w:tcW w:w="2220" w:type="dxa"/>
            <w:vAlign w:val="bottom"/>
          </w:tcPr>
          <w:p>
            <w:pPr>
              <w:jc w:val="right"/>
              <w:ind w:right="218"/>
              <w:spacing w:after="0" w:line="181" w:lineRule="exact"/>
              <w:rPr>
                <w:sz w:val="20"/>
                <w:szCs w:val="20"/>
                <w:color w:val="auto"/>
              </w:rPr>
            </w:pPr>
            <w:r>
              <w:rPr>
                <w:rFonts w:ascii="Arial" w:cs="Arial" w:eastAsia="Arial" w:hAnsi="Arial"/>
                <w:sz w:val="18"/>
                <w:szCs w:val="18"/>
                <w:color w:val="auto"/>
              </w:rPr>
              <w:t>18 years</w:t>
            </w: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15,079</w:t>
            </w:r>
          </w:p>
        </w:tc>
        <w:tc>
          <w:tcPr>
            <w:tcW w:w="26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Cable franchise renewal costs and contractual operating rights</w:t>
            </w:r>
          </w:p>
        </w:tc>
        <w:tc>
          <w:tcPr>
            <w:tcW w:w="22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10 years</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1,257</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(676)</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1,152</w:t>
            </w: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22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5 years</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3,795</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(2,123)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3,234</w:t>
            </w: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Patents and other technology rights</w:t>
            </w:r>
          </w:p>
        </w:tc>
        <w:tc>
          <w:tcPr>
            <w:tcW w:w="22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9 years</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350</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344</w:t>
            </w: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agreements and rights</w:t>
            </w:r>
          </w:p>
        </w:tc>
        <w:tc>
          <w:tcPr>
            <w:tcW w:w="222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rPr>
              <w:t>14 years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2220" w:type="dxa"/>
            <w:vAlign w:val="bottom"/>
            <w:tcBorders>
              <w:bottom w:val="single" w:sz="8" w:color="3E499A"/>
            </w:tcBorders>
          </w:tcPr>
          <w:p>
            <w:pPr>
              <w:spacing w:after="0"/>
              <w:rPr>
                <w:sz w:val="17"/>
                <w:szCs w:val="17"/>
                <w:color w:val="auto"/>
              </w:rPr>
            </w:pPr>
          </w:p>
        </w:tc>
        <w:tc>
          <w:tcPr>
            <w:tcW w:w="7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$ 84,866</w:t>
            </w:r>
          </w:p>
        </w:tc>
        <w:tc>
          <w:tcPr>
            <w:tcW w:w="400" w:type="dxa"/>
            <w:vAlign w:val="bottom"/>
            <w:tcBorders>
              <w:bottom w:val="single" w:sz="8" w:color="3E499A"/>
            </w:tcBorders>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(7,662)</w:t>
            </w:r>
          </w:p>
        </w:tc>
        <w:tc>
          <w:tcPr>
            <w:tcW w:w="8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$ 84,206</w:t>
            </w:r>
          </w:p>
        </w:tc>
        <w:tc>
          <w:tcPr>
            <w:tcW w:w="260" w:type="dxa"/>
            <w:vAlign w:val="bottom"/>
            <w:tcBorders>
              <w:bottom w:val="single" w:sz="8" w:color="3E499A"/>
            </w:tcBorders>
          </w:tcPr>
          <w:p>
            <w:pPr>
              <w:ind w:left="6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(6,665)</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3E499A"/>
        </w:rPr>
        <w:t>Indefinite-Lived Intangible Assets</w:t>
      </w:r>
    </w:p>
    <w:p>
      <w:pPr>
        <w:jc w:val="both"/>
        <w:spacing w:after="0" w:line="236" w:lineRule="auto"/>
        <w:rPr>
          <w:sz w:val="20"/>
          <w:szCs w:val="20"/>
          <w:color w:val="auto"/>
        </w:rPr>
      </w:pPr>
      <w:r>
        <w:rPr>
          <w:rFonts w:ascii="Arial" w:cs="Arial" w:eastAsia="Arial" w:hAnsi="Arial"/>
          <w:sz w:val="18"/>
          <w:szCs w:val="18"/>
          <w:color w:val="auto"/>
        </w:rPr>
        <w:t>Indefinite-lived intangible assets consist of our cable franchise rights, as well as trade names and FCC licenses. Our cable franchise rights represent the value we attributed to agreements with state and local authorities that allow access to homes and businesses in cable service areas acquired in business combinations. We do not amortize our franchise rights because we have determined that they meet the definition of indefinite-lived intangible assets since there are no legal, regulatory, contractual, competitive, economic or other factors which limit the period over which these rights will contribute to our cash flows. We reassess this determination periodically or whenever events or substantive changes in circumstances occur. Costs we incur in negotiating and renewing cable franchise agreements are included in other intangible assets and are generally amortized on a straight-line basis over the term of the franchise agreement.</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assess the recoverability of our franchise rights and other indefinite-lived intangible assets annually, or more frequently whenever events or substantive changes in circumstances indicate that the assets might be impaired. The assessment of recoverability may first consider qualitative factors to determine whether it is more likely than not that an indefinite-lived intangible asset is impaired. A quantitative assessment is performed if the qualitative assessment results in a more likely than not determination or if a qualitative assessment is not performed. When performing a quantitative assessment, we estimate the fair value of our cable franchise rights and other indefinite-lived intangible assets primarily based on a discounted cash flow analysis. In analyzing the fair values indicated under the discounted cash flow models, we also consider multiples of operating income before depreciation and amortization generated by the underlying assets, current market transactions, and profitability information. If the value of our cable franchise rights or other indefinite-lived intangible assets were less than the carrying amount, we would recognize an impairment charge for the difference between the estimated fair value and the carrying value of the assets. We also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Cable Communications divisions represent the unit of account we use to test for impairment for our cable franchise rights. Unless presented separately, the impairment charge is included as a component of amortization expense.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96</w:t>
            </w: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3E499A"/>
        </w:rPr>
        <w:t>Finite-Lived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3E499A"/>
        </w:rPr>
        <w:t>Estimated Amortization Expense of Finite-Lived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5580" w:type="dxa"/>
            <w:vAlign w:val="bottom"/>
            <w:tcBorders>
              <w:top w:val="single" w:sz="8" w:color="auto"/>
            </w:tcBorders>
          </w:tcPr>
          <w:p>
            <w:pPr>
              <w:jc w:val="right"/>
              <w:ind w:right="5092"/>
              <w:spacing w:after="0" w:line="200" w:lineRule="exact"/>
              <w:rPr>
                <w:sz w:val="20"/>
                <w:szCs w:val="20"/>
                <w:color w:val="auto"/>
              </w:rPr>
            </w:pPr>
            <w:r>
              <w:rPr>
                <w:rFonts w:ascii="Arial" w:cs="Arial" w:eastAsia="Arial" w:hAnsi="Arial"/>
                <w:sz w:val="18"/>
                <w:szCs w:val="18"/>
                <w:color w:val="auto"/>
                <w:w w:val="94"/>
              </w:rPr>
              <w:t>2013</w:t>
            </w:r>
          </w:p>
        </w:tc>
        <w:tc>
          <w:tcPr>
            <w:tcW w:w="53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97"/>
              </w:rPr>
              <w:t>1,463</w:t>
            </w:r>
          </w:p>
        </w:tc>
      </w:tr>
      <w:tr>
        <w:trPr>
          <w:trHeight w:val="203"/>
        </w:trPr>
        <w:tc>
          <w:tcPr>
            <w:tcW w:w="5580" w:type="dxa"/>
            <w:vAlign w:val="bottom"/>
          </w:tcPr>
          <w:p>
            <w:pPr>
              <w:jc w:val="right"/>
              <w:ind w:right="5092"/>
              <w:spacing w:after="0" w:line="202" w:lineRule="exact"/>
              <w:rPr>
                <w:sz w:val="20"/>
                <w:szCs w:val="20"/>
                <w:color w:val="auto"/>
              </w:rPr>
            </w:pPr>
            <w:r>
              <w:rPr>
                <w:rFonts w:ascii="Arial" w:cs="Arial" w:eastAsia="Arial" w:hAnsi="Arial"/>
                <w:sz w:val="18"/>
                <w:szCs w:val="18"/>
                <w:color w:val="auto"/>
                <w:w w:val="94"/>
              </w:rPr>
              <w:t>2014</w:t>
            </w:r>
          </w:p>
        </w:tc>
        <w:tc>
          <w:tcPr>
            <w:tcW w:w="5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1,285</w:t>
            </w:r>
          </w:p>
        </w:tc>
      </w:tr>
      <w:tr>
        <w:trPr>
          <w:trHeight w:val="203"/>
        </w:trPr>
        <w:tc>
          <w:tcPr>
            <w:tcW w:w="5580" w:type="dxa"/>
            <w:vAlign w:val="bottom"/>
          </w:tcPr>
          <w:p>
            <w:pPr>
              <w:jc w:val="right"/>
              <w:ind w:right="5092"/>
              <w:spacing w:after="0" w:line="202" w:lineRule="exact"/>
              <w:rPr>
                <w:sz w:val="20"/>
                <w:szCs w:val="20"/>
                <w:color w:val="auto"/>
              </w:rPr>
            </w:pPr>
            <w:r>
              <w:rPr>
                <w:rFonts w:ascii="Arial" w:cs="Arial" w:eastAsia="Arial" w:hAnsi="Arial"/>
                <w:sz w:val="18"/>
                <w:szCs w:val="18"/>
                <w:color w:val="auto"/>
                <w:w w:val="94"/>
              </w:rPr>
              <w:t>2015</w:t>
            </w:r>
          </w:p>
        </w:tc>
        <w:tc>
          <w:tcPr>
            <w:tcW w:w="5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1,139</w:t>
            </w:r>
          </w:p>
        </w:tc>
      </w:tr>
      <w:tr>
        <w:trPr>
          <w:trHeight w:val="203"/>
        </w:trPr>
        <w:tc>
          <w:tcPr>
            <w:tcW w:w="5580" w:type="dxa"/>
            <w:vAlign w:val="bottom"/>
          </w:tcPr>
          <w:p>
            <w:pPr>
              <w:jc w:val="right"/>
              <w:ind w:right="5092"/>
              <w:spacing w:after="0" w:line="202" w:lineRule="exact"/>
              <w:rPr>
                <w:sz w:val="20"/>
                <w:szCs w:val="20"/>
                <w:color w:val="auto"/>
              </w:rPr>
            </w:pPr>
            <w:r>
              <w:rPr>
                <w:rFonts w:ascii="Arial" w:cs="Arial" w:eastAsia="Arial" w:hAnsi="Arial"/>
                <w:sz w:val="18"/>
                <w:szCs w:val="18"/>
                <w:color w:val="auto"/>
                <w:w w:val="94"/>
              </w:rPr>
              <w:t>2016</w:t>
            </w:r>
          </w:p>
        </w:tc>
        <w:tc>
          <w:tcPr>
            <w:tcW w:w="5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995</w:t>
            </w:r>
          </w:p>
        </w:tc>
      </w:tr>
      <w:tr>
        <w:trPr>
          <w:trHeight w:val="199"/>
        </w:trPr>
        <w:tc>
          <w:tcPr>
            <w:tcW w:w="5580" w:type="dxa"/>
            <w:vAlign w:val="bottom"/>
            <w:tcBorders>
              <w:bottom w:val="single" w:sz="8" w:color="auto"/>
            </w:tcBorders>
          </w:tcPr>
          <w:p>
            <w:pPr>
              <w:jc w:val="right"/>
              <w:ind w:right="5092"/>
              <w:spacing w:after="0" w:line="200" w:lineRule="exact"/>
              <w:rPr>
                <w:sz w:val="20"/>
                <w:szCs w:val="20"/>
                <w:color w:val="auto"/>
              </w:rPr>
            </w:pPr>
            <w:r>
              <w:rPr>
                <w:rFonts w:ascii="Arial" w:cs="Arial" w:eastAsia="Arial" w:hAnsi="Arial"/>
                <w:sz w:val="18"/>
                <w:szCs w:val="18"/>
                <w:color w:val="auto"/>
                <w:w w:val="94"/>
              </w:rPr>
              <w:t>2017</w:t>
            </w:r>
          </w:p>
        </w:tc>
        <w:tc>
          <w:tcPr>
            <w:tcW w:w="5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848</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Finite-lived intangible assets subject to amortization consist primarily of customer relationships acquired in business combinations, cable franchise renewal costs, contractual operating rights, intellectual property rights and software. Our finite-lived intangible assets are amortized primarily on a straight-line basis over their estimated useful life or the term of the respective agreement.</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other intangible assets and amortize them on a straight-line basis over a period not to exceed 5 years, beginning when the asset is substantially ready for use.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intangible assets subject to amortization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exceeds its estimated fair value. Unless presented separately, the impairment charge is included as a component of amortization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9: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E499A"/>
        </w:rPr>
        <w:t>Long-Term Debt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Borders>
              <w:top w:val="single" w:sz="8" w:color="auto"/>
            </w:tcBorders>
          </w:tcPr>
          <w:p>
            <w:pPr>
              <w:spacing w:after="0"/>
              <w:rPr>
                <w:sz w:val="14"/>
                <w:szCs w:val="14"/>
                <w:color w:val="auto"/>
              </w:rPr>
            </w:pPr>
          </w:p>
        </w:tc>
        <w:tc>
          <w:tcPr>
            <w:tcW w:w="3560" w:type="dxa"/>
            <w:vAlign w:val="bottom"/>
            <w:tcBorders>
              <w:top w:val="single" w:sz="8" w:color="auto"/>
            </w:tcBorders>
          </w:tcPr>
          <w:p>
            <w:pPr>
              <w:jc w:val="right"/>
              <w:ind w:right="281"/>
              <w:spacing w:after="0"/>
              <w:rPr>
                <w:sz w:val="20"/>
                <w:szCs w:val="20"/>
                <w:color w:val="auto"/>
              </w:rPr>
            </w:pPr>
            <w:r>
              <w:rPr>
                <w:rFonts w:ascii="Arial" w:cs="Arial" w:eastAsia="Arial" w:hAnsi="Arial"/>
                <w:sz w:val="14"/>
                <w:szCs w:val="14"/>
                <w:color w:val="auto"/>
              </w:rPr>
              <w:t>Weighted-Average</w:t>
            </w: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356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Interest Rate as of</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356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3560" w:type="dxa"/>
            <w:vAlign w:val="bottom"/>
            <w:tcBorders>
              <w:bottom w:val="single" w:sz="8" w:color="auto"/>
            </w:tcBorders>
          </w:tcPr>
          <w:p>
            <w:pPr>
              <w:jc w:val="right"/>
              <w:ind w:right="281"/>
              <w:spacing w:after="0" w:line="149"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6160" w:type="dxa"/>
            <w:vAlign w:val="bottom"/>
          </w:tcPr>
          <w:p>
            <w:pPr>
              <w:spacing w:after="0" w:line="177" w:lineRule="exact"/>
              <w:rPr>
                <w:sz w:val="20"/>
                <w:szCs w:val="20"/>
                <w:color w:val="auto"/>
              </w:rPr>
            </w:pPr>
            <w:r>
              <w:rPr>
                <w:rFonts w:ascii="Arial" w:cs="Arial" w:eastAsia="Arial" w:hAnsi="Arial"/>
                <w:sz w:val="18"/>
                <w:szCs w:val="18"/>
                <w:color w:val="auto"/>
              </w:rPr>
              <w:t>Commercial paper</w:t>
            </w:r>
          </w:p>
        </w:tc>
        <w:tc>
          <w:tcPr>
            <w:tcW w:w="3560" w:type="dxa"/>
            <w:vAlign w:val="bottom"/>
          </w:tcPr>
          <w:p>
            <w:pPr>
              <w:jc w:val="right"/>
              <w:ind w:right="281"/>
              <w:spacing w:after="0" w:line="177" w:lineRule="exact"/>
              <w:rPr>
                <w:sz w:val="20"/>
                <w:szCs w:val="20"/>
                <w:color w:val="auto"/>
              </w:rPr>
            </w:pPr>
            <w:r>
              <w:rPr>
                <w:rFonts w:ascii="Arial" w:cs="Arial" w:eastAsia="Arial" w:hAnsi="Arial"/>
                <w:sz w:val="18"/>
                <w:szCs w:val="18"/>
                <w:color w:val="auto"/>
              </w:rPr>
              <w:t>N/A</w:t>
            </w:r>
          </w:p>
        </w:tc>
        <w:tc>
          <w:tcPr>
            <w:tcW w:w="2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of 5 years or less</w:t>
            </w:r>
          </w:p>
        </w:tc>
        <w:tc>
          <w:tcPr>
            <w:tcW w:w="3560" w:type="dxa"/>
            <w:vAlign w:val="bottom"/>
          </w:tcPr>
          <w:p>
            <w:pPr>
              <w:jc w:val="right"/>
              <w:ind w:right="1"/>
              <w:spacing w:after="0" w:line="203" w:lineRule="exact"/>
              <w:rPr>
                <w:sz w:val="20"/>
                <w:szCs w:val="20"/>
                <w:color w:val="auto"/>
              </w:rPr>
            </w:pPr>
            <w:r>
              <w:rPr>
                <w:rFonts w:ascii="Arial" w:cs="Arial" w:eastAsia="Arial" w:hAnsi="Arial"/>
                <w:sz w:val="18"/>
                <w:szCs w:val="18"/>
                <w:color w:val="auto"/>
              </w:rPr>
              <w:t>5.858%</w:t>
            </w:r>
            <w:r>
              <w:rPr>
                <w:rFonts w:ascii="Arial" w:cs="Arial" w:eastAsia="Arial" w:hAnsi="Arial"/>
                <w:sz w:val="22"/>
                <w:szCs w:val="22"/>
                <w:color w:val="auto"/>
                <w:vertAlign w:val="superscript"/>
              </w:rPr>
              <w:t>(c)</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12,991</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11,347</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6 and 10 years</w:t>
            </w:r>
          </w:p>
        </w:tc>
        <w:tc>
          <w:tcPr>
            <w:tcW w:w="3560" w:type="dxa"/>
            <w:vAlign w:val="bottom"/>
          </w:tcPr>
          <w:p>
            <w:pPr>
              <w:jc w:val="right"/>
              <w:ind w:right="141"/>
              <w:spacing w:after="0" w:line="202" w:lineRule="exact"/>
              <w:rPr>
                <w:sz w:val="20"/>
                <w:szCs w:val="20"/>
                <w:color w:val="auto"/>
              </w:rPr>
            </w:pPr>
            <w:r>
              <w:rPr>
                <w:rFonts w:ascii="Arial" w:cs="Arial" w:eastAsia="Arial" w:hAnsi="Arial"/>
                <w:sz w:val="18"/>
                <w:szCs w:val="18"/>
                <w:color w:val="auto"/>
              </w:rPr>
              <w:t>5.379%</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10,334</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10,689</w:t>
            </w:r>
          </w:p>
        </w:tc>
        <w:tc>
          <w:tcPr>
            <w:tcW w:w="0" w:type="dxa"/>
            <w:vAlign w:val="bottom"/>
          </w:tcPr>
          <w:p>
            <w:pPr>
              <w:spacing w:after="0"/>
              <w:rPr>
                <w:sz w:val="1"/>
                <w:szCs w:val="1"/>
                <w:color w:val="auto"/>
              </w:rPr>
            </w:pPr>
          </w:p>
        </w:tc>
      </w:tr>
      <w:tr>
        <w:trPr>
          <w:trHeight w:val="203"/>
        </w:trPr>
        <w:tc>
          <w:tcPr>
            <w:tcW w:w="6160" w:type="dxa"/>
            <w:vAlign w:val="bottom"/>
          </w:tcPr>
          <w:p>
            <w:pPr>
              <w:spacing w:after="0" w:line="203" w:lineRule="exact"/>
              <w:rPr>
                <w:sz w:val="20"/>
                <w:szCs w:val="20"/>
                <w:color w:val="auto"/>
              </w:rPr>
            </w:pPr>
            <w:r>
              <w:rPr>
                <w:rFonts w:ascii="Arial" w:cs="Arial" w:eastAsia="Arial" w:hAnsi="Arial"/>
                <w:sz w:val="18"/>
                <w:szCs w:val="18"/>
                <w:color w:val="auto"/>
              </w:rPr>
              <w:t>Senior notes with maturities greater than 10 years</w:t>
            </w:r>
            <w:r>
              <w:rPr>
                <w:rFonts w:ascii="Arial" w:cs="Arial" w:eastAsia="Arial" w:hAnsi="Arial"/>
                <w:sz w:val="22"/>
                <w:szCs w:val="22"/>
                <w:color w:val="auto"/>
                <w:vertAlign w:val="superscript"/>
              </w:rPr>
              <w:t>(a)</w:t>
            </w:r>
          </w:p>
        </w:tc>
        <w:tc>
          <w:tcPr>
            <w:tcW w:w="3560" w:type="dxa"/>
            <w:vAlign w:val="bottom"/>
          </w:tcPr>
          <w:p>
            <w:pPr>
              <w:jc w:val="right"/>
              <w:ind w:right="141"/>
              <w:spacing w:after="0" w:line="202" w:lineRule="exact"/>
              <w:rPr>
                <w:sz w:val="20"/>
                <w:szCs w:val="20"/>
                <w:color w:val="auto"/>
              </w:rPr>
            </w:pPr>
            <w:r>
              <w:rPr>
                <w:rFonts w:ascii="Arial" w:cs="Arial" w:eastAsia="Arial" w:hAnsi="Arial"/>
                <w:sz w:val="18"/>
                <w:szCs w:val="18"/>
                <w:color w:val="auto"/>
              </w:rPr>
              <w:t>6.007%</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16,801</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16,115</w:t>
            </w:r>
          </w:p>
        </w:tc>
        <w:tc>
          <w:tcPr>
            <w:tcW w:w="0" w:type="dxa"/>
            <w:vAlign w:val="bottom"/>
          </w:tcPr>
          <w:p>
            <w:pPr>
              <w:spacing w:after="0"/>
              <w:rPr>
                <w:sz w:val="1"/>
                <w:szCs w:val="1"/>
                <w:color w:val="auto"/>
              </w:rPr>
            </w:pPr>
          </w:p>
        </w:tc>
      </w:tr>
      <w:tr>
        <w:trPr>
          <w:trHeight w:val="221"/>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capital lease obligations</w:t>
            </w:r>
          </w:p>
        </w:tc>
        <w:tc>
          <w:tcPr>
            <w:tcW w:w="3560" w:type="dxa"/>
            <w:vAlign w:val="bottom"/>
            <w:tcBorders>
              <w:bottom w:val="single" w:sz="8" w:color="auto"/>
            </w:tcBorders>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77"/>
        </w:trPr>
        <w:tc>
          <w:tcPr>
            <w:tcW w:w="616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3560" w:type="dxa"/>
            <w:vAlign w:val="bottom"/>
          </w:tcPr>
          <w:p>
            <w:pPr>
              <w:jc w:val="right"/>
              <w:ind w:right="1"/>
              <w:spacing w:after="0" w:line="177" w:lineRule="exact"/>
              <w:rPr>
                <w:sz w:val="20"/>
                <w:szCs w:val="20"/>
                <w:color w:val="auto"/>
              </w:rPr>
            </w:pPr>
            <w:r>
              <w:rPr>
                <w:rFonts w:ascii="Arial" w:cs="Arial" w:eastAsia="Arial" w:hAnsi="Arial"/>
                <w:sz w:val="16"/>
                <w:szCs w:val="16"/>
                <w:color w:val="auto"/>
              </w:rPr>
              <w:t>5.60%</w:t>
            </w:r>
            <w:r>
              <w:rPr>
                <w:rFonts w:ascii="Arial" w:cs="Arial" w:eastAsia="Arial" w:hAnsi="Arial"/>
                <w:sz w:val="20"/>
                <w:szCs w:val="20"/>
                <w:color w:val="auto"/>
                <w:vertAlign w:val="superscript"/>
              </w:rPr>
              <w:t>(b)</w:t>
            </w:r>
          </w:p>
        </w:tc>
        <w:tc>
          <w:tcPr>
            <w:tcW w:w="22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8"/>
              </w:rPr>
              <w:t>40,458</w:t>
            </w:r>
          </w:p>
        </w:tc>
        <w:tc>
          <w:tcPr>
            <w:tcW w:w="22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w w:val="98"/>
              </w:rPr>
              <w:t>39,309</w:t>
            </w:r>
          </w:p>
        </w:tc>
        <w:tc>
          <w:tcPr>
            <w:tcW w:w="0" w:type="dxa"/>
            <w:vAlign w:val="bottom"/>
          </w:tcPr>
          <w:p>
            <w:pPr>
              <w:spacing w:after="0"/>
              <w:rPr>
                <w:sz w:val="1"/>
                <w:szCs w:val="1"/>
                <w:color w:val="auto"/>
              </w:rPr>
            </w:pPr>
          </w:p>
        </w:tc>
      </w:tr>
      <w:tr>
        <w:trPr>
          <w:trHeight w:val="221"/>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3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2,376</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Long-term debt</w:t>
            </w:r>
          </w:p>
        </w:tc>
        <w:tc>
          <w:tcPr>
            <w:tcW w:w="3560" w:type="dxa"/>
            <w:vAlign w:val="bottom"/>
            <w:tcBorders>
              <w:bottom w:val="single" w:sz="8" w:color="3E499A"/>
            </w:tcBorders>
          </w:tcPr>
          <w:p>
            <w:pPr>
              <w:spacing w:after="0"/>
              <w:rPr>
                <w:sz w:val="17"/>
                <w:szCs w:val="17"/>
                <w:color w:val="auto"/>
              </w:rPr>
            </w:pP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w w:val="98"/>
              </w:rPr>
              <w:t>38,082</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w w:val="98"/>
              </w:rPr>
              <w:t>37,942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For both the December 31, 2012 and 2011 amounts include £625 million of 5.50% notes due 2029 translated at $1 billion, using the exchange rates as of these dates.</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97</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the effects of our derivative financial instruments.</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senior notes with maturities of 5 years or less as of December 31, 2012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5740" w:type="dxa"/>
            <w:vAlign w:val="bottom"/>
          </w:tcPr>
          <w:p>
            <w:pPr>
              <w:jc w:val="right"/>
              <w:ind w:right="172"/>
              <w:spacing w:after="0"/>
              <w:rPr>
                <w:sz w:val="20"/>
                <w:szCs w:val="20"/>
                <w:color w:val="auto"/>
              </w:rPr>
            </w:pPr>
            <w:r>
              <w:rPr>
                <w:rFonts w:ascii="Arial" w:cs="Arial" w:eastAsia="Arial" w:hAnsi="Arial"/>
                <w:sz w:val="14"/>
                <w:szCs w:val="14"/>
                <w:color w:val="auto"/>
              </w:rPr>
              <w:t>Weighted-Average</w:t>
            </w:r>
          </w:p>
        </w:tc>
        <w:tc>
          <w:tcPr>
            <w:tcW w:w="620" w:type="dxa"/>
            <w:vAlign w:val="bottom"/>
          </w:tcPr>
          <w:p>
            <w:pPr>
              <w:spacing w:after="0"/>
              <w:rPr>
                <w:sz w:val="14"/>
                <w:szCs w:val="14"/>
                <w:color w:val="auto"/>
              </w:rPr>
            </w:pPr>
          </w:p>
        </w:tc>
      </w:tr>
      <w:tr>
        <w:trPr>
          <w:trHeight w:val="149"/>
        </w:trPr>
        <w:tc>
          <w:tcPr>
            <w:tcW w:w="50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57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Interest Rate</w:t>
            </w:r>
          </w:p>
        </w:tc>
        <w:tc>
          <w:tcPr>
            <w:tcW w:w="620" w:type="dxa"/>
            <w:vAlign w:val="bottom"/>
            <w:tcBorders>
              <w:bottom w:val="single" w:sz="8" w:color="auto"/>
            </w:tcBorders>
          </w:tcPr>
          <w:p>
            <w:pPr>
              <w:spacing w:after="0"/>
              <w:rPr>
                <w:sz w:val="12"/>
                <w:szCs w:val="12"/>
                <w:color w:val="auto"/>
              </w:rPr>
            </w:pPr>
          </w:p>
        </w:tc>
      </w:tr>
      <w:tr>
        <w:trPr>
          <w:trHeight w:val="141"/>
        </w:trPr>
        <w:tc>
          <w:tcPr>
            <w:tcW w:w="5060" w:type="dxa"/>
            <w:vAlign w:val="bottom"/>
          </w:tcPr>
          <w:p>
            <w:pPr>
              <w:spacing w:after="0" w:line="141" w:lineRule="exact"/>
              <w:rPr>
                <w:sz w:val="20"/>
                <w:szCs w:val="20"/>
                <w:color w:val="auto"/>
              </w:rPr>
            </w:pPr>
            <w:r>
              <w:rPr>
                <w:rFonts w:ascii="Arial" w:cs="Arial" w:eastAsia="Arial" w:hAnsi="Arial"/>
                <w:sz w:val="14"/>
                <w:szCs w:val="14"/>
                <w:color w:val="auto"/>
              </w:rPr>
              <w:t>2013</w:t>
            </w:r>
          </w:p>
        </w:tc>
        <w:tc>
          <w:tcPr>
            <w:tcW w:w="57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8.081%</w:t>
            </w:r>
          </w:p>
        </w:tc>
        <w:tc>
          <w:tcPr>
            <w:tcW w:w="620" w:type="dxa"/>
            <w:vAlign w:val="bottom"/>
          </w:tcPr>
          <w:p>
            <w:pPr>
              <w:jc w:val="right"/>
              <w:spacing w:after="0" w:line="141" w:lineRule="exact"/>
              <w:rPr>
                <w:sz w:val="20"/>
                <w:szCs w:val="20"/>
                <w:color w:val="auto"/>
              </w:rPr>
            </w:pPr>
            <w:r>
              <w:rPr>
                <w:rFonts w:ascii="Arial" w:cs="Arial" w:eastAsia="Arial" w:hAnsi="Arial"/>
                <w:sz w:val="14"/>
                <w:szCs w:val="14"/>
                <w:color w:val="auto"/>
              </w:rPr>
              <w:t>$ 2,346</w:t>
            </w:r>
          </w:p>
        </w:tc>
      </w:tr>
      <w:tr>
        <w:trPr>
          <w:trHeight w:val="149"/>
        </w:trPr>
        <w:tc>
          <w:tcPr>
            <w:tcW w:w="5060" w:type="dxa"/>
            <w:vAlign w:val="bottom"/>
          </w:tcPr>
          <w:p>
            <w:pPr>
              <w:spacing w:after="0" w:line="149" w:lineRule="exact"/>
              <w:rPr>
                <w:sz w:val="20"/>
                <w:szCs w:val="20"/>
                <w:color w:val="auto"/>
              </w:rPr>
            </w:pPr>
            <w:r>
              <w:rPr>
                <w:rFonts w:ascii="Arial" w:cs="Arial" w:eastAsia="Arial" w:hAnsi="Arial"/>
                <w:sz w:val="14"/>
                <w:szCs w:val="14"/>
                <w:color w:val="auto"/>
              </w:rPr>
              <w:t>2014</w:t>
            </w:r>
          </w:p>
        </w:tc>
        <w:tc>
          <w:tcPr>
            <w:tcW w:w="5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3.698%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$ 1,945</w:t>
            </w:r>
          </w:p>
        </w:tc>
      </w:tr>
      <w:tr>
        <w:trPr>
          <w:trHeight w:val="149"/>
        </w:trPr>
        <w:tc>
          <w:tcPr>
            <w:tcW w:w="5060" w:type="dxa"/>
            <w:vAlign w:val="bottom"/>
          </w:tcPr>
          <w:p>
            <w:pPr>
              <w:spacing w:after="0" w:line="149" w:lineRule="exact"/>
              <w:rPr>
                <w:sz w:val="20"/>
                <w:szCs w:val="20"/>
                <w:color w:val="auto"/>
              </w:rPr>
            </w:pPr>
            <w:r>
              <w:rPr>
                <w:rFonts w:ascii="Arial" w:cs="Arial" w:eastAsia="Arial" w:hAnsi="Arial"/>
                <w:sz w:val="14"/>
                <w:szCs w:val="14"/>
                <w:color w:val="auto"/>
              </w:rPr>
              <w:t>2015</w:t>
            </w:r>
          </w:p>
        </w:tc>
        <w:tc>
          <w:tcPr>
            <w:tcW w:w="5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5.882%</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$ 3,363</w:t>
            </w:r>
          </w:p>
        </w:tc>
      </w:tr>
      <w:tr>
        <w:trPr>
          <w:trHeight w:val="149"/>
        </w:trPr>
        <w:tc>
          <w:tcPr>
            <w:tcW w:w="5060" w:type="dxa"/>
            <w:vAlign w:val="bottom"/>
          </w:tcPr>
          <w:p>
            <w:pPr>
              <w:spacing w:after="0" w:line="149" w:lineRule="exact"/>
              <w:rPr>
                <w:sz w:val="20"/>
                <w:szCs w:val="20"/>
                <w:color w:val="auto"/>
              </w:rPr>
            </w:pPr>
            <w:r>
              <w:rPr>
                <w:rFonts w:ascii="Arial" w:cs="Arial" w:eastAsia="Arial" w:hAnsi="Arial"/>
                <w:sz w:val="14"/>
                <w:szCs w:val="14"/>
                <w:color w:val="auto"/>
              </w:rPr>
              <w:t>2016</w:t>
            </w:r>
          </w:p>
        </w:tc>
        <w:tc>
          <w:tcPr>
            <w:tcW w:w="5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4.474%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$ 2,791</w:t>
            </w:r>
          </w:p>
        </w:tc>
      </w:tr>
      <w:tr>
        <w:trPr>
          <w:trHeight w:val="149"/>
        </w:trPr>
        <w:tc>
          <w:tcPr>
            <w:tcW w:w="50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2017</w:t>
            </w:r>
          </w:p>
        </w:tc>
        <w:tc>
          <w:tcPr>
            <w:tcW w:w="57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6.944%</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$ 2,546</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and 2011, our debt had an estimated fair value of $47.7 billion and $45.1 billion, respectively.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Some of our loan agreements require that we maintain certain financial ratios based on our debt and our operating income before depreciation and amortization. We were in compliance with all financial covenants for all periods presented. See Note 22 for additional information on our subsidiary guarantee structures.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E499A"/>
        </w:rPr>
        <w:t>2012 Debt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2012 (in millions)</w:t>
      </w:r>
    </w:p>
    <w:tbl>
      <w:tblPr>
        <w:tblLayout w:type="fixed"/>
        <w:tblInd w:w="0" w:type="dxa"/>
        <w:tblCellMar>
          <w:top w:w="0" w:type="dxa"/>
          <w:left w:w="0" w:type="dxa"/>
          <w:bottom w:w="0" w:type="dxa"/>
          <w:right w:w="0" w:type="dxa"/>
        </w:tblCellMar>
      </w:tblPr>
      <w:tr>
        <w:trPr>
          <w:trHeight w:val="199"/>
        </w:trPr>
        <w:tc>
          <w:tcPr>
            <w:tcW w:w="714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Comcast 4.650% senior notes due 2042</w:t>
            </w:r>
          </w:p>
        </w:tc>
        <w:tc>
          <w:tcPr>
            <w:tcW w:w="42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$ 1,250</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Comcast 3.125% senior notes due 2022</w:t>
            </w:r>
          </w:p>
        </w:tc>
        <w:tc>
          <w:tcPr>
            <w:tcW w:w="42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NBCUniversal 2.875% senior notes due 2023</w:t>
            </w:r>
          </w:p>
        </w:tc>
        <w:tc>
          <w:tcPr>
            <w:tcW w:w="42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NBCUniversal 4.450% senior notes due 2043</w:t>
            </w:r>
          </w:p>
        </w:tc>
        <w:tc>
          <w:tcPr>
            <w:tcW w:w="42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Comcast 5% senior notes due 2061</w:t>
            </w:r>
          </w:p>
        </w:tc>
        <w:tc>
          <w:tcPr>
            <w:tcW w:w="428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r>
      <w:tr>
        <w:trPr>
          <w:trHeight w:val="199"/>
        </w:trPr>
        <w:tc>
          <w:tcPr>
            <w:tcW w:w="71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4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w:t>
            </w:r>
          </w:p>
        </w:tc>
      </w:tr>
      <w:tr>
        <w:trPr>
          <w:trHeight w:val="196"/>
        </w:trPr>
        <w:tc>
          <w:tcPr>
            <w:tcW w:w="714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42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$ 4,544</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January 2013, we issued $750 million aggregate principal amount of 2.850% senior notes due 2023, $1.7 billion aggregate principal amount of 4.250% senior notes due 2033 and $500 million aggregate principal amount of 4.500% senior notes due 2043.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3E499A"/>
        </w:rPr>
        <w:t>2012 Debt Repayments and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2012 (in millions)</w:t>
      </w:r>
    </w:p>
    <w:tbl>
      <w:tblPr>
        <w:tblLayout w:type="fixed"/>
        <w:tblInd w:w="0" w:type="dxa"/>
        <w:tblCellMar>
          <w:top w:w="0" w:type="dxa"/>
          <w:left w:w="0" w:type="dxa"/>
          <w:bottom w:w="0" w:type="dxa"/>
          <w:right w:w="0" w:type="dxa"/>
        </w:tblCellMar>
      </w:tblPr>
      <w:tr>
        <w:trPr>
          <w:trHeight w:val="199"/>
        </w:trPr>
        <w:tc>
          <w:tcPr>
            <w:tcW w:w="78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Comcast 7% senior notes due 2055</w:t>
            </w:r>
          </w:p>
        </w:tc>
        <w:tc>
          <w:tcPr>
            <w:tcW w:w="35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$ 1,125</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Comcast 6.625% senior notes due 2056</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Comcast 9.8% senior notes due 2012</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Universal Orlando 8.875% senior notes due 2015</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Comcast 10.625% senior subordinated debentures due 2012</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Universal Orlando 10.875% senior subordinated notes due 2016</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3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w:t>
            </w:r>
          </w:p>
        </w:tc>
      </w:tr>
      <w:tr>
        <w:trPr>
          <w:trHeight w:val="196"/>
        </w:trPr>
        <w:tc>
          <w:tcPr>
            <w:tcW w:w="78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35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$ 2,881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3E499A"/>
        </w:rPr>
        <w:t>Commercial Paper Programs</w:t>
      </w:r>
    </w:p>
    <w:p>
      <w:pPr>
        <w:jc w:val="both"/>
        <w:spacing w:after="0" w:line="238" w:lineRule="auto"/>
        <w:rPr>
          <w:sz w:val="20"/>
          <w:szCs w:val="20"/>
          <w:color w:val="auto"/>
        </w:rPr>
      </w:pPr>
      <w:r>
        <w:rPr>
          <w:rFonts w:ascii="Arial" w:cs="Arial" w:eastAsia="Arial" w:hAnsi="Arial"/>
          <w:sz w:val="18"/>
          <w:szCs w:val="18"/>
          <w:color w:val="auto"/>
        </w:rPr>
        <w:t>Our commercial paper programs provide a lower cost source of borrowing to fund our short-term working capital requirements and are supported by our revolving credit facilities. As of December 31, 2012, the borrowing capacity available under these programs totaled $2.25 billion for Comcast and $1.5 billion for NBCUniversal.</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98</w:t>
            </w: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3E499A"/>
        </w:rPr>
        <w:t>Revolving Credit Facilities</w:t>
      </w:r>
    </w:p>
    <w:p>
      <w:pPr>
        <w:jc w:val="both"/>
        <w:spacing w:after="0" w:line="236" w:lineRule="auto"/>
        <w:rPr>
          <w:sz w:val="20"/>
          <w:szCs w:val="20"/>
          <w:color w:val="auto"/>
        </w:rPr>
      </w:pPr>
      <w:r>
        <w:rPr>
          <w:rFonts w:ascii="Arial" w:cs="Arial" w:eastAsia="Arial" w:hAnsi="Arial"/>
          <w:sz w:val="18"/>
          <w:szCs w:val="18"/>
          <w:color w:val="auto"/>
        </w:rPr>
        <w:t>In June 2012, Comcast and Comcast Cable Communications, LLC entered into a new $6.25 billion revolving credit facility due June 2017 with a syndicate of banks that may be used for general corporate purposes. The new credit facility replaces our prior $6.8 billion credit facility, which was terminated in connection with the execution of the new credit facility. The interest rate on the new facility consists of a base rate plus a borrowing margin that is determined based on Comcast’s credit rating. As of December 31, 2012, the borrowing margin for LIBOR-based borrowings was 1.125%. The terms of the new credit facility’s financial covenants and guarantees are substantially the same as those under the prior credit facility. As of December 31, 2012, amounts available under the new credit facility, net of amounts outstanding under our commercial paper program and undrawn letters of credit, totaled $5.8 billion.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2012, NBCUniversal had a $1.5 billion credit facility due June 2016 with a syndicate of banks. The interest rate on this facility consists of a base rate plus a borrowing margin that is determined based on NBCUniversal’s credit rating. As of December 31, 2012, the borrowing margin for LIBOR-based borrowings was 1.125%. As of December 31, 2012, amounts available under this credit facility, net of amounts outstanding under our commercial paper program and undrawn letters of credit, totaled $1.4 billion.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Letters of Credit</w:t>
      </w:r>
    </w:p>
    <w:p>
      <w:pPr>
        <w:jc w:val="both"/>
        <w:spacing w:after="0" w:line="239" w:lineRule="auto"/>
        <w:rPr>
          <w:sz w:val="20"/>
          <w:szCs w:val="20"/>
          <w:color w:val="auto"/>
        </w:rPr>
      </w:pPr>
      <w:r>
        <w:rPr>
          <w:rFonts w:ascii="Arial" w:cs="Arial" w:eastAsia="Arial" w:hAnsi="Arial"/>
          <w:sz w:val="18"/>
          <w:szCs w:val="18"/>
          <w:color w:val="auto"/>
        </w:rPr>
        <w:t>As of December 31, 2012, we and certain of our subsidiaries had unused irrevocable standby letters of credit totaling $557 million to cover potential fundings under various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10: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The levels of the hierarchy are described below.</w:t>
      </w:r>
    </w:p>
    <w:p>
      <w:pPr>
        <w:spacing w:after="0" w:line="114" w:lineRule="exact"/>
        <w:rPr>
          <w:sz w:val="20"/>
          <w:szCs w:val="20"/>
          <w:color w:val="auto"/>
        </w:rPr>
      </w:pPr>
    </w:p>
    <w:p>
      <w:pPr>
        <w:ind w:left="1020" w:right="1240" w:hanging="215"/>
        <w:spacing w:after="0" w:line="23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Consists of financial instruments whose values are based on quoted market prices for identical financial instruments in an active market.</w:t>
      </w:r>
    </w:p>
    <w:p>
      <w:pPr>
        <w:spacing w:after="0" w:line="114" w:lineRule="exact"/>
        <w:rPr>
          <w:rFonts w:ascii="Arial" w:cs="Arial" w:eastAsia="Arial" w:hAnsi="Arial"/>
          <w:sz w:val="18"/>
          <w:szCs w:val="18"/>
          <w:color w:val="auto"/>
        </w:rPr>
      </w:pPr>
    </w:p>
    <w:p>
      <w:pPr>
        <w:jc w:val="both"/>
        <w:ind w:left="1020" w:right="1240" w:hanging="215"/>
        <w:spacing w:after="0" w:line="23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2: Consists of financial instruments that are valued using models or other valuation methodologies. These models use inputs that are observable either directly or indirectly. Level 2 inputs include (i) quoted prices for similar assets or liabilities in active markets, (ii) quoted prices for identical or similar assets or liabilities in markets that are not active, (iii) pricing models whose inputs are observable for substantially the full term of the financial instrument and (iv) pricing models whose inputs are derived principally from or corroborated by observable market data through correlation or other means for substantially the full term of the financial instrument.</w:t>
      </w:r>
    </w:p>
    <w:p>
      <w:pPr>
        <w:spacing w:after="0" w:line="115"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99</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instruments and their classification within the fair value hierarchy. Financial instruments are classified in their entirety based on the lowest level of input that is significant to the fair value measurement. There have been no changes in the classification of any financial instruments within the fair value hierarchy in the periods presented. Our financial instruments that are accounted for at fair value on a recurring basis are presented in the table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3E499A"/>
        </w:rPr>
        <w:t>Recurring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414"/>
              <w:spacing w:after="0"/>
              <w:rPr>
                <w:sz w:val="20"/>
                <w:szCs w:val="20"/>
                <w:color w:val="auto"/>
              </w:rPr>
            </w:pPr>
            <w:r>
              <w:rPr>
                <w:rFonts w:ascii="Arial" w:cs="Arial" w:eastAsia="Arial" w:hAnsi="Arial"/>
                <w:sz w:val="14"/>
                <w:szCs w:val="14"/>
                <w:b w:val="1"/>
                <w:bCs w:val="1"/>
                <w:color w:val="auto"/>
              </w:rPr>
              <w:t>Fair Value as of December 31, 2012</w:t>
            </w: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454"/>
              <w:spacing w:after="0"/>
              <w:rPr>
                <w:sz w:val="20"/>
                <w:szCs w:val="20"/>
                <w:color w:val="auto"/>
              </w:rPr>
            </w:pPr>
            <w:r>
              <w:rPr>
                <w:rFonts w:ascii="Arial" w:cs="Arial" w:eastAsia="Arial" w:hAnsi="Arial"/>
                <w:sz w:val="14"/>
                <w:szCs w:val="14"/>
                <w:color w:val="auto"/>
              </w:rPr>
              <w:t>Fair Value as of December 31, 2011</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Level 3</w:t>
            </w:r>
          </w:p>
        </w:tc>
        <w:tc>
          <w:tcPr>
            <w:tcW w:w="8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Level 1</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Level 2</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Level 3</w:t>
            </w:r>
          </w:p>
        </w:tc>
        <w:tc>
          <w:tcPr>
            <w:tcW w:w="8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4,027</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$ 4,027</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60" w:type="dxa"/>
            <w:vAlign w:val="bottom"/>
          </w:tcPr>
          <w:p>
            <w:pPr>
              <w:spacing w:after="0" w:line="181" w:lineRule="exact"/>
              <w:rPr>
                <w:sz w:val="20"/>
                <w:szCs w:val="20"/>
                <w:color w:val="auto"/>
              </w:rPr>
            </w:pPr>
            <w:r>
              <w:rPr>
                <w:rFonts w:ascii="Arial" w:cs="Arial" w:eastAsia="Arial" w:hAnsi="Arial"/>
                <w:sz w:val="18"/>
                <w:szCs w:val="18"/>
                <w:color w:val="auto"/>
              </w:rPr>
              <w:t>Trading securities</w:t>
            </w:r>
          </w:p>
        </w:tc>
        <w:tc>
          <w:tcPr>
            <w:tcW w:w="2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181" w:lineRule="exact"/>
              <w:rPr>
                <w:sz w:val="20"/>
                <w:szCs w:val="20"/>
                <w:color w:val="auto"/>
              </w:rPr>
            </w:pPr>
            <w:r>
              <w:rPr>
                <w:rFonts w:ascii="Arial" w:cs="Arial" w:eastAsia="Arial" w:hAnsi="Arial"/>
                <w:sz w:val="18"/>
                <w:szCs w:val="18"/>
                <w:color w:val="auto"/>
              </w:rPr>
              <w:t>2,895</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$ 2,895</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367</w:t>
            </w:r>
          </w:p>
        </w:tc>
        <w:tc>
          <w:tcPr>
            <w:tcW w:w="22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76</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21</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464</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90</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246</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Cross-currency swap agreements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warrants</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3E499A"/>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4,394</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322</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23</w:t>
            </w:r>
          </w:p>
        </w:tc>
        <w:tc>
          <w:tcPr>
            <w:tcW w:w="82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$ 4,739</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3E499A"/>
            </w:tcBorders>
          </w:tcPr>
          <w:p>
            <w:pPr>
              <w:jc w:val="right"/>
              <w:ind w:right="15"/>
              <w:spacing w:after="0" w:line="196" w:lineRule="exact"/>
              <w:rPr>
                <w:sz w:val="20"/>
                <w:szCs w:val="20"/>
                <w:color w:val="auto"/>
              </w:rPr>
            </w:pPr>
            <w:r>
              <w:rPr>
                <w:rFonts w:ascii="Arial" w:cs="Arial" w:eastAsia="Arial" w:hAnsi="Arial"/>
                <w:sz w:val="18"/>
                <w:szCs w:val="18"/>
                <w:color w:val="auto"/>
              </w:rPr>
              <w:t>2,985</w:t>
            </w:r>
          </w:p>
        </w:tc>
        <w:tc>
          <w:tcPr>
            <w:tcW w:w="2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276</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23</w:t>
            </w:r>
          </w:p>
        </w:tc>
        <w:tc>
          <w:tcPr>
            <w:tcW w:w="82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$ 3,284</w:t>
            </w:r>
          </w:p>
        </w:tc>
        <w:tc>
          <w:tcPr>
            <w:tcW w:w="0" w:type="dxa"/>
            <w:vAlign w:val="bottom"/>
          </w:tcPr>
          <w:p>
            <w:pPr>
              <w:spacing w:after="0"/>
              <w:rPr>
                <w:sz w:val="1"/>
                <w:szCs w:val="1"/>
                <w:color w:val="auto"/>
              </w:rPr>
            </w:pP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w w:val="99"/>
              </w:rPr>
              <w:t>Derivative component of prepaid forward sale agreements and</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2,305</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$ 2,305</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60" w:type="dxa"/>
            <w:vAlign w:val="bottom"/>
          </w:tcPr>
          <w:p>
            <w:pPr>
              <w:ind w:left="220"/>
              <w:spacing w:after="0" w:line="181" w:lineRule="exact"/>
              <w:rPr>
                <w:sz w:val="20"/>
                <w:szCs w:val="20"/>
                <w:color w:val="auto"/>
              </w:rPr>
            </w:pPr>
            <w:r>
              <w:rPr>
                <w:rFonts w:ascii="Arial" w:cs="Arial" w:eastAsia="Arial" w:hAnsi="Arial"/>
                <w:sz w:val="18"/>
                <w:szCs w:val="18"/>
                <w:color w:val="auto"/>
              </w:rPr>
              <w:t>indexed debt instruments</w:t>
            </w:r>
          </w:p>
        </w:tc>
        <w:tc>
          <w:tcPr>
            <w:tcW w:w="2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181"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1,234</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$ 1,234</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Contractual obligations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1,055</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1,055</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1,004</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587</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587</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583</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Cross-currency swap agreements</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3E499A"/>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2,319</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1,642</w:t>
            </w:r>
          </w:p>
        </w:tc>
        <w:tc>
          <w:tcPr>
            <w:tcW w:w="82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$ 3,961</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3E499A"/>
            </w:tcBorders>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1,311</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1,587</w:t>
            </w:r>
          </w:p>
        </w:tc>
        <w:tc>
          <w:tcPr>
            <w:tcW w:w="82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$ 2,898</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Consideration</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fair values of the contractual obligations and contingent consideration in the table above are primarily based on certain expected future discounted cash flows, the determination of which involves the use of significant unobservable inputs. The most significant unobservable input we use are our estimates of the future revenue we expect to generate from certain NBCUniversal entities, which are related to our contractual obligations, and future net tax benefits that will affect payments to GE, which are related to contingent consideration. The discount rates used in the measurements of fair value were between 6% and 14% and are based on the underlying risk associated with our estimate of future revenue, as well as the terms of the respective contracts, and the uncertainty in the timing of our payments to GE. The fair value adjustments to contractual obligations and contingent consideration are sensitive to the assumptions related to future revenue and tax benefits, respectively, as well as to current interest rates, and therefore, the adjustments are recorded to other income (expense), net in our consolidated statement of income.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3E499A"/>
        </w:rPr>
        <w:t>Changes in Contractual Obligations and Contingent Consideration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Borders>
              <w:top w:val="single" w:sz="8" w:color="auto"/>
            </w:tcBorders>
          </w:tcPr>
          <w:p>
            <w:pPr>
              <w:spacing w:after="0"/>
              <w:rPr>
                <w:sz w:val="14"/>
                <w:szCs w:val="14"/>
                <w:color w:val="auto"/>
              </w:rPr>
            </w:pPr>
          </w:p>
        </w:tc>
        <w:tc>
          <w:tcPr>
            <w:tcW w:w="4240" w:type="dxa"/>
            <w:vAlign w:val="bottom"/>
            <w:tcBorders>
              <w:top w:val="single" w:sz="8" w:color="auto"/>
            </w:tcBorders>
            <w:gridSpan w:val="2"/>
          </w:tcPr>
          <w:p>
            <w:pPr>
              <w:ind w:left="3400"/>
              <w:spacing w:after="0"/>
              <w:rPr>
                <w:sz w:val="20"/>
                <w:szCs w:val="20"/>
                <w:color w:val="auto"/>
              </w:rPr>
            </w:pPr>
            <w:r>
              <w:rPr>
                <w:rFonts w:ascii="Arial" w:cs="Arial" w:eastAsia="Arial" w:hAnsi="Arial"/>
                <w:sz w:val="14"/>
                <w:szCs w:val="14"/>
                <w:color w:val="auto"/>
              </w:rPr>
              <w:t>Contractual</w:t>
            </w: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color w:val="auto"/>
              </w:rPr>
              <w:t>Contingent</w:t>
            </w:r>
          </w:p>
        </w:tc>
      </w:tr>
      <w:tr>
        <w:trPr>
          <w:trHeight w:val="149"/>
        </w:trPr>
        <w:tc>
          <w:tcPr>
            <w:tcW w:w="61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4240" w:type="dxa"/>
            <w:vAlign w:val="bottom"/>
            <w:tcBorders>
              <w:bottom w:val="single" w:sz="8" w:color="auto"/>
            </w:tcBorders>
            <w:gridSpan w:val="2"/>
          </w:tcPr>
          <w:p>
            <w:pPr>
              <w:ind w:left="3420"/>
              <w:spacing w:after="0" w:line="149" w:lineRule="exact"/>
              <w:rPr>
                <w:sz w:val="20"/>
                <w:szCs w:val="20"/>
                <w:color w:val="auto"/>
              </w:rPr>
            </w:pPr>
            <w:r>
              <w:rPr>
                <w:rFonts w:ascii="Arial" w:cs="Arial" w:eastAsia="Arial" w:hAnsi="Arial"/>
                <w:sz w:val="14"/>
                <w:szCs w:val="14"/>
                <w:color w:val="auto"/>
              </w:rPr>
              <w:t>Obligations</w:t>
            </w:r>
          </w:p>
        </w:tc>
        <w:tc>
          <w:tcPr>
            <w:tcW w:w="102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Consideration</w:t>
            </w:r>
          </w:p>
        </w:tc>
      </w:tr>
      <w:tr>
        <w:trPr>
          <w:trHeight w:val="199"/>
        </w:trPr>
        <w:tc>
          <w:tcPr>
            <w:tcW w:w="6160" w:type="dxa"/>
            <w:vAlign w:val="bottom"/>
          </w:tcPr>
          <w:p>
            <w:pPr>
              <w:spacing w:after="0" w:line="200" w:lineRule="exact"/>
              <w:rPr>
                <w:sz w:val="20"/>
                <w:szCs w:val="20"/>
                <w:color w:val="auto"/>
              </w:rPr>
            </w:pPr>
            <w:r>
              <w:rPr>
                <w:rFonts w:ascii="Arial" w:cs="Arial" w:eastAsia="Arial" w:hAnsi="Arial"/>
                <w:sz w:val="18"/>
                <w:szCs w:val="18"/>
                <w:color w:val="auto"/>
              </w:rPr>
              <w:t>Balance, December 31, 2011</w:t>
            </w:r>
          </w:p>
        </w:tc>
        <w:tc>
          <w:tcPr>
            <w:tcW w:w="3580" w:type="dxa"/>
            <w:vAlign w:val="bottom"/>
          </w:tcPr>
          <w:p>
            <w:pPr>
              <w:ind w:left="340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2"/>
              <w:spacing w:after="0" w:line="200" w:lineRule="exact"/>
              <w:rPr>
                <w:sz w:val="20"/>
                <w:szCs w:val="20"/>
                <w:color w:val="auto"/>
              </w:rPr>
            </w:pPr>
            <w:r>
              <w:rPr>
                <w:rFonts w:ascii="Arial" w:cs="Arial" w:eastAsia="Arial" w:hAnsi="Arial"/>
                <w:sz w:val="18"/>
                <w:szCs w:val="18"/>
                <w:color w:val="auto"/>
              </w:rPr>
              <w:t>1,004</w:t>
            </w:r>
          </w:p>
        </w:tc>
        <w:tc>
          <w:tcPr>
            <w:tcW w:w="22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line="200" w:lineRule="exact"/>
              <w:rPr>
                <w:sz w:val="20"/>
                <w:szCs w:val="20"/>
                <w:color w:val="auto"/>
              </w:rPr>
            </w:pPr>
            <w:r>
              <w:rPr>
                <w:rFonts w:ascii="Arial" w:cs="Arial" w:eastAsia="Arial" w:hAnsi="Arial"/>
                <w:sz w:val="18"/>
                <w:szCs w:val="18"/>
                <w:color w:val="auto"/>
              </w:rPr>
              <w:t>583</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Acquisition accounting adjustments</w:t>
            </w:r>
          </w:p>
        </w:tc>
        <w:tc>
          <w:tcPr>
            <w:tcW w:w="35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Fair value adjustments</w:t>
            </w:r>
          </w:p>
        </w:tc>
        <w:tc>
          <w:tcPr>
            <w:tcW w:w="3580" w:type="dxa"/>
            <w:vAlign w:val="bottom"/>
          </w:tcPr>
          <w:p>
            <w:pPr>
              <w:spacing w:after="0"/>
              <w:rPr>
                <w:sz w:val="17"/>
                <w:szCs w:val="17"/>
                <w:color w:val="auto"/>
              </w:rPr>
            </w:pPr>
          </w:p>
        </w:tc>
        <w:tc>
          <w:tcPr>
            <w:tcW w:w="6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186</w:t>
            </w:r>
          </w:p>
        </w:tc>
        <w:tc>
          <w:tcPr>
            <w:tcW w:w="220" w:type="dxa"/>
            <w:vAlign w:val="bottom"/>
          </w:tcPr>
          <w:p>
            <w:pPr>
              <w:spacing w:after="0"/>
              <w:rPr>
                <w:sz w:val="17"/>
                <w:szCs w:val="17"/>
                <w:color w:val="auto"/>
              </w:rPr>
            </w:pP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137</w:t>
            </w:r>
          </w:p>
        </w:tc>
      </w:tr>
      <w:tr>
        <w:trPr>
          <w:trHeight w:val="199"/>
        </w:trPr>
        <w:tc>
          <w:tcPr>
            <w:tcW w:w="61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Payments</w:t>
            </w:r>
          </w:p>
        </w:tc>
        <w:tc>
          <w:tcPr>
            <w:tcW w:w="3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(133)</w:t>
            </w:r>
          </w:p>
        </w:tc>
      </w:tr>
      <w:tr>
        <w:trPr>
          <w:trHeight w:val="196"/>
        </w:trPr>
        <w:tc>
          <w:tcPr>
            <w:tcW w:w="616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Balance, December 31, 2012</w:t>
            </w:r>
          </w:p>
        </w:tc>
        <w:tc>
          <w:tcPr>
            <w:tcW w:w="3580" w:type="dxa"/>
            <w:vAlign w:val="bottom"/>
            <w:tcBorders>
              <w:bottom w:val="single" w:sz="8" w:color="3E499A"/>
            </w:tcBorders>
          </w:tcPr>
          <w:p>
            <w:pPr>
              <w:ind w:left="340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E499A"/>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1,055</w:t>
            </w:r>
          </w:p>
        </w:tc>
        <w:tc>
          <w:tcPr>
            <w:tcW w:w="22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E499A"/>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587</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assets and liabilities that are required to be recorded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 of fair value of a production is determined using Level 3 inputs, primarily an analysis of future expected cash flows. Adjustments to capitalized film and stage play production costs of $161 million and $57 million were recorded in 2012 and 2011,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11: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NBCUniversal transaction in January 2011, we obtained a portion of our interest in NBCUniversal Holdings in exchange for GE receiving a 49% indirect noncontrolling interest in the Comcast Content Business. The difference between the fair value of the interest we received and the historical carrying value of the noncontrolling interest in the Comcast Content Business resulted in an increase of $1.7 billion, net of taxes, to additional paid-in capital in 2011.</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GE’s 49% interest in NBCUniversal Holdings is recorded as a redeemable noncontrolling interest in our consolidated financial statements due to the redemption provisions discussed in Note 4. The initial value for the redeemable noncontrolling interest was based on the fair value for the portion attributable to the net assets of the NBCUniversal businesses we acquired and based on our historical cost for the portion attributable to the Comcast Content Business. We adjust GE’s redeemable noncontrolling interest for its 49% interest in NBCUniversal Holdings’ and NBCUniversal’s earnings and changes in other comprehensive income, as well as for other capital transactions attributable to GE. The carrying amount of GE’s redeemable noncontrolling interest was in excess of the estimated redemption value as of December 31, 2012.</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12, 2013, we entered into an agreement to acquire GE’s 49% common equity interest in NBCUniversal Holdings. See Note 21 for additional information.</w:t>
      </w:r>
    </w:p>
    <w:p>
      <w:pPr>
        <w:spacing w:after="0" w:line="324"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101</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3E499A"/>
        </w:rPr>
        <w:t>Changes in Equity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5040" w:type="dxa"/>
            <w:vAlign w:val="bottom"/>
          </w:tcPr>
          <w:p>
            <w:pPr>
              <w:spacing w:after="0" w:line="200" w:lineRule="exact"/>
              <w:rPr>
                <w:sz w:val="20"/>
                <w:szCs w:val="20"/>
                <w:color w:val="auto"/>
              </w:rPr>
            </w:pPr>
            <w:r>
              <w:rPr>
                <w:rFonts w:ascii="Arial" w:cs="Arial" w:eastAsia="Arial" w:hAnsi="Arial"/>
                <w:sz w:val="18"/>
                <w:szCs w:val="18"/>
                <w:color w:val="auto"/>
              </w:rPr>
              <w:t>Net income attributable to Comcast Corporation</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77"/>
              <w:spacing w:after="0" w:line="200" w:lineRule="exact"/>
              <w:rPr>
                <w:sz w:val="20"/>
                <w:szCs w:val="20"/>
                <w:color w:val="auto"/>
              </w:rPr>
            </w:pPr>
            <w:r>
              <w:rPr>
                <w:rFonts w:ascii="Arial" w:cs="Arial" w:eastAsia="Arial" w:hAnsi="Arial"/>
                <w:sz w:val="18"/>
                <w:szCs w:val="18"/>
                <w:b w:val="1"/>
                <w:bCs w:val="1"/>
                <w:color w:val="auto"/>
              </w:rPr>
              <w:t>$ 6,203</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$ 4,160</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Transfers from (to) noncontrolling interests:</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440" w:type="dxa"/>
            <w:vAlign w:val="bottom"/>
            <w:gridSpan w:val="8"/>
          </w:tcPr>
          <w:p>
            <w:pPr>
              <w:ind w:left="220"/>
              <w:spacing w:after="0" w:line="181" w:lineRule="exact"/>
              <w:rPr>
                <w:sz w:val="20"/>
                <w:szCs w:val="20"/>
                <w:color w:val="auto"/>
              </w:rPr>
            </w:pPr>
            <w:r>
              <w:rPr>
                <w:rFonts w:ascii="Arial" w:cs="Arial" w:eastAsia="Arial" w:hAnsi="Arial"/>
                <w:sz w:val="18"/>
                <w:szCs w:val="18"/>
                <w:color w:val="auto"/>
                <w:w w:val="98"/>
              </w:rPr>
              <w:t>Increase in Comcast Corporation additional paid-in capital resulting from the issuance of noncontrolling equity interest</w:t>
            </w:r>
          </w:p>
        </w:tc>
        <w:tc>
          <w:tcPr>
            <w:tcW w:w="3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1"/>
        </w:trPr>
        <w:tc>
          <w:tcPr>
            <w:tcW w:w="944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color w:val="auto"/>
              </w:rPr>
              <w:t>Increase in Comcast Corporation additional paid-in capital resulting from the purchase of noncontrolling interest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9440" w:type="dxa"/>
            <w:vAlign w:val="bottom"/>
            <w:gridSpan w:val="8"/>
          </w:tcPr>
          <w:p>
            <w:pPr>
              <w:spacing w:after="0" w:line="200" w:lineRule="exact"/>
              <w:rPr>
                <w:sz w:val="20"/>
                <w:szCs w:val="20"/>
                <w:color w:val="auto"/>
              </w:rPr>
            </w:pPr>
            <w:r>
              <w:rPr>
                <w:rFonts w:ascii="Arial" w:cs="Arial" w:eastAsia="Arial" w:hAnsi="Arial"/>
                <w:sz w:val="18"/>
                <w:szCs w:val="18"/>
                <w:color w:val="auto"/>
              </w:rPr>
              <w:t>Changes in equity resulting from net income attributable to Comcast Corporation and transfers from (to) noncontrolling</w:t>
            </w:r>
          </w:p>
        </w:tc>
        <w:tc>
          <w:tcPr>
            <w:tcW w:w="300" w:type="dxa"/>
            <w:vAlign w:val="bottom"/>
          </w:tcPr>
          <w:p>
            <w:pPr>
              <w:spacing w:after="0"/>
              <w:rPr>
                <w:sz w:val="17"/>
                <w:szCs w:val="17"/>
                <w:color w:val="auto"/>
              </w:rPr>
            </w:pPr>
          </w:p>
        </w:tc>
        <w:tc>
          <w:tcPr>
            <w:tcW w:w="90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$ 6,205</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40" w:type="dxa"/>
            <w:vAlign w:val="bottom"/>
            <w:tcBorders>
              <w:bottom w:val="single" w:sz="8" w:color="3E499A"/>
            </w:tcBorders>
          </w:tcPr>
          <w:p>
            <w:pPr>
              <w:ind w:left="220"/>
              <w:spacing w:after="0" w:line="200" w:lineRule="exact"/>
              <w:rPr>
                <w:sz w:val="20"/>
                <w:szCs w:val="20"/>
                <w:color w:val="auto"/>
              </w:rPr>
            </w:pPr>
            <w:r>
              <w:rPr>
                <w:rFonts w:ascii="Arial" w:cs="Arial" w:eastAsia="Arial" w:hAnsi="Arial"/>
                <w:sz w:val="18"/>
                <w:szCs w:val="18"/>
                <w:color w:val="auto"/>
              </w:rPr>
              <w:t>interests</w:t>
            </w:r>
          </w:p>
        </w:tc>
        <w:tc>
          <w:tcPr>
            <w:tcW w:w="340" w:type="dxa"/>
            <w:vAlign w:val="bottom"/>
            <w:tcBorders>
              <w:bottom w:val="single" w:sz="8" w:color="3E499A"/>
            </w:tcBorders>
          </w:tcPr>
          <w:p>
            <w:pPr>
              <w:spacing w:after="0"/>
              <w:rPr>
                <w:sz w:val="17"/>
                <w:szCs w:val="17"/>
                <w:color w:val="auto"/>
              </w:rPr>
            </w:pPr>
          </w:p>
        </w:tc>
        <w:tc>
          <w:tcPr>
            <w:tcW w:w="960" w:type="dxa"/>
            <w:vAlign w:val="bottom"/>
            <w:tcBorders>
              <w:bottom w:val="single" w:sz="8" w:color="3E499A"/>
            </w:tcBorders>
          </w:tcPr>
          <w:p>
            <w:pPr>
              <w:spacing w:after="0"/>
              <w:rPr>
                <w:sz w:val="17"/>
                <w:szCs w:val="17"/>
                <w:color w:val="auto"/>
              </w:rPr>
            </w:pPr>
          </w:p>
        </w:tc>
        <w:tc>
          <w:tcPr>
            <w:tcW w:w="240" w:type="dxa"/>
            <w:vAlign w:val="bottom"/>
            <w:tcBorders>
              <w:bottom w:val="single" w:sz="8" w:color="3E499A"/>
            </w:tcBorders>
          </w:tcPr>
          <w:p>
            <w:pPr>
              <w:spacing w:after="0"/>
              <w:rPr>
                <w:sz w:val="17"/>
                <w:szCs w:val="17"/>
                <w:color w:val="auto"/>
              </w:rPr>
            </w:pPr>
          </w:p>
        </w:tc>
        <w:tc>
          <w:tcPr>
            <w:tcW w:w="860" w:type="dxa"/>
            <w:vAlign w:val="bottom"/>
            <w:tcBorders>
              <w:bottom w:val="single" w:sz="8" w:color="3E499A"/>
            </w:tcBorders>
          </w:tcPr>
          <w:p>
            <w:pPr>
              <w:spacing w:after="0"/>
              <w:rPr>
                <w:sz w:val="17"/>
                <w:szCs w:val="17"/>
                <w:color w:val="auto"/>
              </w:rPr>
            </w:pPr>
          </w:p>
        </w:tc>
        <w:tc>
          <w:tcPr>
            <w:tcW w:w="320" w:type="dxa"/>
            <w:vAlign w:val="bottom"/>
            <w:tcBorders>
              <w:bottom w:val="single" w:sz="8" w:color="3E499A"/>
            </w:tcBorders>
          </w:tcPr>
          <w:p>
            <w:pPr>
              <w:spacing w:after="0"/>
              <w:rPr>
                <w:sz w:val="17"/>
                <w:szCs w:val="17"/>
                <w:color w:val="auto"/>
              </w:rPr>
            </w:pPr>
          </w:p>
        </w:tc>
        <w:tc>
          <w:tcPr>
            <w:tcW w:w="880" w:type="dxa"/>
            <w:vAlign w:val="bottom"/>
            <w:tcBorders>
              <w:bottom w:val="single" w:sz="8" w:color="3E499A"/>
            </w:tcBorders>
          </w:tcPr>
          <w:p>
            <w:pPr>
              <w:spacing w:after="0"/>
              <w:rPr>
                <w:sz w:val="17"/>
                <w:szCs w:val="17"/>
                <w:color w:val="auto"/>
              </w:rPr>
            </w:pPr>
          </w:p>
        </w:tc>
        <w:tc>
          <w:tcPr>
            <w:tcW w:w="800" w:type="dxa"/>
            <w:vAlign w:val="bottom"/>
            <w:tcBorders>
              <w:bottom w:val="single" w:sz="8" w:color="3E499A"/>
            </w:tcBorders>
          </w:tcPr>
          <w:p>
            <w:pPr>
              <w:spacing w:after="0"/>
              <w:rPr>
                <w:sz w:val="17"/>
                <w:szCs w:val="17"/>
                <w:color w:val="auto"/>
              </w:rPr>
            </w:pPr>
          </w:p>
        </w:tc>
        <w:tc>
          <w:tcPr>
            <w:tcW w:w="300" w:type="dxa"/>
            <w:vAlign w:val="bottom"/>
            <w:tcBorders>
              <w:bottom w:val="single" w:sz="8" w:color="3E499A"/>
            </w:tcBorders>
          </w:tcPr>
          <w:p>
            <w:pPr>
              <w:spacing w:after="0"/>
              <w:rPr>
                <w:sz w:val="17"/>
                <w:szCs w:val="17"/>
                <w:color w:val="auto"/>
              </w:rPr>
            </w:pPr>
          </w:p>
        </w:tc>
        <w:tc>
          <w:tcPr>
            <w:tcW w:w="900" w:type="dxa"/>
            <w:vAlign w:val="bottom"/>
            <w:tcBorders>
              <w:bottom w:val="single" w:sz="8" w:color="3E499A"/>
            </w:tcBorders>
            <w:vMerge w:val="continue"/>
          </w:tcPr>
          <w:p>
            <w:pPr>
              <w:spacing w:after="0"/>
              <w:rPr>
                <w:sz w:val="17"/>
                <w:szCs w:val="17"/>
                <w:color w:val="auto"/>
              </w:rPr>
            </w:pPr>
          </w:p>
        </w:tc>
        <w:tc>
          <w:tcPr>
            <w:tcW w:w="780" w:type="dxa"/>
            <w:vAlign w:val="bottom"/>
            <w:tcBorders>
              <w:bottom w:val="single" w:sz="8" w:color="3E499A"/>
            </w:tcBorders>
          </w:tcPr>
          <w:p>
            <w:pPr>
              <w:jc w:val="right"/>
              <w:spacing w:after="0" w:line="200" w:lineRule="exact"/>
              <w:rPr>
                <w:sz w:val="20"/>
                <w:szCs w:val="20"/>
                <w:color w:val="auto"/>
              </w:rPr>
            </w:pPr>
            <w:r>
              <w:rPr>
                <w:rFonts w:ascii="Arial" w:cs="Arial" w:eastAsia="Arial" w:hAnsi="Arial"/>
                <w:sz w:val="18"/>
                <w:szCs w:val="18"/>
                <w:color w:val="auto"/>
              </w:rPr>
              <w:t>$ 5,810</w:t>
            </w:r>
          </w:p>
        </w:tc>
        <w:tc>
          <w:tcPr>
            <w:tcW w:w="0" w:type="dxa"/>
            <w:vAlign w:val="bottom"/>
          </w:tcPr>
          <w:p>
            <w:pPr>
              <w:spacing w:after="0"/>
              <w:rPr>
                <w:sz w:val="1"/>
                <w:szCs w:val="1"/>
                <w:color w:val="auto"/>
              </w:rPr>
            </w:pPr>
          </w:p>
        </w:tc>
      </w:tr>
      <w:tr>
        <w:trPr>
          <w:trHeight w:val="532"/>
        </w:trPr>
        <w:tc>
          <w:tcPr>
            <w:tcW w:w="6340" w:type="dxa"/>
            <w:vAlign w:val="bottom"/>
            <w:gridSpan w:val="3"/>
          </w:tcPr>
          <w:p>
            <w:pPr>
              <w:spacing w:after="0"/>
              <w:rPr>
                <w:sz w:val="20"/>
                <w:szCs w:val="20"/>
                <w:color w:val="auto"/>
              </w:rPr>
            </w:pPr>
            <w:r>
              <w:rPr>
                <w:rFonts w:ascii="Arial" w:cs="Arial" w:eastAsia="Arial" w:hAnsi="Arial"/>
                <w:sz w:val="18"/>
                <w:szCs w:val="18"/>
                <w:b w:val="1"/>
                <w:bCs w:val="1"/>
                <w:color w:val="3E499A"/>
              </w:rPr>
              <w:t>Note 12: Postretirement, Pension and Other Employee Benefit Plans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7760" w:type="dxa"/>
            <w:vAlign w:val="bottom"/>
            <w:tcBorders>
              <w:bottom w:val="single" w:sz="8" w:color="3E499A"/>
            </w:tcBorders>
            <w:gridSpan w:val="6"/>
          </w:tcPr>
          <w:p>
            <w:pPr>
              <w:spacing w:after="0"/>
              <w:rPr>
                <w:sz w:val="3"/>
                <w:szCs w:val="3"/>
                <w:color w:val="auto"/>
              </w:rPr>
            </w:pPr>
          </w:p>
        </w:tc>
        <w:tc>
          <w:tcPr>
            <w:tcW w:w="880" w:type="dxa"/>
            <w:vAlign w:val="bottom"/>
            <w:tcBorders>
              <w:bottom w:val="single" w:sz="8" w:color="3E499A"/>
            </w:tcBorders>
          </w:tcPr>
          <w:p>
            <w:pPr>
              <w:spacing w:after="0"/>
              <w:rPr>
                <w:sz w:val="3"/>
                <w:szCs w:val="3"/>
                <w:color w:val="auto"/>
              </w:rPr>
            </w:pPr>
          </w:p>
        </w:tc>
        <w:tc>
          <w:tcPr>
            <w:tcW w:w="800" w:type="dxa"/>
            <w:vAlign w:val="bottom"/>
            <w:tcBorders>
              <w:bottom w:val="single" w:sz="8" w:color="3E499A"/>
            </w:tcBorders>
          </w:tcPr>
          <w:p>
            <w:pPr>
              <w:spacing w:after="0"/>
              <w:rPr>
                <w:sz w:val="3"/>
                <w:szCs w:val="3"/>
                <w:color w:val="auto"/>
              </w:rPr>
            </w:pPr>
          </w:p>
        </w:tc>
        <w:tc>
          <w:tcPr>
            <w:tcW w:w="300" w:type="dxa"/>
            <w:vAlign w:val="bottom"/>
            <w:tcBorders>
              <w:bottom w:val="single" w:sz="8" w:color="3E499A"/>
            </w:tcBorders>
          </w:tcPr>
          <w:p>
            <w:pPr>
              <w:spacing w:after="0"/>
              <w:rPr>
                <w:sz w:val="3"/>
                <w:szCs w:val="3"/>
                <w:color w:val="auto"/>
              </w:rPr>
            </w:pPr>
          </w:p>
        </w:tc>
        <w:tc>
          <w:tcPr>
            <w:tcW w:w="900" w:type="dxa"/>
            <w:vAlign w:val="bottom"/>
            <w:tcBorders>
              <w:bottom w:val="single" w:sz="8" w:color="3E499A"/>
            </w:tcBorders>
          </w:tcPr>
          <w:p>
            <w:pPr>
              <w:spacing w:after="0"/>
              <w:rPr>
                <w:sz w:val="3"/>
                <w:szCs w:val="3"/>
                <w:color w:val="auto"/>
              </w:rPr>
            </w:pPr>
          </w:p>
        </w:tc>
        <w:tc>
          <w:tcPr>
            <w:tcW w:w="780" w:type="dxa"/>
            <w:vAlign w:val="bottom"/>
            <w:tcBorders>
              <w:bottom w:val="single" w:sz="8" w:color="3E499A"/>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7760" w:type="dxa"/>
            <w:vAlign w:val="bottom"/>
            <w:gridSpan w:val="6"/>
          </w:tcPr>
          <w:p>
            <w:pPr>
              <w:spacing w:after="0"/>
              <w:rPr>
                <w:sz w:val="20"/>
                <w:szCs w:val="20"/>
                <w:color w:val="auto"/>
              </w:rPr>
            </w:pPr>
            <w:r>
              <w:rPr>
                <w:rFonts w:ascii="Arial" w:cs="Arial" w:eastAsia="Arial" w:hAnsi="Arial"/>
                <w:sz w:val="18"/>
                <w:szCs w:val="18"/>
                <w:color w:val="auto"/>
                <w:w w:val="99"/>
              </w:rPr>
              <w:t>The table below provides condensed information on our postretirement and pension benefit plans.</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040" w:type="dxa"/>
            <w:vAlign w:val="bottom"/>
          </w:tcPr>
          <w:p>
            <w:pPr>
              <w:spacing w:after="0"/>
              <w:rPr>
                <w:sz w:val="10"/>
                <w:szCs w:val="10"/>
                <w:color w:val="auto"/>
              </w:rPr>
            </w:pPr>
          </w:p>
        </w:tc>
        <w:tc>
          <w:tcPr>
            <w:tcW w:w="1300" w:type="dxa"/>
            <w:vAlign w:val="bottom"/>
            <w:gridSpan w:val="2"/>
          </w:tcPr>
          <w:p>
            <w:pPr>
              <w:jc w:val="right"/>
              <w:ind w:right="177"/>
              <w:spacing w:after="0" w:line="125" w:lineRule="exact"/>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0"/>
                <w:szCs w:val="10"/>
                <w:color w:val="auto"/>
              </w:rPr>
            </w:pPr>
          </w:p>
        </w:tc>
        <w:tc>
          <w:tcPr>
            <w:tcW w:w="860" w:type="dxa"/>
            <w:vAlign w:val="bottom"/>
          </w:tcPr>
          <w:p>
            <w:pPr>
              <w:jc w:val="right"/>
              <w:ind w:right="137"/>
              <w:spacing w:after="0" w:line="125" w:lineRule="exact"/>
              <w:rPr>
                <w:sz w:val="20"/>
                <w:szCs w:val="20"/>
                <w:color w:val="auto"/>
              </w:rPr>
            </w:pPr>
            <w:r>
              <w:rPr>
                <w:rFonts w:ascii="Arial" w:cs="Arial" w:eastAsia="Arial" w:hAnsi="Arial"/>
                <w:sz w:val="14"/>
                <w:szCs w:val="14"/>
                <w:b w:val="1"/>
                <w:bCs w:val="1"/>
                <w:color w:val="auto"/>
              </w:rPr>
              <w:t>Pension</w:t>
            </w:r>
          </w:p>
        </w:tc>
        <w:tc>
          <w:tcPr>
            <w:tcW w:w="1200" w:type="dxa"/>
            <w:vAlign w:val="bottom"/>
            <w:gridSpan w:val="2"/>
          </w:tcPr>
          <w:p>
            <w:pPr>
              <w:jc w:val="right"/>
              <w:ind w:right="157"/>
              <w:spacing w:after="0" w:line="125" w:lineRule="exact"/>
              <w:rPr>
                <w:sz w:val="20"/>
                <w:szCs w:val="20"/>
                <w:color w:val="auto"/>
              </w:rPr>
            </w:pPr>
            <w:r>
              <w:rPr>
                <w:rFonts w:ascii="Arial" w:cs="Arial" w:eastAsia="Arial" w:hAnsi="Arial"/>
                <w:sz w:val="14"/>
                <w:szCs w:val="14"/>
                <w:color w:val="auto"/>
              </w:rPr>
              <w:t>Postretirement</w:t>
            </w:r>
          </w:p>
        </w:tc>
        <w:tc>
          <w:tcPr>
            <w:tcW w:w="800" w:type="dxa"/>
            <w:vAlign w:val="bottom"/>
          </w:tcPr>
          <w:p>
            <w:pPr>
              <w:jc w:val="right"/>
              <w:ind w:right="136"/>
              <w:spacing w:after="0" w:line="125" w:lineRule="exact"/>
              <w:rPr>
                <w:sz w:val="20"/>
                <w:szCs w:val="20"/>
                <w:color w:val="auto"/>
              </w:rPr>
            </w:pPr>
            <w:r>
              <w:rPr>
                <w:rFonts w:ascii="Arial" w:cs="Arial" w:eastAsia="Arial" w:hAnsi="Arial"/>
                <w:sz w:val="14"/>
                <w:szCs w:val="14"/>
                <w:color w:val="auto"/>
              </w:rPr>
              <w:t>Pension</w:t>
            </w:r>
          </w:p>
        </w:tc>
        <w:tc>
          <w:tcPr>
            <w:tcW w:w="1200" w:type="dxa"/>
            <w:vAlign w:val="bottom"/>
            <w:gridSpan w:val="2"/>
          </w:tcPr>
          <w:p>
            <w:pPr>
              <w:jc w:val="right"/>
              <w:ind w:right="157"/>
              <w:spacing w:after="0" w:line="125" w:lineRule="exact"/>
              <w:rPr>
                <w:sz w:val="20"/>
                <w:szCs w:val="20"/>
                <w:color w:val="auto"/>
              </w:rPr>
            </w:pPr>
            <w:r>
              <w:rPr>
                <w:rFonts w:ascii="Arial" w:cs="Arial" w:eastAsia="Arial" w:hAnsi="Arial"/>
                <w:sz w:val="14"/>
                <w:szCs w:val="14"/>
                <w:color w:val="auto"/>
              </w:rPr>
              <w:t>Postretirement</w:t>
            </w:r>
          </w:p>
        </w:tc>
        <w:tc>
          <w:tcPr>
            <w:tcW w:w="780" w:type="dxa"/>
            <w:vAlign w:val="bottom"/>
          </w:tcPr>
          <w:p>
            <w:pPr>
              <w:jc w:val="right"/>
              <w:ind w:right="137"/>
              <w:spacing w:after="0" w:line="125" w:lineRule="exact"/>
              <w:rPr>
                <w:sz w:val="20"/>
                <w:szCs w:val="20"/>
                <w:color w:val="auto"/>
              </w:rPr>
            </w:pPr>
            <w:r>
              <w:rPr>
                <w:rFonts w:ascii="Arial" w:cs="Arial" w:eastAsia="Arial" w:hAnsi="Arial"/>
                <w:sz w:val="14"/>
                <w:szCs w:val="14"/>
                <w:color w:val="auto"/>
              </w:rPr>
              <w:t>Pension</w:t>
            </w:r>
          </w:p>
        </w:tc>
        <w:tc>
          <w:tcPr>
            <w:tcW w:w="0" w:type="dxa"/>
            <w:vAlign w:val="bottom"/>
          </w:tcPr>
          <w:p>
            <w:pPr>
              <w:spacing w:after="0"/>
              <w:rPr>
                <w:sz w:val="1"/>
                <w:szCs w:val="1"/>
                <w:color w:val="auto"/>
              </w:rPr>
            </w:pPr>
          </w:p>
        </w:tc>
      </w:tr>
      <w:tr>
        <w:trPr>
          <w:trHeight w:val="165"/>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Benefits</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Benefits</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Benefits</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Benefits</w:t>
            </w: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504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40" w:type="dxa"/>
            <w:vAlign w:val="bottom"/>
          </w:tcPr>
          <w:p>
            <w:pPr>
              <w:jc w:val="right"/>
              <w:ind w:right="82"/>
              <w:spacing w:after="0" w:line="177"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77"/>
              <w:spacing w:after="0" w:line="177" w:lineRule="exact"/>
              <w:rPr>
                <w:sz w:val="20"/>
                <w:szCs w:val="20"/>
                <w:color w:val="auto"/>
              </w:rPr>
            </w:pPr>
            <w:r>
              <w:rPr>
                <w:rFonts w:ascii="Arial" w:cs="Arial" w:eastAsia="Arial" w:hAnsi="Arial"/>
                <w:sz w:val="18"/>
                <w:szCs w:val="18"/>
                <w:b w:val="1"/>
                <w:bCs w:val="1"/>
                <w:color w:val="auto"/>
              </w:rPr>
              <w:t>703</w:t>
            </w:r>
          </w:p>
        </w:tc>
        <w:tc>
          <w:tcPr>
            <w:tcW w:w="240" w:type="dxa"/>
            <w:vAlign w:val="bottom"/>
          </w:tcPr>
          <w:p>
            <w:pPr>
              <w:jc w:val="right"/>
              <w:ind w:right="32"/>
              <w:spacing w:after="0" w:line="177" w:lineRule="exact"/>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805</w:t>
            </w:r>
          </w:p>
        </w:tc>
        <w:tc>
          <w:tcPr>
            <w:tcW w:w="320" w:type="dxa"/>
            <w:vAlign w:val="bottom"/>
          </w:tcPr>
          <w:p>
            <w:pPr>
              <w:jc w:val="right"/>
              <w:ind w:right="62"/>
              <w:spacing w:after="0" w:line="177"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57"/>
              <w:spacing w:after="0" w:line="177" w:lineRule="exact"/>
              <w:rPr>
                <w:sz w:val="20"/>
                <w:szCs w:val="20"/>
                <w:color w:val="auto"/>
              </w:rPr>
            </w:pPr>
            <w:r>
              <w:rPr>
                <w:rFonts w:ascii="Arial" w:cs="Arial" w:eastAsia="Arial" w:hAnsi="Arial"/>
                <w:sz w:val="18"/>
                <w:szCs w:val="18"/>
                <w:color w:val="auto"/>
              </w:rPr>
              <w:t>618</w:t>
            </w:r>
          </w:p>
        </w:tc>
        <w:tc>
          <w:tcPr>
            <w:tcW w:w="80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  638</w:t>
            </w:r>
          </w:p>
        </w:tc>
        <w:tc>
          <w:tcPr>
            <w:tcW w:w="300" w:type="dxa"/>
            <w:vAlign w:val="bottom"/>
          </w:tcPr>
          <w:p>
            <w:pPr>
              <w:jc w:val="right"/>
              <w:ind w:right="42"/>
              <w:spacing w:after="0" w:line="177"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7"/>
              <w:spacing w:after="0" w:line="177" w:lineRule="exact"/>
              <w:rPr>
                <w:sz w:val="20"/>
                <w:szCs w:val="20"/>
                <w:color w:val="auto"/>
              </w:rPr>
            </w:pPr>
            <w:r>
              <w:rPr>
                <w:rFonts w:ascii="Arial" w:cs="Arial" w:eastAsia="Arial" w:hAnsi="Arial"/>
                <w:sz w:val="18"/>
                <w:szCs w:val="18"/>
                <w:color w:val="auto"/>
              </w:rPr>
              <w:t>424</w:t>
            </w:r>
          </w:p>
        </w:tc>
        <w:tc>
          <w:tcPr>
            <w:tcW w:w="78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$ 197</w:t>
            </w:r>
          </w:p>
        </w:tc>
        <w:tc>
          <w:tcPr>
            <w:tcW w:w="0" w:type="dxa"/>
            <w:vAlign w:val="bottom"/>
          </w:tcPr>
          <w:p>
            <w:pPr>
              <w:spacing w:after="0"/>
              <w:rPr>
                <w:sz w:val="1"/>
                <w:szCs w:val="1"/>
                <w:color w:val="auto"/>
              </w:rPr>
            </w:pPr>
          </w:p>
        </w:tc>
      </w:tr>
      <w:tr>
        <w:trPr>
          <w:trHeight w:val="203"/>
        </w:trPr>
        <w:tc>
          <w:tcPr>
            <w:tcW w:w="5040" w:type="dxa"/>
            <w:vAlign w:val="bottom"/>
          </w:tcPr>
          <w:p>
            <w:pPr>
              <w:spacing w:after="0" w:line="203" w:lineRule="exact"/>
              <w:rPr>
                <w:sz w:val="20"/>
                <w:szCs w:val="20"/>
                <w:color w:val="auto"/>
              </w:rPr>
            </w:pPr>
            <w:r>
              <w:rPr>
                <w:rFonts w:ascii="Arial" w:cs="Arial" w:eastAsia="Arial" w:hAnsi="Arial"/>
                <w:sz w:val="18"/>
                <w:szCs w:val="18"/>
                <w:color w:val="auto"/>
              </w:rPr>
              <w:t>Fair value of plan assets</w:t>
            </w:r>
            <w:r>
              <w:rPr>
                <w:rFonts w:ascii="Arial" w:cs="Arial" w:eastAsia="Arial" w:hAnsi="Arial"/>
                <w:sz w:val="22"/>
                <w:szCs w:val="22"/>
                <w:color w:val="auto"/>
                <w:vertAlign w:val="superscript"/>
              </w:rPr>
              <w:t>(a)</w:t>
            </w:r>
          </w:p>
        </w:tc>
        <w:tc>
          <w:tcPr>
            <w:tcW w:w="340" w:type="dxa"/>
            <w:vAlign w:val="bottom"/>
          </w:tcPr>
          <w:p>
            <w:pPr>
              <w:spacing w:after="0"/>
              <w:rPr>
                <w:sz w:val="17"/>
                <w:szCs w:val="17"/>
                <w:color w:val="auto"/>
              </w:rPr>
            </w:pPr>
          </w:p>
        </w:tc>
        <w:tc>
          <w:tcPr>
            <w:tcW w:w="960" w:type="dxa"/>
            <w:vAlign w:val="bottom"/>
          </w:tcPr>
          <w:p>
            <w:pPr>
              <w:jc w:val="right"/>
              <w:ind w:right="177"/>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86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403</w:t>
            </w:r>
          </w:p>
        </w:tc>
        <w:tc>
          <w:tcPr>
            <w:tcW w:w="320" w:type="dxa"/>
            <w:vAlign w:val="bottom"/>
          </w:tcPr>
          <w:p>
            <w:pPr>
              <w:spacing w:after="0"/>
              <w:rPr>
                <w:sz w:val="17"/>
                <w:szCs w:val="17"/>
                <w:color w:val="auto"/>
              </w:rPr>
            </w:pPr>
          </w:p>
        </w:tc>
        <w:tc>
          <w:tcPr>
            <w:tcW w:w="88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176</w:t>
            </w:r>
          </w:p>
        </w:tc>
        <w:tc>
          <w:tcPr>
            <w:tcW w:w="300" w:type="dxa"/>
            <w:vAlign w:val="bottom"/>
          </w:tcPr>
          <w:p>
            <w:pPr>
              <w:spacing w:after="0"/>
              <w:rPr>
                <w:sz w:val="17"/>
                <w:szCs w:val="17"/>
                <w:color w:val="auto"/>
              </w:rPr>
            </w:pPr>
          </w:p>
        </w:tc>
        <w:tc>
          <w:tcPr>
            <w:tcW w:w="90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5"/>
        </w:trPr>
        <w:tc>
          <w:tcPr>
            <w:tcW w:w="5040" w:type="dxa"/>
            <w:vAlign w:val="bottom"/>
          </w:tcPr>
          <w:p>
            <w:pPr>
              <w:spacing w:after="0"/>
              <w:rPr>
                <w:sz w:val="20"/>
                <w:szCs w:val="20"/>
                <w:color w:val="auto"/>
              </w:rPr>
            </w:pPr>
            <w:r>
              <w:rPr>
                <w:rFonts w:ascii="Arial" w:cs="Arial" w:eastAsia="Arial" w:hAnsi="Arial"/>
                <w:sz w:val="18"/>
                <w:szCs w:val="18"/>
                <w:color w:val="auto"/>
              </w:rPr>
              <w:t>Plan funded status and recorded benefit obligation</w:t>
            </w:r>
          </w:p>
        </w:tc>
        <w:tc>
          <w:tcPr>
            <w:tcW w:w="340" w:type="dxa"/>
            <w:vAlign w:val="bottom"/>
          </w:tcPr>
          <w:p>
            <w:pPr>
              <w:spacing w:after="0"/>
              <w:rPr>
                <w:sz w:val="19"/>
                <w:szCs w:val="19"/>
                <w:color w:val="auto"/>
              </w:rPr>
            </w:pPr>
          </w:p>
        </w:tc>
        <w:tc>
          <w:tcPr>
            <w:tcW w:w="960" w:type="dxa"/>
            <w:vAlign w:val="bottom"/>
          </w:tcPr>
          <w:p>
            <w:pPr>
              <w:jc w:val="right"/>
              <w:ind w:right="117"/>
              <w:spacing w:after="0"/>
              <w:rPr>
                <w:sz w:val="20"/>
                <w:szCs w:val="20"/>
                <w:color w:val="auto"/>
              </w:rPr>
            </w:pPr>
            <w:r>
              <w:rPr>
                <w:rFonts w:ascii="Arial" w:cs="Arial" w:eastAsia="Arial" w:hAnsi="Arial"/>
                <w:sz w:val="18"/>
                <w:szCs w:val="18"/>
                <w:b w:val="1"/>
                <w:bCs w:val="1"/>
                <w:color w:val="auto"/>
              </w:rPr>
              <w:t>(703)</w:t>
            </w:r>
          </w:p>
        </w:tc>
        <w:tc>
          <w:tcPr>
            <w:tcW w:w="24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b w:val="1"/>
                <w:bCs w:val="1"/>
                <w:color w:val="auto"/>
              </w:rPr>
              <w:t>(402)</w:t>
            </w:r>
          </w:p>
        </w:tc>
        <w:tc>
          <w:tcPr>
            <w:tcW w:w="320" w:type="dxa"/>
            <w:vAlign w:val="bottom"/>
          </w:tcPr>
          <w:p>
            <w:pPr>
              <w:spacing w:after="0"/>
              <w:rPr>
                <w:sz w:val="19"/>
                <w:szCs w:val="19"/>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(618)</w:t>
            </w: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9"/>
                <w:szCs w:val="19"/>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(424)</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 benefit</w:t>
            </w:r>
          </w:p>
        </w:tc>
        <w:tc>
          <w:tcPr>
            <w:tcW w:w="340" w:type="dxa"/>
            <w:vAlign w:val="bottom"/>
          </w:tcPr>
          <w:p>
            <w:pPr>
              <w:spacing w:after="0"/>
              <w:rPr>
                <w:sz w:val="17"/>
                <w:szCs w:val="17"/>
                <w:color w:val="auto"/>
              </w:rPr>
            </w:pPr>
          </w:p>
        </w:tc>
        <w:tc>
          <w:tcPr>
            <w:tcW w:w="960" w:type="dxa"/>
            <w:vAlign w:val="bottom"/>
            <w:vMerge w:val="restart"/>
          </w:tcPr>
          <w:p>
            <w:pPr>
              <w:jc w:val="right"/>
              <w:ind w:right="177"/>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7"/>
                <w:szCs w:val="17"/>
                <w:color w:val="auto"/>
              </w:rPr>
            </w:pPr>
          </w:p>
        </w:tc>
        <w:tc>
          <w:tcPr>
            <w:tcW w:w="860" w:type="dxa"/>
            <w:vAlign w:val="bottom"/>
            <w:vMerge w:val="restart"/>
          </w:tcPr>
          <w:p>
            <w:pPr>
              <w:jc w:val="right"/>
              <w:ind w:right="137"/>
              <w:spacing w:after="0"/>
              <w:rPr>
                <w:sz w:val="20"/>
                <w:szCs w:val="20"/>
                <w:color w:val="auto"/>
              </w:rPr>
            </w:pPr>
            <w:r>
              <w:rPr>
                <w:rFonts w:ascii="Arial" w:cs="Arial" w:eastAsia="Arial" w:hAnsi="Arial"/>
                <w:sz w:val="18"/>
                <w:szCs w:val="18"/>
                <w:b w:val="1"/>
                <w:bCs w:val="1"/>
                <w:color w:val="auto"/>
              </w:rPr>
              <w:t>151</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040" w:type="dxa"/>
            <w:vAlign w:val="bottom"/>
          </w:tcPr>
          <w:p>
            <w:pPr>
              <w:ind w:left="220"/>
              <w:spacing w:after="0" w:line="181" w:lineRule="exact"/>
              <w:rPr>
                <w:sz w:val="20"/>
                <w:szCs w:val="20"/>
                <w:color w:val="auto"/>
              </w:rPr>
            </w:pPr>
            <w:r>
              <w:rPr>
                <w:rFonts w:ascii="Arial" w:cs="Arial" w:eastAsia="Arial" w:hAnsi="Arial"/>
                <w:sz w:val="18"/>
                <w:szCs w:val="18"/>
                <w:color w:val="auto"/>
              </w:rPr>
              <w:t>expense</w:t>
            </w:r>
          </w:p>
        </w:tc>
        <w:tc>
          <w:tcPr>
            <w:tcW w:w="3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97"/>
              <w:spacing w:after="0" w:line="181" w:lineRule="exact"/>
              <w:rPr>
                <w:sz w:val="20"/>
                <w:szCs w:val="20"/>
                <w:color w:val="auto"/>
              </w:rPr>
            </w:pPr>
            <w:r>
              <w:rPr>
                <w:rFonts w:ascii="Arial" w:cs="Arial" w:eastAsia="Arial" w:hAnsi="Arial"/>
                <w:sz w:val="18"/>
                <w:szCs w:val="18"/>
                <w:color w:val="auto"/>
              </w:rPr>
              <w:t>(17)</w:t>
            </w:r>
          </w:p>
        </w:tc>
        <w:tc>
          <w:tcPr>
            <w:tcW w:w="800" w:type="dxa"/>
            <w:vAlign w:val="bottom"/>
          </w:tcPr>
          <w:p>
            <w:pPr>
              <w:jc w:val="right"/>
              <w:ind w:right="136"/>
              <w:spacing w:after="0" w:line="181" w:lineRule="exact"/>
              <w:rPr>
                <w:sz w:val="20"/>
                <w:szCs w:val="20"/>
                <w:color w:val="auto"/>
              </w:rPr>
            </w:pPr>
            <w:r>
              <w:rPr>
                <w:rFonts w:ascii="Arial" w:cs="Arial" w:eastAsia="Arial" w:hAnsi="Arial"/>
                <w:sz w:val="18"/>
                <w:szCs w:val="18"/>
                <w:color w:val="auto"/>
              </w:rPr>
              <w:t>137</w:t>
            </w:r>
          </w:p>
        </w:tc>
        <w:tc>
          <w:tcPr>
            <w:tcW w:w="300" w:type="dxa"/>
            <w:vAlign w:val="bottom"/>
          </w:tcPr>
          <w:p>
            <w:pPr>
              <w:spacing w:after="0"/>
              <w:rPr>
                <w:sz w:val="15"/>
                <w:szCs w:val="15"/>
                <w:color w:val="auto"/>
              </w:rPr>
            </w:pPr>
          </w:p>
        </w:tc>
        <w:tc>
          <w:tcPr>
            <w:tcW w:w="900" w:type="dxa"/>
            <w:vAlign w:val="bottom"/>
          </w:tcPr>
          <w:p>
            <w:pPr>
              <w:jc w:val="right"/>
              <w:ind w:right="97"/>
              <w:spacing w:after="0" w:line="181" w:lineRule="exact"/>
              <w:rPr>
                <w:sz w:val="20"/>
                <w:szCs w:val="20"/>
                <w:color w:val="auto"/>
              </w:rPr>
            </w:pPr>
            <w:r>
              <w:rPr>
                <w:rFonts w:ascii="Arial" w:cs="Arial" w:eastAsia="Arial" w:hAnsi="Arial"/>
                <w:sz w:val="18"/>
                <w:szCs w:val="18"/>
                <w:color w:val="auto"/>
              </w:rPr>
              <w:t>(18)</w:t>
            </w:r>
          </w:p>
        </w:tc>
        <w:tc>
          <w:tcPr>
            <w:tcW w:w="780" w:type="dxa"/>
            <w:vAlign w:val="bottom"/>
          </w:tcPr>
          <w:p>
            <w:pPr>
              <w:jc w:val="right"/>
              <w:ind w:right="137"/>
              <w:spacing w:after="0" w:line="181"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color w:val="auto"/>
              </w:rPr>
              <w:t>Benefits expense</w:t>
            </w:r>
            <w:r>
              <w:rPr>
                <w:rFonts w:ascii="Arial" w:cs="Arial" w:eastAsia="Arial" w:hAnsi="Arial"/>
                <w:sz w:val="22"/>
                <w:szCs w:val="22"/>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60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163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47</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9"/>
        </w:trPr>
        <w:tc>
          <w:tcPr>
            <w:tcW w:w="5040" w:type="dxa"/>
            <w:vAlign w:val="bottom"/>
          </w:tcPr>
          <w:p>
            <w:pPr>
              <w:spacing w:after="0" w:line="200" w:lineRule="exact"/>
              <w:rPr>
                <w:sz w:val="20"/>
                <w:szCs w:val="20"/>
                <w:color w:val="auto"/>
              </w:rPr>
            </w:pPr>
            <w:r>
              <w:rPr>
                <w:rFonts w:ascii="Arial" w:cs="Arial" w:eastAsia="Arial" w:hAnsi="Arial"/>
                <w:sz w:val="18"/>
                <w:szCs w:val="18"/>
                <w:color w:val="auto"/>
              </w:rPr>
              <w:t>Discount rate</w:t>
            </w:r>
          </w:p>
        </w:tc>
        <w:tc>
          <w:tcPr>
            <w:tcW w:w="340" w:type="dxa"/>
            <w:vAlign w:val="bottom"/>
          </w:tcPr>
          <w:p>
            <w:pPr>
              <w:spacing w:after="0"/>
              <w:rPr>
                <w:sz w:val="17"/>
                <w:szCs w:val="17"/>
                <w:color w:val="auto"/>
              </w:rPr>
            </w:pPr>
          </w:p>
        </w:tc>
        <w:tc>
          <w:tcPr>
            <w:tcW w:w="20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4.25%   3.25-4.25%</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jc w:val="right"/>
              <w:ind w:right="136"/>
              <w:spacing w:after="0" w:line="200" w:lineRule="exact"/>
              <w:rPr>
                <w:sz w:val="20"/>
                <w:szCs w:val="20"/>
                <w:color w:val="auto"/>
              </w:rPr>
            </w:pPr>
            <w:r>
              <w:rPr>
                <w:rFonts w:ascii="Arial" w:cs="Arial" w:eastAsia="Arial" w:hAnsi="Arial"/>
                <w:sz w:val="18"/>
                <w:szCs w:val="18"/>
                <w:color w:val="auto"/>
              </w:rPr>
              <w:t>4.75-</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8"/>
                <w:szCs w:val="18"/>
                <w:color w:val="auto"/>
              </w:rPr>
              <w:t>4.75%</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5.25%</w:t>
            </w:r>
          </w:p>
        </w:tc>
        <w:tc>
          <w:tcPr>
            <w:tcW w:w="30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5.50%</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N/A</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N/A</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fair value of the plan assets are primarily based on Level 1 inputs using quoted market prices for identical financial instruments in an active market.</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2012 and 2011 amounts included service costs related to our pension benefits of $139 million and $99 million, respectively. Service cost was not material in 2010.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Comcast Postretirement Healthcare Stipend Program (the “stipend plan”) covers substantially all of our employees, other than those of NBCUniversal, who meet certain age and service requirements. The stipend plan provides an annual stipend for reimbursement of healthcare costs to each eligible employee based on years of service. Under the stipend plan, we are not exposed to the increasing costs of healthcare because the benefits are fixed at a predetermined amount. A small number of eligible employees participate in legacy plans of acquired companies.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has postretirement medical and life insurance plans that provide continuous coverage to employees eligible to receive such benefits and give credit for length of service provided before the close of the NBCUniversal transaction. Certain covered employees also retain the right, following retirement, to elect to participate in corresponding plans sponsored by GE. To the extent that NBCUniversal’s employees make such elections, NBCUniversal will reimburse GE for any amounts due.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102</w:t>
            </w: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 The expense we recognize related to our postretirement benefit plans is determined using certain assumptions, including the discount 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and NBCUniversal sponsor various defined benefit plans for which future benefits have been frozen. The expense we recognize related to our defined benefit plans is determined using certain assumptions, including the discount rate and the expected long-term rate of return on plan assets. We cease to recognize service costs associated with our defined benefit plans following the date on which future benefits are frozen. We recognize the funded or unfunded status of our defined benefit plans as an asset or liability in our consolidated balance sheet and recognize changes in the funded status in the year in which the changes occur through accumulated other comprehensive income (loss). In the event of a defined benefit plan termination, we expect to fully fund and settle the plan within 180 days of approval by the Internal Revenue Service (“IRS”) and the Pension Benefit Guaranty Corporation (“PBGC”).</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has a qualified and a nonqualified defined benefit plan that each provide a lifetime income benefit based on an individual’s length of service and related compensation. In October 2012, NBCUniversal provided notice to its plan participants of an amendment to both the qualified and nonqualified NBCUniversal defined benefit plans that froze future benefits effective December 31, 2012. In 2012, NBCUniversal has funded its qualified plan with sufficient contributions to meet its funding requirements through 2013. The nonqualified NBCUniversal plan is unfunded. NBCUniversal is also obligated to reimburse GE for future benefit payments to those participants who were vested in the supplemental pension plan sponsored by GE at the time of the close of the NBCUniversal transaction.</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also sponsor a qualified pension plan and a nonqualified pension plan that together provide benefits to former AT&amp;T Broadband employees. On December 30, 2011 we provided notice to plan participants of our intent to terminate the qualified pension plan effective February 29, 2012. On August 27, 2012, we filed a Standard Termination Notice with the PBGC and on October 26, 2012 the related PBGC review concluded with no objections. We expect to receive approval from the IRS and subsequently fully fund and settle the plan in 2013. We currently anticipate the contributions required from us to fully fund and settle the plan will be less than $100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3E499A"/>
        </w:rPr>
        <w:t>Deferred Compensation Plans</w:t>
      </w:r>
    </w:p>
    <w:p>
      <w:pPr>
        <w:jc w:val="both"/>
        <w:spacing w:after="0" w:line="236"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(each, a “participant”). The amount of compensation deferred by each participant is based on participant elections. Participant accounts, except for those in the NBCUniversal plan, are credited with income primarily based on a fixed annual rate. Participants in the NBCUniversal plan designate one or more valuation funds, independently established funds or indices that are used to determine the amount of earnings to be credited or debited to the participant’s account. Participants are eligible to receive distributions of the amounts credited to their account based on elected deferral periods that are consistent with the plans and applicable tax law.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expenses for our deferred compensation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2010</w:t>
            </w: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22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1,247</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77" w:lineRule="exact"/>
              <w:rPr>
                <w:sz w:val="20"/>
                <w:szCs w:val="20"/>
                <w:color w:val="auto"/>
              </w:rPr>
            </w:pPr>
            <w:r>
              <w:rPr>
                <w:rFonts w:ascii="Arial" w:cs="Arial" w:eastAsia="Arial" w:hAnsi="Arial"/>
                <w:sz w:val="18"/>
                <w:szCs w:val="18"/>
                <w:color w:val="auto"/>
                <w:w w:val="97"/>
              </w:rPr>
              <w:t>1,059</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77" w:lineRule="exact"/>
              <w:rPr>
                <w:sz w:val="20"/>
                <w:szCs w:val="20"/>
                <w:color w:val="auto"/>
              </w:rPr>
            </w:pPr>
            <w:r>
              <w:rPr>
                <w:rFonts w:ascii="Arial" w:cs="Arial" w:eastAsia="Arial" w:hAnsi="Arial"/>
                <w:sz w:val="18"/>
                <w:szCs w:val="18"/>
                <w:color w:val="auto"/>
                <w:w w:val="99"/>
              </w:rPr>
              <w:t>935</w:t>
            </w: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506"/>
        </w:trPr>
        <w:tc>
          <w:tcPr>
            <w:tcW w:w="7300" w:type="dxa"/>
            <w:vAlign w:val="bottom"/>
          </w:tcPr>
          <w:p>
            <w:pPr>
              <w:jc w:val="right"/>
              <w:ind w:right="1402"/>
              <w:spacing w:after="0"/>
              <w:rPr>
                <w:sz w:val="20"/>
                <w:szCs w:val="20"/>
                <w:color w:val="auto"/>
              </w:rPr>
            </w:pPr>
            <w:r>
              <w:rPr>
                <w:rFonts w:ascii="Arial" w:cs="Arial" w:eastAsia="Arial" w:hAnsi="Arial"/>
                <w:sz w:val="14"/>
                <w:szCs w:val="14"/>
                <w:b w:val="1"/>
                <w:bCs w:val="1"/>
                <w:color w:val="auto"/>
              </w:rPr>
              <w:t>103</w:t>
            </w:r>
          </w:p>
        </w:tc>
        <w:tc>
          <w:tcPr>
            <w:tcW w:w="4120" w:type="dxa"/>
            <w:vAlign w:val="bottom"/>
            <w:gridSpan w:val="6"/>
          </w:tcPr>
          <w:p>
            <w:pPr>
              <w:jc w:val="right"/>
              <w:spacing w:after="0"/>
              <w:rPr>
                <w:sz w:val="20"/>
                <w:szCs w:val="20"/>
                <w:color w:val="auto"/>
              </w:rPr>
            </w:pPr>
            <w:r>
              <w:rPr>
                <w:rFonts w:ascii="Arial" w:cs="Arial" w:eastAsia="Arial" w:hAnsi="Arial"/>
                <w:sz w:val="14"/>
                <w:szCs w:val="14"/>
                <w:color w:val="auto"/>
              </w:rPr>
              <w:t>Comcast 2012 Annual Report on Form 10-K</w:t>
            </w: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purchased life insurance policies to recover a portion of the future payments related to our deferred compensation plans. As of December 31, 2012 and 2011, the cash surrender value of these policies, which is recorded to other noncurrent assets, was $478 million and $409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Retirement Investment Plans</w:t>
      </w:r>
    </w:p>
    <w:p>
      <w:pPr>
        <w:jc w:val="both"/>
        <w:spacing w:after="0" w:line="238"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match a percentage of the employees’ contributions up to certain limits. In 2012, 2011 and 2010, expenses related to all of these plans were $246 million, $226 million and $152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Split-Dollar Life Insurance Agreements</w:t>
      </w:r>
    </w:p>
    <w:p>
      <w:pPr>
        <w:jc w:val="both"/>
        <w:spacing w:after="0" w:line="239" w:lineRule="auto"/>
        <w:rPr>
          <w:sz w:val="20"/>
          <w:szCs w:val="20"/>
          <w:color w:val="auto"/>
        </w:rPr>
      </w:pPr>
      <w:r>
        <w:rPr>
          <w:rFonts w:ascii="Arial" w:cs="Arial" w:eastAsia="Arial" w:hAnsi="Arial"/>
          <w:sz w:val="18"/>
          <w:szCs w:val="18"/>
          <w:color w:val="auto"/>
        </w:rPr>
        <w:t>We have collateral assignment split-dollar life insurance agreements with select key employees that require us to incur certain insurance-related costs. Under some of these agreements, our obligation to provide benefits to the employees extends beyond retirement.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expenses related to our split-dollar life insurance agreements.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2011</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2010</w:t>
            </w:r>
          </w:p>
        </w:tc>
      </w:tr>
      <w:tr>
        <w:trPr>
          <w:trHeight w:val="177"/>
        </w:trPr>
        <w:tc>
          <w:tcPr>
            <w:tcW w:w="658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2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9"/>
              </w:rPr>
              <w:t>202</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77" w:lineRule="exact"/>
              <w:rPr>
                <w:sz w:val="20"/>
                <w:szCs w:val="20"/>
                <w:color w:val="auto"/>
              </w:rPr>
            </w:pPr>
            <w:r>
              <w:rPr>
                <w:rFonts w:ascii="Arial" w:cs="Arial" w:eastAsia="Arial" w:hAnsi="Arial"/>
                <w:sz w:val="18"/>
                <w:szCs w:val="18"/>
                <w:color w:val="auto"/>
                <w:w w:val="99"/>
              </w:rPr>
              <w:t>169</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77" w:lineRule="exact"/>
              <w:rPr>
                <w:sz w:val="20"/>
                <w:szCs w:val="20"/>
                <w:color w:val="auto"/>
              </w:rPr>
            </w:pPr>
            <w:r>
              <w:rPr>
                <w:rFonts w:ascii="Arial" w:cs="Arial" w:eastAsia="Arial" w:hAnsi="Arial"/>
                <w:sz w:val="18"/>
                <w:szCs w:val="18"/>
                <w:color w:val="auto"/>
                <w:w w:val="99"/>
              </w:rPr>
              <w:t>164</w:t>
            </w:r>
          </w:p>
        </w:tc>
      </w:tr>
      <w:tr>
        <w:trPr>
          <w:trHeight w:val="221"/>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and administrative expenses</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3E499A"/>
        </w:rPr>
        <w:t>Multiemployer Benefit Plans</w:t>
      </w:r>
    </w:p>
    <w:p>
      <w:pPr>
        <w:jc w:val="both"/>
        <w:spacing w:after="0" w:line="236" w:lineRule="auto"/>
        <w:rPr>
          <w:sz w:val="20"/>
          <w:szCs w:val="20"/>
          <w:color w:val="auto"/>
        </w:rPr>
      </w:pPr>
      <w:r>
        <w:rPr>
          <w:rFonts w:ascii="Arial" w:cs="Arial" w:eastAsia="Arial" w:hAnsi="Arial"/>
          <w:sz w:val="18"/>
          <w:szCs w:val="18"/>
          <w:color w:val="auto"/>
        </w:rPr>
        <w:t>We also participate in various multiemployer pension and other benefit plans through the activities of NBCUniversal that cover some of our employees who are represented by labor unions. We make periodic contributions to these plans in accordance with the terms of applicable collective bargaining agreements and laws but do not sponsor or administer these plans. We do not participate in any multiemployer benefit plans where we consider our contributions to be individually significant, and the largest plans in which we participate are funded at a level of 80% or greater. In 2012 and 2011, the total contributions we made to multiemployer pension and other benefit plans were $53 million and $42 million, respectively.</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we cease to be obligated to make contributions or otherwise withdraw from participation in any of these plans, applicable law requires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3E499A"/>
        </w:rPr>
        <w:t>Severance Benefits</w:t>
      </w:r>
    </w:p>
    <w:p>
      <w:pPr>
        <w:jc w:val="both"/>
        <w:spacing w:after="0" w:line="238" w:lineRule="auto"/>
        <w:rPr>
          <w:sz w:val="20"/>
          <w:szCs w:val="20"/>
          <w:color w:val="auto"/>
        </w:rPr>
      </w:pPr>
      <w:r>
        <w:rPr>
          <w:rFonts w:ascii="Arial" w:cs="Arial" w:eastAsia="Arial" w:hAnsi="Arial"/>
          <w:sz w:val="18"/>
          <w:szCs w:val="18"/>
          <w:color w:val="auto"/>
        </w:rPr>
        <w:t>We provide severance benefits to certain former employees. A liability is recorded for benefits provided when payment is probable, the amount is reasonably estimable, and the obligation relates to rights that have vested or accumulated. During 2012, 2011 and 2010, we recorded $155 million, $128 million and $67 million, respectively, of severance costs.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In the aggregate, holders of our Class A common stock have 66</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voting power of our common stock and holders of our Class B common stock have 33</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voting power of our common stock. Our Class A Special common stock is generally nonvoting. Each share of our Class B common stock is entitled to</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104</w:t>
            </w: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15 votes. The number of votes held by each share of our Class A common stock depends on the number of shares of Class A and Class B common stock outstanding at any given time. The 33</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aggregate voting power of our Class B common stock cannot be diluted by additional issuances of any other class of common stock. Our Class B common stock is convertible, share for share, into Class A or Class A Special common stock, subject to certain restrictions.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3E499A"/>
        </w:rPr>
        <w:t>Common Stock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3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A</w:t>
            </w:r>
          </w:p>
        </w:tc>
        <w:tc>
          <w:tcPr>
            <w:tcW w:w="9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color w:val="auto"/>
              </w:rPr>
              <w:t>A Special</w:t>
            </w:r>
          </w:p>
        </w:tc>
        <w:tc>
          <w:tcPr>
            <w:tcW w:w="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B</w:t>
            </w:r>
          </w:p>
        </w:tc>
      </w:tr>
      <w:tr>
        <w:trPr>
          <w:trHeight w:val="199"/>
        </w:trPr>
        <w:tc>
          <w:tcPr>
            <w:tcW w:w="6760" w:type="dxa"/>
            <w:vAlign w:val="bottom"/>
          </w:tcPr>
          <w:p>
            <w:pPr>
              <w:spacing w:after="0" w:line="200" w:lineRule="exact"/>
              <w:rPr>
                <w:sz w:val="20"/>
                <w:szCs w:val="20"/>
                <w:color w:val="auto"/>
              </w:rPr>
            </w:pPr>
            <w:r>
              <w:rPr>
                <w:rFonts w:ascii="Arial" w:cs="Arial" w:eastAsia="Arial" w:hAnsi="Arial"/>
                <w:sz w:val="18"/>
                <w:szCs w:val="18"/>
                <w:color w:val="auto"/>
              </w:rPr>
              <w:t>Balance, January 1, 2010</w:t>
            </w:r>
          </w:p>
        </w:tc>
        <w:tc>
          <w:tcPr>
            <w:tcW w:w="3380" w:type="dxa"/>
            <w:vAlign w:val="bottom"/>
          </w:tcPr>
          <w:p>
            <w:pPr>
              <w:jc w:val="right"/>
              <w:ind w:right="74"/>
              <w:spacing w:after="0" w:line="200" w:lineRule="exact"/>
              <w:rPr>
                <w:sz w:val="20"/>
                <w:szCs w:val="20"/>
                <w:color w:val="auto"/>
              </w:rPr>
            </w:pPr>
            <w:r>
              <w:rPr>
                <w:rFonts w:ascii="Arial" w:cs="Arial" w:eastAsia="Arial" w:hAnsi="Arial"/>
                <w:sz w:val="18"/>
                <w:szCs w:val="18"/>
                <w:color w:val="auto"/>
              </w:rPr>
              <w:t>2,063</w:t>
            </w:r>
          </w:p>
        </w:tc>
        <w:tc>
          <w:tcPr>
            <w:tcW w:w="900" w:type="dxa"/>
            <w:vAlign w:val="bottom"/>
          </w:tcPr>
          <w:p>
            <w:pPr>
              <w:jc w:val="right"/>
              <w:ind w:right="94"/>
              <w:spacing w:after="0" w:line="200" w:lineRule="exact"/>
              <w:rPr>
                <w:sz w:val="20"/>
                <w:szCs w:val="20"/>
                <w:color w:val="auto"/>
              </w:rPr>
            </w:pPr>
            <w:r>
              <w:rPr>
                <w:rFonts w:ascii="Arial" w:cs="Arial" w:eastAsia="Arial" w:hAnsi="Arial"/>
                <w:sz w:val="18"/>
                <w:szCs w:val="18"/>
                <w:color w:val="auto"/>
              </w:rPr>
              <w:t>765</w:t>
            </w:r>
          </w:p>
        </w:tc>
        <w:tc>
          <w:tcPr>
            <w:tcW w:w="3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9</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3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6</w:t>
            </w: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3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(70)</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199"/>
        </w:trPr>
        <w:tc>
          <w:tcPr>
            <w:tcW w:w="67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plans</w:t>
            </w:r>
          </w:p>
        </w:tc>
        <w:tc>
          <w:tcPr>
            <w:tcW w:w="33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3</w:t>
            </w:r>
          </w:p>
        </w:tc>
        <w:tc>
          <w:tcPr>
            <w:tcW w:w="900" w:type="dxa"/>
            <w:vAlign w:val="bottom"/>
            <w:tcBorders>
              <w:bottom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r>
      <w:tr>
        <w:trPr>
          <w:trHeight w:val="199"/>
        </w:trPr>
        <w:tc>
          <w:tcPr>
            <w:tcW w:w="6760" w:type="dxa"/>
            <w:vAlign w:val="bottom"/>
          </w:tcPr>
          <w:p>
            <w:pPr>
              <w:spacing w:after="0" w:line="200" w:lineRule="exact"/>
              <w:rPr>
                <w:sz w:val="20"/>
                <w:szCs w:val="20"/>
                <w:color w:val="auto"/>
              </w:rPr>
            </w:pPr>
            <w:r>
              <w:rPr>
                <w:rFonts w:ascii="Arial" w:cs="Arial" w:eastAsia="Arial" w:hAnsi="Arial"/>
                <w:sz w:val="18"/>
                <w:szCs w:val="18"/>
                <w:color w:val="auto"/>
              </w:rPr>
              <w:t>Balance, December 31, 2010</w:t>
            </w:r>
          </w:p>
        </w:tc>
        <w:tc>
          <w:tcPr>
            <w:tcW w:w="3380" w:type="dxa"/>
            <w:vAlign w:val="bottom"/>
          </w:tcPr>
          <w:p>
            <w:pPr>
              <w:jc w:val="right"/>
              <w:ind w:right="74"/>
              <w:spacing w:after="0" w:line="200" w:lineRule="exact"/>
              <w:rPr>
                <w:sz w:val="20"/>
                <w:szCs w:val="20"/>
                <w:color w:val="auto"/>
              </w:rPr>
            </w:pPr>
            <w:r>
              <w:rPr>
                <w:rFonts w:ascii="Arial" w:cs="Arial" w:eastAsia="Arial" w:hAnsi="Arial"/>
                <w:sz w:val="18"/>
                <w:szCs w:val="18"/>
                <w:color w:val="auto"/>
              </w:rPr>
              <w:t>2,072</w:t>
            </w:r>
          </w:p>
        </w:tc>
        <w:tc>
          <w:tcPr>
            <w:tcW w:w="900" w:type="dxa"/>
            <w:vAlign w:val="bottom"/>
          </w:tcPr>
          <w:p>
            <w:pPr>
              <w:jc w:val="right"/>
              <w:ind w:right="94"/>
              <w:spacing w:after="0" w:line="200" w:lineRule="exact"/>
              <w:rPr>
                <w:sz w:val="20"/>
                <w:szCs w:val="20"/>
                <w:color w:val="auto"/>
              </w:rPr>
            </w:pPr>
            <w:r>
              <w:rPr>
                <w:rFonts w:ascii="Arial" w:cs="Arial" w:eastAsia="Arial" w:hAnsi="Arial"/>
                <w:sz w:val="18"/>
                <w:szCs w:val="18"/>
                <w:color w:val="auto"/>
              </w:rPr>
              <w:t>695</w:t>
            </w:r>
          </w:p>
        </w:tc>
        <w:tc>
          <w:tcPr>
            <w:tcW w:w="3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9</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3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20</w:t>
            </w: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3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(95)</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199"/>
        </w:trPr>
        <w:tc>
          <w:tcPr>
            <w:tcW w:w="67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plans</w:t>
            </w:r>
          </w:p>
        </w:tc>
        <w:tc>
          <w:tcPr>
            <w:tcW w:w="338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3</w:t>
            </w:r>
          </w:p>
        </w:tc>
        <w:tc>
          <w:tcPr>
            <w:tcW w:w="900" w:type="dxa"/>
            <w:vAlign w:val="bottom"/>
            <w:tcBorders>
              <w:bottom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r>
      <w:tr>
        <w:trPr>
          <w:trHeight w:val="177"/>
        </w:trPr>
        <w:tc>
          <w:tcPr>
            <w:tcW w:w="6760" w:type="dxa"/>
            <w:vAlign w:val="bottom"/>
          </w:tcPr>
          <w:p>
            <w:pPr>
              <w:spacing w:after="0" w:line="177" w:lineRule="exact"/>
              <w:rPr>
                <w:sz w:val="20"/>
                <w:szCs w:val="20"/>
                <w:color w:val="auto"/>
              </w:rPr>
            </w:pPr>
            <w:r>
              <w:rPr>
                <w:rFonts w:ascii="Arial" w:cs="Arial" w:eastAsia="Arial" w:hAnsi="Arial"/>
                <w:sz w:val="18"/>
                <w:szCs w:val="18"/>
                <w:color w:val="auto"/>
              </w:rPr>
              <w:t>Balance, December 31, 2011</w:t>
            </w:r>
          </w:p>
        </w:tc>
        <w:tc>
          <w:tcPr>
            <w:tcW w:w="3380" w:type="dxa"/>
            <w:vAlign w:val="bottom"/>
          </w:tcPr>
          <w:p>
            <w:pPr>
              <w:jc w:val="right"/>
              <w:ind w:right="74"/>
              <w:spacing w:after="0" w:line="177" w:lineRule="exact"/>
              <w:rPr>
                <w:sz w:val="20"/>
                <w:szCs w:val="20"/>
                <w:color w:val="auto"/>
              </w:rPr>
            </w:pPr>
            <w:r>
              <w:rPr>
                <w:rFonts w:ascii="Arial" w:cs="Arial" w:eastAsia="Arial" w:hAnsi="Arial"/>
                <w:sz w:val="18"/>
                <w:szCs w:val="18"/>
                <w:color w:val="auto"/>
              </w:rPr>
              <w:t>2,095</w:t>
            </w:r>
          </w:p>
        </w:tc>
        <w:tc>
          <w:tcPr>
            <w:tcW w:w="900" w:type="dxa"/>
            <w:vAlign w:val="bottom"/>
          </w:tcPr>
          <w:p>
            <w:pPr>
              <w:jc w:val="right"/>
              <w:ind w:right="94"/>
              <w:spacing w:after="0" w:line="177" w:lineRule="exact"/>
              <w:rPr>
                <w:sz w:val="20"/>
                <w:szCs w:val="20"/>
                <w:color w:val="auto"/>
              </w:rPr>
            </w:pPr>
            <w:r>
              <w:rPr>
                <w:rFonts w:ascii="Arial" w:cs="Arial" w:eastAsia="Arial" w:hAnsi="Arial"/>
                <w:sz w:val="18"/>
                <w:szCs w:val="18"/>
                <w:color w:val="auto"/>
              </w:rPr>
              <w:t>601</w:t>
            </w:r>
          </w:p>
        </w:tc>
        <w:tc>
          <w:tcPr>
            <w:tcW w:w="3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9</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b w:val="1"/>
                <w:bCs w:val="1"/>
                <w:color w:val="auto"/>
              </w:rPr>
              <w:t>Stock compensation plans</w:t>
            </w:r>
          </w:p>
        </w:tc>
        <w:tc>
          <w:tcPr>
            <w:tcW w:w="338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24</w:t>
            </w:r>
          </w:p>
        </w:tc>
        <w:tc>
          <w:tcPr>
            <w:tcW w:w="90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3</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b w:val="1"/>
                <w:bCs w:val="1"/>
                <w:color w:val="auto"/>
              </w:rPr>
              <w:t>Repurchases and retirements of common stock</w:t>
            </w:r>
          </w:p>
        </w:tc>
        <w:tc>
          <w:tcPr>
            <w:tcW w:w="338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(96)</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r>
      <w:tr>
        <w:trPr>
          <w:trHeight w:val="221"/>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Employee stock purchase plans</w:t>
            </w:r>
          </w:p>
        </w:tc>
        <w:tc>
          <w:tcPr>
            <w:tcW w:w="33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w:t>
            </w: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196"/>
        </w:trPr>
        <w:tc>
          <w:tcPr>
            <w:tcW w:w="676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Balance, December 31, 2012</w:t>
            </w:r>
          </w:p>
        </w:tc>
        <w:tc>
          <w:tcPr>
            <w:tcW w:w="3380" w:type="dxa"/>
            <w:vAlign w:val="bottom"/>
            <w:tcBorders>
              <w:bottom w:val="single" w:sz="8" w:color="3E499A"/>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2,122</w:t>
            </w:r>
          </w:p>
        </w:tc>
        <w:tc>
          <w:tcPr>
            <w:tcW w:w="900" w:type="dxa"/>
            <w:vAlign w:val="bottom"/>
            <w:tcBorders>
              <w:bottom w:val="single" w:sz="8" w:color="3E499A"/>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508</w:t>
            </w:r>
          </w:p>
        </w:tc>
        <w:tc>
          <w:tcPr>
            <w:tcW w:w="3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3E499A"/>
        </w:rPr>
        <w:t>Share Repurchases</w:t>
      </w:r>
    </w:p>
    <w:p>
      <w:pPr>
        <w:jc w:val="both"/>
        <w:spacing w:after="0" w:line="239" w:lineRule="auto"/>
        <w:rPr>
          <w:sz w:val="20"/>
          <w:szCs w:val="20"/>
          <w:color w:val="auto"/>
        </w:rPr>
      </w:pPr>
      <w:r>
        <w:rPr>
          <w:rFonts w:ascii="Arial" w:cs="Arial" w:eastAsia="Arial" w:hAnsi="Arial"/>
          <w:sz w:val="18"/>
          <w:szCs w:val="18"/>
          <w:color w:val="auto"/>
        </w:rPr>
        <w:t>In February 2012, our Board of Directors approved a $6.5 billion share repurchase authorization, which does not have an expiration date. Under this authorization, we may repurchase shares in the open market or in private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3E499A"/>
        </w:rPr>
        <w:t>Share Repurchases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6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rPr>
              <w:t>2011</w:t>
            </w:r>
          </w:p>
        </w:tc>
        <w:tc>
          <w:tcPr>
            <w:tcW w:w="2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Consideration</w:t>
            </w:r>
          </w:p>
        </w:tc>
        <w:tc>
          <w:tcPr>
            <w:tcW w:w="2600" w:type="dxa"/>
            <w:vAlign w:val="bottom"/>
          </w:tcPr>
          <w:p>
            <w:pPr>
              <w:jc w:val="right"/>
              <w:ind w:right="2"/>
              <w:spacing w:after="0" w:line="177" w:lineRule="exact"/>
              <w:rPr>
                <w:sz w:val="20"/>
                <w:szCs w:val="20"/>
                <w:color w:val="auto"/>
              </w:rPr>
            </w:pPr>
            <w:r>
              <w:rPr>
                <w:rFonts w:ascii="Arial" w:cs="Arial" w:eastAsia="Arial" w:hAnsi="Arial"/>
                <w:sz w:val="18"/>
                <w:szCs w:val="18"/>
                <w:b w:val="1"/>
                <w:bCs w:val="1"/>
                <w:color w:val="auto"/>
              </w:rPr>
              <w:t>$ 3,000</w:t>
            </w:r>
          </w:p>
        </w:tc>
        <w:tc>
          <w:tcPr>
            <w:tcW w:w="800" w:type="dxa"/>
            <w:vAlign w:val="bottom"/>
          </w:tcPr>
          <w:p>
            <w:pPr>
              <w:jc w:val="right"/>
              <w:ind w:right="17"/>
              <w:spacing w:after="0" w:line="177" w:lineRule="exact"/>
              <w:rPr>
                <w:sz w:val="20"/>
                <w:szCs w:val="20"/>
                <w:color w:val="auto"/>
              </w:rPr>
            </w:pPr>
            <w:r>
              <w:rPr>
                <w:rFonts w:ascii="Arial" w:cs="Arial" w:eastAsia="Arial" w:hAnsi="Arial"/>
                <w:sz w:val="18"/>
                <w:szCs w:val="18"/>
                <w:color w:val="auto"/>
              </w:rPr>
              <w:t>$ 2,141</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auto"/>
                <w:w w:val="93"/>
              </w:rPr>
              <w:t>1,200</w:t>
            </w: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repurchased</w:t>
            </w:r>
          </w:p>
        </w:tc>
        <w:tc>
          <w:tcPr>
            <w:tcW w:w="26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96</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370"/>
        </w:trPr>
        <w:tc>
          <w:tcPr>
            <w:tcW w:w="7300" w:type="dxa"/>
            <w:vAlign w:val="bottom"/>
          </w:tcPr>
          <w:p>
            <w:pPr>
              <w:spacing w:after="0"/>
              <w:rPr>
                <w:sz w:val="20"/>
                <w:szCs w:val="20"/>
                <w:color w:val="auto"/>
              </w:rPr>
            </w:pPr>
            <w:r>
              <w:rPr>
                <w:rFonts w:ascii="Arial" w:cs="Arial" w:eastAsia="Arial" w:hAnsi="Arial"/>
                <w:sz w:val="18"/>
                <w:szCs w:val="18"/>
                <w:color w:val="3E499A"/>
              </w:rPr>
              <w:t>Accumulated Other Comprehensive Income (Loss)</w:t>
            </w:r>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
        </w:trPr>
        <w:tc>
          <w:tcPr>
            <w:tcW w:w="73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42"/>
        </w:trPr>
        <w:tc>
          <w:tcPr>
            <w:tcW w:w="73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December 31 (in millions)</w:t>
            </w:r>
          </w:p>
        </w:tc>
        <w:tc>
          <w:tcPr>
            <w:tcW w:w="26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2011</w:t>
            </w: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Unrealized gains (losses) on marketable securities</w:t>
            </w:r>
          </w:p>
        </w:tc>
        <w:tc>
          <w:tcPr>
            <w:tcW w:w="2600" w:type="dxa"/>
            <w:vAlign w:val="bottom"/>
          </w:tcPr>
          <w:p>
            <w:pPr>
              <w:spacing w:after="0"/>
              <w:rPr>
                <w:sz w:val="15"/>
                <w:szCs w:val="15"/>
                <w:color w:val="auto"/>
              </w:rPr>
            </w:pPr>
          </w:p>
        </w:tc>
        <w:tc>
          <w:tcPr>
            <w:tcW w:w="80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$ 182</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7"/>
              <w:spacing w:after="0" w:line="177" w:lineRule="exact"/>
              <w:rPr>
                <w:sz w:val="20"/>
                <w:szCs w:val="20"/>
                <w:color w:val="auto"/>
              </w:rPr>
            </w:pPr>
            <w:r>
              <w:rPr>
                <w:rFonts w:ascii="Arial" w:cs="Arial" w:eastAsia="Arial" w:hAnsi="Arial"/>
                <w:sz w:val="18"/>
                <w:szCs w:val="18"/>
                <w:color w:val="auto"/>
              </w:rPr>
              <w:t>22</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w:t>
            </w:r>
          </w:p>
        </w:tc>
        <w:tc>
          <w:tcPr>
            <w:tcW w:w="26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w:t>
            </w:r>
          </w:p>
        </w:tc>
        <w:tc>
          <w:tcPr>
            <w:tcW w:w="2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Unrecognized gains (losses) on employee benefit obligations</w:t>
            </w:r>
          </w:p>
        </w:tc>
        <w:tc>
          <w:tcPr>
            <w:tcW w:w="26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w:t>
            </w:r>
          </w:p>
        </w:tc>
        <w:tc>
          <w:tcPr>
            <w:tcW w:w="2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2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730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Accumulated other comprehensive income (loss), net of deferred taxes</w:t>
            </w:r>
          </w:p>
        </w:tc>
        <w:tc>
          <w:tcPr>
            <w:tcW w:w="2600" w:type="dxa"/>
            <w:vAlign w:val="bottom"/>
            <w:tcBorders>
              <w:bottom w:val="single" w:sz="8" w:color="3E499A"/>
            </w:tcBorders>
          </w:tcPr>
          <w:p>
            <w:pPr>
              <w:spacing w:after="0"/>
              <w:rPr>
                <w:sz w:val="17"/>
                <w:szCs w:val="17"/>
                <w:color w:val="auto"/>
              </w:rPr>
            </w:pPr>
          </w:p>
        </w:tc>
        <w:tc>
          <w:tcPr>
            <w:tcW w:w="800" w:type="dxa"/>
            <w:vAlign w:val="bottom"/>
            <w:tcBorders>
              <w:bottom w:val="single" w:sz="8" w:color="3E499A"/>
            </w:tcBorders>
          </w:tcPr>
          <w:p>
            <w:pPr>
              <w:jc w:val="right"/>
              <w:ind w:right="37"/>
              <w:spacing w:after="0" w:line="196" w:lineRule="exact"/>
              <w:rPr>
                <w:sz w:val="20"/>
                <w:szCs w:val="20"/>
                <w:color w:val="auto"/>
              </w:rPr>
            </w:pPr>
            <w:r>
              <w:rPr>
                <w:rFonts w:ascii="Arial" w:cs="Arial" w:eastAsia="Arial" w:hAnsi="Arial"/>
                <w:sz w:val="18"/>
                <w:szCs w:val="18"/>
                <w:b w:val="1"/>
                <w:bCs w:val="1"/>
                <w:color w:val="auto"/>
              </w:rPr>
              <w:t>$  15</w:t>
            </w:r>
          </w:p>
        </w:tc>
        <w:tc>
          <w:tcPr>
            <w:tcW w:w="2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506"/>
        </w:trPr>
        <w:tc>
          <w:tcPr>
            <w:tcW w:w="7300" w:type="dxa"/>
            <w:vAlign w:val="bottom"/>
          </w:tcPr>
          <w:p>
            <w:pPr>
              <w:ind w:left="5600"/>
              <w:spacing w:after="0"/>
              <w:rPr>
                <w:sz w:val="20"/>
                <w:szCs w:val="20"/>
                <w:color w:val="auto"/>
              </w:rPr>
            </w:pPr>
            <w:r>
              <w:rPr>
                <w:rFonts w:ascii="Arial" w:cs="Arial" w:eastAsia="Arial" w:hAnsi="Arial"/>
                <w:sz w:val="14"/>
                <w:szCs w:val="14"/>
                <w:b w:val="1"/>
                <w:bCs w:val="1"/>
                <w:color w:val="auto"/>
              </w:rPr>
              <w:t>105</w:t>
            </w:r>
          </w:p>
        </w:tc>
        <w:tc>
          <w:tcPr>
            <w:tcW w:w="4120" w:type="dxa"/>
            <w:vAlign w:val="bottom"/>
            <w:gridSpan w:val="4"/>
          </w:tcPr>
          <w:p>
            <w:pPr>
              <w:jc w:val="right"/>
              <w:spacing w:after="0"/>
              <w:rPr>
                <w:sz w:val="20"/>
                <w:szCs w:val="20"/>
                <w:color w:val="auto"/>
              </w:rPr>
            </w:pPr>
            <w:r>
              <w:rPr>
                <w:rFonts w:ascii="Arial" w:cs="Arial" w:eastAsia="Arial" w:hAnsi="Arial"/>
                <w:sz w:val="14"/>
                <w:szCs w:val="14"/>
                <w:color w:val="auto"/>
              </w:rPr>
              <w:t>Comcast 2012 Annual Report on Form 10-K</w:t>
            </w: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14: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condensed information on our share-based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3E499A"/>
        </w:rPr>
        <w:t>Recognized Share-Based Compensation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r>
      <w:tr>
        <w:trPr>
          <w:trHeight w:val="177"/>
        </w:trPr>
        <w:tc>
          <w:tcPr>
            <w:tcW w:w="6080" w:type="dxa"/>
            <w:vAlign w:val="bottom"/>
          </w:tcPr>
          <w:p>
            <w:pPr>
              <w:spacing w:after="0" w:line="177" w:lineRule="exact"/>
              <w:rPr>
                <w:sz w:val="20"/>
                <w:szCs w:val="20"/>
                <w:color w:val="auto"/>
              </w:rPr>
            </w:pPr>
            <w:r>
              <w:rPr>
                <w:rFonts w:ascii="Arial" w:cs="Arial" w:eastAsia="Arial" w:hAnsi="Arial"/>
                <w:sz w:val="18"/>
                <w:szCs w:val="18"/>
                <w:color w:val="auto"/>
              </w:rPr>
              <w:t>Stock options</w:t>
            </w:r>
          </w:p>
        </w:tc>
        <w:tc>
          <w:tcPr>
            <w:tcW w:w="41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$ 131</w:t>
            </w: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$ 116</w:t>
            </w: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$ 103</w:t>
            </w: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Restricted share units</w:t>
            </w:r>
          </w:p>
        </w:tc>
        <w:tc>
          <w:tcPr>
            <w:tcW w:w="4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154</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r>
      <w:tr>
        <w:trPr>
          <w:trHeight w:val="221"/>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plans</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60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Total</w:t>
            </w:r>
          </w:p>
        </w:tc>
        <w:tc>
          <w:tcPr>
            <w:tcW w:w="41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$ 301</w:t>
            </w:r>
          </w:p>
        </w:tc>
        <w:tc>
          <w:tcPr>
            <w:tcW w:w="6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$ 278</w:t>
            </w:r>
          </w:p>
        </w:tc>
        <w:tc>
          <w:tcPr>
            <w:tcW w:w="6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$ 251</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we had unrecognized pretax compensation expense of $320 million related to nonvested stock options and unrecognized pretax compensation expense of $353 million related to nonvested RSUs that will be recognized over a weighted-average period of approximately 1.9 years and 1.7 years,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E499A"/>
        </w:rPr>
        <w:t>2012 Stock Options and Restricted Share Units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Borders>
              <w:top w:val="single" w:sz="8" w:color="auto"/>
            </w:tcBorders>
          </w:tcPr>
          <w:p>
            <w:pPr>
              <w:spacing w:after="0"/>
              <w:rPr>
                <w:sz w:val="14"/>
                <w:szCs w:val="14"/>
                <w:color w:val="auto"/>
              </w:rPr>
            </w:pPr>
          </w:p>
        </w:tc>
        <w:tc>
          <w:tcPr>
            <w:tcW w:w="312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color w:val="auto"/>
              </w:rPr>
              <w:t>Stock</w:t>
            </w:r>
          </w:p>
        </w:tc>
        <w:tc>
          <w:tcPr>
            <w:tcW w:w="800" w:type="dxa"/>
            <w:vAlign w:val="bottom"/>
            <w:tcBorders>
              <w:top w:val="single" w:sz="8" w:color="auto"/>
            </w:tcBorders>
          </w:tcPr>
          <w:p>
            <w:pPr>
              <w:spacing w:after="0"/>
              <w:rPr>
                <w:sz w:val="14"/>
                <w:szCs w:val="14"/>
                <w:color w:val="auto"/>
              </w:rPr>
            </w:pPr>
          </w:p>
        </w:tc>
      </w:tr>
      <w:tr>
        <w:trPr>
          <w:trHeight w:val="149"/>
        </w:trPr>
        <w:tc>
          <w:tcPr>
            <w:tcW w:w="75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2012, unless otherwise stated (in millions, except per share data)</w:t>
            </w:r>
          </w:p>
        </w:tc>
        <w:tc>
          <w:tcPr>
            <w:tcW w:w="3120" w:type="dxa"/>
            <w:vAlign w:val="bottom"/>
            <w:tcBorders>
              <w:bottom w:val="single" w:sz="8" w:color="auto"/>
            </w:tcBorders>
          </w:tcPr>
          <w:p>
            <w:pPr>
              <w:jc w:val="right"/>
              <w:ind w:right="59"/>
              <w:spacing w:after="0" w:line="149" w:lineRule="exact"/>
              <w:rPr>
                <w:sz w:val="20"/>
                <w:szCs w:val="20"/>
                <w:color w:val="auto"/>
              </w:rPr>
            </w:pPr>
            <w:r>
              <w:rPr>
                <w:rFonts w:ascii="Arial" w:cs="Arial" w:eastAsia="Arial" w:hAnsi="Arial"/>
                <w:sz w:val="14"/>
                <w:szCs w:val="14"/>
                <w:color w:val="auto"/>
              </w:rPr>
              <w:t>Options</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RSUs</w:t>
            </w:r>
          </w:p>
        </w:tc>
      </w:tr>
      <w:tr>
        <w:trPr>
          <w:trHeight w:val="199"/>
        </w:trPr>
        <w:tc>
          <w:tcPr>
            <w:tcW w:w="7500" w:type="dxa"/>
            <w:vAlign w:val="bottom"/>
          </w:tcPr>
          <w:p>
            <w:pPr>
              <w:spacing w:after="0" w:line="200" w:lineRule="exact"/>
              <w:rPr>
                <w:sz w:val="20"/>
                <w:szCs w:val="20"/>
                <w:color w:val="auto"/>
              </w:rPr>
            </w:pPr>
            <w:r>
              <w:rPr>
                <w:rFonts w:ascii="Arial" w:cs="Arial" w:eastAsia="Arial" w:hAnsi="Arial"/>
                <w:sz w:val="18"/>
                <w:szCs w:val="18"/>
                <w:color w:val="auto"/>
              </w:rPr>
              <w:t>Awards granted during 2012</w:t>
            </w:r>
          </w:p>
        </w:tc>
        <w:tc>
          <w:tcPr>
            <w:tcW w:w="3120" w:type="dxa"/>
            <w:vAlign w:val="bottom"/>
          </w:tcPr>
          <w:p>
            <w:pPr>
              <w:jc w:val="right"/>
              <w:ind w:right="59"/>
              <w:spacing w:after="0" w:line="200" w:lineRule="exact"/>
              <w:rPr>
                <w:sz w:val="20"/>
                <w:szCs w:val="20"/>
                <w:color w:val="auto"/>
              </w:rPr>
            </w:pPr>
            <w:r>
              <w:rPr>
                <w:rFonts w:ascii="Arial" w:cs="Arial" w:eastAsia="Arial" w:hAnsi="Arial"/>
                <w:sz w:val="18"/>
                <w:szCs w:val="18"/>
                <w:color w:val="auto"/>
              </w:rPr>
              <w:t>22</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8</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w:t>
            </w:r>
          </w:p>
        </w:tc>
        <w:tc>
          <w:tcPr>
            <w:tcW w:w="3120" w:type="dxa"/>
            <w:vAlign w:val="bottom"/>
          </w:tcPr>
          <w:p>
            <w:pPr>
              <w:jc w:val="right"/>
              <w:ind w:right="59"/>
              <w:spacing w:after="0" w:line="202" w:lineRule="exact"/>
              <w:rPr>
                <w:sz w:val="20"/>
                <w:szCs w:val="20"/>
                <w:color w:val="auto"/>
              </w:rPr>
            </w:pPr>
            <w:r>
              <w:rPr>
                <w:rFonts w:ascii="Arial" w:cs="Arial" w:eastAsia="Arial" w:hAnsi="Arial"/>
                <w:sz w:val="18"/>
                <w:szCs w:val="18"/>
                <w:color w:val="auto"/>
              </w:rPr>
              <w:t>$ 30.00</w:t>
            </w:r>
          </w:p>
        </w:tc>
        <w:tc>
          <w:tcPr>
            <w:tcW w:w="800" w:type="dxa"/>
            <w:vAlign w:val="bottom"/>
          </w:tcPr>
          <w:p>
            <w:pPr>
              <w:spacing w:after="0"/>
              <w:rPr>
                <w:sz w:val="17"/>
                <w:szCs w:val="17"/>
                <w:color w:val="auto"/>
              </w:rPr>
            </w:pPr>
          </w:p>
        </w:tc>
      </w:tr>
      <w:tr>
        <w:trPr>
          <w:trHeight w:val="199"/>
        </w:trPr>
        <w:tc>
          <w:tcPr>
            <w:tcW w:w="75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fair value at grant date</w:t>
            </w:r>
          </w:p>
        </w:tc>
        <w:tc>
          <w:tcPr>
            <w:tcW w:w="3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$ 27.80</w:t>
            </w:r>
          </w:p>
        </w:tc>
      </w:tr>
      <w:tr>
        <w:trPr>
          <w:trHeight w:val="199"/>
        </w:trPr>
        <w:tc>
          <w:tcPr>
            <w:tcW w:w="7500" w:type="dxa"/>
            <w:vAlign w:val="bottom"/>
          </w:tcPr>
          <w:p>
            <w:pPr>
              <w:spacing w:after="0" w:line="200" w:lineRule="exact"/>
              <w:rPr>
                <w:sz w:val="20"/>
                <w:szCs w:val="20"/>
                <w:color w:val="auto"/>
              </w:rPr>
            </w:pPr>
            <w:r>
              <w:rPr>
                <w:rFonts w:ascii="Arial" w:cs="Arial" w:eastAsia="Arial" w:hAnsi="Arial"/>
                <w:sz w:val="18"/>
                <w:szCs w:val="18"/>
                <w:color w:val="auto"/>
              </w:rPr>
              <w:t>Stock options outstanding and nonvested RSUs</w:t>
            </w:r>
            <w:r>
              <w:rPr>
                <w:rFonts w:ascii="Arial" w:cs="Arial" w:eastAsia="Arial" w:hAnsi="Arial"/>
                <w:sz w:val="22"/>
                <w:szCs w:val="22"/>
                <w:color w:val="auto"/>
                <w:vertAlign w:val="superscript"/>
              </w:rPr>
              <w:t>(a)</w:t>
            </w:r>
          </w:p>
        </w:tc>
        <w:tc>
          <w:tcPr>
            <w:tcW w:w="3120" w:type="dxa"/>
            <w:vAlign w:val="bottom"/>
          </w:tcPr>
          <w:p>
            <w:pPr>
              <w:jc w:val="right"/>
              <w:ind w:right="59"/>
              <w:spacing w:after="0" w:line="200" w:lineRule="exact"/>
              <w:rPr>
                <w:sz w:val="20"/>
                <w:szCs w:val="20"/>
                <w:color w:val="auto"/>
              </w:rPr>
            </w:pPr>
            <w:r>
              <w:rPr>
                <w:rFonts w:ascii="Arial" w:cs="Arial" w:eastAsia="Arial" w:hAnsi="Arial"/>
                <w:sz w:val="18"/>
                <w:szCs w:val="18"/>
                <w:color w:val="auto"/>
              </w:rPr>
              <w:t>113</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29</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 of stock options outstanding</w:t>
            </w:r>
          </w:p>
        </w:tc>
        <w:tc>
          <w:tcPr>
            <w:tcW w:w="3120" w:type="dxa"/>
            <w:vAlign w:val="bottom"/>
          </w:tcPr>
          <w:p>
            <w:pPr>
              <w:jc w:val="right"/>
              <w:ind w:right="59"/>
              <w:spacing w:after="0" w:line="202" w:lineRule="exact"/>
              <w:rPr>
                <w:sz w:val="20"/>
                <w:szCs w:val="20"/>
                <w:color w:val="auto"/>
              </w:rPr>
            </w:pPr>
            <w:r>
              <w:rPr>
                <w:rFonts w:ascii="Arial" w:cs="Arial" w:eastAsia="Arial" w:hAnsi="Arial"/>
                <w:sz w:val="18"/>
                <w:szCs w:val="18"/>
                <w:color w:val="auto"/>
              </w:rPr>
              <w:t>$ 21.86</w:t>
            </w:r>
          </w:p>
        </w:tc>
        <w:tc>
          <w:tcPr>
            <w:tcW w:w="800" w:type="dxa"/>
            <w:vAlign w:val="bottom"/>
          </w:tcPr>
          <w:p>
            <w:pPr>
              <w:spacing w:after="0"/>
              <w:rPr>
                <w:sz w:val="17"/>
                <w:szCs w:val="17"/>
                <w:color w:val="auto"/>
              </w:rPr>
            </w:pPr>
          </w:p>
        </w:tc>
      </w:tr>
      <w:tr>
        <w:trPr>
          <w:trHeight w:val="199"/>
        </w:trPr>
        <w:tc>
          <w:tcPr>
            <w:tcW w:w="75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fair value at grant date of nonvested RSUs</w:t>
            </w:r>
          </w:p>
        </w:tc>
        <w:tc>
          <w:tcPr>
            <w:tcW w:w="3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$ 20.90</w:t>
            </w:r>
          </w:p>
        </w:tc>
      </w:tr>
    </w:tbl>
    <w:p>
      <w:pPr>
        <w:spacing w:after="0" w:line="67" w:lineRule="exact"/>
        <w:rPr>
          <w:sz w:val="20"/>
          <w:szCs w:val="20"/>
          <w:color w:val="auto"/>
        </w:rPr>
      </w:pPr>
    </w:p>
    <w:p>
      <w:pPr>
        <w:ind w:left="300" w:hanging="292"/>
        <w:spacing w:after="0" w:line="231" w:lineRule="auto"/>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December 31, 2012, 109 million of stock options outstanding were net settled stock options. Net settled stock options, as opposed to stock options exercised with a cash payment (“cash settled stock options”), result in fewer shares being issued and no cash proceeds being received by us when they are exercised.</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share-based compensation primarily consists of awards of stock options and RSUs to certain employees and directors as part of our approach to long-term incentive compensation. Awards generally vest over a period of five years and in the case of stock options, have a ten year term. Additionally, through our employee stock purchase plans, employees are able to purchase shares of Comcast Class A common stock at a discount through payroll deductions.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associated with our share-based compensation is based on an award’s estimated fair value at the date of grant and is recognized over the period in which any related services are provided. We use the Black-Scholes option pricing model to estimate the fair value of stock option awards. RSUs are valued based on the closing price of our Class A common stock on the date of grant and are discounted for the lack of dividends, if any, during the vesting period. The table below presents the weighted-average fair value on the date of grant of RSUs and Class A common stock options awarded under our various plans and the related weighted-average valuation assumptions.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4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77"/>
        </w:trPr>
        <w:tc>
          <w:tcPr>
            <w:tcW w:w="4240" w:type="dxa"/>
            <w:vAlign w:val="bottom"/>
          </w:tcPr>
          <w:p>
            <w:pPr>
              <w:spacing w:after="0" w:line="177" w:lineRule="exact"/>
              <w:rPr>
                <w:sz w:val="20"/>
                <w:szCs w:val="20"/>
                <w:color w:val="auto"/>
              </w:rPr>
            </w:pPr>
            <w:r>
              <w:rPr>
                <w:rFonts w:ascii="Arial" w:cs="Arial" w:eastAsia="Arial" w:hAnsi="Arial"/>
                <w:sz w:val="18"/>
                <w:szCs w:val="18"/>
                <w:color w:val="auto"/>
              </w:rPr>
              <w:t>RSUs fair value</w:t>
            </w:r>
          </w:p>
        </w:tc>
        <w:tc>
          <w:tcPr>
            <w:tcW w:w="46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27.80</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5"/>
              <w:spacing w:after="0" w:line="177" w:lineRule="exact"/>
              <w:rPr>
                <w:sz w:val="20"/>
                <w:szCs w:val="20"/>
                <w:color w:val="auto"/>
              </w:rPr>
            </w:pPr>
            <w:r>
              <w:rPr>
                <w:rFonts w:ascii="Arial" w:cs="Arial" w:eastAsia="Arial" w:hAnsi="Arial"/>
                <w:sz w:val="18"/>
                <w:szCs w:val="18"/>
                <w:color w:val="auto"/>
              </w:rPr>
              <w:t>22.78</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Arial" w:cs="Arial" w:eastAsia="Arial" w:hAnsi="Arial"/>
                <w:sz w:val="18"/>
                <w:szCs w:val="18"/>
                <w:color w:val="auto"/>
              </w:rPr>
              <w:t>Stock options fair value</w:t>
            </w:r>
          </w:p>
        </w:tc>
        <w:tc>
          <w:tcPr>
            <w:tcW w:w="4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b w:val="1"/>
                <w:bCs w:val="1"/>
                <w:color w:val="auto"/>
              </w:rPr>
              <w:t>7.38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6.96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Stock Option Valuation Assumptions:</w:t>
            </w:r>
          </w:p>
        </w:tc>
        <w:tc>
          <w:tcPr>
            <w:tcW w:w="46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40" w:type="dxa"/>
            <w:vAlign w:val="bottom"/>
          </w:tcPr>
          <w:p>
            <w:pPr>
              <w:ind w:left="220"/>
              <w:spacing w:after="0" w:line="181" w:lineRule="exact"/>
              <w:rPr>
                <w:sz w:val="20"/>
                <w:szCs w:val="20"/>
                <w:color w:val="auto"/>
              </w:rPr>
            </w:pPr>
            <w:r>
              <w:rPr>
                <w:rFonts w:ascii="Arial" w:cs="Arial" w:eastAsia="Arial" w:hAnsi="Arial"/>
                <w:sz w:val="18"/>
                <w:szCs w:val="18"/>
                <w:color w:val="auto"/>
              </w:rPr>
              <w:t>Dividend yield</w:t>
            </w:r>
          </w:p>
        </w:tc>
        <w:tc>
          <w:tcPr>
            <w:tcW w:w="46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15"/>
              <w:spacing w:after="0" w:line="181"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424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46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29.0%</w:t>
            </w:r>
          </w:p>
        </w:tc>
        <w:tc>
          <w:tcPr>
            <w:tcW w:w="22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28.1%</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3"/>
        </w:trPr>
        <w:tc>
          <w:tcPr>
            <w:tcW w:w="424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w:t>
            </w:r>
          </w:p>
        </w:tc>
        <w:tc>
          <w:tcPr>
            <w:tcW w:w="46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1"/>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 (in years)</w:t>
            </w:r>
          </w:p>
        </w:tc>
        <w:tc>
          <w:tcPr>
            <w:tcW w:w="46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7.0</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506"/>
        </w:trPr>
        <w:tc>
          <w:tcPr>
            <w:tcW w:w="424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4620" w:type="dxa"/>
            <w:vAlign w:val="bottom"/>
          </w:tcPr>
          <w:p>
            <w:pPr>
              <w:jc w:val="right"/>
              <w:ind w:right="2959"/>
              <w:spacing w:after="0"/>
              <w:rPr>
                <w:sz w:val="20"/>
                <w:szCs w:val="20"/>
                <w:color w:val="auto"/>
              </w:rPr>
            </w:pPr>
            <w:r>
              <w:rPr>
                <w:rFonts w:ascii="Arial" w:cs="Arial" w:eastAsia="Arial" w:hAnsi="Arial"/>
                <w:sz w:val="14"/>
                <w:szCs w:val="14"/>
                <w:b w:val="1"/>
                <w:bCs w:val="1"/>
                <w:color w:val="auto"/>
              </w:rPr>
              <w:t>106</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15: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E499A"/>
        </w:rPr>
        <w:t>Components of Income Tax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572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41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$ 3,004</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2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4180" w:type="dxa"/>
            <w:vAlign w:val="bottom"/>
            <w:vMerge w:val="continue"/>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$ 1,480</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$ 1,502</w:t>
            </w:r>
          </w:p>
        </w:tc>
        <w:tc>
          <w:tcPr>
            <w:tcW w:w="0" w:type="dxa"/>
            <w:vAlign w:val="bottom"/>
          </w:tcPr>
          <w:p>
            <w:pPr>
              <w:spacing w:after="0"/>
              <w:rPr>
                <w:sz w:val="1"/>
                <w:szCs w:val="1"/>
                <w:color w:val="auto"/>
              </w:rPr>
            </w:pPr>
          </w:p>
        </w:tc>
      </w:tr>
      <w:tr>
        <w:trPr>
          <w:trHeight w:val="203"/>
        </w:trPr>
        <w:tc>
          <w:tcPr>
            <w:tcW w:w="572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41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432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359</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4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3,605</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1,992</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199"/>
        </w:trPr>
        <w:tc>
          <w:tcPr>
            <w:tcW w:w="572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41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160</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2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4180" w:type="dxa"/>
            <w:vAlign w:val="bottom"/>
            <w:vMerge w:val="continue"/>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658</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3"/>
        </w:trPr>
        <w:tc>
          <w:tcPr>
            <w:tcW w:w="572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4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4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139</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1,058</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418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$ 3,744</w:t>
            </w:r>
          </w:p>
        </w:tc>
        <w:tc>
          <w:tcPr>
            <w:tcW w:w="7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$ 3,050</w:t>
            </w:r>
          </w:p>
        </w:tc>
        <w:tc>
          <w:tcPr>
            <w:tcW w:w="7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$ 2,436</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differs from the federal statutory amount because of the effect of the items detailed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r>
      <w:tr>
        <w:trPr>
          <w:trHeight w:val="177"/>
        </w:trPr>
        <w:tc>
          <w:tcPr>
            <w:tcW w:w="7220" w:type="dxa"/>
            <w:vAlign w:val="bottom"/>
          </w:tcPr>
          <w:p>
            <w:pPr>
              <w:spacing w:after="0" w:line="177" w:lineRule="exact"/>
              <w:rPr>
                <w:sz w:val="20"/>
                <w:szCs w:val="20"/>
                <w:color w:val="auto"/>
              </w:rPr>
            </w:pPr>
            <w:r>
              <w:rPr>
                <w:rFonts w:ascii="Arial" w:cs="Arial" w:eastAsia="Arial" w:hAnsi="Arial"/>
                <w:sz w:val="18"/>
                <w:szCs w:val="18"/>
                <w:color w:val="auto"/>
              </w:rPr>
              <w:t>Federal tax at statutory rate</w:t>
            </w:r>
          </w:p>
        </w:tc>
        <w:tc>
          <w:tcPr>
            <w:tcW w:w="25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$ 4,063</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$ 2,872</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$ 2,136</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178</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354</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204</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Foreign income taxes, net of federal credit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92</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89</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Nontaxable income attributable to noncontrolling interests</w:t>
            </w:r>
          </w:p>
        </w:tc>
        <w:tc>
          <w:tcPr>
            <w:tcW w:w="2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Adjustments to uncertain and effectively settled tax positions, net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114</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77</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Accrued interest on uncertain and effectively settled tax positions, net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23</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66</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r>
      <w:tr>
        <w:trPr>
          <w:trHeight w:val="221"/>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722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258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$ 3,744</w:t>
            </w:r>
          </w:p>
        </w:tc>
        <w:tc>
          <w:tcPr>
            <w:tcW w:w="82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color w:val="auto"/>
              </w:rPr>
              <w:t>$ 3,050</w:t>
            </w:r>
          </w:p>
        </w:tc>
        <w:tc>
          <w:tcPr>
            <w:tcW w:w="80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$ 2,436</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Income tax consequences that arise in connection with a business combination include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taxing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taxing authorities. The effects of these adjustments are recorded to income tax expense.</w:t>
      </w:r>
    </w:p>
    <w:p>
      <w:pPr>
        <w:spacing w:after="0" w:line="325"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107</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we engage in transactions in which the tax consequences may be subject to uncertainty. In these cases, we evaluate our tax positions using the recognition threshold and the measurement attribute in accordance with the accounting guidance related to uncertain tax positions. Examples of these transactions include business acquisitions and disposals, including consideration paid or received in connection with these transactions, and certain financing transactions.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financial statements. We classify interest and penalties, if any, associated with our uncertain tax positions as a component of income tax expense.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3E499A"/>
        </w:rPr>
        <w:t>NBCUniversal</w:t>
      </w:r>
    </w:p>
    <w:p>
      <w:pPr>
        <w:jc w:val="both"/>
        <w:spacing w:after="0" w:line="238" w:lineRule="auto"/>
        <w:rPr>
          <w:sz w:val="20"/>
          <w:szCs w:val="20"/>
          <w:color w:val="auto"/>
        </w:rPr>
      </w:pPr>
      <w:r>
        <w:rPr>
          <w:rFonts w:ascii="Arial" w:cs="Arial" w:eastAsia="Arial" w:hAnsi="Arial"/>
          <w:sz w:val="18"/>
          <w:szCs w:val="18"/>
          <w:color w:val="auto"/>
        </w:rPr>
        <w:t>For U.S. federal income tax purposes, NBCUniversal Holdings is treated as a partnership and NBCUniversal is disregarded as an entity separate from NBCUniversal Holdings. Accordingly, neither NBCUniversal Holdings nor NBCUniversal and its subsidiaries incur any material current or deferred domestic income taxes. Current and deferred foreign income taxes are incurred by NBCUniversal’s foreign subsidiaries.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2012 and 2011, NBCUniversal had foreign income before taxes of $434 million and $476 million, respectively, on which foreign income tax expense was recorded. We recorded U.S. income tax expense on our allocable share of NBCUniversal’s income before domestic and foreign taxes reduced by a U.S. tax credit equal to our allocable share of NBCUniversal’s foreign income tax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E499A"/>
        </w:rPr>
        <w:t>Components of Net Deferred Tax Liability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4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8420" w:type="dxa"/>
            <w:vAlign w:val="bottom"/>
          </w:tcPr>
          <w:p>
            <w:pPr>
              <w:spacing w:after="0" w:line="200" w:lineRule="exact"/>
              <w:rPr>
                <w:sz w:val="20"/>
                <w:szCs w:val="20"/>
                <w:color w:val="auto"/>
              </w:rPr>
            </w:pPr>
            <w:r>
              <w:rPr>
                <w:rFonts w:ascii="Arial" w:cs="Arial" w:eastAsia="Arial" w:hAnsi="Arial"/>
                <w:sz w:val="18"/>
                <w:szCs w:val="18"/>
                <w:color w:val="auto"/>
              </w:rPr>
              <w:t>Deferred Tax Assets:</w:t>
            </w: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491</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420" w:type="dxa"/>
            <w:vAlign w:val="bottom"/>
          </w:tcPr>
          <w:p>
            <w:pPr>
              <w:ind w:left="220"/>
              <w:spacing w:after="0" w:line="181" w:lineRule="exact"/>
              <w:rPr>
                <w:sz w:val="20"/>
                <w:szCs w:val="20"/>
                <w:color w:val="auto"/>
              </w:rPr>
            </w:pPr>
            <w:r>
              <w:rPr>
                <w:rFonts w:ascii="Arial" w:cs="Arial" w:eastAsia="Arial" w:hAnsi="Arial"/>
                <w:sz w:val="18"/>
                <w:szCs w:val="18"/>
                <w:color w:val="auto"/>
              </w:rPr>
              <w:t>Net operating loss carryforwards</w:t>
            </w:r>
          </w:p>
        </w:tc>
        <w:tc>
          <w:tcPr>
            <w:tcW w:w="14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3"/>
        </w:trPr>
        <w:tc>
          <w:tcPr>
            <w:tcW w:w="842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long-term debt</w:t>
            </w:r>
          </w:p>
        </w:tc>
        <w:tc>
          <w:tcPr>
            <w:tcW w:w="14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109</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8420" w:type="dxa"/>
            <w:vAlign w:val="bottom"/>
          </w:tcPr>
          <w:p>
            <w:pPr>
              <w:ind w:left="220"/>
              <w:spacing w:after="0" w:line="202" w:lineRule="exact"/>
              <w:rPr>
                <w:sz w:val="20"/>
                <w:szCs w:val="20"/>
                <w:color w:val="auto"/>
              </w:rPr>
            </w:pPr>
            <w:r>
              <w:rPr>
                <w:rFonts w:ascii="Arial" w:cs="Arial" w:eastAsia="Arial" w:hAnsi="Arial"/>
                <w:sz w:val="18"/>
                <w:szCs w:val="18"/>
                <w:color w:val="auto"/>
              </w:rPr>
              <w:t>Nondeductible accruals and other</w:t>
            </w:r>
          </w:p>
        </w:tc>
        <w:tc>
          <w:tcPr>
            <w:tcW w:w="14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1,771</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Valuation allowance</w:t>
            </w:r>
          </w:p>
        </w:tc>
        <w:tc>
          <w:tcPr>
            <w:tcW w:w="1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355</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96"/>
        </w:trPr>
        <w:tc>
          <w:tcPr>
            <w:tcW w:w="8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199"/>
        </w:trPr>
        <w:tc>
          <w:tcPr>
            <w:tcW w:w="8420" w:type="dxa"/>
            <w:vAlign w:val="bottom"/>
          </w:tcPr>
          <w:p>
            <w:pPr>
              <w:spacing w:after="0" w:line="200" w:lineRule="exact"/>
              <w:rPr>
                <w:sz w:val="20"/>
                <w:szCs w:val="20"/>
                <w:color w:val="auto"/>
              </w:rPr>
            </w:pPr>
            <w:r>
              <w:rPr>
                <w:rFonts w:ascii="Arial" w:cs="Arial" w:eastAsia="Arial" w:hAnsi="Arial"/>
                <w:sz w:val="18"/>
                <w:szCs w:val="18"/>
                <w:color w:val="auto"/>
              </w:rPr>
              <w:t>Deferred Tax Liabilities:</w:t>
            </w:r>
          </w:p>
        </w:tc>
        <w:tc>
          <w:tcPr>
            <w:tcW w:w="1420" w:type="dxa"/>
            <w:vAlign w:val="bottom"/>
          </w:tcPr>
          <w:p>
            <w:pPr>
              <w:spacing w:after="0"/>
              <w:rPr>
                <w:sz w:val="17"/>
                <w:szCs w:val="17"/>
                <w:color w:val="auto"/>
              </w:rPr>
            </w:pPr>
          </w:p>
        </w:tc>
        <w:tc>
          <w:tcPr>
            <w:tcW w:w="7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w w:val="98"/>
              </w:rPr>
              <w:t>29,185</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420" w:type="dxa"/>
            <w:vAlign w:val="bottom"/>
          </w:tcPr>
          <w:p>
            <w:pPr>
              <w:ind w:left="220"/>
              <w:spacing w:after="0" w:line="181" w:lineRule="exact"/>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14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w w:val="98"/>
              </w:rPr>
              <w:t>29,185</w:t>
            </w:r>
          </w:p>
        </w:tc>
        <w:tc>
          <w:tcPr>
            <w:tcW w:w="0" w:type="dxa"/>
            <w:vAlign w:val="bottom"/>
          </w:tcPr>
          <w:p>
            <w:pPr>
              <w:spacing w:after="0"/>
              <w:rPr>
                <w:sz w:val="1"/>
                <w:szCs w:val="1"/>
                <w:color w:val="auto"/>
              </w:rPr>
            </w:pPr>
          </w:p>
        </w:tc>
      </w:tr>
      <w:tr>
        <w:trPr>
          <w:trHeight w:val="203"/>
        </w:trPr>
        <w:tc>
          <w:tcPr>
            <w:tcW w:w="842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investments</w:t>
            </w:r>
          </w:p>
        </w:tc>
        <w:tc>
          <w:tcPr>
            <w:tcW w:w="14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848</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3"/>
        </w:trPr>
        <w:tc>
          <w:tcPr>
            <w:tcW w:w="842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indexed debt securities</w:t>
            </w:r>
          </w:p>
        </w:tc>
        <w:tc>
          <w:tcPr>
            <w:tcW w:w="14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587</w:t>
            </w:r>
          </w:p>
        </w:tc>
        <w:tc>
          <w:tcPr>
            <w:tcW w:w="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Differences between book and tax outside basis of NBCUniversal</w:t>
            </w:r>
          </w:p>
        </w:tc>
        <w:tc>
          <w:tcPr>
            <w:tcW w:w="1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1,413</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196"/>
        </w:trPr>
        <w:tc>
          <w:tcPr>
            <w:tcW w:w="8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w w:val="98"/>
              </w:rPr>
              <w:t>32,033</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31,575</w:t>
            </w:r>
          </w:p>
        </w:tc>
        <w:tc>
          <w:tcPr>
            <w:tcW w:w="0" w:type="dxa"/>
            <w:vAlign w:val="bottom"/>
          </w:tcPr>
          <w:p>
            <w:pPr>
              <w:spacing w:after="0"/>
              <w:rPr>
                <w:sz w:val="1"/>
                <w:szCs w:val="1"/>
                <w:color w:val="auto"/>
              </w:rPr>
            </w:pPr>
          </w:p>
        </w:tc>
      </w:tr>
      <w:tr>
        <w:trPr>
          <w:trHeight w:val="196"/>
        </w:trPr>
        <w:tc>
          <w:tcPr>
            <w:tcW w:w="842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Net deferred tax liability</w:t>
            </w:r>
          </w:p>
        </w:tc>
        <w:tc>
          <w:tcPr>
            <w:tcW w:w="14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b w:val="1"/>
                <w:bCs w:val="1"/>
                <w:color w:val="auto"/>
                <w:w w:val="98"/>
              </w:rPr>
              <w:t>30,017</w:t>
            </w:r>
          </w:p>
        </w:tc>
        <w:tc>
          <w:tcPr>
            <w:tcW w:w="2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w w:val="98"/>
              </w:rPr>
              <w:t>29,707</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Changes in net deferred income tax liabilities in 2012 that were not recorded as deferred income tax expense are primarily related to increases of $99 million associated with items included in other comprehensive income (loss) and $66 million of increases related to acquisitions made in 2012. We accrued deferred tax expense of $77 million for our allocable share of NBCUniversal’s undistributed foreign income. Our net deferred tax liability includes $23 billion related to cable franchise rights that will remain unchanged unless we recognize an impairment or dispose of a cable franchise.</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Net deferred tax assets included in current assets are primarily related to our current investments and current liabilities. As of December 31, 2012, we had federal net operating loss carryforwards of $158 million and vari-</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108</w:t>
            </w: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ous state net operating loss carryforwards that expire in periods through 2032. As of December 31, 2012, we also had foreign net operating loss carryforwards of $311 million that are related to the foreign operations of NBCUniversal, the majority of which expire in periods through 2021. The determination of the realization of the state and foreign net operating loss carryforwards is dependent on our subsidiaries’ taxable income or loss, apportionment percentages, and state and foreign laws that can change from year to year and impact the amount of such carryforwards. We recognize a valuation allowance if we determine it is more likely than not that some portion, or all, of a deferred tax asset will not be realized. As of December 31, 2012 and 2011, our valuation allowance was related primarily to state and foreign net operating loss carryforwards. In 2012, 2011 and 2010, income tax expense attributable to share-based compensation of $164 million, $38 million and $3 million, respectively, was allocated to shareholders’ equity.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uncertain tax positions as of December 31, 2012 totaled $1.6 billion, which excludes the federal benefits on state tax positions that were recorded as deferred income taxes, including $32 million related to tax positions of NBCUniversal for which we have been indemnified by GE. If we were to recognize the tax benefit for our uncertain tax positions in the future, $1.2 billion would impact our effective tax rate and the remaining amount would increase our deferred income tax liability. The amount and timing of the recognition of any such tax benefit is dependent on the completion of our tax examinations and the expiration of statutes of limitation. A majority of the amount of our uncertain tax positions relates to positions taken in years before 2007.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3E499A"/>
        </w:rPr>
        <w:t>Reconciliation of Unrecognized Tax Benefits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2011</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r>
      <w:tr>
        <w:trPr>
          <w:trHeight w:val="177"/>
        </w:trPr>
        <w:tc>
          <w:tcPr>
            <w:tcW w:w="6820" w:type="dxa"/>
            <w:vAlign w:val="bottom"/>
          </w:tcPr>
          <w:p>
            <w:pPr>
              <w:spacing w:after="0" w:line="177" w:lineRule="exact"/>
              <w:rPr>
                <w:sz w:val="20"/>
                <w:szCs w:val="20"/>
                <w:color w:val="auto"/>
              </w:rPr>
            </w:pPr>
            <w:r>
              <w:rPr>
                <w:rFonts w:ascii="Arial" w:cs="Arial" w:eastAsia="Arial" w:hAnsi="Arial"/>
                <w:sz w:val="18"/>
                <w:szCs w:val="18"/>
                <w:color w:val="auto"/>
              </w:rPr>
              <w:t>Balance, January 1</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$ 1,435</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$ 1,251</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$ 1,185</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154</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87</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 prior years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79</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75</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from acquired subsidiaries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57</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due to expiration of statute of limitations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21"/>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Settlements with taxing authorities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682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Balance, December 31</w:t>
            </w:r>
          </w:p>
        </w:tc>
        <w:tc>
          <w:tcPr>
            <w:tcW w:w="298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$ 1,573</w:t>
            </w:r>
          </w:p>
        </w:tc>
        <w:tc>
          <w:tcPr>
            <w:tcW w:w="82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color w:val="auto"/>
              </w:rPr>
              <w:t>$ 1,435</w:t>
            </w:r>
          </w:p>
        </w:tc>
        <w:tc>
          <w:tcPr>
            <w:tcW w:w="80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$ 1,251</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2012 and 2011, our accrued interest associated with tax positions was $721 million and $698 million, respectively. As of December 31, 2012 and 2011, $11 million and $10 million, respectively, of these amounts were related to tax positions of NBCUniversal for which we have been indemnified by GE.</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IRS is examining our 2009 through 2012 tax returns. The IRS completed its examination of our income tax returns for the years 2000 through 2008 and proposed adjustments that relate primarily to certain financing transactions, which we disputed. We effectively settled the dispute related to these transactions in February 2013. This settlement will not have a material impact on our effective tax rate.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Various states are examining our tax returns through 2010. The tax years of our state tax returns currently under examination vary by state. The majority of the periods under examination relate to tax years 2000 and forward, with a select few dating back to 1993.</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It is reasonably possible that certain statutes of limitation for the years 2000-2006 will expire within the next 12 months that could result in a decrease to our uncertain tax positions related to those periods.</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109</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16: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E499A"/>
        </w:rPr>
        <w:t>Receivables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6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r>
      <w:tr>
        <w:trPr>
          <w:trHeight w:val="177"/>
        </w:trPr>
        <w:tc>
          <w:tcPr>
            <w:tcW w:w="6980" w:type="dxa"/>
            <w:vAlign w:val="bottom"/>
          </w:tcPr>
          <w:p>
            <w:pPr>
              <w:spacing w:after="0" w:line="177" w:lineRule="exact"/>
              <w:rPr>
                <w:sz w:val="20"/>
                <w:szCs w:val="20"/>
                <w:color w:val="auto"/>
              </w:rPr>
            </w:pPr>
            <w:r>
              <w:rPr>
                <w:rFonts w:ascii="Arial" w:cs="Arial" w:eastAsia="Arial" w:hAnsi="Arial"/>
                <w:sz w:val="18"/>
                <w:szCs w:val="18"/>
                <w:color w:val="auto"/>
              </w:rPr>
              <w:t>Receivables, gross</w:t>
            </w:r>
          </w:p>
        </w:tc>
        <w:tc>
          <w:tcPr>
            <w:tcW w:w="3640" w:type="dxa"/>
            <w:vAlign w:val="bottom"/>
          </w:tcPr>
          <w:p>
            <w:pPr>
              <w:jc w:val="right"/>
              <w:ind w:right="56"/>
              <w:spacing w:after="0" w:line="177" w:lineRule="exact"/>
              <w:rPr>
                <w:sz w:val="20"/>
                <w:szCs w:val="20"/>
                <w:color w:val="auto"/>
              </w:rPr>
            </w:pPr>
            <w:r>
              <w:rPr>
                <w:rFonts w:ascii="Arial" w:cs="Arial" w:eastAsia="Arial" w:hAnsi="Arial"/>
                <w:sz w:val="18"/>
                <w:szCs w:val="18"/>
                <w:b w:val="1"/>
                <w:bCs w:val="1"/>
                <w:color w:val="auto"/>
              </w:rPr>
              <w:t>$ 6,026</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$ 5,279</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364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307</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r>
      <w:tr>
        <w:trPr>
          <w:trHeight w:val="221"/>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36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198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196"/>
        </w:trPr>
        <w:tc>
          <w:tcPr>
            <w:tcW w:w="69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Receivables, net</w:t>
            </w:r>
          </w:p>
        </w:tc>
        <w:tc>
          <w:tcPr>
            <w:tcW w:w="3640" w:type="dxa"/>
            <w:vAlign w:val="bottom"/>
            <w:tcBorders>
              <w:bottom w:val="single" w:sz="8" w:color="3E499A"/>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$ 5,521</w:t>
            </w:r>
          </w:p>
        </w:tc>
        <w:tc>
          <w:tcPr>
            <w:tcW w:w="8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$ 4,652</w:t>
            </w:r>
          </w:p>
        </w:tc>
      </w:tr>
    </w:tbl>
    <w:p>
      <w:pPr>
        <w:spacing w:after="0" w:line="165"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In addition to the amounts in the table above, noncurrent receivables, net of $641 million and $684 million, as of December 31, 2012 and 2011, respectively, are included in other noncurrent assets, net that primarily related to the licensing of our television and film productions to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3E499A"/>
        </w:rPr>
        <w:t>Cash Payments for Interest and Income Taxes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r>
      <w:tr>
        <w:trPr>
          <w:trHeight w:val="177"/>
        </w:trPr>
        <w:tc>
          <w:tcPr>
            <w:tcW w:w="5740" w:type="dxa"/>
            <w:vAlign w:val="bottom"/>
          </w:tcPr>
          <w:p>
            <w:pPr>
              <w:spacing w:after="0" w:line="177" w:lineRule="exact"/>
              <w:rPr>
                <w:sz w:val="20"/>
                <w:szCs w:val="20"/>
                <w:color w:val="auto"/>
              </w:rPr>
            </w:pPr>
            <w:r>
              <w:rPr>
                <w:rFonts w:ascii="Arial" w:cs="Arial" w:eastAsia="Arial" w:hAnsi="Arial"/>
                <w:sz w:val="18"/>
                <w:szCs w:val="18"/>
                <w:color w:val="auto"/>
              </w:rPr>
              <w:t>Interest</w:t>
            </w:r>
          </w:p>
        </w:tc>
        <w:tc>
          <w:tcPr>
            <w:tcW w:w="41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$ 2,314</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$ 2,441</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$ 1,983</w:t>
            </w:r>
          </w:p>
        </w:tc>
      </w:tr>
      <w:tr>
        <w:trPr>
          <w:trHeight w:val="221"/>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4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$ 2,841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$ 1,626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$ 1,864</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During 2012:</w:t>
      </w:r>
    </w:p>
    <w:p>
      <w:pPr>
        <w:spacing w:after="0" w:line="117" w:lineRule="exact"/>
        <w:rPr>
          <w:sz w:val="20"/>
          <w:szCs w:val="20"/>
          <w:color w:val="auto"/>
        </w:rPr>
      </w:pPr>
    </w:p>
    <w:p>
      <w:pPr>
        <w:ind w:left="1020" w:hanging="215"/>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acquired $757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NBCUniversal acquired control of MSNBC.com, in which the fair value of its previously held equity interest in MSNBC.com was accounted for as noncash consideration in the application of acquisition accounting</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NBCUniversal contributed certain assets to acquire control of a previously held equity method investment in Brazil, and the fair value of its previously held equity interest was accounted for as noncash consideration in the application of acquisition accounting</w:t>
      </w:r>
    </w:p>
    <w:p>
      <w:pPr>
        <w:spacing w:after="0" w:line="11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recorded a liability of $430 million for a quarterly cash dividend of $0.1625 per common share paid in January 2013</w:t>
      </w:r>
    </w:p>
    <w:p>
      <w:pPr>
        <w:spacing w:after="0" w:line="114"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NBCUniversal entered into a capital lease transaction that resulted in an increase in property and equipment and debt of $85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2011:</w:t>
      </w:r>
    </w:p>
    <w:p>
      <w:pPr>
        <w:spacing w:after="0" w:line="117" w:lineRule="exact"/>
        <w:rPr>
          <w:sz w:val="20"/>
          <w:szCs w:val="20"/>
          <w:color w:val="auto"/>
        </w:rPr>
      </w:pPr>
    </w:p>
    <w:p>
      <w:pPr>
        <w:ind w:left="1020" w:right="1240" w:hanging="215"/>
        <w:spacing w:after="0" w:line="23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acquired 51% of NBCUniversal Holdings on January 28, 2011, for cash and a 49% interest in the Comcast Content Business (see Note 4 for additional information on the NBCUniversal transaction)</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fair value of NBCUniversal’s previously held equity interest in Universal Orlando was accounted for as noncash consideration in the application of acquisition accounting for the Universal Orlando transaction (see Note 4 for additional information on the Universal Orlando transaction)</w:t>
      </w:r>
    </w:p>
    <w:p>
      <w:pPr>
        <w:spacing w:after="0" w:line="113" w:lineRule="exact"/>
        <w:rPr>
          <w:rFonts w:ascii="Arial" w:cs="Arial" w:eastAsia="Arial" w:hAnsi="Arial"/>
          <w:sz w:val="18"/>
          <w:szCs w:val="18"/>
          <w:color w:val="auto"/>
        </w:rPr>
      </w:pPr>
    </w:p>
    <w:p>
      <w:pPr>
        <w:ind w:left="1020" w:hanging="21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acquired $1 billion of property and equipment and intangible assets that were accrued but unpaid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110</w:t>
            </w: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020" w:right="1260" w:hanging="215"/>
        <w:spacing w:after="0" w:line="23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recorded a liability of $305 million for a quarterly cash dividend of $0.1125 per common share paid in January 2012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2010:</w:t>
      </w:r>
    </w:p>
    <w:p>
      <w:pPr>
        <w:spacing w:after="0" w:line="117" w:lineRule="exact"/>
        <w:rPr>
          <w:sz w:val="20"/>
          <w:szCs w:val="20"/>
          <w:color w:val="auto"/>
        </w:rPr>
      </w:pPr>
    </w:p>
    <w:p>
      <w:pPr>
        <w:ind w:left="1020" w:hanging="21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acquired $611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recorded a liability of $263 million for a quarterly cash dividend of $0.0945 per common share paid in January 2011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17: Receivables Monetization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monetizes certain of its accounts receivable under programs with a syndicate of banks. 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included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December 31, 2012.</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is responsible for servicing the receivables and remitting collections to the purchasers under the monetization programs. NBCUniversal performs this service for a fee that is equal to the prevailing market rate for such services. As a result, no servicing asset or liability has been recorded on our consolidated balance sheet as of December 31, 2012 and 2011. These servicing fees are a component of net (loss) gain on sale, which is presented in the table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3E499A"/>
        </w:rPr>
        <w:t>Effect on Income from Receivables Monetization and Cash Flows on Transfers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rPr>
              <w:t>2011</w:t>
            </w:r>
          </w:p>
        </w:tc>
      </w:tr>
      <w:tr>
        <w:trPr>
          <w:trHeight w:val="177"/>
        </w:trPr>
        <w:tc>
          <w:tcPr>
            <w:tcW w:w="6840" w:type="dxa"/>
            <w:vAlign w:val="bottom"/>
          </w:tcPr>
          <w:p>
            <w:pPr>
              <w:spacing w:after="0" w:line="177" w:lineRule="exact"/>
              <w:rPr>
                <w:sz w:val="20"/>
                <w:szCs w:val="20"/>
                <w:color w:val="auto"/>
              </w:rPr>
            </w:pPr>
            <w:r>
              <w:rPr>
                <w:rFonts w:ascii="Arial" w:cs="Arial" w:eastAsia="Arial" w:hAnsi="Arial"/>
                <w:sz w:val="18"/>
                <w:szCs w:val="18"/>
                <w:color w:val="auto"/>
              </w:rPr>
              <w:t>Interest (expense)</w:t>
            </w:r>
          </w:p>
        </w:tc>
        <w:tc>
          <w:tcPr>
            <w:tcW w:w="34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(12)</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7"/>
              <w:spacing w:after="0" w:line="177" w:lineRule="exact"/>
              <w:rPr>
                <w:sz w:val="20"/>
                <w:szCs w:val="20"/>
                <w:color w:val="auto"/>
              </w:rPr>
            </w:pPr>
            <w:r>
              <w:rPr>
                <w:rFonts w:ascii="Arial" w:cs="Arial" w:eastAsia="Arial" w:hAnsi="Arial"/>
                <w:sz w:val="18"/>
                <w:szCs w:val="18"/>
                <w:color w:val="auto"/>
              </w:rPr>
              <w:t>—</w:t>
            </w:r>
          </w:p>
        </w:tc>
      </w:tr>
      <w:tr>
        <w:trPr>
          <w:trHeight w:val="203"/>
        </w:trPr>
        <w:tc>
          <w:tcPr>
            <w:tcW w:w="6840" w:type="dxa"/>
            <w:vAlign w:val="bottom"/>
          </w:tcPr>
          <w:p>
            <w:pPr>
              <w:spacing w:after="0" w:line="203" w:lineRule="exact"/>
              <w:rPr>
                <w:sz w:val="20"/>
                <w:szCs w:val="20"/>
                <w:color w:val="auto"/>
              </w:rPr>
            </w:pPr>
            <w:r>
              <w:rPr>
                <w:rFonts w:ascii="Arial" w:cs="Arial" w:eastAsia="Arial" w:hAnsi="Arial"/>
                <w:sz w:val="18"/>
                <w:szCs w:val="18"/>
                <w:color w:val="auto"/>
              </w:rPr>
              <w:t>Net (loss) gain on sale</w:t>
            </w:r>
            <w:r>
              <w:rPr>
                <w:rFonts w:ascii="Arial" w:cs="Arial" w:eastAsia="Arial" w:hAnsi="Arial"/>
                <w:sz w:val="22"/>
                <w:szCs w:val="22"/>
                <w:color w:val="auto"/>
                <w:vertAlign w:val="superscript"/>
              </w:rPr>
              <w:t>(a)</w:t>
            </w:r>
          </w:p>
        </w:tc>
        <w:tc>
          <w:tcPr>
            <w:tcW w:w="3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21"/>
        </w:trPr>
        <w:tc>
          <w:tcPr>
            <w:tcW w:w="684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22"/>
                <w:szCs w:val="22"/>
                <w:color w:val="auto"/>
                <w:vertAlign w:val="superscript"/>
              </w:rPr>
              <w:t>(b)</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bl>
    <w:p>
      <w:pPr>
        <w:spacing w:after="0" w:line="67" w:lineRule="exact"/>
        <w:rPr>
          <w:sz w:val="20"/>
          <w:szCs w:val="20"/>
          <w:color w:val="auto"/>
        </w:rPr>
      </w:pPr>
    </w:p>
    <w:p>
      <w:pPr>
        <w:ind w:left="300" w:hanging="292"/>
        <w:spacing w:after="0"/>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Net (loss) gain on sale is included in other income (expense), net in our consolidated statement of income.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Net cash proceeds (payments) on transfers are included within net cash provided by operating activities in our consolidated statement of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E499A"/>
        </w:rPr>
        <w:t>Receivables Monetized and Deferred Consideration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r>
      <w:tr>
        <w:trPr>
          <w:trHeight w:val="177"/>
        </w:trPr>
        <w:tc>
          <w:tcPr>
            <w:tcW w:w="6160" w:type="dxa"/>
            <w:vAlign w:val="bottom"/>
          </w:tcPr>
          <w:p>
            <w:pPr>
              <w:spacing w:after="0" w:line="177" w:lineRule="exact"/>
              <w:rPr>
                <w:sz w:val="20"/>
                <w:szCs w:val="20"/>
                <w:color w:val="auto"/>
              </w:rPr>
            </w:pPr>
            <w:r>
              <w:rPr>
                <w:rFonts w:ascii="Arial" w:cs="Arial" w:eastAsia="Arial" w:hAnsi="Arial"/>
                <w:sz w:val="18"/>
                <w:szCs w:val="18"/>
                <w:color w:val="auto"/>
              </w:rPr>
              <w:t>Monetized receivables sold</w:t>
            </w:r>
          </w:p>
        </w:tc>
        <w:tc>
          <w:tcPr>
            <w:tcW w:w="4620" w:type="dxa"/>
            <w:vAlign w:val="bottom"/>
          </w:tcPr>
          <w:p>
            <w:pPr>
              <w:jc w:val="right"/>
              <w:ind w:right="59"/>
              <w:spacing w:after="0" w:line="177" w:lineRule="exact"/>
              <w:rPr>
                <w:sz w:val="20"/>
                <w:szCs w:val="20"/>
                <w:color w:val="auto"/>
              </w:rPr>
            </w:pPr>
            <w:r>
              <w:rPr>
                <w:rFonts w:ascii="Arial" w:cs="Arial" w:eastAsia="Arial" w:hAnsi="Arial"/>
                <w:sz w:val="18"/>
                <w:szCs w:val="18"/>
                <w:b w:val="1"/>
                <w:bCs w:val="1"/>
                <w:color w:val="auto"/>
              </w:rPr>
              <w:t>$ 791</w:t>
            </w: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$ 961</w:t>
            </w:r>
          </w:p>
        </w:tc>
      </w:tr>
      <w:tr>
        <w:trPr>
          <w:trHeight w:val="221"/>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46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$ 274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$ 268</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amounts presented above, we had $882 million and $781 million payable to our monetization programs as of December 31, 2012 and 2011, respectively. These amounts represent cash receipts that were not yet remitted to the monetization programs as of the balance sheet date and are recorded to accounts payable and accrued expenses related to trade creditors.</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111</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18: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enters into long-term commitments with third parties in the ordinary course of its business, including commitments to acquire film and television programming, take-or-pay creative talent and employment agreements, and various other television-related commitments. Many of NBCUniversal’s employees, including writers, directors, actors, technical and production personnel, and others, as well as some of its on-air and creative talent, are covered by collective bargaining agreements or works councils. As of December 31, 2012, the total number of NBCUniversal full-time, part-time and hourly employees on its payroll covered by collective bargaining agreements was 6,700 full-time equivalent employees. Of this total, approximately 18% of these full-time equivalent employees were covered by collective bargaining agreements that have expired or are scheduled to expire during 2013.</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through Comcast-Spectacor, have employment agreements with both players and coaches of the Philadelphia Flyers. Certain of these employment agreements, which provide for payments that are guaranteed regardless of employee injury or termination, are covered by disability insurance if certain conditions are met.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table below summarizes our minimum annual programming and talent commitments and our minimum annual rental commitments for office space, equipment and transponder service agreements under operating leases. Programming and talent commitments include acquired film and television programming, including U.S. television rights to the future Olympic Games through 2020, </w:t>
      </w:r>
      <w:r>
        <w:rPr>
          <w:rFonts w:ascii="Arial" w:cs="Arial" w:eastAsia="Arial" w:hAnsi="Arial"/>
          <w:sz w:val="18"/>
          <w:szCs w:val="18"/>
          <w:i w:val="1"/>
          <w:iCs w:val="1"/>
          <w:color w:val="auto"/>
        </w:rPr>
        <w:t>Sunday Night Football</w:t>
      </w:r>
      <w:r>
        <w:rPr>
          <w:rFonts w:ascii="Arial" w:cs="Arial" w:eastAsia="Arial" w:hAnsi="Arial"/>
          <w:sz w:val="18"/>
          <w:szCs w:val="18"/>
          <w:color w:val="auto"/>
        </w:rPr>
        <w:t xml:space="preserve"> on NBC through the 2022-23 season, and other programming commitments, as well as our various contracts with creative talent and employment agreements under take-or-pay contracts.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jc w:val="right"/>
              <w:ind w:right="75"/>
              <w:spacing w:after="0"/>
              <w:rPr>
                <w:sz w:val="20"/>
                <w:szCs w:val="20"/>
                <w:color w:val="auto"/>
              </w:rPr>
            </w:pPr>
            <w:r>
              <w:rPr>
                <w:rFonts w:ascii="Arial" w:cs="Arial" w:eastAsia="Arial" w:hAnsi="Arial"/>
                <w:sz w:val="14"/>
                <w:szCs w:val="14"/>
                <w:color w:val="auto"/>
                <w:w w:val="97"/>
              </w:rPr>
              <w:t>Programming and</w:t>
            </w:r>
          </w:p>
        </w:tc>
        <w:tc>
          <w:tcPr>
            <w:tcW w:w="820" w:type="dxa"/>
            <w:vAlign w:val="bottom"/>
            <w:gridSpan w:val="2"/>
          </w:tcPr>
          <w:p>
            <w:pPr>
              <w:ind w:left="180"/>
              <w:spacing w:after="0"/>
              <w:rPr>
                <w:sz w:val="20"/>
                <w:szCs w:val="20"/>
                <w:color w:val="auto"/>
              </w:rPr>
            </w:pPr>
            <w:r>
              <w:rPr>
                <w:rFonts w:ascii="Arial" w:cs="Arial" w:eastAsia="Arial" w:hAnsi="Arial"/>
                <w:sz w:val="14"/>
                <w:szCs w:val="14"/>
                <w:color w:val="auto"/>
              </w:rPr>
              <w:t>Operating</w:t>
            </w:r>
          </w:p>
        </w:tc>
      </w:tr>
      <w:tr>
        <w:trPr>
          <w:trHeight w:val="149"/>
        </w:trPr>
        <w:tc>
          <w:tcPr>
            <w:tcW w:w="57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2012 (in millions)</w:t>
            </w:r>
          </w:p>
        </w:tc>
        <w:tc>
          <w:tcPr>
            <w:tcW w:w="4860" w:type="dxa"/>
            <w:vAlign w:val="bottom"/>
            <w:tcBorders>
              <w:bottom w:val="single" w:sz="8" w:color="auto"/>
            </w:tcBorders>
            <w:gridSpan w:val="2"/>
          </w:tcPr>
          <w:p>
            <w:pPr>
              <w:ind w:left="3480"/>
              <w:spacing w:after="0" w:line="149" w:lineRule="exact"/>
              <w:rPr>
                <w:sz w:val="20"/>
                <w:szCs w:val="20"/>
                <w:color w:val="auto"/>
              </w:rPr>
            </w:pPr>
            <w:r>
              <w:rPr>
                <w:rFonts w:ascii="Arial" w:cs="Arial" w:eastAsia="Arial" w:hAnsi="Arial"/>
                <w:sz w:val="14"/>
                <w:szCs w:val="14"/>
                <w:color w:val="auto"/>
              </w:rPr>
              <w:t>Talent Commitments</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Leases</w:t>
            </w:r>
          </w:p>
        </w:tc>
      </w:tr>
      <w:tr>
        <w:trPr>
          <w:trHeight w:val="199"/>
        </w:trPr>
        <w:tc>
          <w:tcPr>
            <w:tcW w:w="5740" w:type="dxa"/>
            <w:vAlign w:val="bottom"/>
          </w:tcPr>
          <w:p>
            <w:pPr>
              <w:spacing w:after="0" w:line="200" w:lineRule="exact"/>
              <w:rPr>
                <w:sz w:val="20"/>
                <w:szCs w:val="20"/>
                <w:color w:val="auto"/>
              </w:rPr>
            </w:pPr>
            <w:r>
              <w:rPr>
                <w:rFonts w:ascii="Arial" w:cs="Arial" w:eastAsia="Arial" w:hAnsi="Arial"/>
                <w:sz w:val="18"/>
                <w:szCs w:val="18"/>
                <w:color w:val="auto"/>
              </w:rPr>
              <w:t>2013</w:t>
            </w:r>
          </w:p>
        </w:tc>
        <w:tc>
          <w:tcPr>
            <w:tcW w:w="3600" w:type="dxa"/>
            <w:vAlign w:val="bottom"/>
          </w:tcPr>
          <w:p>
            <w:pPr>
              <w:ind w:left="3460"/>
              <w:spacing w:after="0" w:line="200"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0" w:lineRule="exact"/>
              <w:rPr>
                <w:sz w:val="20"/>
                <w:szCs w:val="20"/>
                <w:color w:val="auto"/>
              </w:rPr>
            </w:pPr>
            <w:r>
              <w:rPr>
                <w:rFonts w:ascii="Arial" w:cs="Arial" w:eastAsia="Arial" w:hAnsi="Arial"/>
                <w:sz w:val="18"/>
                <w:szCs w:val="18"/>
                <w:color w:val="auto"/>
              </w:rPr>
              <w:t>3,789</w:t>
            </w:r>
          </w:p>
        </w:tc>
        <w:tc>
          <w:tcPr>
            <w:tcW w:w="30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497</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3600" w:type="dxa"/>
            <w:vAlign w:val="bottom"/>
          </w:tcPr>
          <w:p>
            <w:pPr>
              <w:ind w:left="34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3,495</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439</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3600" w:type="dxa"/>
            <w:vAlign w:val="bottom"/>
          </w:tcPr>
          <w:p>
            <w:pPr>
              <w:ind w:left="34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2,301</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3600" w:type="dxa"/>
            <w:vAlign w:val="bottom"/>
          </w:tcPr>
          <w:p>
            <w:pPr>
              <w:ind w:left="34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3,291</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3600" w:type="dxa"/>
            <w:vAlign w:val="bottom"/>
          </w:tcPr>
          <w:p>
            <w:pPr>
              <w:ind w:left="34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2,078</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r>
      <w:tr>
        <w:trPr>
          <w:trHeight w:val="199"/>
        </w:trPr>
        <w:tc>
          <w:tcPr>
            <w:tcW w:w="57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3600" w:type="dxa"/>
            <w:vAlign w:val="bottom"/>
            <w:tcBorders>
              <w:bottom w:val="single" w:sz="8" w:color="auto"/>
            </w:tcBorders>
          </w:tcPr>
          <w:p>
            <w:pPr>
              <w:ind w:left="3460"/>
              <w:spacing w:after="0" w:line="20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15,478</w:t>
            </w:r>
          </w:p>
        </w:tc>
        <w:tc>
          <w:tcPr>
            <w:tcW w:w="30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7"/>
              </w:rPr>
              <w:t>1,218</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rental expense charged to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2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2011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r>
      <w:tr>
        <w:trPr>
          <w:trHeight w:val="196"/>
        </w:trPr>
        <w:tc>
          <w:tcPr>
            <w:tcW w:w="5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Rental expense</w:t>
            </w:r>
          </w:p>
        </w:tc>
        <w:tc>
          <w:tcPr>
            <w:tcW w:w="4240" w:type="dxa"/>
            <w:vAlign w:val="bottom"/>
            <w:tcBorders>
              <w:bottom w:val="single" w:sz="8" w:color="auto"/>
            </w:tcBorders>
          </w:tcPr>
          <w:p>
            <w:pPr>
              <w:jc w:val="right"/>
              <w:ind w:right="2"/>
              <w:spacing w:after="0" w:line="196" w:lineRule="exact"/>
              <w:rPr>
                <w:sz w:val="20"/>
                <w:szCs w:val="20"/>
                <w:color w:val="auto"/>
              </w:rPr>
            </w:pPr>
            <w:r>
              <w:rPr>
                <w:rFonts w:ascii="Arial" w:cs="Arial" w:eastAsia="Arial" w:hAnsi="Arial"/>
                <w:sz w:val="18"/>
                <w:szCs w:val="18"/>
                <w:b w:val="1"/>
                <w:bCs w:val="1"/>
                <w:color w:val="auto"/>
              </w:rPr>
              <w:t>$ 688</w:t>
            </w:r>
          </w:p>
        </w:tc>
        <w:tc>
          <w:tcPr>
            <w:tcW w:w="620" w:type="dxa"/>
            <w:vAlign w:val="bottom"/>
            <w:tcBorders>
              <w:bottom w:val="single" w:sz="8" w:color="auto"/>
            </w:tcBorders>
          </w:tcPr>
          <w:p>
            <w:pPr>
              <w:jc w:val="right"/>
              <w:ind w:right="2"/>
              <w:spacing w:after="0" w:line="196" w:lineRule="exact"/>
              <w:rPr>
                <w:sz w:val="20"/>
                <w:szCs w:val="20"/>
                <w:color w:val="auto"/>
              </w:rPr>
            </w:pPr>
            <w:r>
              <w:rPr>
                <w:rFonts w:ascii="Arial" w:cs="Arial" w:eastAsia="Arial" w:hAnsi="Arial"/>
                <w:sz w:val="18"/>
                <w:szCs w:val="18"/>
                <w:color w:val="auto"/>
              </w:rPr>
              <w:t>$ 570</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$ 424</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3E499A"/>
        </w:rPr>
        <w:t>Station Venture</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owns a 79.62% equity interest and a 50% voting interest in Station Venture Holdings, LLC (“Station Venture”), a VIE. The remaining equity interests in Station Venture are held by LIN TV, Corp. (“LIN TV”). Station Venture holds an indirect interest in the NBC owned local broadcast television stations in Dallas, Texas and San Diego, California through its ownership interests in Station Venture Operations, LP (“Station LP”), a less than wholly owned consolidated subsidiary of NBCUniversal. Station Venture is the obligor on an $816 million senior secured note that is due in 2023 to General Electric Capital Corporation (“GECC”), as servicer. The note is nonrecourse to NBCUniversal, guaranteed by LIN TV and collateralized by substantially all of the assets of Station Venture and Station LP. In connection with the NBCUniversal transaction, GE indemnified NBCUniversal for all liabilities NBCUniversal may incur as a result of any credit support, risk of loss or similar arrangement related to the senior secured note in existence prior to the closing of that trans-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112</w:t>
            </w: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action. We are not the primary beneficiary of, and accordingly do not consolidate, Station Venture. The carrying value of our equity method investment in Station Venture was zero as of December 31, 2012. Because the assets of Station LP serve as collateral for Station Venture’s $816 million senior secured note, we recorded a liability in other noncurrent liabilities in our allocation of purchase price in the NBCUniversal transaction, which represented the fair value of the net assets that collateralize the note. As of December 31, 2012, the liability recorded on our consolidated balance sheet was $482 million. In February 2013, we closed our agreement with GE, GECC and LIN TV under which NBCUniversal purchased the Station Venture senior secured note from GECC for $602 million, representing the agreed upon fair value of the assets of Station LP. As of the closing date of the transaction, the $482 million liability was effectively settled, Station Venture and Station LP became wholly owned subsidiaries of NBCUniversal, we now consolidate Station Venture and the Station Venture senior secured note was eliminated in consolidation. Due to the related party nature of this transaction, the excess of the purchase price of the note over the recorded amount of the liability is treated as a capital transaction.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3E499A"/>
        </w:rPr>
        <w:t>Antitrust Cases</w:t>
      </w:r>
    </w:p>
    <w:p>
      <w:pPr>
        <w:jc w:val="both"/>
        <w:spacing w:after="0" w:line="236" w:lineRule="auto"/>
        <w:rPr>
          <w:sz w:val="20"/>
          <w:szCs w:val="20"/>
          <w:color w:val="auto"/>
        </w:rPr>
      </w:pPr>
      <w:r>
        <w:rPr>
          <w:rFonts w:ascii="Arial" w:cs="Arial" w:eastAsia="Arial" w:hAnsi="Arial"/>
          <w:sz w:val="18"/>
          <w:szCs w:val="18"/>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and denied our petition for a rehearing en banc in September 2011. In March 2010, we moved for summary judgment dismissing all of the plaintiffs’ claims in the Philadelphia Cluster. In April 2012, the District Court issued a decision dismissing some of the plaintiffs’ claims, but allowing two claims to proceed to trial. The plaintiffs’ claims concerning the other two clusters are stayed pending determination of the Philadelphia Cluster claims. In June 2012, the U.S. Supreme Court granted our petition to review the Third Circuit Court of Appeals’ ruling, and oral arguments were held in November 2012. In September 2012, the trial court stayed all trial and pretrial proceedings pending resolution of the Supreme Court appeal.</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In March 2012, a panel of the Ninth Circuit Court of Appeals affirmed the District Court’s order. In April 2012, the plaintiffs filed a petition for a rehearing, which the Ninth Circuit denied in May 2012. In August 2012, the plaintiffs filed a petition for writ of certiorari with the U.S. Supreme Court, which was denied in November 2012.</w:t>
      </w:r>
    </w:p>
    <w:p>
      <w:pPr>
        <w:spacing w:after="0" w:line="200" w:lineRule="exact"/>
        <w:rPr>
          <w:sz w:val="20"/>
          <w:szCs w:val="20"/>
          <w:color w:val="auto"/>
        </w:rPr>
      </w:pPr>
    </w:p>
    <w:p>
      <w:pPr>
        <w:spacing w:after="0" w:line="305"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113</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 the plaintiffs’ claims and to stay the remaining claims pending arbitration.</w:t>
      </w:r>
    </w:p>
    <w:p>
      <w:pPr>
        <w:spacing w:after="0" w:line="34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 In June 2010, the Attorney General moved to sever and remand the portion of the claims seeking civil penalties and injunctive relief back to West Virginia state court. We filed a brief in opposition to the motion in July 2010.</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consolidated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3E499A"/>
        </w:rPr>
        <w:t>Other</w:t>
      </w:r>
    </w:p>
    <w:p>
      <w:pPr>
        <w:jc w:val="both"/>
        <w:spacing w:after="0" w:line="236"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19: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present our operations in five reportable business segments: Cable Communications, Cable Networks, Broadcast Television, Filmed Entertainment and Theme Parks. Our financial data by reportable business segment is presented in the tables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Operating</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Income (Loss)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Before</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Depreciation</w:t>
            </w:r>
          </w:p>
        </w:tc>
        <w:tc>
          <w:tcPr>
            <w:tcW w:w="340" w:type="dxa"/>
            <w:vAlign w:val="bottom"/>
          </w:tcPr>
          <w:p>
            <w:pPr>
              <w:spacing w:after="0"/>
              <w:rPr>
                <w:sz w:val="12"/>
                <w:szCs w:val="12"/>
                <w:color w:val="auto"/>
              </w:rPr>
            </w:pPr>
          </w:p>
        </w:tc>
        <w:tc>
          <w:tcPr>
            <w:tcW w:w="94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Depreciation</w:t>
            </w:r>
          </w:p>
        </w:tc>
        <w:tc>
          <w:tcPr>
            <w:tcW w:w="92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840" w:type="dxa"/>
            <w:vAlign w:val="bottom"/>
          </w:tcPr>
          <w:p>
            <w:pPr>
              <w:spacing w:after="0"/>
              <w:rPr>
                <w:sz w:val="10"/>
                <w:szCs w:val="10"/>
                <w:color w:val="auto"/>
              </w:rPr>
            </w:pPr>
          </w:p>
        </w:tc>
        <w:tc>
          <w:tcPr>
            <w:tcW w:w="2360" w:type="dxa"/>
            <w:vAlign w:val="bottom"/>
            <w:vMerge w:val="restart"/>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jc w:val="right"/>
              <w:spacing w:after="0" w:line="123" w:lineRule="exact"/>
              <w:rPr>
                <w:sz w:val="20"/>
                <w:szCs w:val="20"/>
                <w:color w:val="auto"/>
              </w:rPr>
            </w:pPr>
            <w:r>
              <w:rPr>
                <w:rFonts w:ascii="Arial" w:cs="Arial" w:eastAsia="Arial" w:hAnsi="Arial"/>
                <w:sz w:val="14"/>
                <w:szCs w:val="14"/>
                <w:color w:val="auto"/>
              </w:rPr>
              <w:t>and</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jc w:val="right"/>
              <w:ind w:right="14"/>
              <w:spacing w:after="0" w:line="123"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0"/>
                <w:szCs w:val="10"/>
                <w:color w:val="auto"/>
              </w:rPr>
            </w:pPr>
          </w:p>
        </w:tc>
        <w:tc>
          <w:tcPr>
            <w:tcW w:w="720" w:type="dxa"/>
            <w:vAlign w:val="bottom"/>
          </w:tcPr>
          <w:p>
            <w:pPr>
              <w:jc w:val="right"/>
              <w:ind w:right="77"/>
              <w:spacing w:after="0" w:line="123"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0"/>
                <w:szCs w:val="10"/>
                <w:color w:val="auto"/>
              </w:rPr>
            </w:pPr>
          </w:p>
        </w:tc>
        <w:tc>
          <w:tcPr>
            <w:tcW w:w="660" w:type="dxa"/>
            <w:vAlign w:val="bottom"/>
          </w:tcPr>
          <w:p>
            <w:pPr>
              <w:jc w:val="right"/>
              <w:ind w:right="34"/>
              <w:spacing w:after="0" w:line="123" w:lineRule="exact"/>
              <w:rPr>
                <w:sz w:val="20"/>
                <w:szCs w:val="20"/>
                <w:color w:val="auto"/>
              </w:rPr>
            </w:pPr>
            <w:r>
              <w:rPr>
                <w:rFonts w:ascii="Arial" w:cs="Arial" w:eastAsia="Arial" w:hAnsi="Arial"/>
                <w:sz w:val="14"/>
                <w:szCs w:val="14"/>
                <w:color w:val="auto"/>
              </w:rPr>
              <w:t>Capital</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3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gridSpan w:val="3"/>
          </w:tcPr>
          <w:p>
            <w:pPr>
              <w:jc w:val="right"/>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color w:val="auto"/>
              </w:rPr>
              <w:t>Amortization</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(Loss)</w:t>
            </w: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Expenditures</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840" w:type="dxa"/>
            <w:vAlign w:val="bottom"/>
          </w:tcPr>
          <w:p>
            <w:pPr>
              <w:spacing w:after="0" w:line="200" w:lineRule="exact"/>
              <w:rPr>
                <w:sz w:val="20"/>
                <w:szCs w:val="20"/>
                <w:color w:val="auto"/>
              </w:rPr>
            </w:pPr>
            <w:r>
              <w:rPr>
                <w:rFonts w:ascii="Arial" w:cs="Arial" w:eastAsia="Arial" w:hAnsi="Arial"/>
                <w:sz w:val="18"/>
                <w:szCs w:val="18"/>
                <w:b w:val="1"/>
                <w:bCs w:val="1"/>
                <w:color w:val="auto"/>
              </w:rPr>
              <w:t>2012</w:t>
            </w: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2"/>
                <w:szCs w:val="22"/>
                <w:color w:val="auto"/>
                <w:vertAlign w:val="superscript"/>
              </w:rPr>
              <w:t>(a)</w:t>
            </w:r>
          </w:p>
        </w:tc>
        <w:tc>
          <w:tcPr>
            <w:tcW w:w="2360" w:type="dxa"/>
            <w:vAlign w:val="bottom"/>
          </w:tcPr>
          <w:p>
            <w:pPr>
              <w:jc w:val="right"/>
              <w:spacing w:after="0" w:line="202" w:lineRule="exact"/>
              <w:rPr>
                <w:sz w:val="20"/>
                <w:szCs w:val="20"/>
                <w:color w:val="auto"/>
              </w:rPr>
            </w:pPr>
            <w:r>
              <w:rPr>
                <w:rFonts w:ascii="Arial" w:cs="Arial" w:eastAsia="Arial" w:hAnsi="Arial"/>
                <w:sz w:val="18"/>
                <w:szCs w:val="18"/>
                <w:color w:val="auto"/>
              </w:rPr>
              <w:t>$ 39,604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16,255</w:t>
            </w:r>
          </w:p>
        </w:tc>
        <w:tc>
          <w:tcPr>
            <w:tcW w:w="7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$6,405</w:t>
            </w:r>
          </w:p>
        </w:tc>
        <w:tc>
          <w:tcPr>
            <w:tcW w:w="5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9,850</w:t>
            </w:r>
          </w:p>
        </w:tc>
        <w:tc>
          <w:tcPr>
            <w:tcW w:w="3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4,921</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$ 127,044</w:t>
            </w: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(b)</w:t>
            </w:r>
          </w:p>
        </w:tc>
        <w:tc>
          <w:tcPr>
            <w:tcW w:w="2360" w:type="dxa"/>
            <w:vAlign w:val="bottom"/>
          </w:tcPr>
          <w:p>
            <w:pPr>
              <w:jc w:val="right"/>
              <w:spacing w:after="0" w:line="202" w:lineRule="exact"/>
              <w:rPr>
                <w:sz w:val="20"/>
                <w:szCs w:val="20"/>
                <w:color w:val="auto"/>
              </w:rPr>
            </w:pPr>
            <w:r>
              <w:rPr>
                <w:rFonts w:ascii="Arial" w:cs="Arial" w:eastAsia="Arial" w:hAnsi="Arial"/>
                <w:sz w:val="18"/>
                <w:szCs w:val="18"/>
                <w:color w:val="auto"/>
              </w:rPr>
              <w:t>8,773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3,292</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741</w:t>
            </w:r>
          </w:p>
        </w:tc>
        <w:tc>
          <w:tcPr>
            <w:tcW w:w="200" w:type="dxa"/>
            <w:vAlign w:val="bottom"/>
          </w:tcPr>
          <w:p>
            <w:pPr>
              <w:spacing w:after="0"/>
              <w:rPr>
                <w:sz w:val="17"/>
                <w:szCs w:val="17"/>
                <w:color w:val="auto"/>
              </w:rPr>
            </w:pPr>
          </w:p>
        </w:tc>
        <w:tc>
          <w:tcPr>
            <w:tcW w:w="7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2,551</w:t>
            </w:r>
          </w:p>
        </w:tc>
        <w:tc>
          <w:tcPr>
            <w:tcW w:w="3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150</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29,674</w:t>
            </w: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(c)</w:t>
            </w:r>
          </w:p>
        </w:tc>
        <w:tc>
          <w:tcPr>
            <w:tcW w:w="2360" w:type="dxa"/>
            <w:vAlign w:val="bottom"/>
          </w:tcPr>
          <w:p>
            <w:pPr>
              <w:jc w:val="right"/>
              <w:spacing w:after="0" w:line="202" w:lineRule="exact"/>
              <w:rPr>
                <w:sz w:val="20"/>
                <w:szCs w:val="20"/>
                <w:color w:val="auto"/>
              </w:rPr>
            </w:pPr>
            <w:r>
              <w:rPr>
                <w:rFonts w:ascii="Arial" w:cs="Arial" w:eastAsia="Arial" w:hAnsi="Arial"/>
                <w:sz w:val="18"/>
                <w:szCs w:val="18"/>
                <w:color w:val="auto"/>
              </w:rPr>
              <w:t>8,154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91</w:t>
            </w:r>
          </w:p>
        </w:tc>
        <w:tc>
          <w:tcPr>
            <w:tcW w:w="200" w:type="dxa"/>
            <w:vAlign w:val="bottom"/>
          </w:tcPr>
          <w:p>
            <w:pPr>
              <w:spacing w:after="0"/>
              <w:rPr>
                <w:sz w:val="17"/>
                <w:szCs w:val="17"/>
                <w:color w:val="auto"/>
              </w:rPr>
            </w:pPr>
          </w:p>
        </w:tc>
        <w:tc>
          <w:tcPr>
            <w:tcW w:w="7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278</w:t>
            </w:r>
          </w:p>
        </w:tc>
        <w:tc>
          <w:tcPr>
            <w:tcW w:w="3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65</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2360" w:type="dxa"/>
            <w:vAlign w:val="bottom"/>
          </w:tcPr>
          <w:p>
            <w:pPr>
              <w:jc w:val="right"/>
              <w:spacing w:after="0" w:line="202" w:lineRule="exact"/>
              <w:rPr>
                <w:sz w:val="20"/>
                <w:szCs w:val="20"/>
                <w:color w:val="auto"/>
              </w:rPr>
            </w:pPr>
            <w:r>
              <w:rPr>
                <w:rFonts w:ascii="Arial" w:cs="Arial" w:eastAsia="Arial" w:hAnsi="Arial"/>
                <w:sz w:val="18"/>
                <w:szCs w:val="18"/>
                <w:color w:val="auto"/>
              </w:rPr>
              <w:t>5,159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w:t>
            </w:r>
          </w:p>
        </w:tc>
        <w:tc>
          <w:tcPr>
            <w:tcW w:w="200" w:type="dxa"/>
            <w:vAlign w:val="bottom"/>
          </w:tcPr>
          <w:p>
            <w:pPr>
              <w:spacing w:after="0"/>
              <w:rPr>
                <w:sz w:val="17"/>
                <w:szCs w:val="17"/>
                <w:color w:val="auto"/>
              </w:rPr>
            </w:pPr>
          </w:p>
        </w:tc>
        <w:tc>
          <w:tcPr>
            <w:tcW w:w="7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63</w:t>
            </w:r>
          </w:p>
        </w:tc>
        <w:tc>
          <w:tcPr>
            <w:tcW w:w="3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2360" w:type="dxa"/>
            <w:vAlign w:val="bottom"/>
          </w:tcPr>
          <w:p>
            <w:pPr>
              <w:jc w:val="right"/>
              <w:spacing w:after="0" w:line="202" w:lineRule="exact"/>
              <w:rPr>
                <w:sz w:val="20"/>
                <w:szCs w:val="20"/>
                <w:color w:val="auto"/>
              </w:rPr>
            </w:pPr>
            <w:r>
              <w:rPr>
                <w:rFonts w:ascii="Arial" w:cs="Arial" w:eastAsia="Arial" w:hAnsi="Arial"/>
                <w:sz w:val="18"/>
                <w:szCs w:val="18"/>
                <w:color w:val="auto"/>
              </w:rPr>
              <w:t>2,085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953</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268</w:t>
            </w:r>
          </w:p>
        </w:tc>
        <w:tc>
          <w:tcPr>
            <w:tcW w:w="200" w:type="dxa"/>
            <w:vAlign w:val="bottom"/>
          </w:tcPr>
          <w:p>
            <w:pPr>
              <w:spacing w:after="0"/>
              <w:rPr>
                <w:sz w:val="17"/>
                <w:szCs w:val="17"/>
                <w:color w:val="auto"/>
              </w:rPr>
            </w:pPr>
          </w:p>
        </w:tc>
        <w:tc>
          <w:tcPr>
            <w:tcW w:w="7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685</w:t>
            </w:r>
          </w:p>
        </w:tc>
        <w:tc>
          <w:tcPr>
            <w:tcW w:w="3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272</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(e)</w:t>
            </w:r>
          </w:p>
        </w:tc>
        <w:tc>
          <w:tcPr>
            <w:tcW w:w="23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210</w:t>
            </w:r>
          </w:p>
        </w:tc>
        <w:tc>
          <w:tcPr>
            <w:tcW w:w="200" w:type="dxa"/>
            <w:vAlign w:val="bottom"/>
          </w:tcPr>
          <w:p>
            <w:pPr>
              <w:spacing w:after="0"/>
              <w:rPr>
                <w:sz w:val="17"/>
                <w:szCs w:val="17"/>
                <w:color w:val="auto"/>
              </w:rPr>
            </w:pPr>
          </w:p>
        </w:tc>
        <w:tc>
          <w:tcPr>
            <w:tcW w:w="7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(813)</w:t>
            </w:r>
          </w:p>
        </w:tc>
        <w:tc>
          <w:tcPr>
            <w:tcW w:w="3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269</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199"/>
        </w:trPr>
        <w:tc>
          <w:tcPr>
            <w:tcW w:w="38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(f)</w:t>
            </w:r>
          </w:p>
        </w:tc>
        <w:tc>
          <w:tcPr>
            <w:tcW w:w="23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(402)</w:t>
            </w: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199"/>
        </w:trPr>
        <w:tc>
          <w:tcPr>
            <w:tcW w:w="3840" w:type="dxa"/>
            <w:vAlign w:val="bottom"/>
          </w:tcPr>
          <w:p>
            <w:pPr>
              <w:spacing w:after="0" w:line="200" w:lineRule="exact"/>
              <w:rPr>
                <w:sz w:val="20"/>
                <w:szCs w:val="20"/>
                <w:color w:val="auto"/>
              </w:rPr>
            </w:pPr>
            <w:r>
              <w:rPr>
                <w:rFonts w:ascii="Arial" w:cs="Arial" w:eastAsia="Arial" w:hAnsi="Arial"/>
                <w:sz w:val="18"/>
                <w:szCs w:val="18"/>
                <w:color w:val="auto"/>
              </w:rPr>
              <w:t>NBCUniversal</w:t>
            </w:r>
          </w:p>
        </w:tc>
        <w:tc>
          <w:tcPr>
            <w:tcW w:w="2360" w:type="dxa"/>
            <w:vAlign w:val="bottom"/>
          </w:tcPr>
          <w:p>
            <w:pPr>
              <w:jc w:val="right"/>
              <w:spacing w:after="0" w:line="200" w:lineRule="exact"/>
              <w:rPr>
                <w:sz w:val="20"/>
                <w:szCs w:val="20"/>
                <w:color w:val="auto"/>
              </w:rPr>
            </w:pPr>
            <w:r>
              <w:rPr>
                <w:rFonts w:ascii="Arial" w:cs="Arial" w:eastAsia="Arial" w:hAnsi="Arial"/>
                <w:sz w:val="18"/>
                <w:szCs w:val="18"/>
                <w:color w:val="auto"/>
              </w:rPr>
              <w:t>23,812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4,107</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ind w:right="14"/>
              <w:spacing w:after="0" w:line="200" w:lineRule="exact"/>
              <w:rPr>
                <w:sz w:val="20"/>
                <w:szCs w:val="20"/>
                <w:color w:val="auto"/>
              </w:rPr>
            </w:pPr>
            <w:r>
              <w:rPr>
                <w:rFonts w:ascii="Arial" w:cs="Arial" w:eastAsia="Arial" w:hAnsi="Arial"/>
                <w:sz w:val="18"/>
                <w:szCs w:val="18"/>
                <w:color w:val="auto"/>
                <w:w w:val="97"/>
              </w:rPr>
              <w:t>1,326</w:t>
            </w:r>
          </w:p>
        </w:tc>
        <w:tc>
          <w:tcPr>
            <w:tcW w:w="200" w:type="dxa"/>
            <w:vAlign w:val="bottom"/>
          </w:tcPr>
          <w:p>
            <w:pPr>
              <w:spacing w:after="0"/>
              <w:rPr>
                <w:sz w:val="17"/>
                <w:szCs w:val="17"/>
                <w:color w:val="auto"/>
              </w:rPr>
            </w:pPr>
          </w:p>
        </w:tc>
        <w:tc>
          <w:tcPr>
            <w:tcW w:w="720" w:type="dxa"/>
            <w:vAlign w:val="bottom"/>
          </w:tcPr>
          <w:p>
            <w:pPr>
              <w:jc w:val="right"/>
              <w:ind w:right="77"/>
              <w:spacing w:after="0" w:line="200" w:lineRule="exact"/>
              <w:rPr>
                <w:sz w:val="20"/>
                <w:szCs w:val="20"/>
                <w:color w:val="auto"/>
              </w:rPr>
            </w:pPr>
            <w:r>
              <w:rPr>
                <w:rFonts w:ascii="Arial" w:cs="Arial" w:eastAsia="Arial" w:hAnsi="Arial"/>
                <w:sz w:val="18"/>
                <w:szCs w:val="18"/>
                <w:color w:val="auto"/>
              </w:rPr>
              <w:t>2,781</w:t>
            </w:r>
          </w:p>
        </w:tc>
        <w:tc>
          <w:tcPr>
            <w:tcW w:w="300" w:type="dxa"/>
            <w:vAlign w:val="bottom"/>
          </w:tcPr>
          <w:p>
            <w:pPr>
              <w:spacing w:after="0"/>
              <w:rPr>
                <w:sz w:val="17"/>
                <w:szCs w:val="17"/>
                <w:color w:val="auto"/>
              </w:rPr>
            </w:pPr>
          </w:p>
        </w:tc>
        <w:tc>
          <w:tcPr>
            <w:tcW w:w="6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763</w:t>
            </w:r>
          </w:p>
        </w:tc>
        <w:tc>
          <w:tcPr>
            <w:tcW w:w="9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54,462</w:t>
            </w: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236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w:t>
            </w:r>
          </w:p>
        </w:tc>
        <w:tc>
          <w:tcPr>
            <w:tcW w:w="200" w:type="dxa"/>
            <w:vAlign w:val="bottom"/>
          </w:tcPr>
          <w:p>
            <w:pPr>
              <w:spacing w:after="0"/>
              <w:rPr>
                <w:sz w:val="17"/>
                <w:szCs w:val="17"/>
                <w:color w:val="auto"/>
              </w:rPr>
            </w:pPr>
          </w:p>
        </w:tc>
        <w:tc>
          <w:tcPr>
            <w:tcW w:w="7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(443)</w:t>
            </w:r>
          </w:p>
        </w:tc>
        <w:tc>
          <w:tcPr>
            <w:tcW w:w="3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30</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199"/>
        </w:trPr>
        <w:tc>
          <w:tcPr>
            <w:tcW w:w="38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(f)</w:t>
            </w:r>
          </w:p>
        </w:tc>
        <w:tc>
          <w:tcPr>
            <w:tcW w:w="23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(1,344)</w:t>
            </w: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(22,535)</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Comcast Consolidated</w:t>
            </w:r>
          </w:p>
        </w:tc>
        <w:tc>
          <w:tcPr>
            <w:tcW w:w="23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$ 62,570</w:t>
            </w:r>
          </w:p>
        </w:tc>
        <w:tc>
          <w:tcPr>
            <w:tcW w:w="2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3E499A"/>
            </w:tcBorders>
            <w:gridSpan w:val="2"/>
          </w:tcPr>
          <w:p>
            <w:pPr>
              <w:jc w:val="right"/>
              <w:spacing w:after="0" w:line="196" w:lineRule="exact"/>
              <w:rPr>
                <w:sz w:val="20"/>
                <w:szCs w:val="20"/>
                <w:color w:val="auto"/>
              </w:rPr>
            </w:pPr>
            <w:r>
              <w:rPr>
                <w:rFonts w:ascii="Arial" w:cs="Arial" w:eastAsia="Arial" w:hAnsi="Arial"/>
                <w:sz w:val="18"/>
                <w:szCs w:val="18"/>
                <w:color w:val="auto"/>
              </w:rPr>
              <w:t>19,977</w:t>
            </w:r>
          </w:p>
        </w:tc>
        <w:tc>
          <w:tcPr>
            <w:tcW w:w="340" w:type="dxa"/>
            <w:vAlign w:val="bottom"/>
            <w:tcBorders>
              <w:bottom w:val="single" w:sz="8" w:color="3E499A"/>
            </w:tcBorders>
          </w:tcPr>
          <w:p>
            <w:pPr>
              <w:ind w:left="14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3E499A"/>
            </w:tcBorders>
          </w:tcPr>
          <w:p>
            <w:pPr>
              <w:spacing w:after="0"/>
              <w:rPr>
                <w:sz w:val="17"/>
                <w:szCs w:val="17"/>
                <w:color w:val="auto"/>
              </w:rPr>
            </w:pPr>
          </w:p>
        </w:tc>
        <w:tc>
          <w:tcPr>
            <w:tcW w:w="56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w w:val="97"/>
              </w:rPr>
              <w:t>7,798</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3E499A"/>
            </w:tcBorders>
          </w:tcPr>
          <w:p>
            <w:pPr>
              <w:jc w:val="right"/>
              <w:ind w:right="77"/>
              <w:spacing w:after="0" w:line="196" w:lineRule="exact"/>
              <w:rPr>
                <w:sz w:val="20"/>
                <w:szCs w:val="20"/>
                <w:color w:val="auto"/>
              </w:rPr>
            </w:pPr>
            <w:r>
              <w:rPr>
                <w:rFonts w:ascii="Arial" w:cs="Arial" w:eastAsia="Arial" w:hAnsi="Arial"/>
                <w:sz w:val="18"/>
                <w:szCs w:val="18"/>
                <w:color w:val="auto"/>
                <w:w w:val="98"/>
              </w:rPr>
              <w:t>12,179</w:t>
            </w:r>
          </w:p>
        </w:tc>
        <w:tc>
          <w:tcPr>
            <w:tcW w:w="300" w:type="dxa"/>
            <w:vAlign w:val="bottom"/>
            <w:tcBorders>
              <w:bottom w:val="single" w:sz="8" w:color="3E499A"/>
            </w:tcBorders>
          </w:tcPr>
          <w:p>
            <w:pPr>
              <w:ind w:left="4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color w:val="auto"/>
              </w:rPr>
              <w:t>5,714</w:t>
            </w:r>
          </w:p>
        </w:tc>
        <w:tc>
          <w:tcPr>
            <w:tcW w:w="9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$ 164,971</w:t>
            </w:r>
          </w:p>
        </w:tc>
        <w:tc>
          <w:tcPr>
            <w:tcW w:w="0" w:type="dxa"/>
            <w:vAlign w:val="bottom"/>
          </w:tcPr>
          <w:p>
            <w:pPr>
              <w:spacing w:after="0"/>
              <w:rPr>
                <w:sz w:val="1"/>
                <w:szCs w:val="1"/>
                <w:color w:val="auto"/>
              </w:rPr>
            </w:pPr>
          </w:p>
        </w:tc>
      </w:tr>
      <w:tr>
        <w:trPr>
          <w:trHeight w:val="344"/>
        </w:trPr>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4"/>
                <w:szCs w:val="14"/>
                <w:color w:val="auto"/>
              </w:rPr>
              <w:t>Operating</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jc w:val="right"/>
              <w:ind w:right="32"/>
              <w:spacing w:after="0" w:line="149" w:lineRule="exact"/>
              <w:rPr>
                <w:sz w:val="20"/>
                <w:szCs w:val="20"/>
                <w:color w:val="auto"/>
              </w:rPr>
            </w:pPr>
            <w:r>
              <w:rPr>
                <w:rFonts w:ascii="Arial" w:cs="Arial" w:eastAsia="Arial" w:hAnsi="Arial"/>
                <w:sz w:val="14"/>
                <w:szCs w:val="14"/>
                <w:color w:val="auto"/>
              </w:rPr>
              <w:t>Income (Loss)</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Before</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w w:val="94"/>
              </w:rPr>
              <w:t>Depreciation</w:t>
            </w:r>
          </w:p>
        </w:tc>
        <w:tc>
          <w:tcPr>
            <w:tcW w:w="94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12"/>
                <w:szCs w:val="12"/>
                <w:color w:val="auto"/>
              </w:rPr>
            </w:pPr>
          </w:p>
        </w:tc>
        <w:tc>
          <w:tcPr>
            <w:tcW w:w="720" w:type="dxa"/>
            <w:vAlign w:val="bottom"/>
          </w:tcPr>
          <w:p>
            <w:pPr>
              <w:jc w:val="right"/>
              <w:ind w:right="37"/>
              <w:spacing w:after="0" w:line="149" w:lineRule="exact"/>
              <w:rPr>
                <w:sz w:val="20"/>
                <w:szCs w:val="20"/>
                <w:color w:val="auto"/>
              </w:rPr>
            </w:pPr>
            <w:r>
              <w:rPr>
                <w:rFonts w:ascii="Arial" w:cs="Arial" w:eastAsia="Arial" w:hAnsi="Arial"/>
                <w:sz w:val="14"/>
                <w:szCs w:val="14"/>
                <w:color w:val="auto"/>
                <w:w w:val="94"/>
              </w:rPr>
              <w:t>Operating</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840" w:type="dxa"/>
            <w:vAlign w:val="bottom"/>
          </w:tcPr>
          <w:p>
            <w:pPr>
              <w:spacing w:after="0"/>
              <w:rPr>
                <w:sz w:val="10"/>
                <w:szCs w:val="10"/>
                <w:color w:val="auto"/>
              </w:rPr>
            </w:pPr>
          </w:p>
        </w:tc>
        <w:tc>
          <w:tcPr>
            <w:tcW w:w="2620" w:type="dxa"/>
            <w:vAlign w:val="bottom"/>
            <w:gridSpan w:val="2"/>
            <w:vMerge w:val="restart"/>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260" w:type="dxa"/>
            <w:vAlign w:val="bottom"/>
          </w:tcPr>
          <w:p>
            <w:pPr>
              <w:spacing w:after="0"/>
              <w:rPr>
                <w:sz w:val="10"/>
                <w:szCs w:val="10"/>
                <w:color w:val="auto"/>
              </w:rPr>
            </w:pPr>
          </w:p>
        </w:tc>
        <w:tc>
          <w:tcPr>
            <w:tcW w:w="900" w:type="dxa"/>
            <w:vAlign w:val="bottom"/>
            <w:gridSpan w:val="2"/>
          </w:tcPr>
          <w:p>
            <w:pPr>
              <w:jc w:val="right"/>
              <w:ind w:right="32"/>
              <w:spacing w:after="0" w:line="123" w:lineRule="exact"/>
              <w:rPr>
                <w:sz w:val="20"/>
                <w:szCs w:val="20"/>
                <w:color w:val="auto"/>
              </w:rPr>
            </w:pPr>
            <w:r>
              <w:rPr>
                <w:rFonts w:ascii="Arial" w:cs="Arial" w:eastAsia="Arial" w:hAnsi="Arial"/>
                <w:sz w:val="14"/>
                <w:szCs w:val="14"/>
                <w:color w:val="auto"/>
              </w:rPr>
              <w:t>and</w:t>
            </w:r>
          </w:p>
        </w:tc>
        <w:tc>
          <w:tcPr>
            <w:tcW w:w="380" w:type="dxa"/>
            <w:vAlign w:val="bottom"/>
          </w:tcPr>
          <w:p>
            <w:pPr>
              <w:spacing w:after="0"/>
              <w:rPr>
                <w:sz w:val="10"/>
                <w:szCs w:val="10"/>
                <w:color w:val="auto"/>
              </w:rPr>
            </w:pPr>
          </w:p>
        </w:tc>
        <w:tc>
          <w:tcPr>
            <w:tcW w:w="560" w:type="dxa"/>
            <w:vAlign w:val="bottom"/>
          </w:tcPr>
          <w:p>
            <w:pPr>
              <w:jc w:val="right"/>
              <w:ind w:right="14"/>
              <w:spacing w:after="0" w:line="123"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0"/>
                <w:szCs w:val="10"/>
                <w:color w:val="auto"/>
              </w:rPr>
            </w:pPr>
          </w:p>
        </w:tc>
        <w:tc>
          <w:tcPr>
            <w:tcW w:w="720" w:type="dxa"/>
            <w:vAlign w:val="bottom"/>
          </w:tcPr>
          <w:p>
            <w:pPr>
              <w:jc w:val="right"/>
              <w:ind w:right="37"/>
              <w:spacing w:after="0" w:line="123"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Capital</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620" w:type="dxa"/>
            <w:vAlign w:val="bottom"/>
            <w:tcBorders>
              <w:bottom w:val="single" w:sz="8" w:color="auto"/>
            </w:tcBorders>
            <w:gridSpan w:val="2"/>
            <w:vMerge w:val="continue"/>
          </w:tcPr>
          <w:p>
            <w:pPr>
              <w:spacing w:after="0"/>
              <w:rPr>
                <w:sz w:val="15"/>
                <w:szCs w:val="15"/>
                <w:color w:val="auto"/>
              </w:rPr>
            </w:pPr>
          </w:p>
        </w:tc>
        <w:tc>
          <w:tcPr>
            <w:tcW w:w="1160" w:type="dxa"/>
            <w:vAlign w:val="bottom"/>
            <w:tcBorders>
              <w:bottom w:val="single" w:sz="8" w:color="auto"/>
            </w:tcBorders>
            <w:gridSpan w:val="3"/>
          </w:tcPr>
          <w:p>
            <w:pPr>
              <w:jc w:val="right"/>
              <w:ind w:right="32"/>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9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color w:val="auto"/>
              </w:rPr>
              <w:t>Amortization</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(Loss)</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Expenditures</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840" w:type="dxa"/>
            <w:vAlign w:val="bottom"/>
          </w:tcPr>
          <w:p>
            <w:pPr>
              <w:spacing w:after="0" w:line="200" w:lineRule="exact"/>
              <w:rPr>
                <w:sz w:val="20"/>
                <w:szCs w:val="20"/>
                <w:color w:val="auto"/>
              </w:rPr>
            </w:pPr>
            <w:r>
              <w:rPr>
                <w:rFonts w:ascii="Arial" w:cs="Arial" w:eastAsia="Arial" w:hAnsi="Arial"/>
                <w:sz w:val="18"/>
                <w:szCs w:val="18"/>
                <w:b w:val="1"/>
                <w:bCs w:val="1"/>
                <w:color w:val="auto"/>
              </w:rPr>
              <w:t>2011</w:t>
            </w: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2"/>
                <w:szCs w:val="22"/>
                <w:color w:val="auto"/>
                <w:vertAlign w:val="superscript"/>
              </w:rPr>
              <w:t>(a)</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$ 37,226</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15,288</w:t>
            </w:r>
          </w:p>
        </w:tc>
        <w:tc>
          <w:tcPr>
            <w:tcW w:w="380" w:type="dxa"/>
            <w:vAlign w:val="bottom"/>
          </w:tcPr>
          <w:p>
            <w:pPr>
              <w:jc w:val="right"/>
              <w:ind w:right="126"/>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7"/>
              </w:rPr>
              <w:t>6,395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8,893</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4,806</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$ 120,729</w:t>
            </w: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(b)</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8,108</w:t>
            </w:r>
          </w:p>
        </w:tc>
        <w:tc>
          <w:tcPr>
            <w:tcW w:w="260" w:type="dxa"/>
            <w:vAlign w:val="bottom"/>
          </w:tcPr>
          <w:p>
            <w:pPr>
              <w:spacing w:after="0"/>
              <w:rPr>
                <w:sz w:val="17"/>
                <w:szCs w:val="17"/>
                <w:color w:val="auto"/>
              </w:rPr>
            </w:pPr>
          </w:p>
        </w:tc>
        <w:tc>
          <w:tcPr>
            <w:tcW w:w="9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3,185</w:t>
            </w: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718</w:t>
            </w:r>
          </w:p>
        </w:tc>
        <w:tc>
          <w:tcPr>
            <w:tcW w:w="20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2,467</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29,578</w:t>
            </w: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5,935</w:t>
            </w:r>
          </w:p>
        </w:tc>
        <w:tc>
          <w:tcPr>
            <w:tcW w:w="260" w:type="dxa"/>
            <w:vAlign w:val="bottom"/>
          </w:tcPr>
          <w:p>
            <w:pPr>
              <w:spacing w:after="0"/>
              <w:rPr>
                <w:sz w:val="17"/>
                <w:szCs w:val="17"/>
                <w:color w:val="auto"/>
              </w:rPr>
            </w:pPr>
          </w:p>
        </w:tc>
        <w:tc>
          <w:tcPr>
            <w:tcW w:w="9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138</w:t>
            </w: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w:t>
            </w:r>
          </w:p>
        </w:tc>
        <w:tc>
          <w:tcPr>
            <w:tcW w:w="20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59</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4,239</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9"/>
              </w:rPr>
              <w:t>27</w:t>
            </w: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3" w:lineRule="exact"/>
              <w:rPr>
                <w:sz w:val="20"/>
                <w:szCs w:val="20"/>
                <w:color w:val="auto"/>
              </w:rPr>
            </w:pPr>
            <w:r>
              <w:rPr>
                <w:rFonts w:ascii="Arial" w:cs="Arial" w:eastAsia="Arial" w:hAnsi="Arial"/>
                <w:sz w:val="18"/>
                <w:szCs w:val="18"/>
                <w:color w:val="auto"/>
              </w:rPr>
              <w:t>Theme Parks</w:t>
            </w:r>
            <w:r>
              <w:rPr>
                <w:rFonts w:ascii="Arial" w:cs="Arial" w:eastAsia="Arial" w:hAnsi="Arial"/>
                <w:sz w:val="22"/>
                <w:szCs w:val="22"/>
                <w:color w:val="auto"/>
                <w:vertAlign w:val="superscript"/>
              </w:rPr>
              <w:t>(d)</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1,874</w:t>
            </w:r>
          </w:p>
        </w:tc>
        <w:tc>
          <w:tcPr>
            <w:tcW w:w="260" w:type="dxa"/>
            <w:vAlign w:val="bottom"/>
          </w:tcPr>
          <w:p>
            <w:pPr>
              <w:spacing w:after="0"/>
              <w:rPr>
                <w:sz w:val="17"/>
                <w:szCs w:val="17"/>
                <w:color w:val="auto"/>
              </w:rPr>
            </w:pPr>
          </w:p>
        </w:tc>
        <w:tc>
          <w:tcPr>
            <w:tcW w:w="9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830</w:t>
            </w: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201</w:t>
            </w:r>
          </w:p>
        </w:tc>
        <w:tc>
          <w:tcPr>
            <w:tcW w:w="20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629</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6,197</w:t>
            </w: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(e)</w:t>
            </w:r>
          </w:p>
        </w:tc>
        <w:tc>
          <w:tcPr>
            <w:tcW w:w="23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w w:val="89"/>
              </w:rPr>
              <w:t>45</w:t>
            </w:r>
          </w:p>
        </w:tc>
        <w:tc>
          <w:tcPr>
            <w:tcW w:w="26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(484)</w:t>
            </w: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168</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(652)</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199"/>
        </w:trPr>
        <w:tc>
          <w:tcPr>
            <w:tcW w:w="38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(f)</w:t>
            </w:r>
          </w:p>
        </w:tc>
        <w:tc>
          <w:tcPr>
            <w:tcW w:w="262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(941)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(234)</w:t>
            </w: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(53)</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(181)</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199"/>
        </w:trPr>
        <w:tc>
          <w:tcPr>
            <w:tcW w:w="3840" w:type="dxa"/>
            <w:vAlign w:val="bottom"/>
          </w:tcPr>
          <w:p>
            <w:pPr>
              <w:spacing w:after="0" w:line="200" w:lineRule="exact"/>
              <w:rPr>
                <w:sz w:val="20"/>
                <w:szCs w:val="20"/>
                <w:color w:val="auto"/>
              </w:rPr>
            </w:pPr>
            <w:r>
              <w:rPr>
                <w:rFonts w:ascii="Arial" w:cs="Arial" w:eastAsia="Arial" w:hAnsi="Arial"/>
                <w:sz w:val="18"/>
                <w:szCs w:val="18"/>
                <w:color w:val="auto"/>
              </w:rPr>
              <w:t>NBCUniversal</w:t>
            </w:r>
          </w:p>
        </w:tc>
        <w:tc>
          <w:tcPr>
            <w:tcW w:w="26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19,260</w:t>
            </w:r>
          </w:p>
        </w:tc>
        <w:tc>
          <w:tcPr>
            <w:tcW w:w="260" w:type="dxa"/>
            <w:vAlign w:val="bottom"/>
          </w:tcPr>
          <w:p>
            <w:pPr>
              <w:spacing w:after="0"/>
              <w:rPr>
                <w:sz w:val="17"/>
                <w:szCs w:val="17"/>
                <w:color w:val="auto"/>
              </w:rPr>
            </w:pPr>
          </w:p>
        </w:tc>
        <w:tc>
          <w:tcPr>
            <w:tcW w:w="900" w:type="dxa"/>
            <w:vAlign w:val="bottom"/>
            <w:gridSpan w:val="2"/>
          </w:tcPr>
          <w:p>
            <w:pPr>
              <w:jc w:val="right"/>
              <w:ind w:right="52"/>
              <w:spacing w:after="0" w:line="200" w:lineRule="exact"/>
              <w:rPr>
                <w:sz w:val="20"/>
                <w:szCs w:val="20"/>
                <w:color w:val="auto"/>
              </w:rPr>
            </w:pPr>
            <w:r>
              <w:rPr>
                <w:rFonts w:ascii="Arial" w:cs="Arial" w:eastAsia="Arial" w:hAnsi="Arial"/>
                <w:sz w:val="18"/>
                <w:szCs w:val="18"/>
                <w:color w:val="auto"/>
              </w:rPr>
              <w:t>3,462</w:t>
            </w:r>
          </w:p>
        </w:tc>
        <w:tc>
          <w:tcPr>
            <w:tcW w:w="380" w:type="dxa"/>
            <w:vAlign w:val="bottom"/>
          </w:tcPr>
          <w:p>
            <w:pPr>
              <w:spacing w:after="0"/>
              <w:rPr>
                <w:sz w:val="17"/>
                <w:szCs w:val="17"/>
                <w:color w:val="auto"/>
              </w:rPr>
            </w:pPr>
          </w:p>
        </w:tc>
        <w:tc>
          <w:tcPr>
            <w:tcW w:w="560" w:type="dxa"/>
            <w:vAlign w:val="bottom"/>
          </w:tcPr>
          <w:p>
            <w:pPr>
              <w:jc w:val="right"/>
              <w:ind w:right="14"/>
              <w:spacing w:after="0" w:line="200" w:lineRule="exact"/>
              <w:rPr>
                <w:sz w:val="20"/>
                <w:szCs w:val="20"/>
                <w:color w:val="auto"/>
              </w:rPr>
            </w:pPr>
            <w:r>
              <w:rPr>
                <w:rFonts w:ascii="Arial" w:cs="Arial" w:eastAsia="Arial" w:hAnsi="Arial"/>
                <w:sz w:val="18"/>
                <w:szCs w:val="18"/>
                <w:color w:val="auto"/>
                <w:w w:val="97"/>
              </w:rPr>
              <w:t>1,132</w:t>
            </w:r>
          </w:p>
        </w:tc>
        <w:tc>
          <w:tcPr>
            <w:tcW w:w="200" w:type="dxa"/>
            <w:vAlign w:val="bottom"/>
          </w:tcPr>
          <w:p>
            <w:pPr>
              <w:spacing w:after="0"/>
              <w:rPr>
                <w:sz w:val="17"/>
                <w:szCs w:val="17"/>
                <w:color w:val="auto"/>
              </w:rPr>
            </w:pPr>
          </w:p>
        </w:tc>
        <w:tc>
          <w:tcPr>
            <w:tcW w:w="720" w:type="dxa"/>
            <w:vAlign w:val="bottom"/>
          </w:tcPr>
          <w:p>
            <w:pPr>
              <w:jc w:val="right"/>
              <w:ind w:right="37"/>
              <w:spacing w:after="0" w:line="200" w:lineRule="exact"/>
              <w:rPr>
                <w:sz w:val="20"/>
                <w:szCs w:val="20"/>
                <w:color w:val="auto"/>
              </w:rPr>
            </w:pPr>
            <w:r>
              <w:rPr>
                <w:rFonts w:ascii="Arial" w:cs="Arial" w:eastAsia="Arial" w:hAnsi="Arial"/>
                <w:sz w:val="18"/>
                <w:szCs w:val="18"/>
                <w:color w:val="auto"/>
              </w:rPr>
              <w:t>2,330</w:t>
            </w:r>
          </w:p>
        </w:tc>
        <w:tc>
          <w:tcPr>
            <w:tcW w:w="30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434</w:t>
            </w:r>
          </w:p>
        </w:tc>
        <w:tc>
          <w:tcPr>
            <w:tcW w:w="9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50,784</w:t>
            </w: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558</w:t>
            </w:r>
          </w:p>
        </w:tc>
        <w:tc>
          <w:tcPr>
            <w:tcW w:w="26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(416)</w:t>
            </w:r>
          </w:p>
        </w:tc>
        <w:tc>
          <w:tcPr>
            <w:tcW w:w="380" w:type="dxa"/>
            <w:vAlign w:val="bottom"/>
          </w:tcPr>
          <w:p>
            <w:pPr>
              <w:spacing w:after="0"/>
              <w:rPr>
                <w:sz w:val="17"/>
                <w:szCs w:val="17"/>
                <w:color w:val="auto"/>
              </w:rPr>
            </w:pP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93</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(509)</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199"/>
        </w:trPr>
        <w:tc>
          <w:tcPr>
            <w:tcW w:w="38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(f)</w:t>
            </w:r>
          </w:p>
        </w:tc>
        <w:tc>
          <w:tcPr>
            <w:tcW w:w="262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(1,202)</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w w:val="99"/>
              </w:rPr>
              <w:t>23</w:t>
            </w: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(19,919)</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Comcast Consolidated</w:t>
            </w:r>
          </w:p>
        </w:tc>
        <w:tc>
          <w:tcPr>
            <w:tcW w:w="2620" w:type="dxa"/>
            <w:vAlign w:val="bottom"/>
            <w:tcBorders>
              <w:bottom w:val="single" w:sz="8" w:color="3E499A"/>
            </w:tcBorders>
            <w:gridSpan w:val="2"/>
          </w:tcPr>
          <w:p>
            <w:pPr>
              <w:jc w:val="right"/>
              <w:spacing w:after="0" w:line="196" w:lineRule="exact"/>
              <w:rPr>
                <w:sz w:val="20"/>
                <w:szCs w:val="20"/>
                <w:color w:val="auto"/>
              </w:rPr>
            </w:pPr>
            <w:r>
              <w:rPr>
                <w:rFonts w:ascii="Arial" w:cs="Arial" w:eastAsia="Arial" w:hAnsi="Arial"/>
                <w:sz w:val="18"/>
                <w:szCs w:val="18"/>
                <w:color w:val="auto"/>
              </w:rPr>
              <w:t>$ 55,842</w:t>
            </w:r>
          </w:p>
        </w:tc>
        <w:tc>
          <w:tcPr>
            <w:tcW w:w="2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3E499A"/>
            </w:tcBorders>
            <w:gridSpan w:val="2"/>
          </w:tcPr>
          <w:p>
            <w:pPr>
              <w:jc w:val="right"/>
              <w:ind w:right="32"/>
              <w:spacing w:after="0" w:line="196" w:lineRule="exact"/>
              <w:rPr>
                <w:sz w:val="20"/>
                <w:szCs w:val="20"/>
                <w:color w:val="auto"/>
              </w:rPr>
            </w:pPr>
            <w:r>
              <w:rPr>
                <w:rFonts w:ascii="Arial" w:cs="Arial" w:eastAsia="Arial" w:hAnsi="Arial"/>
                <w:sz w:val="18"/>
                <w:szCs w:val="18"/>
                <w:color w:val="auto"/>
              </w:rPr>
              <w:t>18,357</w:t>
            </w:r>
          </w:p>
        </w:tc>
        <w:tc>
          <w:tcPr>
            <w:tcW w:w="380" w:type="dxa"/>
            <w:vAlign w:val="bottom"/>
            <w:tcBorders>
              <w:bottom w:val="single" w:sz="8" w:color="3E499A"/>
            </w:tcBorders>
          </w:tcPr>
          <w:p>
            <w:pPr>
              <w:jc w:val="right"/>
              <w:ind w:right="126"/>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w w:val="97"/>
              </w:rPr>
              <w:t>7,636</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3E499A"/>
            </w:tcBorders>
          </w:tcPr>
          <w:p>
            <w:pPr>
              <w:jc w:val="right"/>
              <w:ind w:right="37"/>
              <w:spacing w:after="0" w:line="196" w:lineRule="exact"/>
              <w:rPr>
                <w:sz w:val="20"/>
                <w:szCs w:val="20"/>
                <w:color w:val="auto"/>
              </w:rPr>
            </w:pPr>
            <w:r>
              <w:rPr>
                <w:rFonts w:ascii="Arial" w:cs="Arial" w:eastAsia="Arial" w:hAnsi="Arial"/>
                <w:sz w:val="18"/>
                <w:szCs w:val="18"/>
                <w:color w:val="auto"/>
              </w:rPr>
              <w:t>10,721</w:t>
            </w:r>
          </w:p>
        </w:tc>
        <w:tc>
          <w:tcPr>
            <w:tcW w:w="30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5,307</w:t>
            </w:r>
          </w:p>
        </w:tc>
        <w:tc>
          <w:tcPr>
            <w:tcW w:w="9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color w:val="auto"/>
              </w:rPr>
              <w:t>$ 157,818</w:t>
            </w:r>
          </w:p>
        </w:tc>
        <w:tc>
          <w:tcPr>
            <w:tcW w:w="0" w:type="dxa"/>
            <w:vAlign w:val="bottom"/>
          </w:tcPr>
          <w:p>
            <w:pPr>
              <w:spacing w:after="0"/>
              <w:rPr>
                <w:sz w:val="1"/>
                <w:szCs w:val="1"/>
                <w:color w:val="auto"/>
              </w:rPr>
            </w:pPr>
          </w:p>
        </w:tc>
      </w:tr>
      <w:tr>
        <w:trPr>
          <w:trHeight w:val="506"/>
        </w:trPr>
        <w:tc>
          <w:tcPr>
            <w:tcW w:w="3840" w:type="dxa"/>
            <w:vAlign w:val="bottom"/>
          </w:tcPr>
          <w:p>
            <w:pPr>
              <w:spacing w:after="0"/>
              <w:rPr>
                <w:sz w:val="24"/>
                <w:szCs w:val="24"/>
                <w:color w:val="auto"/>
              </w:rPr>
            </w:pPr>
          </w:p>
        </w:tc>
        <w:tc>
          <w:tcPr>
            <w:tcW w:w="2360" w:type="dxa"/>
            <w:vAlign w:val="bottom"/>
          </w:tcPr>
          <w:p>
            <w:pPr>
              <w:jc w:val="right"/>
              <w:ind w:right="295"/>
              <w:spacing w:after="0"/>
              <w:rPr>
                <w:sz w:val="20"/>
                <w:szCs w:val="20"/>
                <w:color w:val="auto"/>
              </w:rPr>
            </w:pPr>
            <w:r>
              <w:rPr>
                <w:rFonts w:ascii="Arial" w:cs="Arial" w:eastAsia="Arial" w:hAnsi="Arial"/>
                <w:sz w:val="14"/>
                <w:szCs w:val="14"/>
                <w:b w:val="1"/>
                <w:bCs w:val="1"/>
                <w:color w:val="auto"/>
              </w:rPr>
              <w:t>115</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color w:val="auto"/>
                <w:w w:val="96"/>
              </w:rPr>
              <w:t>Comcast 2012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9"/>
        </w:trPr>
        <w:tc>
          <w:tcPr>
            <w:tcW w:w="44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80" w:type="dxa"/>
            <w:vAlign w:val="bottom"/>
            <w:gridSpan w:val="2"/>
          </w:tcPr>
          <w:p>
            <w:pPr>
              <w:jc w:val="right"/>
              <w:ind w:right="41"/>
              <w:spacing w:after="0" w:line="149" w:lineRule="exact"/>
              <w:rPr>
                <w:sz w:val="20"/>
                <w:szCs w:val="20"/>
                <w:color w:val="auto"/>
              </w:rPr>
            </w:pPr>
            <w:r>
              <w:rPr>
                <w:rFonts w:ascii="Arial" w:cs="Arial" w:eastAsia="Arial" w:hAnsi="Arial"/>
                <w:sz w:val="14"/>
                <w:szCs w:val="14"/>
                <w:color w:val="auto"/>
              </w:rPr>
              <w:t>Income (Loss)</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44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41"/>
              <w:spacing w:after="0" w:line="149" w:lineRule="exact"/>
              <w:rPr>
                <w:sz w:val="20"/>
                <w:szCs w:val="20"/>
                <w:color w:val="auto"/>
              </w:rPr>
            </w:pPr>
            <w:r>
              <w:rPr>
                <w:rFonts w:ascii="Arial" w:cs="Arial" w:eastAsia="Arial" w:hAnsi="Arial"/>
                <w:sz w:val="14"/>
                <w:szCs w:val="14"/>
                <w:color w:val="auto"/>
              </w:rPr>
              <w:t>Before</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44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41"/>
              <w:spacing w:after="0" w:line="149" w:lineRule="exact"/>
              <w:rPr>
                <w:sz w:val="20"/>
                <w:szCs w:val="20"/>
                <w:color w:val="auto"/>
              </w:rPr>
            </w:pPr>
            <w:r>
              <w:rPr>
                <w:rFonts w:ascii="Arial" w:cs="Arial" w:eastAsia="Arial" w:hAnsi="Arial"/>
                <w:sz w:val="14"/>
                <w:szCs w:val="14"/>
                <w:color w:val="auto"/>
                <w:w w:val="96"/>
              </w:rPr>
              <w:t>Depreciation</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w:t>
            </w:r>
          </w:p>
        </w:tc>
        <w:tc>
          <w:tcPr>
            <w:tcW w:w="820" w:type="dxa"/>
            <w:vAlign w:val="bottom"/>
          </w:tcPr>
          <w:p>
            <w:pPr>
              <w:jc w:val="right"/>
              <w:ind w:right="60"/>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8"/>
        </w:trPr>
        <w:tc>
          <w:tcPr>
            <w:tcW w:w="44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41"/>
              <w:spacing w:after="0" w:line="129" w:lineRule="exact"/>
              <w:rPr>
                <w:sz w:val="20"/>
                <w:szCs w:val="20"/>
                <w:color w:val="auto"/>
              </w:rPr>
            </w:pPr>
            <w:r>
              <w:rPr>
                <w:rFonts w:ascii="Arial" w:cs="Arial" w:eastAsia="Arial" w:hAnsi="Arial"/>
                <w:sz w:val="14"/>
                <w:szCs w:val="14"/>
                <w:color w:val="auto"/>
              </w:rPr>
              <w:t>and</w:t>
            </w:r>
          </w:p>
        </w:tc>
        <w:tc>
          <w:tcPr>
            <w:tcW w:w="3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and</w:t>
            </w:r>
          </w:p>
        </w:tc>
        <w:tc>
          <w:tcPr>
            <w:tcW w:w="820" w:type="dxa"/>
            <w:vAlign w:val="bottom"/>
          </w:tcPr>
          <w:p>
            <w:pPr>
              <w:jc w:val="right"/>
              <w:ind w:right="60"/>
              <w:spacing w:after="0" w:line="129"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Capital</w:t>
            </w:r>
          </w:p>
        </w:tc>
      </w:tr>
      <w:tr>
        <w:trPr>
          <w:trHeight w:val="169"/>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80" w:type="dxa"/>
            <w:vAlign w:val="bottom"/>
            <w:tcBorders>
              <w:bottom w:val="single" w:sz="8" w:color="auto"/>
            </w:tcBorders>
          </w:tcPr>
          <w:p>
            <w:pPr>
              <w:jc w:val="right"/>
              <w:ind w:right="57"/>
              <w:spacing w:after="0" w:line="170" w:lineRule="exact"/>
              <w:rPr>
                <w:sz w:val="20"/>
                <w:szCs w:val="20"/>
                <w:color w:val="auto"/>
              </w:rPr>
            </w:pPr>
            <w:r>
              <w:rPr>
                <w:rFonts w:ascii="Arial" w:cs="Arial" w:eastAsia="Arial" w:hAnsi="Arial"/>
                <w:sz w:val="12"/>
                <w:szCs w:val="12"/>
                <w:color w:val="auto"/>
              </w:rPr>
              <w:t>Revenue</w:t>
            </w:r>
            <w:r>
              <w:rPr>
                <w:rFonts w:ascii="Arial" w:cs="Arial" w:eastAsia="Arial" w:hAnsi="Arial"/>
                <w:sz w:val="19"/>
                <w:szCs w:val="19"/>
                <w:color w:val="auto"/>
                <w:vertAlign w:val="superscript"/>
              </w:rPr>
              <w:t>(g)</w:t>
            </w:r>
          </w:p>
        </w:tc>
        <w:tc>
          <w:tcPr>
            <w:tcW w:w="1080" w:type="dxa"/>
            <w:vAlign w:val="bottom"/>
            <w:tcBorders>
              <w:bottom w:val="single" w:sz="8" w:color="auto"/>
            </w:tcBorders>
            <w:gridSpan w:val="2"/>
          </w:tcPr>
          <w:p>
            <w:pPr>
              <w:jc w:val="right"/>
              <w:ind w:right="41"/>
              <w:spacing w:after="0" w:line="170" w:lineRule="exact"/>
              <w:rPr>
                <w:sz w:val="20"/>
                <w:szCs w:val="20"/>
                <w:color w:val="auto"/>
              </w:rPr>
            </w:pPr>
            <w:r>
              <w:rPr>
                <w:rFonts w:ascii="Arial" w:cs="Arial" w:eastAsia="Arial" w:hAnsi="Arial"/>
                <w:sz w:val="12"/>
                <w:szCs w:val="12"/>
                <w:color w:val="auto"/>
              </w:rPr>
              <w:t>Amortization</w:t>
            </w:r>
            <w:r>
              <w:rPr>
                <w:rFonts w:ascii="Arial" w:cs="Arial" w:eastAsia="Arial" w:hAnsi="Arial"/>
                <w:sz w:val="19"/>
                <w:szCs w:val="19"/>
                <w:color w:val="auto"/>
                <w:vertAlign w:val="superscript"/>
              </w:rPr>
              <w:t>(h)</w:t>
            </w: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(Loss)</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b w:val="1"/>
                <w:bCs w:val="1"/>
                <w:color w:val="auto"/>
              </w:rPr>
              <w:t>2010</w:t>
            </w: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32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$ 35,363</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41"/>
              <w:spacing w:after="0" w:line="202" w:lineRule="exact"/>
              <w:rPr>
                <w:sz w:val="20"/>
                <w:szCs w:val="20"/>
                <w:color w:val="auto"/>
              </w:rPr>
            </w:pPr>
            <w:r>
              <w:rPr>
                <w:rFonts w:ascii="Arial" w:cs="Arial" w:eastAsia="Arial" w:hAnsi="Arial"/>
                <w:sz w:val="18"/>
                <w:szCs w:val="18"/>
                <w:color w:val="auto"/>
              </w:rPr>
              <w:t>14,302</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6,232</w:t>
            </w:r>
          </w:p>
        </w:tc>
        <w:tc>
          <w:tcPr>
            <w:tcW w:w="820" w:type="dxa"/>
            <w:vAlign w:val="bottom"/>
          </w:tcPr>
          <w:p>
            <w:pPr>
              <w:jc w:val="right"/>
              <w:ind w:right="60"/>
              <w:spacing w:after="0" w:line="202" w:lineRule="exact"/>
              <w:rPr>
                <w:sz w:val="20"/>
                <w:szCs w:val="20"/>
                <w:color w:val="auto"/>
              </w:rPr>
            </w:pPr>
            <w:r>
              <w:rPr>
                <w:rFonts w:ascii="Arial" w:cs="Arial" w:eastAsia="Arial" w:hAnsi="Arial"/>
                <w:sz w:val="18"/>
                <w:szCs w:val="18"/>
                <w:color w:val="auto"/>
              </w:rPr>
              <w:t>$ 8,070</w:t>
            </w:r>
          </w:p>
        </w:tc>
        <w:tc>
          <w:tcPr>
            <w:tcW w:w="3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4,853</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32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2,719</w:t>
            </w:r>
          </w:p>
        </w:tc>
        <w:tc>
          <w:tcPr>
            <w:tcW w:w="180" w:type="dxa"/>
            <w:vAlign w:val="bottom"/>
          </w:tcPr>
          <w:p>
            <w:pPr>
              <w:spacing w:after="0"/>
              <w:rPr>
                <w:sz w:val="17"/>
                <w:szCs w:val="17"/>
                <w:color w:val="auto"/>
              </w:rPr>
            </w:pPr>
          </w:p>
        </w:tc>
        <w:tc>
          <w:tcPr>
            <w:tcW w:w="900" w:type="dxa"/>
            <w:vAlign w:val="bottom"/>
          </w:tcPr>
          <w:p>
            <w:pPr>
              <w:jc w:val="right"/>
              <w:ind w:right="41"/>
              <w:spacing w:after="0" w:line="202" w:lineRule="exact"/>
              <w:rPr>
                <w:sz w:val="20"/>
                <w:szCs w:val="20"/>
                <w:color w:val="auto"/>
              </w:rPr>
            </w:pPr>
            <w:r>
              <w:rPr>
                <w:rFonts w:ascii="Arial" w:cs="Arial" w:eastAsia="Arial" w:hAnsi="Arial"/>
                <w:sz w:val="18"/>
                <w:szCs w:val="18"/>
                <w:color w:val="auto"/>
              </w:rPr>
              <w:t>732</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820" w:type="dxa"/>
            <w:vAlign w:val="bottom"/>
          </w:tcPr>
          <w:p>
            <w:pPr>
              <w:jc w:val="right"/>
              <w:ind w:right="60"/>
              <w:spacing w:after="0" w:line="202" w:lineRule="exact"/>
              <w:rPr>
                <w:sz w:val="20"/>
                <w:szCs w:val="20"/>
                <w:color w:val="auto"/>
              </w:rPr>
            </w:pPr>
            <w:r>
              <w:rPr>
                <w:rFonts w:ascii="Arial" w:cs="Arial" w:eastAsia="Arial" w:hAnsi="Arial"/>
                <w:sz w:val="18"/>
                <w:szCs w:val="18"/>
                <w:color w:val="auto"/>
              </w:rPr>
              <w:t>409</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32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168</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199"/>
        </w:trPr>
        <w:tc>
          <w:tcPr>
            <w:tcW w:w="44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3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(313)</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r>
      <w:tr>
        <w:trPr>
          <w:trHeight w:val="196"/>
        </w:trPr>
        <w:tc>
          <w:tcPr>
            <w:tcW w:w="440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color w:val="auto"/>
              </w:rPr>
              <w:t>Comcast Consolidated</w:t>
            </w:r>
          </w:p>
        </w:tc>
        <w:tc>
          <w:tcPr>
            <w:tcW w:w="3280" w:type="dxa"/>
            <w:vAlign w:val="bottom"/>
            <w:tcBorders>
              <w:bottom w:val="single" w:sz="8" w:color="3E499A"/>
            </w:tcBorders>
          </w:tcPr>
          <w:p>
            <w:pPr>
              <w:jc w:val="right"/>
              <w:ind w:right="57"/>
              <w:spacing w:after="0" w:line="196" w:lineRule="exact"/>
              <w:rPr>
                <w:sz w:val="20"/>
                <w:szCs w:val="20"/>
                <w:color w:val="auto"/>
              </w:rPr>
            </w:pPr>
            <w:r>
              <w:rPr>
                <w:rFonts w:ascii="Arial" w:cs="Arial" w:eastAsia="Arial" w:hAnsi="Arial"/>
                <w:sz w:val="18"/>
                <w:szCs w:val="18"/>
                <w:color w:val="auto"/>
              </w:rPr>
              <w:t>$ 37,937</w:t>
            </w:r>
          </w:p>
        </w:tc>
        <w:tc>
          <w:tcPr>
            <w:tcW w:w="1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3E499A"/>
            </w:tcBorders>
          </w:tcPr>
          <w:p>
            <w:pPr>
              <w:jc w:val="right"/>
              <w:ind w:right="41"/>
              <w:spacing w:after="0" w:line="196" w:lineRule="exact"/>
              <w:rPr>
                <w:sz w:val="20"/>
                <w:szCs w:val="20"/>
                <w:color w:val="auto"/>
              </w:rPr>
            </w:pPr>
            <w:r>
              <w:rPr>
                <w:rFonts w:ascii="Arial" w:cs="Arial" w:eastAsia="Arial" w:hAnsi="Arial"/>
                <w:sz w:val="18"/>
                <w:szCs w:val="18"/>
                <w:color w:val="auto"/>
              </w:rPr>
              <w:t>14,596</w:t>
            </w:r>
          </w:p>
        </w:tc>
        <w:tc>
          <w:tcPr>
            <w:tcW w:w="30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6,616</w:t>
            </w:r>
          </w:p>
        </w:tc>
        <w:tc>
          <w:tcPr>
            <w:tcW w:w="820" w:type="dxa"/>
            <w:vAlign w:val="bottom"/>
            <w:tcBorders>
              <w:bottom w:val="single" w:sz="8" w:color="3E499A"/>
            </w:tcBorders>
          </w:tcPr>
          <w:p>
            <w:pPr>
              <w:jc w:val="right"/>
              <w:ind w:right="60"/>
              <w:spacing w:after="0" w:line="196" w:lineRule="exact"/>
              <w:rPr>
                <w:sz w:val="20"/>
                <w:szCs w:val="20"/>
                <w:color w:val="auto"/>
              </w:rPr>
            </w:pPr>
            <w:r>
              <w:rPr>
                <w:rFonts w:ascii="Arial" w:cs="Arial" w:eastAsia="Arial" w:hAnsi="Arial"/>
                <w:sz w:val="18"/>
                <w:szCs w:val="18"/>
                <w:color w:val="auto"/>
              </w:rPr>
              <w:t>$ 7,980</w:t>
            </w:r>
          </w:p>
        </w:tc>
        <w:tc>
          <w:tcPr>
            <w:tcW w:w="300" w:type="dxa"/>
            <w:vAlign w:val="bottom"/>
            <w:tcBorders>
              <w:bottom w:val="single" w:sz="8" w:color="3E499A"/>
            </w:tcBorders>
          </w:tcPr>
          <w:p>
            <w:pPr>
              <w:ind w:left="6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color w:val="auto"/>
              </w:rPr>
              <w:t>4,961</w:t>
            </w:r>
          </w:p>
        </w:tc>
      </w:tr>
    </w:tbl>
    <w:p>
      <w:pPr>
        <w:spacing w:after="0" w:line="67" w:lineRule="exact"/>
        <w:rPr>
          <w:sz w:val="20"/>
          <w:szCs w:val="20"/>
          <w:color w:val="auto"/>
        </w:rPr>
      </w:pPr>
    </w:p>
    <w:p>
      <w:pPr>
        <w:ind w:left="240" w:right="420" w:hanging="232"/>
        <w:spacing w:after="0" w:line="303" w:lineRule="auto"/>
        <w:tabs>
          <w:tab w:leader="none" w:pos="295"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Cable Communications segment consists primarily of our cable services business and the businesses of Comcast Interactive Media that were not contributed to NBCUniversal. For the years ended December 31, 2012, 2011 and 2010, Cable Communications segment revenue was derived from the following sources: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2010</w:t>
            </w:r>
          </w:p>
        </w:tc>
      </w:tr>
      <w:tr>
        <w:trPr>
          <w:trHeight w:val="141"/>
        </w:trPr>
        <w:tc>
          <w:tcPr>
            <w:tcW w:w="20" w:type="dxa"/>
            <w:vAlign w:val="bottom"/>
          </w:tcPr>
          <w:p>
            <w:pPr>
              <w:spacing w:after="0"/>
              <w:rPr>
                <w:sz w:val="12"/>
                <w:szCs w:val="12"/>
                <w:color w:val="auto"/>
              </w:rPr>
            </w:pPr>
          </w:p>
        </w:tc>
        <w:tc>
          <w:tcPr>
            <w:tcW w:w="5580" w:type="dxa"/>
            <w:vAlign w:val="bottom"/>
          </w:tcPr>
          <w:p>
            <w:pPr>
              <w:spacing w:after="0" w:line="141" w:lineRule="exact"/>
              <w:rPr>
                <w:sz w:val="20"/>
                <w:szCs w:val="20"/>
                <w:color w:val="auto"/>
              </w:rPr>
            </w:pPr>
            <w:r>
              <w:rPr>
                <w:rFonts w:ascii="Arial" w:cs="Arial" w:eastAsia="Arial" w:hAnsi="Arial"/>
                <w:sz w:val="14"/>
                <w:szCs w:val="14"/>
                <w:color w:val="auto"/>
              </w:rPr>
              <w:t>Residential:</w:t>
            </w:r>
          </w:p>
        </w:tc>
        <w:tc>
          <w:tcPr>
            <w:tcW w:w="4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Video</w:t>
            </w:r>
          </w:p>
        </w:tc>
        <w:tc>
          <w:tcPr>
            <w:tcW w:w="4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50.8%</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54.8%</w:t>
            </w: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High-speed Internet</w:t>
            </w:r>
          </w:p>
        </w:tc>
        <w:tc>
          <w:tcPr>
            <w:tcW w:w="4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24.1%</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23.5%</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Voice</w:t>
            </w:r>
          </w:p>
        </w:tc>
        <w:tc>
          <w:tcPr>
            <w:tcW w:w="4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9.0%</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9.4%</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r>
      <w:tr>
        <w:trPr>
          <w:trHeight w:val="149"/>
        </w:trPr>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4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4.8%</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r>
      <w:tr>
        <w:trPr>
          <w:trHeight w:val="149"/>
        </w:trPr>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Advertising</w:t>
            </w:r>
          </w:p>
        </w:tc>
        <w:tc>
          <w:tcPr>
            <w:tcW w:w="4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5.8%</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r>
      <w:tr>
        <w:trPr>
          <w:trHeight w:val="149"/>
        </w:trPr>
        <w:tc>
          <w:tcPr>
            <w:tcW w:w="56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Other</w:t>
            </w:r>
          </w:p>
        </w:tc>
        <w:tc>
          <w:tcPr>
            <w:tcW w:w="4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4.2%</w:t>
            </w: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4.2%</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w:t>
            </w:r>
          </w:p>
        </w:tc>
      </w:tr>
      <w:tr>
        <w:trPr>
          <w:trHeight w:val="142"/>
        </w:trPr>
        <w:tc>
          <w:tcPr>
            <w:tcW w:w="5600" w:type="dxa"/>
            <w:vAlign w:val="bottom"/>
            <w:tcBorders>
              <w:bottom w:val="single" w:sz="8" w:color="3E499A"/>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4700" w:type="dxa"/>
            <w:vAlign w:val="bottom"/>
            <w:tcBorders>
              <w:bottom w:val="single" w:sz="8" w:color="3E499A"/>
            </w:tcBorders>
          </w:tcPr>
          <w:p>
            <w:pPr>
              <w:jc w:val="right"/>
              <w:ind w:right="12"/>
              <w:spacing w:after="0" w:line="142" w:lineRule="exact"/>
              <w:rPr>
                <w:sz w:val="20"/>
                <w:szCs w:val="20"/>
                <w:color w:val="auto"/>
              </w:rPr>
            </w:pPr>
            <w:r>
              <w:rPr>
                <w:rFonts w:ascii="Arial" w:cs="Arial" w:eastAsia="Arial" w:hAnsi="Arial"/>
                <w:sz w:val="14"/>
                <w:szCs w:val="14"/>
                <w:color w:val="auto"/>
              </w:rPr>
              <w:t>100%</w:t>
            </w:r>
          </w:p>
        </w:tc>
        <w:tc>
          <w:tcPr>
            <w:tcW w:w="580" w:type="dxa"/>
            <w:vAlign w:val="bottom"/>
            <w:tcBorders>
              <w:bottom w:val="single" w:sz="8" w:color="3E499A"/>
            </w:tcBorders>
          </w:tcPr>
          <w:p>
            <w:pPr>
              <w:jc w:val="right"/>
              <w:ind w:right="12"/>
              <w:spacing w:after="0" w:line="142" w:lineRule="exact"/>
              <w:rPr>
                <w:sz w:val="20"/>
                <w:szCs w:val="20"/>
                <w:color w:val="auto"/>
              </w:rPr>
            </w:pPr>
            <w:r>
              <w:rPr>
                <w:rFonts w:ascii="Arial" w:cs="Arial" w:eastAsia="Arial" w:hAnsi="Arial"/>
                <w:sz w:val="14"/>
                <w:szCs w:val="14"/>
                <w:color w:val="auto"/>
              </w:rPr>
              <w:t>100%</w:t>
            </w:r>
          </w:p>
        </w:tc>
        <w:tc>
          <w:tcPr>
            <w:tcW w:w="540" w:type="dxa"/>
            <w:vAlign w:val="bottom"/>
            <w:tcBorders>
              <w:bottom w:val="single" w:sz="8" w:color="3E499A"/>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67" w:lineRule="exact"/>
        <w:rPr>
          <w:sz w:val="20"/>
          <w:szCs w:val="20"/>
          <w:color w:val="auto"/>
        </w:rPr>
      </w:pPr>
    </w:p>
    <w:p>
      <w:pPr>
        <w:ind w:left="280"/>
        <w:spacing w:after="0" w:line="231"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service based on the individual service’s price on a stand-alone basis. For each of 2012, 2011 and 2010, 2.8% of Cable Communications revenue was derived from franchise and other regulatory fees.</w:t>
      </w:r>
    </w:p>
    <w:p>
      <w:pPr>
        <w:spacing w:after="0" w:line="55" w:lineRule="exact"/>
        <w:rPr>
          <w:sz w:val="20"/>
          <w:szCs w:val="20"/>
          <w:color w:val="auto"/>
        </w:rPr>
      </w:pPr>
    </w:p>
    <w:p>
      <w:pPr>
        <w:ind w:left="300" w:hanging="292"/>
        <w:spacing w:after="0" w:line="300" w:lineRule="auto"/>
        <w:tabs>
          <w:tab w:leader="none" w:pos="3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Our Cable Networks segment included the results of operations of the businesses we contributed to NBCUniversal, as well as the results of operations of the NBCUniversal contributed cable networks for 2012 and for the period January 29, 2011 through December 31, 2011. For 2010, our Cable Networks segment consisted of the Comcast Content Business.</w:t>
      </w:r>
    </w:p>
    <w:p>
      <w:pPr>
        <w:spacing w:after="0" w:line="19" w:lineRule="exact"/>
        <w:rPr>
          <w:rFonts w:ascii="Arial" w:cs="Arial" w:eastAsia="Arial" w:hAnsi="Arial"/>
          <w:sz w:val="12"/>
          <w:szCs w:val="12"/>
          <w:color w:val="auto"/>
        </w:rPr>
      </w:pPr>
    </w:p>
    <w:p>
      <w:pPr>
        <w:jc w:val="both"/>
        <w:ind w:left="280" w:hanging="272"/>
        <w:spacing w:after="0" w:line="228" w:lineRule="auto"/>
        <w:tabs>
          <w:tab w:leader="none" w:pos="2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For 2012, our Broadcast Television segment included all revenue and costs and expenses associated with our broadcast of the 2012 London Olympics, which generated $120 million of operating income before depreciation and amortization. This amount reflects the settlement of a $237 million liability associated with the unfavorable Olympics contract that had been recorded through the application of acquisition accounting in 2011.</w:t>
      </w:r>
    </w:p>
    <w:p>
      <w:pPr>
        <w:spacing w:after="0" w:line="54"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For the period January 29, 2011 through June 30, 2011, we recorded Universal Orlando as an equity method investment in our consolidated results of operations. However, our Theme Parks segment included the results of operations for Universal Orlando for the period January 29, 2011 through June 30, 2011 to reflect our measure of operating performance for our Theme Parks segment.</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included costs associated with overhead, allocations, personnel costs and headquarter initiatives.</w:t>
      </w:r>
    </w:p>
    <w:p>
      <w:pPr>
        <w:spacing w:after="0" w:line="55" w:lineRule="exact"/>
        <w:rPr>
          <w:rFonts w:ascii="Arial" w:cs="Arial" w:eastAsia="Arial" w:hAnsi="Arial"/>
          <w:sz w:val="14"/>
          <w:szCs w:val="14"/>
          <w:color w:val="auto"/>
        </w:rPr>
      </w:pPr>
    </w:p>
    <w:p>
      <w:pPr>
        <w:ind w:left="260" w:hanging="252"/>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40" w:hanging="215"/>
        <w:spacing w:after="0" w:line="231" w:lineRule="auto"/>
        <w:tabs>
          <w:tab w:leader="none" w:pos="10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54" w:lineRule="exact"/>
        <w:rPr>
          <w:rFonts w:ascii="Arial" w:cs="Arial" w:eastAsia="Arial" w:hAnsi="Arial"/>
          <w:sz w:val="14"/>
          <w:szCs w:val="14"/>
          <w:color w:val="auto"/>
        </w:rPr>
      </w:pPr>
    </w:p>
    <w:p>
      <w:pPr>
        <w:ind w:left="1020" w:hanging="215"/>
        <w:spacing w:after="0"/>
        <w:tabs>
          <w:tab w:leader="none" w:pos="10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60" w:hanging="215"/>
        <w:spacing w:after="0" w:line="231" w:lineRule="auto"/>
        <w:tabs>
          <w:tab w:leader="none" w:pos="10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55" w:lineRule="exact"/>
        <w:rPr>
          <w:sz w:val="20"/>
          <w:szCs w:val="20"/>
          <w:color w:val="auto"/>
        </w:rPr>
      </w:pPr>
    </w:p>
    <w:p>
      <w:pPr>
        <w:jc w:val="both"/>
        <w:ind w:left="280"/>
        <w:spacing w:after="0" w:line="228" w:lineRule="auto"/>
        <w:rPr>
          <w:sz w:val="20"/>
          <w:szCs w:val="20"/>
          <w:color w:val="auto"/>
        </w:rPr>
      </w:pPr>
      <w:r>
        <w:rPr>
          <w:rFonts w:ascii="Arial" w:cs="Arial" w:eastAsia="Arial" w:hAnsi="Arial"/>
          <w:sz w:val="14"/>
          <w:szCs w:val="14"/>
          <w:color w:val="auto"/>
        </w:rPr>
        <w:t>NBCUniversal eliminations for 2011 included the eliminations of the results of operations for Universal Orlando for the period January 29, 2011 through June 30, 2011. These amounts were not included in NBCUniversal’s total and our consolidated results of operations for the period January 29, 2011 through June 30, 2011 because we recorded Universal Orlando as an equity method investment during this period.</w:t>
      </w:r>
    </w:p>
    <w:p>
      <w:pPr>
        <w:spacing w:after="0" w:line="54" w:lineRule="exact"/>
        <w:rPr>
          <w:sz w:val="20"/>
          <w:szCs w:val="20"/>
          <w:color w:val="auto"/>
        </w:rPr>
      </w:pPr>
    </w:p>
    <w:p>
      <w:pPr>
        <w:jc w:val="both"/>
        <w:ind w:left="300" w:hanging="292"/>
        <w:spacing w:after="0" w:line="228" w:lineRule="auto"/>
        <w:tabs>
          <w:tab w:leader="none" w:pos="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Revenue from customers located outside of the U.S., primarily in Europe and Asia, for the years ended December 31, 2012 and 2011 was $4.5 billion and $4.1 billion, respectively. Revenue from customers located outside of the U.S. was not significant for the year ended December 31, 2010. No single customer accounted for a significant amount of our revenue in any period.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116</w:t>
            </w: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00" w:hanging="292"/>
        <w:spacing w:after="0" w:line="224" w:lineRule="auto"/>
        <w:tabs>
          <w:tab w:leader="none" w:pos="3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20: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Second</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Third</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Fourth</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7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Quarter</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Quarter</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Quarter</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Quarter</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9"/>
              </w:rPr>
              <w:t>Total Year</w:t>
            </w:r>
          </w:p>
        </w:tc>
      </w:tr>
      <w:tr>
        <w:trPr>
          <w:trHeight w:val="177"/>
        </w:trPr>
        <w:tc>
          <w:tcPr>
            <w:tcW w:w="7140" w:type="dxa"/>
            <w:vAlign w:val="bottom"/>
          </w:tcPr>
          <w:p>
            <w:pPr>
              <w:spacing w:after="0" w:line="177"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14,878</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15,211</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16,544</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15,937</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62,570</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2,758</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3,079</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3,048</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3,294</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12,179</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rPr>
              <w:t>Net income attributable to Comcast Corporation</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1,224</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1,348</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2,113</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1,518</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6,203</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w w:val="98"/>
              </w:rPr>
              <w:t>Basic earnings per common share attributable to Comcast Corporation shareholders</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0.45</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0.50</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0.79</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0.57</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2.32</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71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0.45</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0.50</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0.78</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0.56</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2.28</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 per common share attributable to Comcast Corporation</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71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0.1625</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0.1625</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0.1625</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0.1625</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0.65</w:t>
            </w:r>
          </w:p>
        </w:tc>
      </w:tr>
      <w:tr>
        <w:trPr>
          <w:trHeight w:val="225"/>
        </w:trPr>
        <w:tc>
          <w:tcPr>
            <w:tcW w:w="714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12,128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14,333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14,339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15,042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55,842</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2,224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2,938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2,641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2,918</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10,721</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943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1,022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1,287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4,160</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 shareholders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0.34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0.47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 attributable to Comcast Corporation shareholders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0.34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0.47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199"/>
        </w:trPr>
        <w:tc>
          <w:tcPr>
            <w:tcW w:w="71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Dividends declared per common share attributable to Comcast Corporation shareholders</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0.1125</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0.1125</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0.1125</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0.1125</w:t>
            </w:r>
          </w:p>
        </w:tc>
        <w:tc>
          <w:tcPr>
            <w:tcW w:w="1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0.45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21: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February 12, 2013, we entered into an agreement to acquire GE’s 49% common equity interest in NBCUniversal Holdings for approximately $16.7 billion. In addition, NBCUniversal agreed to acquire from GE the portion of 30 Rockefeller Plaza in New York City that NBCUniversal occupies and CNBC’s headquarters in Englewood Cliffs, New Jersey for approximately $1.4 billion. The transactions, which are subject to customary closing conditions, are expected to close by the end of March 2013.</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consideration will consist of $11.4 billion of cash on hand; $4 billion of senior unsecured debt securities issued by a holding company (“HoldCo”), whose sole asset is its interests in NBCUniversal Holdings; $2 billion of cash funded through a combination of Comcast’s existing credit facility and NBCUniversal’s credit facility, which is expected to be amended, among other things, to substitute HoldCo as the sole borrower;</w:t>
      </w:r>
    </w:p>
    <w:p>
      <w:pPr>
        <w:spacing w:after="0" w:line="293"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117</w:t>
      </w:r>
      <w:r>
        <w:rPr>
          <w:sz w:val="20"/>
          <w:szCs w:val="20"/>
          <w:color w:val="auto"/>
        </w:rPr>
        <w:tab/>
      </w:r>
      <w:r>
        <w:rPr>
          <w:rFonts w:ascii="Arial" w:cs="Arial" w:eastAsia="Arial" w:hAnsi="Arial"/>
          <w:sz w:val="12"/>
          <w:szCs w:val="12"/>
          <w:color w:val="auto"/>
        </w:rPr>
        <w:t>Comcast 2012 Annual Report on Form 10-K</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and $725 million of Holdco preferred stock. After closing, we will control and consolidate HoldCo and own all of its capital stock other than the preferred stock. HoldCo’s debt securities and credit facility will be guaranteed by us and the cable holding company subsidiaries that guarantee our senior indebtedness. The preferred stock will pay dividends at a fixed rate and can be put to HoldCo for redemption at par on the later of seven years following the issuance of the preferred stock and three years following the sale by GE of shares to unaffiliated third parties, and thereafter, every third anniversary of such date (a “Put Date”). Shares of preferred stock can be called for redemption by HoldCo at par one year following each Put Date applicable to such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Note 22: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Corporation (“Comcast Parent”) and four of our 100% owned cable holding company subsidiaries, Comcast Cable Communications, LLC (“CCCL Parent”),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 The debt securities within the guarantee structure total $29.0 billion, of which $9.9 billion will mature within the next five years.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Corporation provides an unconditional subordinated guarantee of the $185 million principal amount currently outstanding of Comcast Holdings’ ZONES due October 2029. Comcast Corporation does not guarantee the $62 million principal amount currently outstanding of Comcast Holdings’ ZONES due November 2029.</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98"/>
              </w:rPr>
              <w:t>Elimination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Combined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88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w w:val="94"/>
              </w:rPr>
              <w:t>Comcast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CCHMO</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Comcast</w:t>
            </w:r>
          </w:p>
        </w:tc>
        <w:tc>
          <w:tcPr>
            <w:tcW w:w="20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7"/>
              </w:rPr>
              <w:t>Guarantor</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Consolidation</w:t>
            </w:r>
          </w:p>
        </w:tc>
        <w:tc>
          <w:tcPr>
            <w:tcW w:w="240" w:type="dxa"/>
            <w:vAlign w:val="bottom"/>
          </w:tcPr>
          <w:p>
            <w:pPr>
              <w:spacing w:after="0"/>
              <w:rPr>
                <w:sz w:val="12"/>
                <w:szCs w:val="12"/>
                <w:color w:val="auto"/>
              </w:rPr>
            </w:pPr>
          </w:p>
        </w:tc>
        <w:tc>
          <w:tcPr>
            <w:tcW w:w="80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Parent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Holdings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rPr>
              <w:t>Adjustments</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488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10,951</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10,951</w:t>
            </w: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1,464</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1,464</w:t>
            </w: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5,521</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5,521</w:t>
            </w: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909</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909</w:t>
            </w:r>
          </w:p>
        </w:tc>
      </w:tr>
      <w:tr>
        <w:trPr>
          <w:trHeight w:val="199"/>
        </w:trPr>
        <w:tc>
          <w:tcPr>
            <w:tcW w:w="48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233</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895</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1,146</w:t>
            </w:r>
          </w:p>
        </w:tc>
      </w:tr>
      <w:tr>
        <w:trPr>
          <w:trHeight w:val="199"/>
        </w:trPr>
        <w:tc>
          <w:tcPr>
            <w:tcW w:w="488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7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233</w:t>
            </w:r>
          </w:p>
        </w:tc>
        <w:tc>
          <w:tcPr>
            <w:tcW w:w="14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19,740</w:t>
            </w:r>
          </w:p>
        </w:tc>
        <w:tc>
          <w:tcPr>
            <w:tcW w:w="240" w:type="dxa"/>
            <w:vAlign w:val="bottom"/>
          </w:tcPr>
          <w:p>
            <w:pPr>
              <w:spacing w:after="0"/>
              <w:rPr>
                <w:sz w:val="17"/>
                <w:szCs w:val="17"/>
                <w:color w:val="auto"/>
              </w:rPr>
            </w:pPr>
          </w:p>
        </w:tc>
        <w:tc>
          <w:tcPr>
            <w:tcW w:w="88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19,991</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5,054</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5,054</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6,325</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6,325</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w w:val="99"/>
              </w:rPr>
              <w:t>Investments in and amounts due from subsidiaries eliminated</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upon consolidation</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74,227</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96,853</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50,242</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87,630</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41,996</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(350,948)</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242</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26,990</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27,232</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59,364</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26,985</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26,985</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17,828</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17,840</w:t>
            </w:r>
          </w:p>
        </w:tc>
      </w:tr>
      <w:tr>
        <w:trPr>
          <w:trHeight w:val="199"/>
        </w:trPr>
        <w:tc>
          <w:tcPr>
            <w:tcW w:w="4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1,130</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147</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1,802</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(900)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2,180</w:t>
            </w:r>
          </w:p>
        </w:tc>
      </w:tr>
      <w:tr>
        <w:trPr>
          <w:trHeight w:val="196"/>
        </w:trPr>
        <w:tc>
          <w:tcPr>
            <w:tcW w:w="48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75,844</w:t>
            </w:r>
          </w:p>
        </w:tc>
        <w:tc>
          <w:tcPr>
            <w:tcW w:w="1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w w:val="98"/>
              </w:rPr>
              <w:t>96,868</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w w:val="98"/>
              </w:rPr>
              <w:t>50,246</w:t>
            </w:r>
          </w:p>
        </w:tc>
        <w:tc>
          <w:tcPr>
            <w:tcW w:w="1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87,777</w:t>
            </w:r>
          </w:p>
        </w:tc>
        <w:tc>
          <w:tcPr>
            <w:tcW w:w="20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206,084</w:t>
            </w:r>
          </w:p>
        </w:tc>
        <w:tc>
          <w:tcPr>
            <w:tcW w:w="240" w:type="dxa"/>
            <w:vAlign w:val="bottom"/>
            <w:tcBorders>
              <w:bottom w:val="single" w:sz="8" w:color="3E49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(351,848)</w:t>
            </w:r>
          </w:p>
        </w:tc>
        <w:tc>
          <w:tcPr>
            <w:tcW w:w="240" w:type="dxa"/>
            <w:vAlign w:val="bottom"/>
            <w:tcBorders>
              <w:bottom w:val="single" w:sz="8" w:color="3E499A"/>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164,971</w:t>
            </w:r>
          </w:p>
        </w:tc>
      </w:tr>
      <w:tr>
        <w:trPr>
          <w:trHeight w:val="199"/>
        </w:trPr>
        <w:tc>
          <w:tcPr>
            <w:tcW w:w="488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80" w:type="dxa"/>
            <w:vAlign w:val="bottom"/>
          </w:tcPr>
          <w:p>
            <w:pPr>
              <w:ind w:left="440"/>
              <w:spacing w:after="0" w:line="202" w:lineRule="exact"/>
              <w:rPr>
                <w:sz w:val="20"/>
                <w:szCs w:val="20"/>
                <w:color w:val="auto"/>
              </w:rPr>
            </w:pPr>
            <w:r>
              <w:rPr>
                <w:rFonts w:ascii="Arial" w:cs="Arial" w:eastAsia="Arial" w:hAnsi="Arial"/>
                <w:sz w:val="18"/>
                <w:szCs w:val="18"/>
                <w:color w:val="auto"/>
              </w:rPr>
              <w:t>to trade creditors</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6,198</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6,206</w:t>
            </w: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1,350</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1,350</w:t>
            </w: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1,290</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4,953</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6,782</w:t>
            </w:r>
          </w:p>
        </w:tc>
      </w:tr>
      <w:tr>
        <w:trPr>
          <w:trHeight w:val="199"/>
        </w:trPr>
        <w:tc>
          <w:tcPr>
            <w:tcW w:w="48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2,105</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241</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2,376</w:t>
            </w:r>
          </w:p>
        </w:tc>
      </w:tr>
      <w:tr>
        <w:trPr>
          <w:trHeight w:val="199"/>
        </w:trPr>
        <w:tc>
          <w:tcPr>
            <w:tcW w:w="488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7"/>
                <w:szCs w:val="17"/>
                <w:color w:val="auto"/>
              </w:rPr>
            </w:pPr>
          </w:p>
        </w:tc>
        <w:tc>
          <w:tcPr>
            <w:tcW w:w="7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1,298</w:t>
            </w:r>
          </w:p>
        </w:tc>
        <w:tc>
          <w:tcPr>
            <w:tcW w:w="14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2,315</w:t>
            </w:r>
          </w:p>
        </w:tc>
        <w:tc>
          <w:tcPr>
            <w:tcW w:w="20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295</w:t>
            </w:r>
          </w:p>
        </w:tc>
        <w:tc>
          <w:tcPr>
            <w:tcW w:w="18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275</w:t>
            </w:r>
          </w:p>
        </w:tc>
        <w:tc>
          <w:tcPr>
            <w:tcW w:w="200" w:type="dxa"/>
            <w:vAlign w:val="bottom"/>
          </w:tcPr>
          <w:p>
            <w:pPr>
              <w:spacing w:after="0"/>
              <w:rPr>
                <w:sz w:val="17"/>
                <w:szCs w:val="17"/>
                <w:color w:val="auto"/>
              </w:rPr>
            </w:pPr>
          </w:p>
        </w:tc>
        <w:tc>
          <w:tcPr>
            <w:tcW w:w="7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12,531</w:t>
            </w:r>
          </w:p>
        </w:tc>
        <w:tc>
          <w:tcPr>
            <w:tcW w:w="240" w:type="dxa"/>
            <w:vAlign w:val="bottom"/>
          </w:tcPr>
          <w:p>
            <w:pPr>
              <w:spacing w:after="0"/>
              <w:rPr>
                <w:sz w:val="17"/>
                <w:szCs w:val="17"/>
                <w:color w:val="auto"/>
              </w:rPr>
            </w:pPr>
          </w:p>
        </w:tc>
        <w:tc>
          <w:tcPr>
            <w:tcW w:w="88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16,714</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23,306</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1,827</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1,512</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11,324</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38,082</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754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30,113</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30,110</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1,884</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11,530</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13,271</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16,998</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16,998</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w:t>
            </w:r>
          </w:p>
        </w:tc>
      </w:tr>
      <w:tr>
        <w:trPr>
          <w:trHeight w:val="199"/>
        </w:trPr>
        <w:tc>
          <w:tcPr>
            <w:tcW w:w="48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49,325</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92,726</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48,439</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86,635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123,148</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(350,948)</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49,325</w:t>
            </w:r>
          </w:p>
        </w:tc>
      </w:tr>
      <w:tr>
        <w:trPr>
          <w:trHeight w:val="199"/>
        </w:trPr>
        <w:tc>
          <w:tcPr>
            <w:tcW w:w="4880" w:type="dxa"/>
            <w:vAlign w:val="bottom"/>
          </w:tcPr>
          <w:p>
            <w:pPr>
              <w:spacing w:after="0" w:line="200" w:lineRule="exact"/>
              <w:rPr>
                <w:sz w:val="20"/>
                <w:szCs w:val="20"/>
                <w:color w:val="auto"/>
              </w:rPr>
            </w:pPr>
            <w:r>
              <w:rPr>
                <w:rFonts w:ascii="Arial" w:cs="Arial" w:eastAsia="Arial" w:hAnsi="Arial"/>
                <w:sz w:val="18"/>
                <w:szCs w:val="18"/>
                <w:color w:val="auto"/>
              </w:rPr>
              <w:t>Total Comcast Corporation shareholders’ equity</w:t>
            </w:r>
          </w:p>
        </w:tc>
        <w:tc>
          <w:tcPr>
            <w:tcW w:w="240" w:type="dxa"/>
            <w:vAlign w:val="bottom"/>
          </w:tcPr>
          <w:p>
            <w:pPr>
              <w:spacing w:after="0"/>
              <w:rPr>
                <w:sz w:val="17"/>
                <w:szCs w:val="17"/>
                <w:color w:val="auto"/>
              </w:rPr>
            </w:pPr>
          </w:p>
        </w:tc>
        <w:tc>
          <w:tcPr>
            <w:tcW w:w="7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49,356</w:t>
            </w:r>
          </w:p>
        </w:tc>
        <w:tc>
          <w:tcPr>
            <w:tcW w:w="14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w w:val="98"/>
              </w:rPr>
              <w:t>92,726</w:t>
            </w:r>
          </w:p>
        </w:tc>
        <w:tc>
          <w:tcPr>
            <w:tcW w:w="20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w w:val="98"/>
              </w:rPr>
              <w:t>48,439</w:t>
            </w:r>
          </w:p>
        </w:tc>
        <w:tc>
          <w:tcPr>
            <w:tcW w:w="18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86,635</w:t>
            </w:r>
          </w:p>
        </w:tc>
        <w:tc>
          <w:tcPr>
            <w:tcW w:w="200" w:type="dxa"/>
            <w:vAlign w:val="bottom"/>
          </w:tcPr>
          <w:p>
            <w:pPr>
              <w:spacing w:after="0"/>
              <w:rPr>
                <w:sz w:val="17"/>
                <w:szCs w:val="17"/>
                <w:color w:val="auto"/>
              </w:rPr>
            </w:pPr>
          </w:p>
        </w:tc>
        <w:tc>
          <w:tcPr>
            <w:tcW w:w="7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123,148</w:t>
            </w:r>
          </w:p>
        </w:tc>
        <w:tc>
          <w:tcPr>
            <w:tcW w:w="24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(350,948)</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49,356</w:t>
            </w:r>
          </w:p>
        </w:tc>
      </w:tr>
      <w:tr>
        <w:trPr>
          <w:trHeight w:val="199"/>
        </w:trPr>
        <w:tc>
          <w:tcPr>
            <w:tcW w:w="4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440</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440</w:t>
            </w:r>
          </w:p>
        </w:tc>
      </w:tr>
      <w:tr>
        <w:trPr>
          <w:trHeight w:val="196"/>
        </w:trPr>
        <w:tc>
          <w:tcPr>
            <w:tcW w:w="4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49,356</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92,726</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48,439</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86,635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123,588</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(350,948)</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49,796</w:t>
            </w:r>
          </w:p>
        </w:tc>
      </w:tr>
      <w:tr>
        <w:trPr>
          <w:trHeight w:val="196"/>
        </w:trPr>
        <w:tc>
          <w:tcPr>
            <w:tcW w:w="488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75,844</w:t>
            </w:r>
          </w:p>
        </w:tc>
        <w:tc>
          <w:tcPr>
            <w:tcW w:w="1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w w:val="98"/>
              </w:rPr>
              <w:t>96,868</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w w:val="98"/>
              </w:rPr>
              <w:t>50,246</w:t>
            </w:r>
          </w:p>
        </w:tc>
        <w:tc>
          <w:tcPr>
            <w:tcW w:w="1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87,777</w:t>
            </w:r>
          </w:p>
        </w:tc>
        <w:tc>
          <w:tcPr>
            <w:tcW w:w="20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206,084</w:t>
            </w:r>
          </w:p>
        </w:tc>
        <w:tc>
          <w:tcPr>
            <w:tcW w:w="240" w:type="dxa"/>
            <w:vAlign w:val="bottom"/>
            <w:tcBorders>
              <w:bottom w:val="single" w:sz="8" w:color="3E49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(351,848)</w:t>
            </w:r>
          </w:p>
        </w:tc>
        <w:tc>
          <w:tcPr>
            <w:tcW w:w="240" w:type="dxa"/>
            <w:vAlign w:val="bottom"/>
            <w:tcBorders>
              <w:bottom w:val="single" w:sz="8" w:color="3E499A"/>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164,971</w:t>
            </w:r>
          </w:p>
        </w:tc>
      </w:tr>
      <w:tr>
        <w:trPr>
          <w:trHeight w:val="506"/>
        </w:trPr>
        <w:tc>
          <w:tcPr>
            <w:tcW w:w="4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color w:val="auto"/>
              </w:rPr>
              <w:t>Comcast 2012 Annual Report on Form 10-K</w:t>
            </w: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4"/>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4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7"/>
              </w:rPr>
              <w:t>Comcast</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CCHMO</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Guarantor</w:t>
            </w:r>
          </w:p>
        </w:tc>
        <w:tc>
          <w:tcPr>
            <w:tcW w:w="106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9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Parents</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Holdings</w:t>
            </w:r>
          </w:p>
        </w:tc>
        <w:tc>
          <w:tcPr>
            <w:tcW w:w="960" w:type="dxa"/>
            <w:vAlign w:val="bottom"/>
            <w:tcBorders>
              <w:bottom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w w:val="93"/>
              </w:rPr>
              <w:t>Adjustments</w:t>
            </w:r>
          </w:p>
        </w:tc>
        <w:tc>
          <w:tcPr>
            <w:tcW w:w="980" w:type="dxa"/>
            <w:vAlign w:val="bottom"/>
            <w:tcBorders>
              <w:bottom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color w:val="auto"/>
              </w:rPr>
              <w:t>Corporation</w:t>
            </w: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1,620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1,620</w:t>
            </w: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w:t>
            </w: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4,652</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4,652</w:t>
            </w: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987</w:t>
            </w:r>
          </w:p>
        </w:tc>
      </w:tr>
      <w:tr>
        <w:trPr>
          <w:trHeight w:val="199"/>
        </w:trPr>
        <w:tc>
          <w:tcPr>
            <w:tcW w:w="49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235</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1,014</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1,260</w:t>
            </w: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235</w:t>
            </w:r>
          </w:p>
        </w:tc>
        <w:tc>
          <w:tcPr>
            <w:tcW w:w="2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8,327</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8,573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5,227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5,227</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9,854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9,854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 subsidiaries eliminated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upon consolidation</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71,222</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89,568</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45,725</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88,336</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36,949</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(331,800)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27,297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27,559</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59,376</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59,376</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26,874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26,874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18,156</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18,165</w:t>
            </w:r>
          </w:p>
        </w:tc>
      </w:tr>
      <w:tr>
        <w:trPr>
          <w:trHeight w:val="199"/>
        </w:trPr>
        <w:tc>
          <w:tcPr>
            <w:tcW w:w="49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912</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148</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1,761</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(666)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2,190</w:t>
            </w:r>
          </w:p>
        </w:tc>
      </w:tr>
      <w:tr>
        <w:trPr>
          <w:trHeight w:val="196"/>
        </w:trPr>
        <w:tc>
          <w:tcPr>
            <w:tcW w:w="496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w w:val="98"/>
              </w:rPr>
              <w:t>72,640</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89,606</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45,733</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88,484</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193,821</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(332,466)</w:t>
            </w:r>
          </w:p>
        </w:tc>
        <w:tc>
          <w:tcPr>
            <w:tcW w:w="20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157,818</w:t>
            </w: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60" w:type="dxa"/>
            <w:vAlign w:val="bottom"/>
          </w:tcPr>
          <w:p>
            <w:pPr>
              <w:ind w:left="440"/>
              <w:spacing w:after="0" w:line="202" w:lineRule="exact"/>
              <w:rPr>
                <w:sz w:val="20"/>
                <w:szCs w:val="20"/>
                <w:color w:val="auto"/>
              </w:rPr>
            </w:pPr>
            <w:r>
              <w:rPr>
                <w:rFonts w:ascii="Arial" w:cs="Arial" w:eastAsia="Arial" w:hAnsi="Arial"/>
                <w:sz w:val="18"/>
                <w:szCs w:val="18"/>
                <w:color w:val="auto"/>
              </w:rPr>
              <w:t>to trade creditors</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5,695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5,705</w:t>
            </w: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1,255</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1,255</w:t>
            </w: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1,030</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189</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3,346</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4,914</w:t>
            </w:r>
          </w:p>
        </w:tc>
      </w:tr>
      <w:tr>
        <w:trPr>
          <w:trHeight w:val="199"/>
        </w:trPr>
        <w:tc>
          <w:tcPr>
            <w:tcW w:w="49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554</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202</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585</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1,367</w:t>
            </w: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1,066</w:t>
            </w:r>
          </w:p>
        </w:tc>
        <w:tc>
          <w:tcPr>
            <w:tcW w:w="2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189</w:t>
            </w:r>
          </w:p>
        </w:tc>
        <w:tc>
          <w:tcPr>
            <w:tcW w:w="2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631</w:t>
            </w:r>
          </w:p>
        </w:tc>
        <w:tc>
          <w:tcPr>
            <w:tcW w:w="2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474</w:t>
            </w:r>
          </w:p>
        </w:tc>
        <w:tc>
          <w:tcPr>
            <w:tcW w:w="20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10,881</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13,241</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22,451</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3,953</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1,764</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9,663</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37,942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29,728</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(523)</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29,932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1,849</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11,328</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13,034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16,014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16,014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w:t>
            </w:r>
          </w:p>
        </w:tc>
      </w:tr>
      <w:tr>
        <w:trPr>
          <w:trHeight w:val="199"/>
        </w:trPr>
        <w:tc>
          <w:tcPr>
            <w:tcW w:w="49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47,242</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85,464</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43,338</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87,172</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115,826</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(331,800)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47,242</w:t>
            </w: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color w:val="auto"/>
              </w:rPr>
              <w:t>Total Comcast Corporation shareholders’ equity</w:t>
            </w:r>
          </w:p>
        </w:tc>
        <w:tc>
          <w:tcPr>
            <w:tcW w:w="32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w w:val="98"/>
              </w:rPr>
              <w:t>47,274</w:t>
            </w:r>
          </w:p>
        </w:tc>
        <w:tc>
          <w:tcPr>
            <w:tcW w:w="2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85,464</w:t>
            </w:r>
          </w:p>
        </w:tc>
        <w:tc>
          <w:tcPr>
            <w:tcW w:w="2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43,338</w:t>
            </w:r>
          </w:p>
        </w:tc>
        <w:tc>
          <w:tcPr>
            <w:tcW w:w="2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87,172</w:t>
            </w:r>
          </w:p>
        </w:tc>
        <w:tc>
          <w:tcPr>
            <w:tcW w:w="20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115,826</w:t>
            </w:r>
          </w:p>
        </w:tc>
        <w:tc>
          <w:tcPr>
            <w:tcW w:w="2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(331,800)</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47,274</w:t>
            </w:r>
          </w:p>
        </w:tc>
      </w:tr>
      <w:tr>
        <w:trPr>
          <w:trHeight w:val="199"/>
        </w:trPr>
        <w:tc>
          <w:tcPr>
            <w:tcW w:w="49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381</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381</w:t>
            </w:r>
          </w:p>
        </w:tc>
      </w:tr>
      <w:tr>
        <w:trPr>
          <w:trHeight w:val="196"/>
        </w:trPr>
        <w:tc>
          <w:tcPr>
            <w:tcW w:w="4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47,274</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85,464</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43,338</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87,172</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116,207</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(331,800)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47,655</w:t>
            </w:r>
          </w:p>
        </w:tc>
      </w:tr>
      <w:tr>
        <w:trPr>
          <w:trHeight w:val="196"/>
        </w:trPr>
        <w:tc>
          <w:tcPr>
            <w:tcW w:w="4960" w:type="dxa"/>
            <w:vAlign w:val="bottom"/>
            <w:tcBorders>
              <w:bottom w:val="single" w:sz="8" w:color="3E499A"/>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w w:val="98"/>
              </w:rPr>
              <w:t>72,640</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89,606</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45,733</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88,484</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193,821</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(332,466)</w:t>
            </w:r>
          </w:p>
        </w:tc>
        <w:tc>
          <w:tcPr>
            <w:tcW w:w="20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157,818</w:t>
            </w:r>
          </w:p>
        </w:tc>
      </w:tr>
      <w:tr>
        <w:trPr>
          <w:trHeight w:val="506"/>
        </w:trPr>
        <w:tc>
          <w:tcPr>
            <w:tcW w:w="496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Elimination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88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40" w:type="dxa"/>
            <w:vAlign w:val="bottom"/>
            <w:gridSpan w:val="2"/>
          </w:tcPr>
          <w:p>
            <w:pPr>
              <w:jc w:val="right"/>
              <w:ind w:right="54"/>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66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w w:val="94"/>
              </w:rPr>
              <w:t>CCHMO</w:t>
            </w:r>
          </w:p>
        </w:tc>
        <w:tc>
          <w:tcPr>
            <w:tcW w:w="78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8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97"/>
              </w:rPr>
              <w:t>Guarantor</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Consolidation</w:t>
            </w:r>
          </w:p>
        </w:tc>
        <w:tc>
          <w:tcPr>
            <w:tcW w:w="26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Parent</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7"/>
              </w:rPr>
              <w:t>Parents</w:t>
            </w:r>
          </w:p>
        </w:tc>
        <w:tc>
          <w:tcPr>
            <w:tcW w:w="7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Holdings</w:t>
            </w: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Adjustments</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48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62,570</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62,570</w:t>
            </w:r>
          </w:p>
        </w:tc>
      </w:tr>
      <w:tr>
        <w:trPr>
          <w:trHeight w:val="199"/>
        </w:trPr>
        <w:tc>
          <w:tcPr>
            <w:tcW w:w="20" w:type="dxa"/>
            <w:vAlign w:val="bottom"/>
          </w:tcPr>
          <w:p>
            <w:pPr>
              <w:spacing w:after="0"/>
              <w:rPr>
                <w:sz w:val="17"/>
                <w:szCs w:val="17"/>
                <w:color w:val="auto"/>
              </w:rPr>
            </w:pPr>
          </w:p>
        </w:tc>
        <w:tc>
          <w:tcPr>
            <w:tcW w:w="48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848</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827</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516</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848</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827</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516</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62,570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62,570</w:t>
            </w:r>
          </w:p>
        </w:tc>
      </w:tr>
      <w:tr>
        <w:trPr>
          <w:trHeight w:val="199"/>
        </w:trPr>
        <w:tc>
          <w:tcPr>
            <w:tcW w:w="20" w:type="dxa"/>
            <w:vAlign w:val="bottom"/>
          </w:tcPr>
          <w:p>
            <w:pPr>
              <w:spacing w:after="0"/>
              <w:rPr>
                <w:sz w:val="17"/>
                <w:szCs w:val="17"/>
                <w:color w:val="auto"/>
              </w:rPr>
            </w:pPr>
          </w:p>
        </w:tc>
        <w:tc>
          <w:tcPr>
            <w:tcW w:w="480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40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19,929</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19,929</w:t>
            </w:r>
          </w:p>
        </w:tc>
      </w:tr>
      <w:tr>
        <w:trPr>
          <w:trHeight w:val="203"/>
        </w:trPr>
        <w:tc>
          <w:tcPr>
            <w:tcW w:w="20" w:type="dxa"/>
            <w:vAlign w:val="bottom"/>
          </w:tcPr>
          <w:p>
            <w:pPr>
              <w:spacing w:after="0"/>
              <w:rPr>
                <w:sz w:val="17"/>
                <w:szCs w:val="17"/>
                <w:color w:val="auto"/>
              </w:rPr>
            </w:pPr>
          </w:p>
        </w:tc>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40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401</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827</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516</w:t>
            </w:r>
          </w:p>
        </w:tc>
        <w:tc>
          <w:tcPr>
            <w:tcW w:w="20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18,304</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(2,191)</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17,857</w:t>
            </w:r>
          </w:p>
        </w:tc>
      </w:tr>
      <w:tr>
        <w:trPr>
          <w:trHeight w:val="203"/>
        </w:trPr>
        <w:tc>
          <w:tcPr>
            <w:tcW w:w="20" w:type="dxa"/>
            <w:vAlign w:val="bottom"/>
          </w:tcPr>
          <w:p>
            <w:pPr>
              <w:spacing w:after="0"/>
              <w:rPr>
                <w:sz w:val="17"/>
                <w:szCs w:val="17"/>
                <w:color w:val="auto"/>
              </w:rPr>
            </w:pPr>
          </w:p>
        </w:tc>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40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4,807</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4,807</w:t>
            </w:r>
          </w:p>
        </w:tc>
      </w:tr>
      <w:tr>
        <w:trPr>
          <w:trHeight w:val="203"/>
        </w:trPr>
        <w:tc>
          <w:tcPr>
            <w:tcW w:w="20" w:type="dxa"/>
            <w:vAlign w:val="bottom"/>
          </w:tcPr>
          <w:p>
            <w:pPr>
              <w:spacing w:after="0"/>
              <w:rPr>
                <w:sz w:val="17"/>
                <w:szCs w:val="17"/>
                <w:color w:val="auto"/>
              </w:rPr>
            </w:pPr>
          </w:p>
        </w:tc>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6,120</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6,150</w:t>
            </w:r>
          </w:p>
        </w:tc>
      </w:tr>
      <w:tr>
        <w:trPr>
          <w:trHeight w:val="199"/>
        </w:trPr>
        <w:tc>
          <w:tcPr>
            <w:tcW w:w="20" w:type="dxa"/>
            <w:vAlign w:val="bottom"/>
          </w:tcPr>
          <w:p>
            <w:pPr>
              <w:spacing w:after="0"/>
              <w:rPr>
                <w:sz w:val="17"/>
                <w:szCs w:val="17"/>
                <w:color w:val="auto"/>
              </w:rPr>
            </w:pPr>
          </w:p>
        </w:tc>
        <w:tc>
          <w:tcPr>
            <w:tcW w:w="48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1,644</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1,648</w:t>
            </w:r>
          </w:p>
        </w:tc>
      </w:tr>
      <w:tr>
        <w:trPr>
          <w:trHeight w:val="196"/>
        </w:trPr>
        <w:tc>
          <w:tcPr>
            <w:tcW w:w="20" w:type="dxa"/>
            <w:vAlign w:val="bottom"/>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435</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827</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516</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50,804</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50,391</w:t>
            </w:r>
          </w:p>
        </w:tc>
      </w:tr>
      <w:tr>
        <w:trPr>
          <w:trHeight w:val="177"/>
        </w:trPr>
        <w:tc>
          <w:tcPr>
            <w:tcW w:w="482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15"/>
                <w:szCs w:val="15"/>
                <w:color w:val="auto"/>
              </w:rPr>
            </w:pPr>
          </w:p>
        </w:tc>
        <w:tc>
          <w:tcPr>
            <w:tcW w:w="640" w:type="dxa"/>
            <w:vAlign w:val="bottom"/>
          </w:tcPr>
          <w:p>
            <w:pPr>
              <w:jc w:val="right"/>
              <w:ind w:right="54"/>
              <w:spacing w:after="0" w:line="177" w:lineRule="exact"/>
              <w:rPr>
                <w:sz w:val="20"/>
                <w:szCs w:val="20"/>
                <w:color w:val="auto"/>
              </w:rPr>
            </w:pPr>
            <w:r>
              <w:rPr>
                <w:rFonts w:ascii="Arial" w:cs="Arial" w:eastAsia="Arial" w:hAnsi="Arial"/>
                <w:sz w:val="18"/>
                <w:szCs w:val="18"/>
                <w:color w:val="auto"/>
              </w:rPr>
              <w:t>413</w:t>
            </w:r>
          </w:p>
        </w:tc>
        <w:tc>
          <w:tcPr>
            <w:tcW w:w="18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60" w:type="dxa"/>
            <w:vAlign w:val="bottom"/>
          </w:tcPr>
          <w:p>
            <w:pPr>
              <w:jc w:val="right"/>
              <w:ind w:right="54"/>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58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00" w:type="dxa"/>
            <w:vAlign w:val="bottom"/>
          </w:tcPr>
          <w:p>
            <w:pPr>
              <w:jc w:val="right"/>
              <w:ind w:right="35"/>
              <w:spacing w:after="0" w:line="177" w:lineRule="exact"/>
              <w:rPr>
                <w:sz w:val="20"/>
                <w:szCs w:val="20"/>
                <w:color w:val="auto"/>
              </w:rPr>
            </w:pPr>
            <w:r>
              <w:rPr>
                <w:rFonts w:ascii="Arial" w:cs="Arial" w:eastAsia="Arial" w:hAnsi="Arial"/>
                <w:sz w:val="18"/>
                <w:szCs w:val="18"/>
                <w:color w:val="auto"/>
              </w:rPr>
              <w:t>11,766</w:t>
            </w:r>
          </w:p>
        </w:tc>
        <w:tc>
          <w:tcPr>
            <w:tcW w:w="220" w:type="dxa"/>
            <w:vAlign w:val="bottom"/>
          </w:tcPr>
          <w:p>
            <w:pPr>
              <w:spacing w:after="0"/>
              <w:rPr>
                <w:sz w:val="15"/>
                <w:szCs w:val="15"/>
                <w:color w:val="auto"/>
              </w:rPr>
            </w:pP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12,179</w:t>
            </w:r>
          </w:p>
        </w:tc>
      </w:tr>
      <w:tr>
        <w:trPr>
          <w:trHeight w:val="225"/>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(1,430)</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(2,521)</w:t>
            </w:r>
          </w:p>
        </w:tc>
      </w:tr>
      <w:tr>
        <w:trPr>
          <w:trHeight w:val="203"/>
        </w:trPr>
        <w:tc>
          <w:tcPr>
            <w:tcW w:w="20" w:type="dxa"/>
            <w:vAlign w:val="bottom"/>
          </w:tcPr>
          <w:p>
            <w:pPr>
              <w:spacing w:after="0"/>
              <w:rPr>
                <w:sz w:val="17"/>
                <w:szCs w:val="17"/>
                <w:color w:val="auto"/>
              </w:rPr>
            </w:pPr>
          </w:p>
        </w:tc>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40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208</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219</w:t>
            </w:r>
          </w:p>
        </w:tc>
      </w:tr>
      <w:tr>
        <w:trPr>
          <w:trHeight w:val="203"/>
        </w:trPr>
        <w:tc>
          <w:tcPr>
            <w:tcW w:w="20" w:type="dxa"/>
            <w:vAlign w:val="bottom"/>
          </w:tcPr>
          <w:p>
            <w:pPr>
              <w:spacing w:after="0"/>
              <w:rPr>
                <w:sz w:val="17"/>
                <w:szCs w:val="17"/>
                <w:color w:val="auto"/>
              </w:rPr>
            </w:pPr>
          </w:p>
        </w:tc>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40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6,858</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6,665</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4,909</w:t>
            </w:r>
          </w:p>
        </w:tc>
        <w:tc>
          <w:tcPr>
            <w:tcW w:w="20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7"/>
              </w:rPr>
              <w:t>6,536</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959</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(24,968)</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959</w:t>
            </w:r>
          </w:p>
        </w:tc>
      </w:tr>
      <w:tr>
        <w:trPr>
          <w:trHeight w:val="199"/>
        </w:trPr>
        <w:tc>
          <w:tcPr>
            <w:tcW w:w="20" w:type="dxa"/>
            <w:vAlign w:val="bottom"/>
          </w:tcPr>
          <w:p>
            <w:pPr>
              <w:spacing w:after="0"/>
              <w:rPr>
                <w:sz w:val="17"/>
                <w:szCs w:val="17"/>
                <w:color w:val="auto"/>
              </w:rPr>
            </w:pPr>
          </w:p>
        </w:tc>
        <w:tc>
          <w:tcPr>
            <w:tcW w:w="48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771</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773</w:t>
            </w:r>
          </w:p>
        </w:tc>
      </w:tr>
      <w:tr>
        <w:trPr>
          <w:trHeight w:val="196"/>
        </w:trPr>
        <w:tc>
          <w:tcPr>
            <w:tcW w:w="20" w:type="dxa"/>
            <w:vAlign w:val="bottom"/>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5,438</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6,336</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4,774</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97"/>
              </w:rPr>
              <w:t>6,516</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1,334</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(24,968)</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w:t>
            </w:r>
          </w:p>
        </w:tc>
      </w:tr>
      <w:tr>
        <w:trPr>
          <w:trHeight w:val="199"/>
        </w:trPr>
        <w:tc>
          <w:tcPr>
            <w:tcW w:w="482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7"/>
                <w:szCs w:val="17"/>
                <w:color w:val="auto"/>
              </w:rPr>
            </w:pPr>
          </w:p>
        </w:tc>
        <w:tc>
          <w:tcPr>
            <w:tcW w:w="6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5,851</w:t>
            </w:r>
          </w:p>
        </w:tc>
        <w:tc>
          <w:tcPr>
            <w:tcW w:w="18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6,336</w:t>
            </w:r>
          </w:p>
        </w:tc>
        <w:tc>
          <w:tcPr>
            <w:tcW w:w="200" w:type="dxa"/>
            <w:vAlign w:val="bottom"/>
          </w:tcPr>
          <w:p>
            <w:pPr>
              <w:spacing w:after="0"/>
              <w:rPr>
                <w:sz w:val="17"/>
                <w:szCs w:val="17"/>
                <w:color w:val="auto"/>
              </w:rPr>
            </w:pPr>
          </w:p>
        </w:tc>
        <w:tc>
          <w:tcPr>
            <w:tcW w:w="6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4,774</w:t>
            </w:r>
          </w:p>
        </w:tc>
        <w:tc>
          <w:tcPr>
            <w:tcW w:w="200" w:type="dxa"/>
            <w:vAlign w:val="bottom"/>
          </w:tcPr>
          <w:p>
            <w:pPr>
              <w:spacing w:after="0"/>
              <w:rPr>
                <w:sz w:val="17"/>
                <w:szCs w:val="17"/>
                <w:color w:val="auto"/>
              </w:rPr>
            </w:pPr>
          </w:p>
        </w:tc>
        <w:tc>
          <w:tcPr>
            <w:tcW w:w="580" w:type="dxa"/>
            <w:vAlign w:val="bottom"/>
          </w:tcPr>
          <w:p>
            <w:pPr>
              <w:jc w:val="right"/>
              <w:ind w:right="32"/>
              <w:spacing w:after="0" w:line="200" w:lineRule="exact"/>
              <w:rPr>
                <w:sz w:val="20"/>
                <w:szCs w:val="20"/>
                <w:color w:val="auto"/>
              </w:rPr>
            </w:pPr>
            <w:r>
              <w:rPr>
                <w:rFonts w:ascii="Arial" w:cs="Arial" w:eastAsia="Arial" w:hAnsi="Arial"/>
                <w:sz w:val="18"/>
                <w:szCs w:val="18"/>
                <w:color w:val="auto"/>
                <w:w w:val="97"/>
              </w:rPr>
              <w:t>6,516</w:t>
            </w:r>
          </w:p>
        </w:tc>
        <w:tc>
          <w:tcPr>
            <w:tcW w:w="200" w:type="dxa"/>
            <w:vAlign w:val="bottom"/>
          </w:tcPr>
          <w:p>
            <w:pPr>
              <w:spacing w:after="0"/>
              <w:rPr>
                <w:sz w:val="17"/>
                <w:szCs w:val="17"/>
                <w:color w:val="auto"/>
              </w:rPr>
            </w:pPr>
          </w:p>
        </w:tc>
        <w:tc>
          <w:tcPr>
            <w:tcW w:w="8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13,100</w:t>
            </w:r>
          </w:p>
        </w:tc>
        <w:tc>
          <w:tcPr>
            <w:tcW w:w="2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(24,968)</w:t>
            </w:r>
          </w:p>
        </w:tc>
        <w:tc>
          <w:tcPr>
            <w:tcW w:w="26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11,609</w:t>
            </w:r>
          </w:p>
        </w:tc>
      </w:tr>
      <w:tr>
        <w:trPr>
          <w:trHeight w:val="199"/>
        </w:trPr>
        <w:tc>
          <w:tcPr>
            <w:tcW w:w="48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352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115</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47</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(4,265)</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(3,744)</w:t>
            </w:r>
          </w:p>
        </w:tc>
      </w:tr>
      <w:tr>
        <w:trPr>
          <w:trHeight w:val="199"/>
        </w:trPr>
        <w:tc>
          <w:tcPr>
            <w:tcW w:w="482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7"/>
                <w:szCs w:val="17"/>
                <w:color w:val="auto"/>
              </w:rPr>
            </w:pPr>
          </w:p>
        </w:tc>
        <w:tc>
          <w:tcPr>
            <w:tcW w:w="6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6,203</w:t>
            </w:r>
          </w:p>
        </w:tc>
        <w:tc>
          <w:tcPr>
            <w:tcW w:w="18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6,451</w:t>
            </w:r>
          </w:p>
        </w:tc>
        <w:tc>
          <w:tcPr>
            <w:tcW w:w="200" w:type="dxa"/>
            <w:vAlign w:val="bottom"/>
          </w:tcPr>
          <w:p>
            <w:pPr>
              <w:spacing w:after="0"/>
              <w:rPr>
                <w:sz w:val="17"/>
                <w:szCs w:val="17"/>
                <w:color w:val="auto"/>
              </w:rPr>
            </w:pPr>
          </w:p>
        </w:tc>
        <w:tc>
          <w:tcPr>
            <w:tcW w:w="6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4,821</w:t>
            </w:r>
          </w:p>
        </w:tc>
        <w:tc>
          <w:tcPr>
            <w:tcW w:w="200" w:type="dxa"/>
            <w:vAlign w:val="bottom"/>
          </w:tcPr>
          <w:p>
            <w:pPr>
              <w:spacing w:after="0"/>
              <w:rPr>
                <w:sz w:val="17"/>
                <w:szCs w:val="17"/>
                <w:color w:val="auto"/>
              </w:rPr>
            </w:pPr>
          </w:p>
        </w:tc>
        <w:tc>
          <w:tcPr>
            <w:tcW w:w="580" w:type="dxa"/>
            <w:vAlign w:val="bottom"/>
          </w:tcPr>
          <w:p>
            <w:pPr>
              <w:jc w:val="right"/>
              <w:ind w:right="32"/>
              <w:spacing w:after="0" w:line="200" w:lineRule="exact"/>
              <w:rPr>
                <w:sz w:val="20"/>
                <w:szCs w:val="20"/>
                <w:color w:val="auto"/>
              </w:rPr>
            </w:pPr>
            <w:r>
              <w:rPr>
                <w:rFonts w:ascii="Arial" w:cs="Arial" w:eastAsia="Arial" w:hAnsi="Arial"/>
                <w:sz w:val="18"/>
                <w:szCs w:val="18"/>
                <w:color w:val="auto"/>
                <w:w w:val="97"/>
              </w:rPr>
              <w:t>6,523</w:t>
            </w:r>
          </w:p>
        </w:tc>
        <w:tc>
          <w:tcPr>
            <w:tcW w:w="200" w:type="dxa"/>
            <w:vAlign w:val="bottom"/>
          </w:tcPr>
          <w:p>
            <w:pPr>
              <w:spacing w:after="0"/>
              <w:rPr>
                <w:sz w:val="17"/>
                <w:szCs w:val="17"/>
                <w:color w:val="auto"/>
              </w:rPr>
            </w:pPr>
          </w:p>
        </w:tc>
        <w:tc>
          <w:tcPr>
            <w:tcW w:w="8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8,835</w:t>
            </w:r>
          </w:p>
        </w:tc>
        <w:tc>
          <w:tcPr>
            <w:tcW w:w="2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(24,968)</w:t>
            </w:r>
          </w:p>
        </w:tc>
        <w:tc>
          <w:tcPr>
            <w:tcW w:w="26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7,865</w:t>
            </w:r>
          </w:p>
        </w:tc>
      </w:tr>
      <w:tr>
        <w:trPr>
          <w:trHeight w:val="199"/>
        </w:trPr>
        <w:tc>
          <w:tcPr>
            <w:tcW w:w="48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Net (income) loss attributable to noncontrolling interests</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(1,662)</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(1,662)</w:t>
            </w:r>
          </w:p>
        </w:tc>
      </w:tr>
      <w:tr>
        <w:trPr>
          <w:trHeight w:val="196"/>
        </w:trPr>
        <w:tc>
          <w:tcPr>
            <w:tcW w:w="4820" w:type="dxa"/>
            <w:vAlign w:val="bottom"/>
            <w:tcBorders>
              <w:bottom w:val="single" w:sz="8" w:color="3E499A"/>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 Corporation</w:t>
            </w:r>
          </w:p>
        </w:tc>
        <w:tc>
          <w:tcPr>
            <w:tcW w:w="4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6,203</w:t>
            </w:r>
          </w:p>
        </w:tc>
        <w:tc>
          <w:tcPr>
            <w:tcW w:w="1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6,451</w:t>
            </w:r>
          </w:p>
        </w:tc>
        <w:tc>
          <w:tcPr>
            <w:tcW w:w="200" w:type="dxa"/>
            <w:vAlign w:val="bottom"/>
            <w:tcBorders>
              <w:bottom w:val="single" w:sz="8" w:color="3E499A"/>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4,821</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3E499A"/>
            </w:tcBorders>
          </w:tcPr>
          <w:p>
            <w:pPr>
              <w:jc w:val="right"/>
              <w:ind w:right="32"/>
              <w:spacing w:after="0" w:line="196" w:lineRule="exact"/>
              <w:rPr>
                <w:sz w:val="20"/>
                <w:szCs w:val="20"/>
                <w:color w:val="auto"/>
              </w:rPr>
            </w:pPr>
            <w:r>
              <w:rPr>
                <w:rFonts w:ascii="Arial" w:cs="Arial" w:eastAsia="Arial" w:hAnsi="Arial"/>
                <w:sz w:val="18"/>
                <w:szCs w:val="18"/>
                <w:b w:val="1"/>
                <w:bCs w:val="1"/>
                <w:color w:val="auto"/>
                <w:w w:val="97"/>
              </w:rPr>
              <w:t>6,523</w:t>
            </w:r>
          </w:p>
        </w:tc>
        <w:tc>
          <w:tcPr>
            <w:tcW w:w="20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3E499A"/>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7,173</w:t>
            </w:r>
          </w:p>
        </w:tc>
        <w:tc>
          <w:tcPr>
            <w:tcW w:w="22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(24,968)</w:t>
            </w:r>
          </w:p>
        </w:tc>
        <w:tc>
          <w:tcPr>
            <w:tcW w:w="260" w:type="dxa"/>
            <w:vAlign w:val="bottom"/>
            <w:tcBorders>
              <w:bottom w:val="single" w:sz="8" w:color="3E499A"/>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6,203</w:t>
            </w:r>
          </w:p>
        </w:tc>
      </w:tr>
      <w:tr>
        <w:trPr>
          <w:trHeight w:val="177"/>
        </w:trPr>
        <w:tc>
          <w:tcPr>
            <w:tcW w:w="48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800" w:type="dxa"/>
            <w:vAlign w:val="bottom"/>
            <w:tcBorders>
              <w:bottom w:val="single" w:sz="8" w:color="3E499A"/>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4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E499A"/>
            </w:tcBorders>
          </w:tcPr>
          <w:p>
            <w:pPr>
              <w:jc w:val="right"/>
              <w:ind w:right="54"/>
              <w:spacing w:after="0"/>
              <w:rPr>
                <w:sz w:val="20"/>
                <w:szCs w:val="20"/>
                <w:color w:val="auto"/>
              </w:rPr>
            </w:pPr>
            <w:r>
              <w:rPr>
                <w:rFonts w:ascii="Arial" w:cs="Arial" w:eastAsia="Arial" w:hAnsi="Arial"/>
                <w:sz w:val="18"/>
                <w:szCs w:val="18"/>
                <w:b w:val="1"/>
                <w:bCs w:val="1"/>
                <w:color w:val="auto"/>
              </w:rPr>
              <w:t>6,370</w:t>
            </w:r>
          </w:p>
        </w:tc>
        <w:tc>
          <w:tcPr>
            <w:tcW w:w="18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4"/>
              <w:spacing w:after="0"/>
              <w:rPr>
                <w:sz w:val="20"/>
                <w:szCs w:val="20"/>
                <w:color w:val="auto"/>
              </w:rPr>
            </w:pPr>
            <w:r>
              <w:rPr>
                <w:rFonts w:ascii="Arial" w:cs="Arial" w:eastAsia="Arial" w:hAnsi="Arial"/>
                <w:sz w:val="18"/>
                <w:szCs w:val="18"/>
                <w:b w:val="1"/>
                <w:bCs w:val="1"/>
                <w:color w:val="auto"/>
              </w:rPr>
              <w:t>6,460</w:t>
            </w:r>
          </w:p>
        </w:tc>
        <w:tc>
          <w:tcPr>
            <w:tcW w:w="200" w:type="dxa"/>
            <w:vAlign w:val="bottom"/>
            <w:tcBorders>
              <w:bottom w:val="single" w:sz="8" w:color="3E499A"/>
            </w:tcBorders>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E499A"/>
            </w:tcBorders>
          </w:tcPr>
          <w:p>
            <w:pPr>
              <w:jc w:val="right"/>
              <w:ind w:right="54"/>
              <w:spacing w:after="0"/>
              <w:rPr>
                <w:sz w:val="20"/>
                <w:szCs w:val="20"/>
                <w:color w:val="auto"/>
              </w:rPr>
            </w:pPr>
            <w:r>
              <w:rPr>
                <w:rFonts w:ascii="Arial" w:cs="Arial" w:eastAsia="Arial" w:hAnsi="Arial"/>
                <w:sz w:val="18"/>
                <w:szCs w:val="18"/>
                <w:b w:val="1"/>
                <w:bCs w:val="1"/>
                <w:color w:val="auto"/>
              </w:rPr>
              <w:t>4,821</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3E499A"/>
            </w:tcBorders>
          </w:tcPr>
          <w:p>
            <w:pPr>
              <w:jc w:val="right"/>
              <w:ind w:right="32"/>
              <w:spacing w:after="0"/>
              <w:rPr>
                <w:sz w:val="20"/>
                <w:szCs w:val="20"/>
                <w:color w:val="auto"/>
              </w:rPr>
            </w:pPr>
            <w:r>
              <w:rPr>
                <w:rFonts w:ascii="Arial" w:cs="Arial" w:eastAsia="Arial" w:hAnsi="Arial"/>
                <w:sz w:val="18"/>
                <w:szCs w:val="18"/>
                <w:b w:val="1"/>
                <w:bCs w:val="1"/>
                <w:color w:val="auto"/>
                <w:w w:val="97"/>
              </w:rPr>
              <w:t>6,523</w:t>
            </w:r>
          </w:p>
        </w:tc>
        <w:tc>
          <w:tcPr>
            <w:tcW w:w="200" w:type="dxa"/>
            <w:vAlign w:val="bottom"/>
            <w:tcBorders>
              <w:bottom w:val="single" w:sz="8" w:color="3E499A"/>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3E499A"/>
            </w:tcBorders>
          </w:tcPr>
          <w:p>
            <w:pPr>
              <w:jc w:val="right"/>
              <w:ind w:right="35"/>
              <w:spacing w:after="0"/>
              <w:rPr>
                <w:sz w:val="20"/>
                <w:szCs w:val="20"/>
                <w:color w:val="auto"/>
              </w:rPr>
            </w:pPr>
            <w:r>
              <w:rPr>
                <w:rFonts w:ascii="Arial" w:cs="Arial" w:eastAsia="Arial" w:hAnsi="Arial"/>
                <w:sz w:val="18"/>
                <w:szCs w:val="18"/>
                <w:b w:val="1"/>
                <w:bCs w:val="1"/>
                <w:color w:val="auto"/>
              </w:rPr>
              <w:t>7,314</w:t>
            </w:r>
          </w:p>
        </w:tc>
        <w:tc>
          <w:tcPr>
            <w:tcW w:w="220" w:type="dxa"/>
            <w:vAlign w:val="bottom"/>
            <w:tcBorders>
              <w:bottom w:val="single" w:sz="8" w:color="3E499A"/>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(25,118)</w:t>
            </w:r>
          </w:p>
        </w:tc>
        <w:tc>
          <w:tcPr>
            <w:tcW w:w="260" w:type="dxa"/>
            <w:vAlign w:val="bottom"/>
            <w:tcBorders>
              <w:bottom w:val="single" w:sz="8" w:color="3E499A"/>
            </w:tcBorders>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E499A"/>
            </w:tcBorders>
          </w:tcPr>
          <w:p>
            <w:pPr>
              <w:jc w:val="right"/>
              <w:ind w:right="13"/>
              <w:spacing w:after="0"/>
              <w:rPr>
                <w:sz w:val="20"/>
                <w:szCs w:val="20"/>
                <w:color w:val="auto"/>
              </w:rPr>
            </w:pPr>
            <w:r>
              <w:rPr>
                <w:rFonts w:ascii="Arial" w:cs="Arial" w:eastAsia="Arial" w:hAnsi="Arial"/>
                <w:sz w:val="18"/>
                <w:szCs w:val="18"/>
                <w:b w:val="1"/>
                <w:bCs w:val="1"/>
                <w:color w:val="auto"/>
              </w:rPr>
              <w:t>6,370</w:t>
            </w:r>
          </w:p>
        </w:tc>
      </w:tr>
      <w:tr>
        <w:trPr>
          <w:trHeight w:val="50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color w:val="auto"/>
              </w:rPr>
              <w:t>Comcast 2012 Annual Report on Form 10-K</w:t>
            </w: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color w:val="auto"/>
                <w:w w:val="96"/>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14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CCHMO</w:t>
            </w:r>
          </w:p>
        </w:tc>
        <w:tc>
          <w:tcPr>
            <w:tcW w:w="8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9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Parent</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Parents</w:t>
            </w:r>
          </w:p>
        </w:tc>
        <w:tc>
          <w:tcPr>
            <w:tcW w:w="800" w:type="dxa"/>
            <w:vAlign w:val="bottom"/>
            <w:tcBorders>
              <w:bottom w:val="single" w:sz="8" w:color="auto"/>
            </w:tcBorders>
            <w:gridSpan w:val="2"/>
          </w:tcPr>
          <w:p>
            <w:pPr>
              <w:jc w:val="right"/>
              <w:ind w:right="32"/>
              <w:spacing w:after="0" w:line="149" w:lineRule="exact"/>
              <w:rPr>
                <w:sz w:val="20"/>
                <w:szCs w:val="20"/>
                <w:color w:val="auto"/>
              </w:rPr>
            </w:pPr>
            <w:r>
              <w:rPr>
                <w:rFonts w:ascii="Arial" w:cs="Arial" w:eastAsia="Arial" w:hAnsi="Arial"/>
                <w:sz w:val="14"/>
                <w:szCs w:val="14"/>
                <w:color w:val="auto"/>
              </w:rPr>
              <w:t>Holdings</w:t>
            </w:r>
          </w:p>
        </w:tc>
        <w:tc>
          <w:tcPr>
            <w:tcW w:w="94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Subsidiaries</w:t>
            </w:r>
          </w:p>
        </w:tc>
        <w:tc>
          <w:tcPr>
            <w:tcW w:w="1000" w:type="dxa"/>
            <w:vAlign w:val="bottom"/>
            <w:tcBorders>
              <w:bottom w:val="single" w:sz="8" w:color="auto"/>
            </w:tcBorders>
            <w:gridSpan w:val="2"/>
          </w:tcPr>
          <w:p>
            <w:pPr>
              <w:jc w:val="right"/>
              <w:ind w:right="34"/>
              <w:spacing w:after="0" w:line="149" w:lineRule="exact"/>
              <w:rPr>
                <w:sz w:val="20"/>
                <w:szCs w:val="20"/>
                <w:color w:val="auto"/>
              </w:rPr>
            </w:pPr>
            <w:r>
              <w:rPr>
                <w:rFonts w:ascii="Arial" w:cs="Arial" w:eastAsia="Arial" w:hAnsi="Arial"/>
                <w:sz w:val="14"/>
                <w:szCs w:val="14"/>
                <w:color w:val="auto"/>
              </w:rPr>
              <w:t>Adjustments</w:t>
            </w:r>
          </w:p>
        </w:tc>
        <w:tc>
          <w:tcPr>
            <w:tcW w:w="980" w:type="dxa"/>
            <w:vAlign w:val="bottom"/>
            <w:tcBorders>
              <w:bottom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color w:val="auto"/>
              </w:rPr>
              <w:t>Corporation</w:t>
            </w:r>
          </w:p>
        </w:tc>
      </w:tr>
      <w:tr>
        <w:trPr>
          <w:trHeight w:val="199"/>
        </w:trPr>
        <w:tc>
          <w:tcPr>
            <w:tcW w:w="49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55,842</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55,842</w:t>
            </w:r>
          </w:p>
        </w:tc>
      </w:tr>
      <w:tr>
        <w:trPr>
          <w:trHeight w:val="199"/>
        </w:trPr>
        <w:tc>
          <w:tcPr>
            <w:tcW w:w="20" w:type="dxa"/>
            <w:vAlign w:val="bottom"/>
          </w:tcPr>
          <w:p>
            <w:pPr>
              <w:spacing w:after="0"/>
              <w:rPr>
                <w:sz w:val="17"/>
                <w:szCs w:val="17"/>
                <w:color w:val="auto"/>
              </w:rPr>
            </w:pPr>
          </w:p>
        </w:tc>
        <w:tc>
          <w:tcPr>
            <w:tcW w:w="4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800</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784</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488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(2,072)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800</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784</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488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55,842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55,842</w:t>
            </w:r>
          </w:p>
        </w:tc>
      </w:tr>
      <w:tr>
        <w:trPr>
          <w:trHeight w:val="199"/>
        </w:trPr>
        <w:tc>
          <w:tcPr>
            <w:tcW w:w="20" w:type="dxa"/>
            <w:vAlign w:val="bottom"/>
          </w:tcPr>
          <w:p>
            <w:pPr>
              <w:spacing w:after="0"/>
              <w:rPr>
                <w:sz w:val="17"/>
                <w:szCs w:val="17"/>
                <w:color w:val="auto"/>
              </w:rPr>
            </w:pPr>
          </w:p>
        </w:tc>
        <w:tc>
          <w:tcPr>
            <w:tcW w:w="494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16,598</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16,598</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420</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784</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488</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17,031</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(2,072)</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16,656</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4,231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4,231</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6,011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6,040</w:t>
            </w:r>
          </w:p>
        </w:tc>
      </w:tr>
      <w:tr>
        <w:trPr>
          <w:trHeight w:val="199"/>
        </w:trPr>
        <w:tc>
          <w:tcPr>
            <w:tcW w:w="20" w:type="dxa"/>
            <w:vAlign w:val="bottom"/>
          </w:tcPr>
          <w:p>
            <w:pPr>
              <w:spacing w:after="0"/>
              <w:rPr>
                <w:sz w:val="17"/>
                <w:szCs w:val="17"/>
                <w:color w:val="auto"/>
              </w:rPr>
            </w:pPr>
          </w:p>
        </w:tc>
        <w:tc>
          <w:tcPr>
            <w:tcW w:w="4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1,593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1,596</w:t>
            </w:r>
          </w:p>
        </w:tc>
      </w:tr>
      <w:tr>
        <w:trPr>
          <w:trHeight w:val="196"/>
        </w:trPr>
        <w:tc>
          <w:tcPr>
            <w:tcW w:w="20" w:type="dxa"/>
            <w:vAlign w:val="bottom"/>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452</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784</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488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45,464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45,121</w:t>
            </w:r>
          </w:p>
        </w:tc>
      </w:tr>
      <w:tr>
        <w:trPr>
          <w:trHeight w:val="177"/>
        </w:trPr>
        <w:tc>
          <w:tcPr>
            <w:tcW w:w="496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520" w:type="dxa"/>
            <w:vAlign w:val="bottom"/>
          </w:tcPr>
          <w:p>
            <w:pPr>
              <w:spacing w:after="0"/>
              <w:rPr>
                <w:sz w:val="15"/>
                <w:szCs w:val="15"/>
                <w:color w:val="auto"/>
              </w:rPr>
            </w:pPr>
          </w:p>
        </w:tc>
        <w:tc>
          <w:tcPr>
            <w:tcW w:w="620" w:type="dxa"/>
            <w:vAlign w:val="bottom"/>
          </w:tcPr>
          <w:p>
            <w:pPr>
              <w:jc w:val="right"/>
              <w:ind w:right="34"/>
              <w:spacing w:after="0" w:line="177" w:lineRule="exact"/>
              <w:rPr>
                <w:sz w:val="20"/>
                <w:szCs w:val="20"/>
                <w:color w:val="auto"/>
              </w:rPr>
            </w:pPr>
            <w:r>
              <w:rPr>
                <w:rFonts w:ascii="Arial" w:cs="Arial" w:eastAsia="Arial" w:hAnsi="Arial"/>
                <w:sz w:val="18"/>
                <w:szCs w:val="18"/>
                <w:color w:val="auto"/>
              </w:rPr>
              <w:t>348</w:t>
            </w:r>
          </w:p>
        </w:tc>
        <w:tc>
          <w:tcPr>
            <w:tcW w:w="20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64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5"/>
                <w:szCs w:val="15"/>
                <w:color w:val="auto"/>
              </w:rPr>
            </w:pPr>
          </w:p>
        </w:tc>
        <w:tc>
          <w:tcPr>
            <w:tcW w:w="76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10,378</w:t>
            </w:r>
          </w:p>
        </w:tc>
        <w:tc>
          <w:tcPr>
            <w:tcW w:w="200" w:type="dxa"/>
            <w:vAlign w:val="bottom"/>
          </w:tcPr>
          <w:p>
            <w:pPr>
              <w:spacing w:after="0"/>
              <w:rPr>
                <w:sz w:val="15"/>
                <w:szCs w:val="15"/>
                <w:color w:val="auto"/>
              </w:rPr>
            </w:pPr>
          </w:p>
        </w:tc>
        <w:tc>
          <w:tcPr>
            <w:tcW w:w="8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10,721</w:t>
            </w:r>
          </w:p>
        </w:tc>
      </w:tr>
      <w:tr>
        <w:trPr>
          <w:trHeight w:val="225"/>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(1,439)</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(524)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(2,505)</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159</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4,879</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5,598</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3,361</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5,734</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(19,572)</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199"/>
        </w:trPr>
        <w:tc>
          <w:tcPr>
            <w:tcW w:w="20" w:type="dxa"/>
            <w:vAlign w:val="bottom"/>
          </w:tcPr>
          <w:p>
            <w:pPr>
              <w:spacing w:after="0"/>
              <w:rPr>
                <w:sz w:val="17"/>
                <w:szCs w:val="17"/>
                <w:color w:val="auto"/>
              </w:rPr>
            </w:pPr>
          </w:p>
        </w:tc>
        <w:tc>
          <w:tcPr>
            <w:tcW w:w="4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(133)</w:t>
            </w:r>
          </w:p>
        </w:tc>
      </w:tr>
      <w:tr>
        <w:trPr>
          <w:trHeight w:val="196"/>
        </w:trPr>
        <w:tc>
          <w:tcPr>
            <w:tcW w:w="20" w:type="dxa"/>
            <w:vAlign w:val="bottom"/>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3,424</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5,260</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3,189</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5,705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(19,572)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(2,514)</w:t>
            </w:r>
          </w:p>
        </w:tc>
      </w:tr>
      <w:tr>
        <w:trPr>
          <w:trHeight w:val="199"/>
        </w:trPr>
        <w:tc>
          <w:tcPr>
            <w:tcW w:w="496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520" w:type="dxa"/>
            <w:vAlign w:val="bottom"/>
          </w:tcPr>
          <w:p>
            <w:pPr>
              <w:spacing w:after="0"/>
              <w:rPr>
                <w:sz w:val="17"/>
                <w:szCs w:val="17"/>
                <w:color w:val="auto"/>
              </w:rPr>
            </w:pPr>
          </w:p>
        </w:tc>
        <w:tc>
          <w:tcPr>
            <w:tcW w:w="6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3,772</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5,260</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3,189</w:t>
            </w:r>
          </w:p>
        </w:tc>
        <w:tc>
          <w:tcPr>
            <w:tcW w:w="20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5,700</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9,858</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(19,572)</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8,207</w:t>
            </w:r>
          </w:p>
        </w:tc>
      </w:tr>
      <w:tr>
        <w:trPr>
          <w:trHeight w:val="199"/>
        </w:trPr>
        <w:tc>
          <w:tcPr>
            <w:tcW w:w="49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388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118</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(3,628)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(3,050)</w:t>
            </w:r>
          </w:p>
        </w:tc>
      </w:tr>
      <w:tr>
        <w:trPr>
          <w:trHeight w:val="199"/>
        </w:trPr>
        <w:tc>
          <w:tcPr>
            <w:tcW w:w="496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520" w:type="dxa"/>
            <w:vAlign w:val="bottom"/>
          </w:tcPr>
          <w:p>
            <w:pPr>
              <w:spacing w:after="0"/>
              <w:rPr>
                <w:sz w:val="17"/>
                <w:szCs w:val="17"/>
                <w:color w:val="auto"/>
              </w:rPr>
            </w:pPr>
          </w:p>
        </w:tc>
        <w:tc>
          <w:tcPr>
            <w:tcW w:w="6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4,160</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5,378</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3,249</w:t>
            </w:r>
          </w:p>
        </w:tc>
        <w:tc>
          <w:tcPr>
            <w:tcW w:w="20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5,712</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6,230</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(19,572)</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5,157</w:t>
            </w:r>
          </w:p>
        </w:tc>
      </w:tr>
      <w:tr>
        <w:trPr>
          <w:trHeight w:val="199"/>
        </w:trPr>
        <w:tc>
          <w:tcPr>
            <w:tcW w:w="49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(997)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(997)</w:t>
            </w:r>
          </w:p>
        </w:tc>
      </w:tr>
      <w:tr>
        <w:trPr>
          <w:trHeight w:val="196"/>
        </w:trPr>
        <w:tc>
          <w:tcPr>
            <w:tcW w:w="4960" w:type="dxa"/>
            <w:vAlign w:val="bottom"/>
            <w:tcBorders>
              <w:bottom w:val="single" w:sz="8" w:color="3E499A"/>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 Corporation</w:t>
            </w:r>
          </w:p>
        </w:tc>
        <w:tc>
          <w:tcPr>
            <w:tcW w:w="5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4,160</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5,378</w:t>
            </w:r>
          </w:p>
        </w:tc>
        <w:tc>
          <w:tcPr>
            <w:tcW w:w="160" w:type="dxa"/>
            <w:vAlign w:val="bottom"/>
            <w:tcBorders>
              <w:bottom w:val="single" w:sz="8" w:color="3E499A"/>
            </w:tcBorders>
          </w:tcPr>
          <w:p>
            <w:pPr>
              <w:ind w:left="60"/>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3,249</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5,712</w:t>
            </w:r>
          </w:p>
        </w:tc>
        <w:tc>
          <w:tcPr>
            <w:tcW w:w="18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5,233</w:t>
            </w:r>
          </w:p>
        </w:tc>
        <w:tc>
          <w:tcPr>
            <w:tcW w:w="200" w:type="dxa"/>
            <w:vAlign w:val="bottom"/>
            <w:tcBorders>
              <w:bottom w:val="single" w:sz="8" w:color="3E499A"/>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(19,572)</w:t>
            </w:r>
          </w:p>
        </w:tc>
        <w:tc>
          <w:tcPr>
            <w:tcW w:w="26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4,160</w:t>
            </w:r>
          </w:p>
        </w:tc>
      </w:tr>
      <w:tr>
        <w:trPr>
          <w:trHeight w:val="177"/>
        </w:trPr>
        <w:tc>
          <w:tcPr>
            <w:tcW w:w="496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940" w:type="dxa"/>
            <w:vAlign w:val="bottom"/>
            <w:tcBorders>
              <w:bottom w:val="single" w:sz="8" w:color="3E499A"/>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52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3E499A"/>
            </w:tcBorders>
          </w:tcPr>
          <w:p>
            <w:pPr>
              <w:jc w:val="right"/>
              <w:ind w:right="34"/>
              <w:spacing w:after="0"/>
              <w:rPr>
                <w:sz w:val="20"/>
                <w:szCs w:val="20"/>
                <w:color w:val="auto"/>
              </w:rPr>
            </w:pPr>
            <w:r>
              <w:rPr>
                <w:rFonts w:ascii="Arial" w:cs="Arial" w:eastAsia="Arial" w:hAnsi="Arial"/>
                <w:sz w:val="18"/>
                <w:szCs w:val="18"/>
                <w:b w:val="1"/>
                <w:bCs w:val="1"/>
                <w:color w:val="auto"/>
              </w:rPr>
              <w:t>4,107</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4"/>
              <w:spacing w:after="0"/>
              <w:rPr>
                <w:sz w:val="20"/>
                <w:szCs w:val="20"/>
                <w:color w:val="auto"/>
              </w:rPr>
            </w:pPr>
            <w:r>
              <w:rPr>
                <w:rFonts w:ascii="Arial" w:cs="Arial" w:eastAsia="Arial" w:hAnsi="Arial"/>
                <w:sz w:val="18"/>
                <w:szCs w:val="18"/>
                <w:b w:val="1"/>
                <w:bCs w:val="1"/>
                <w:color w:val="auto"/>
              </w:rPr>
              <w:t>5,387</w:t>
            </w:r>
          </w:p>
        </w:tc>
        <w:tc>
          <w:tcPr>
            <w:tcW w:w="160" w:type="dxa"/>
            <w:vAlign w:val="bottom"/>
            <w:tcBorders>
              <w:bottom w:val="single" w:sz="8" w:color="3E499A"/>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3E499A"/>
            </w:tcBorders>
          </w:tcPr>
          <w:p>
            <w:pPr>
              <w:jc w:val="right"/>
              <w:ind w:right="34"/>
              <w:spacing w:after="0"/>
              <w:rPr>
                <w:sz w:val="20"/>
                <w:szCs w:val="20"/>
                <w:color w:val="auto"/>
              </w:rPr>
            </w:pPr>
            <w:r>
              <w:rPr>
                <w:rFonts w:ascii="Arial" w:cs="Arial" w:eastAsia="Arial" w:hAnsi="Arial"/>
                <w:sz w:val="18"/>
                <w:szCs w:val="18"/>
                <w:b w:val="1"/>
                <w:bCs w:val="1"/>
                <w:color w:val="auto"/>
              </w:rPr>
              <w:t>3,249</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2"/>
              <w:spacing w:after="0"/>
              <w:rPr>
                <w:sz w:val="20"/>
                <w:szCs w:val="20"/>
                <w:color w:val="auto"/>
              </w:rPr>
            </w:pPr>
            <w:r>
              <w:rPr>
                <w:rFonts w:ascii="Arial" w:cs="Arial" w:eastAsia="Arial" w:hAnsi="Arial"/>
                <w:sz w:val="18"/>
                <w:szCs w:val="18"/>
                <w:b w:val="1"/>
                <w:bCs w:val="1"/>
                <w:color w:val="auto"/>
              </w:rPr>
              <w:t>5,712</w:t>
            </w:r>
          </w:p>
        </w:tc>
        <w:tc>
          <w:tcPr>
            <w:tcW w:w="180" w:type="dxa"/>
            <w:vAlign w:val="bottom"/>
            <w:tcBorders>
              <w:bottom w:val="single" w:sz="8" w:color="3E499A"/>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3E499A"/>
            </w:tcBorders>
          </w:tcPr>
          <w:p>
            <w:pPr>
              <w:jc w:val="right"/>
              <w:ind w:right="34"/>
              <w:spacing w:after="0"/>
              <w:rPr>
                <w:sz w:val="20"/>
                <w:szCs w:val="20"/>
                <w:color w:val="auto"/>
              </w:rPr>
            </w:pPr>
            <w:r>
              <w:rPr>
                <w:rFonts w:ascii="Arial" w:cs="Arial" w:eastAsia="Arial" w:hAnsi="Arial"/>
                <w:sz w:val="18"/>
                <w:szCs w:val="18"/>
                <w:b w:val="1"/>
                <w:bCs w:val="1"/>
                <w:color w:val="auto"/>
              </w:rPr>
              <w:t>5,193</w:t>
            </w:r>
          </w:p>
        </w:tc>
        <w:tc>
          <w:tcPr>
            <w:tcW w:w="200" w:type="dxa"/>
            <w:vAlign w:val="bottom"/>
            <w:tcBorders>
              <w:bottom w:val="single" w:sz="8" w:color="3E499A"/>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(19,541)</w:t>
            </w:r>
          </w:p>
        </w:tc>
        <w:tc>
          <w:tcPr>
            <w:tcW w:w="260" w:type="dxa"/>
            <w:vAlign w:val="bottom"/>
            <w:tcBorders>
              <w:bottom w:val="single" w:sz="8" w:color="3E499A"/>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E499A"/>
            </w:tcBorders>
          </w:tcPr>
          <w:p>
            <w:pPr>
              <w:jc w:val="right"/>
              <w:ind w:right="13"/>
              <w:spacing w:after="0"/>
              <w:rPr>
                <w:sz w:val="20"/>
                <w:szCs w:val="20"/>
                <w:color w:val="auto"/>
              </w:rPr>
            </w:pPr>
            <w:r>
              <w:rPr>
                <w:rFonts w:ascii="Arial" w:cs="Arial" w:eastAsia="Arial" w:hAnsi="Arial"/>
                <w:sz w:val="18"/>
                <w:szCs w:val="18"/>
                <w:b w:val="1"/>
                <w:bCs w:val="1"/>
                <w:color w:val="auto"/>
              </w:rPr>
              <w:t>4,107</w:t>
            </w:r>
          </w:p>
        </w:tc>
      </w:tr>
      <w:tr>
        <w:trPr>
          <w:trHeight w:val="506"/>
        </w:trPr>
        <w:tc>
          <w:tcPr>
            <w:tcW w:w="4960" w:type="dxa"/>
            <w:vAlign w:val="bottom"/>
            <w:gridSpan w:val="2"/>
          </w:tcPr>
          <w:p>
            <w:pPr>
              <w:spacing w:after="0"/>
              <w:rPr>
                <w:sz w:val="20"/>
                <w:szCs w:val="20"/>
                <w:color w:val="auto"/>
              </w:rPr>
            </w:pPr>
            <w:r>
              <w:rPr>
                <w:rFonts w:ascii="Arial" w:cs="Arial" w:eastAsia="Arial" w:hAnsi="Arial"/>
                <w:sz w:val="14"/>
                <w:szCs w:val="14"/>
                <w:color w:val="auto"/>
              </w:rPr>
              <w:t>Comcast 2012 Annual Report on Form 10-K</w:t>
            </w:r>
          </w:p>
        </w:tc>
        <w:tc>
          <w:tcPr>
            <w:tcW w:w="520" w:type="dxa"/>
            <w:vAlign w:val="bottom"/>
          </w:tcPr>
          <w:p>
            <w:pPr>
              <w:spacing w:after="0"/>
              <w:rPr>
                <w:sz w:val="24"/>
                <w:szCs w:val="2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122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color w:val="auto"/>
                <w:w w:val="96"/>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14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CCHMO</w:t>
            </w:r>
          </w:p>
        </w:tc>
        <w:tc>
          <w:tcPr>
            <w:tcW w:w="8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9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Parent</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Parents</w:t>
            </w:r>
          </w:p>
        </w:tc>
        <w:tc>
          <w:tcPr>
            <w:tcW w:w="800" w:type="dxa"/>
            <w:vAlign w:val="bottom"/>
            <w:tcBorders>
              <w:bottom w:val="single" w:sz="8" w:color="auto"/>
            </w:tcBorders>
            <w:gridSpan w:val="2"/>
          </w:tcPr>
          <w:p>
            <w:pPr>
              <w:jc w:val="right"/>
              <w:ind w:right="32"/>
              <w:spacing w:after="0" w:line="149" w:lineRule="exact"/>
              <w:rPr>
                <w:sz w:val="20"/>
                <w:szCs w:val="20"/>
                <w:color w:val="auto"/>
              </w:rPr>
            </w:pPr>
            <w:r>
              <w:rPr>
                <w:rFonts w:ascii="Arial" w:cs="Arial" w:eastAsia="Arial" w:hAnsi="Arial"/>
                <w:sz w:val="14"/>
                <w:szCs w:val="14"/>
                <w:color w:val="auto"/>
              </w:rPr>
              <w:t>Holdings</w:t>
            </w:r>
          </w:p>
        </w:tc>
        <w:tc>
          <w:tcPr>
            <w:tcW w:w="94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Subsidiaries</w:t>
            </w:r>
          </w:p>
        </w:tc>
        <w:tc>
          <w:tcPr>
            <w:tcW w:w="1000" w:type="dxa"/>
            <w:vAlign w:val="bottom"/>
            <w:tcBorders>
              <w:bottom w:val="single" w:sz="8" w:color="auto"/>
            </w:tcBorders>
            <w:gridSpan w:val="2"/>
          </w:tcPr>
          <w:p>
            <w:pPr>
              <w:jc w:val="right"/>
              <w:ind w:right="34"/>
              <w:spacing w:after="0" w:line="149" w:lineRule="exact"/>
              <w:rPr>
                <w:sz w:val="20"/>
                <w:szCs w:val="20"/>
                <w:color w:val="auto"/>
              </w:rPr>
            </w:pPr>
            <w:r>
              <w:rPr>
                <w:rFonts w:ascii="Arial" w:cs="Arial" w:eastAsia="Arial" w:hAnsi="Arial"/>
                <w:sz w:val="14"/>
                <w:szCs w:val="14"/>
                <w:color w:val="auto"/>
              </w:rPr>
              <w:t>Adjustments</w:t>
            </w:r>
          </w:p>
        </w:tc>
        <w:tc>
          <w:tcPr>
            <w:tcW w:w="980" w:type="dxa"/>
            <w:vAlign w:val="bottom"/>
            <w:tcBorders>
              <w:bottom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color w:val="auto"/>
              </w:rPr>
              <w:t>Corporation</w:t>
            </w:r>
          </w:p>
        </w:tc>
      </w:tr>
      <w:tr>
        <w:trPr>
          <w:trHeight w:val="199"/>
        </w:trPr>
        <w:tc>
          <w:tcPr>
            <w:tcW w:w="49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37,937</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37,937</w:t>
            </w:r>
          </w:p>
        </w:tc>
      </w:tr>
      <w:tr>
        <w:trPr>
          <w:trHeight w:val="199"/>
        </w:trPr>
        <w:tc>
          <w:tcPr>
            <w:tcW w:w="20" w:type="dxa"/>
            <w:vAlign w:val="bottom"/>
          </w:tcPr>
          <w:p>
            <w:pPr>
              <w:spacing w:after="0"/>
              <w:rPr>
                <w:sz w:val="17"/>
                <w:szCs w:val="17"/>
                <w:color w:val="auto"/>
              </w:rPr>
            </w:pPr>
          </w:p>
        </w:tc>
        <w:tc>
          <w:tcPr>
            <w:tcW w:w="4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808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726</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452</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(1,986)</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808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726</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452</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37,937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(1,986)</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37,937</w:t>
            </w:r>
          </w:p>
        </w:tc>
      </w:tr>
      <w:tr>
        <w:trPr>
          <w:trHeight w:val="199"/>
        </w:trPr>
        <w:tc>
          <w:tcPr>
            <w:tcW w:w="20" w:type="dxa"/>
            <w:vAlign w:val="bottom"/>
          </w:tcPr>
          <w:p>
            <w:pPr>
              <w:spacing w:after="0"/>
              <w:rPr>
                <w:sz w:val="17"/>
                <w:szCs w:val="17"/>
                <w:color w:val="auto"/>
              </w:rPr>
            </w:pPr>
          </w:p>
        </w:tc>
        <w:tc>
          <w:tcPr>
            <w:tcW w:w="494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8,537</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8,537</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444</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726</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452</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59</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12,700</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(1,986)</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12,395</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2,409</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2,409</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5,510</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5,539</w:t>
            </w:r>
          </w:p>
        </w:tc>
      </w:tr>
      <w:tr>
        <w:trPr>
          <w:trHeight w:val="199"/>
        </w:trPr>
        <w:tc>
          <w:tcPr>
            <w:tcW w:w="20" w:type="dxa"/>
            <w:vAlign w:val="bottom"/>
          </w:tcPr>
          <w:p>
            <w:pPr>
              <w:spacing w:after="0"/>
              <w:rPr>
                <w:sz w:val="17"/>
                <w:szCs w:val="17"/>
                <w:color w:val="auto"/>
              </w:rPr>
            </w:pPr>
          </w:p>
        </w:tc>
        <w:tc>
          <w:tcPr>
            <w:tcW w:w="4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1,074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1,077</w:t>
            </w:r>
          </w:p>
        </w:tc>
      </w:tr>
      <w:tr>
        <w:trPr>
          <w:trHeight w:val="196"/>
        </w:trPr>
        <w:tc>
          <w:tcPr>
            <w:tcW w:w="20" w:type="dxa"/>
            <w:vAlign w:val="bottom"/>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476</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726</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452</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30,230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(1,986)</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29,957</w:t>
            </w:r>
          </w:p>
        </w:tc>
      </w:tr>
      <w:tr>
        <w:trPr>
          <w:trHeight w:val="177"/>
        </w:trPr>
        <w:tc>
          <w:tcPr>
            <w:tcW w:w="496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520" w:type="dxa"/>
            <w:vAlign w:val="bottom"/>
          </w:tcPr>
          <w:p>
            <w:pPr>
              <w:spacing w:after="0"/>
              <w:rPr>
                <w:sz w:val="15"/>
                <w:szCs w:val="15"/>
                <w:color w:val="auto"/>
              </w:rPr>
            </w:pPr>
          </w:p>
        </w:tc>
        <w:tc>
          <w:tcPr>
            <w:tcW w:w="620" w:type="dxa"/>
            <w:vAlign w:val="bottom"/>
          </w:tcPr>
          <w:p>
            <w:pPr>
              <w:jc w:val="right"/>
              <w:ind w:right="34"/>
              <w:spacing w:after="0" w:line="177" w:lineRule="exact"/>
              <w:rPr>
                <w:sz w:val="20"/>
                <w:szCs w:val="20"/>
                <w:color w:val="auto"/>
              </w:rPr>
            </w:pPr>
            <w:r>
              <w:rPr>
                <w:rFonts w:ascii="Arial" w:cs="Arial" w:eastAsia="Arial" w:hAnsi="Arial"/>
                <w:sz w:val="18"/>
                <w:szCs w:val="18"/>
                <w:color w:val="auto"/>
              </w:rPr>
              <w:t>332</w:t>
            </w:r>
          </w:p>
        </w:tc>
        <w:tc>
          <w:tcPr>
            <w:tcW w:w="20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64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(59)</w:t>
            </w:r>
          </w:p>
        </w:tc>
        <w:tc>
          <w:tcPr>
            <w:tcW w:w="180" w:type="dxa"/>
            <w:vAlign w:val="bottom"/>
          </w:tcPr>
          <w:p>
            <w:pPr>
              <w:spacing w:after="0"/>
              <w:rPr>
                <w:sz w:val="15"/>
                <w:szCs w:val="15"/>
                <w:color w:val="auto"/>
              </w:rPr>
            </w:pPr>
          </w:p>
        </w:tc>
        <w:tc>
          <w:tcPr>
            <w:tcW w:w="760" w:type="dxa"/>
            <w:vAlign w:val="bottom"/>
          </w:tcPr>
          <w:p>
            <w:pPr>
              <w:jc w:val="right"/>
              <w:ind w:right="35"/>
              <w:spacing w:after="0" w:line="177" w:lineRule="exact"/>
              <w:rPr>
                <w:sz w:val="20"/>
                <w:szCs w:val="20"/>
                <w:color w:val="auto"/>
              </w:rPr>
            </w:pPr>
            <w:r>
              <w:rPr>
                <w:rFonts w:ascii="Arial" w:cs="Arial" w:eastAsia="Arial" w:hAnsi="Arial"/>
                <w:sz w:val="18"/>
                <w:szCs w:val="18"/>
                <w:color w:val="auto"/>
              </w:rPr>
              <w:t>7,707</w:t>
            </w:r>
          </w:p>
        </w:tc>
        <w:tc>
          <w:tcPr>
            <w:tcW w:w="200" w:type="dxa"/>
            <w:vAlign w:val="bottom"/>
          </w:tcPr>
          <w:p>
            <w:pPr>
              <w:spacing w:after="0"/>
              <w:rPr>
                <w:sz w:val="15"/>
                <w:szCs w:val="15"/>
                <w:color w:val="auto"/>
              </w:rPr>
            </w:pPr>
          </w:p>
        </w:tc>
        <w:tc>
          <w:tcPr>
            <w:tcW w:w="8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7,980</w:t>
            </w:r>
          </w:p>
        </w:tc>
      </w:tr>
      <w:tr>
        <w:trPr>
          <w:trHeight w:val="225"/>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(1,402)</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(2,156)</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273</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288</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52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4,329</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4,741</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3,015</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4,675</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(16,760)</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r>
      <w:tr>
        <w:trPr>
          <w:trHeight w:val="199"/>
        </w:trPr>
        <w:tc>
          <w:tcPr>
            <w:tcW w:w="20" w:type="dxa"/>
            <w:vAlign w:val="bottom"/>
          </w:tcPr>
          <w:p>
            <w:pPr>
              <w:spacing w:after="0"/>
              <w:rPr>
                <w:sz w:val="17"/>
                <w:szCs w:val="17"/>
                <w:color w:val="auto"/>
              </w:rPr>
            </w:pPr>
          </w:p>
        </w:tc>
        <w:tc>
          <w:tcPr>
            <w:tcW w:w="4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138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133</w:t>
            </w:r>
          </w:p>
        </w:tc>
      </w:tr>
      <w:tr>
        <w:trPr>
          <w:trHeight w:val="196"/>
        </w:trPr>
        <w:tc>
          <w:tcPr>
            <w:tcW w:w="20" w:type="dxa"/>
            <w:vAlign w:val="bottom"/>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2,930</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4,339</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2,842</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4,649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124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(16,760)</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(1,876)</w:t>
            </w:r>
          </w:p>
        </w:tc>
      </w:tr>
      <w:tr>
        <w:trPr>
          <w:trHeight w:val="199"/>
        </w:trPr>
        <w:tc>
          <w:tcPr>
            <w:tcW w:w="496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520" w:type="dxa"/>
            <w:vAlign w:val="bottom"/>
          </w:tcPr>
          <w:p>
            <w:pPr>
              <w:spacing w:after="0"/>
              <w:rPr>
                <w:sz w:val="17"/>
                <w:szCs w:val="17"/>
                <w:color w:val="auto"/>
              </w:rPr>
            </w:pPr>
          </w:p>
        </w:tc>
        <w:tc>
          <w:tcPr>
            <w:tcW w:w="6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3,262</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4,339</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2,842</w:t>
            </w:r>
          </w:p>
        </w:tc>
        <w:tc>
          <w:tcPr>
            <w:tcW w:w="20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4,590</w:t>
            </w:r>
          </w:p>
        </w:tc>
        <w:tc>
          <w:tcPr>
            <w:tcW w:w="180" w:type="dxa"/>
            <w:vAlign w:val="bottom"/>
          </w:tcPr>
          <w:p>
            <w:pPr>
              <w:spacing w:after="0"/>
              <w:rPr>
                <w:sz w:val="17"/>
                <w:szCs w:val="17"/>
                <w:color w:val="auto"/>
              </w:rPr>
            </w:pPr>
          </w:p>
        </w:tc>
        <w:tc>
          <w:tcPr>
            <w:tcW w:w="7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7,831</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(16,760)</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6,104</w:t>
            </w:r>
          </w:p>
        </w:tc>
      </w:tr>
      <w:tr>
        <w:trPr>
          <w:trHeight w:val="199"/>
        </w:trPr>
        <w:tc>
          <w:tcPr>
            <w:tcW w:w="49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373</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141</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61</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(3,041)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(2,436)</w:t>
            </w:r>
          </w:p>
        </w:tc>
      </w:tr>
      <w:tr>
        <w:trPr>
          <w:trHeight w:val="199"/>
        </w:trPr>
        <w:tc>
          <w:tcPr>
            <w:tcW w:w="496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520" w:type="dxa"/>
            <w:vAlign w:val="bottom"/>
          </w:tcPr>
          <w:p>
            <w:pPr>
              <w:spacing w:after="0"/>
              <w:rPr>
                <w:sz w:val="17"/>
                <w:szCs w:val="17"/>
                <w:color w:val="auto"/>
              </w:rPr>
            </w:pPr>
          </w:p>
        </w:tc>
        <w:tc>
          <w:tcPr>
            <w:tcW w:w="6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3,635</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4,480</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2,903</w:t>
            </w:r>
          </w:p>
        </w:tc>
        <w:tc>
          <w:tcPr>
            <w:tcW w:w="20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4,620</w:t>
            </w:r>
          </w:p>
        </w:tc>
        <w:tc>
          <w:tcPr>
            <w:tcW w:w="180" w:type="dxa"/>
            <w:vAlign w:val="bottom"/>
          </w:tcPr>
          <w:p>
            <w:pPr>
              <w:spacing w:after="0"/>
              <w:rPr>
                <w:sz w:val="17"/>
                <w:szCs w:val="17"/>
                <w:color w:val="auto"/>
              </w:rPr>
            </w:pPr>
          </w:p>
        </w:tc>
        <w:tc>
          <w:tcPr>
            <w:tcW w:w="7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4,790</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(16,760)</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3,668</w:t>
            </w:r>
          </w:p>
        </w:tc>
      </w:tr>
      <w:tr>
        <w:trPr>
          <w:trHeight w:val="199"/>
        </w:trPr>
        <w:tc>
          <w:tcPr>
            <w:tcW w:w="49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w:t>
            </w:r>
          </w:p>
        </w:tc>
      </w:tr>
      <w:tr>
        <w:trPr>
          <w:trHeight w:val="196"/>
        </w:trPr>
        <w:tc>
          <w:tcPr>
            <w:tcW w:w="4960" w:type="dxa"/>
            <w:vAlign w:val="bottom"/>
            <w:tcBorders>
              <w:bottom w:val="single" w:sz="8" w:color="3E499A"/>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 Corporation</w:t>
            </w:r>
          </w:p>
        </w:tc>
        <w:tc>
          <w:tcPr>
            <w:tcW w:w="52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3,635</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4,480</w:t>
            </w:r>
          </w:p>
        </w:tc>
        <w:tc>
          <w:tcPr>
            <w:tcW w:w="160" w:type="dxa"/>
            <w:vAlign w:val="bottom"/>
            <w:tcBorders>
              <w:bottom w:val="single" w:sz="8" w:color="3E499A"/>
            </w:tcBorders>
          </w:tcPr>
          <w:p>
            <w:pPr>
              <w:ind w:left="60"/>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2,903</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4,620</w:t>
            </w:r>
          </w:p>
        </w:tc>
        <w:tc>
          <w:tcPr>
            <w:tcW w:w="18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3E499A"/>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4,757</w:t>
            </w:r>
          </w:p>
        </w:tc>
        <w:tc>
          <w:tcPr>
            <w:tcW w:w="200" w:type="dxa"/>
            <w:vAlign w:val="bottom"/>
            <w:tcBorders>
              <w:bottom w:val="single" w:sz="8" w:color="3E499A"/>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(16,760)</w:t>
            </w:r>
          </w:p>
        </w:tc>
        <w:tc>
          <w:tcPr>
            <w:tcW w:w="26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3,635</w:t>
            </w:r>
          </w:p>
        </w:tc>
      </w:tr>
      <w:tr>
        <w:trPr>
          <w:trHeight w:val="177"/>
        </w:trPr>
        <w:tc>
          <w:tcPr>
            <w:tcW w:w="496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940" w:type="dxa"/>
            <w:vAlign w:val="bottom"/>
            <w:tcBorders>
              <w:bottom w:val="single" w:sz="8" w:color="3E499A"/>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52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3E499A"/>
            </w:tcBorders>
          </w:tcPr>
          <w:p>
            <w:pPr>
              <w:jc w:val="right"/>
              <w:ind w:right="34"/>
              <w:spacing w:after="0"/>
              <w:rPr>
                <w:sz w:val="20"/>
                <w:szCs w:val="20"/>
                <w:color w:val="auto"/>
              </w:rPr>
            </w:pPr>
            <w:r>
              <w:rPr>
                <w:rFonts w:ascii="Arial" w:cs="Arial" w:eastAsia="Arial" w:hAnsi="Arial"/>
                <w:sz w:val="18"/>
                <w:szCs w:val="18"/>
                <w:b w:val="1"/>
                <w:bCs w:val="1"/>
                <w:color w:val="auto"/>
              </w:rPr>
              <w:t>3,582</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4"/>
              <w:spacing w:after="0"/>
              <w:rPr>
                <w:sz w:val="20"/>
                <w:szCs w:val="20"/>
                <w:color w:val="auto"/>
              </w:rPr>
            </w:pPr>
            <w:r>
              <w:rPr>
                <w:rFonts w:ascii="Arial" w:cs="Arial" w:eastAsia="Arial" w:hAnsi="Arial"/>
                <w:sz w:val="18"/>
                <w:szCs w:val="18"/>
                <w:b w:val="1"/>
                <w:bCs w:val="1"/>
                <w:color w:val="auto"/>
              </w:rPr>
              <w:t>4,489</w:t>
            </w:r>
          </w:p>
        </w:tc>
        <w:tc>
          <w:tcPr>
            <w:tcW w:w="160" w:type="dxa"/>
            <w:vAlign w:val="bottom"/>
            <w:tcBorders>
              <w:bottom w:val="single" w:sz="8" w:color="3E499A"/>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3E499A"/>
            </w:tcBorders>
          </w:tcPr>
          <w:p>
            <w:pPr>
              <w:jc w:val="right"/>
              <w:ind w:right="34"/>
              <w:spacing w:after="0"/>
              <w:rPr>
                <w:sz w:val="20"/>
                <w:szCs w:val="20"/>
                <w:color w:val="auto"/>
              </w:rPr>
            </w:pPr>
            <w:r>
              <w:rPr>
                <w:rFonts w:ascii="Arial" w:cs="Arial" w:eastAsia="Arial" w:hAnsi="Arial"/>
                <w:sz w:val="18"/>
                <w:szCs w:val="18"/>
                <w:b w:val="1"/>
                <w:bCs w:val="1"/>
                <w:color w:val="auto"/>
              </w:rPr>
              <w:t>2,903</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3E499A"/>
            </w:tcBorders>
          </w:tcPr>
          <w:p>
            <w:pPr>
              <w:jc w:val="right"/>
              <w:ind w:right="32"/>
              <w:spacing w:after="0"/>
              <w:rPr>
                <w:sz w:val="20"/>
                <w:szCs w:val="20"/>
                <w:color w:val="auto"/>
              </w:rPr>
            </w:pPr>
            <w:r>
              <w:rPr>
                <w:rFonts w:ascii="Arial" w:cs="Arial" w:eastAsia="Arial" w:hAnsi="Arial"/>
                <w:sz w:val="18"/>
                <w:szCs w:val="18"/>
                <w:b w:val="1"/>
                <w:bCs w:val="1"/>
                <w:color w:val="auto"/>
              </w:rPr>
              <w:t>4,620</w:t>
            </w:r>
          </w:p>
        </w:tc>
        <w:tc>
          <w:tcPr>
            <w:tcW w:w="180" w:type="dxa"/>
            <w:vAlign w:val="bottom"/>
            <w:tcBorders>
              <w:bottom w:val="single" w:sz="8" w:color="3E499A"/>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3E499A"/>
            </w:tcBorders>
          </w:tcPr>
          <w:p>
            <w:pPr>
              <w:jc w:val="right"/>
              <w:ind w:right="35"/>
              <w:spacing w:after="0"/>
              <w:rPr>
                <w:sz w:val="20"/>
                <w:szCs w:val="20"/>
                <w:color w:val="auto"/>
              </w:rPr>
            </w:pPr>
            <w:r>
              <w:rPr>
                <w:rFonts w:ascii="Arial" w:cs="Arial" w:eastAsia="Arial" w:hAnsi="Arial"/>
                <w:sz w:val="18"/>
                <w:szCs w:val="18"/>
                <w:b w:val="1"/>
                <w:bCs w:val="1"/>
                <w:color w:val="auto"/>
              </w:rPr>
              <w:t>4,761</w:t>
            </w:r>
          </w:p>
        </w:tc>
        <w:tc>
          <w:tcPr>
            <w:tcW w:w="200" w:type="dxa"/>
            <w:vAlign w:val="bottom"/>
            <w:tcBorders>
              <w:bottom w:val="single" w:sz="8" w:color="3E499A"/>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(16,773)</w:t>
            </w:r>
          </w:p>
        </w:tc>
        <w:tc>
          <w:tcPr>
            <w:tcW w:w="260" w:type="dxa"/>
            <w:vAlign w:val="bottom"/>
            <w:tcBorders>
              <w:bottom w:val="single" w:sz="8" w:color="3E499A"/>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E499A"/>
            </w:tcBorders>
          </w:tcPr>
          <w:p>
            <w:pPr>
              <w:jc w:val="right"/>
              <w:ind w:right="13"/>
              <w:spacing w:after="0"/>
              <w:rPr>
                <w:sz w:val="20"/>
                <w:szCs w:val="20"/>
                <w:color w:val="auto"/>
              </w:rPr>
            </w:pPr>
            <w:r>
              <w:rPr>
                <w:rFonts w:ascii="Arial" w:cs="Arial" w:eastAsia="Arial" w:hAnsi="Arial"/>
                <w:sz w:val="18"/>
                <w:szCs w:val="18"/>
                <w:b w:val="1"/>
                <w:bCs w:val="1"/>
                <w:color w:val="auto"/>
              </w:rPr>
              <w:t>3,582</w:t>
            </w:r>
          </w:p>
        </w:tc>
      </w:tr>
      <w:tr>
        <w:trPr>
          <w:trHeight w:val="50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123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jc w:val="right"/>
              <w:spacing w:after="0"/>
              <w:rPr>
                <w:sz w:val="20"/>
                <w:szCs w:val="20"/>
                <w:color w:val="auto"/>
              </w:rPr>
            </w:pPr>
            <w:r>
              <w:rPr>
                <w:rFonts w:ascii="Arial" w:cs="Arial" w:eastAsia="Arial" w:hAnsi="Arial"/>
                <w:sz w:val="14"/>
                <w:szCs w:val="14"/>
                <w:color w:val="auto"/>
                <w:w w:val="99"/>
              </w:rPr>
              <w:t>Comcast 2012 Annual Report on Form 10-K</w:t>
            </w: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4"/>
              <w:spacing w:after="0"/>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tcPr>
          <w:p>
            <w:pPr>
              <w:jc w:val="right"/>
              <w:ind w:right="34"/>
              <w:spacing w:after="0" w:line="149" w:lineRule="exact"/>
              <w:rPr>
                <w:sz w:val="20"/>
                <w:szCs w:val="20"/>
                <w:color w:val="auto"/>
              </w:rPr>
            </w:pPr>
            <w:r>
              <w:rPr>
                <w:rFonts w:ascii="Arial" w:cs="Arial" w:eastAsia="Arial" w:hAnsi="Arial"/>
                <w:sz w:val="14"/>
                <w:szCs w:val="14"/>
                <w:b w:val="1"/>
                <w:bCs w:val="1"/>
                <w:color w:val="auto"/>
              </w:rPr>
              <w:t>Combined</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8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and</w:t>
            </w:r>
          </w:p>
        </w:tc>
        <w:tc>
          <w:tcPr>
            <w:tcW w:w="108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0" w:type="dxa"/>
            <w:vAlign w:val="bottom"/>
            <w:gridSpan w:val="2"/>
          </w:tcPr>
          <w:p>
            <w:pPr>
              <w:jc w:val="right"/>
              <w:ind w:right="54"/>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52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97"/>
              </w:rPr>
              <w:t>CCCL</w:t>
            </w:r>
          </w:p>
        </w:tc>
        <w:tc>
          <w:tcPr>
            <w:tcW w:w="180" w:type="dxa"/>
            <w:vAlign w:val="bottom"/>
          </w:tcPr>
          <w:p>
            <w:pPr>
              <w:spacing w:after="0"/>
              <w:rPr>
                <w:sz w:val="12"/>
                <w:szCs w:val="12"/>
                <w:color w:val="auto"/>
              </w:rPr>
            </w:pPr>
          </w:p>
        </w:tc>
        <w:tc>
          <w:tcPr>
            <w:tcW w:w="66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8"/>
              </w:rPr>
              <w:t>CCHMO</w:t>
            </w: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82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Guarantor</w:t>
            </w:r>
          </w:p>
        </w:tc>
        <w:tc>
          <w:tcPr>
            <w:tcW w:w="1060" w:type="dxa"/>
            <w:vAlign w:val="bottom"/>
            <w:gridSpan w:val="2"/>
          </w:tcPr>
          <w:p>
            <w:pPr>
              <w:jc w:val="right"/>
              <w:ind w:right="14"/>
              <w:spacing w:after="0" w:line="149" w:lineRule="exact"/>
              <w:rPr>
                <w:sz w:val="20"/>
                <w:szCs w:val="20"/>
                <w:color w:val="auto"/>
              </w:rPr>
            </w:pPr>
            <w:r>
              <w:rPr>
                <w:rFonts w:ascii="Arial" w:cs="Arial" w:eastAsia="Arial" w:hAnsi="Arial"/>
                <w:sz w:val="14"/>
                <w:szCs w:val="14"/>
                <w:b w:val="1"/>
                <w:bCs w:val="1"/>
                <w:color w:val="auto"/>
              </w:rPr>
              <w:t>Consolidation</w:t>
            </w:r>
          </w:p>
        </w:tc>
        <w:tc>
          <w:tcPr>
            <w:tcW w:w="30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9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4"/>
                <w:szCs w:val="14"/>
                <w:color w:val="auto"/>
              </w:rPr>
            </w:pPr>
          </w:p>
        </w:tc>
        <w:tc>
          <w:tcPr>
            <w:tcW w:w="660" w:type="dxa"/>
            <w:vAlign w:val="bottom"/>
          </w:tcPr>
          <w:p>
            <w:pPr>
              <w:jc w:val="right"/>
              <w:ind w:right="54"/>
              <w:spacing w:after="0"/>
              <w:rPr>
                <w:sz w:val="20"/>
                <w:szCs w:val="20"/>
                <w:color w:val="auto"/>
              </w:rPr>
            </w:pPr>
            <w:r>
              <w:rPr>
                <w:rFonts w:ascii="Arial" w:cs="Arial" w:eastAsia="Arial" w:hAnsi="Arial"/>
                <w:sz w:val="14"/>
                <w:szCs w:val="14"/>
                <w:b w:val="1"/>
                <w:bCs w:val="1"/>
                <w:color w:val="auto"/>
              </w:rPr>
              <w:t>Parent</w:t>
            </w:r>
          </w:p>
        </w:tc>
        <w:tc>
          <w:tcPr>
            <w:tcW w:w="7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Parents</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Holdings</w:t>
            </w:r>
          </w:p>
        </w:tc>
        <w:tc>
          <w:tcPr>
            <w:tcW w:w="100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Subsidiaries</w:t>
            </w:r>
          </w:p>
        </w:tc>
        <w:tc>
          <w:tcPr>
            <w:tcW w:w="10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Adjustments</w:t>
            </w:r>
          </w:p>
        </w:tc>
        <w:tc>
          <w:tcPr>
            <w:tcW w:w="10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6"/>
        </w:trPr>
        <w:tc>
          <w:tcPr>
            <w:tcW w:w="20" w:type="dxa"/>
            <w:vAlign w:val="bottom"/>
          </w:tcPr>
          <w:p>
            <w:pPr>
              <w:spacing w:after="0"/>
              <w:rPr>
                <w:sz w:val="17"/>
                <w:szCs w:val="17"/>
                <w:color w:val="auto"/>
              </w:rPr>
            </w:pPr>
          </w:p>
        </w:tc>
        <w:tc>
          <w:tcPr>
            <w:tcW w:w="494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(177)</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w:t>
            </w:r>
          </w:p>
        </w:tc>
        <w:tc>
          <w:tcPr>
            <w:tcW w:w="24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15,514</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14,854</w:t>
            </w:r>
          </w:p>
        </w:tc>
      </w:tr>
      <w:tr>
        <w:trPr>
          <w:trHeight w:val="199"/>
        </w:trPr>
        <w:tc>
          <w:tcPr>
            <w:tcW w:w="20" w:type="dxa"/>
            <w:vAlign w:val="bottom"/>
          </w:tcPr>
          <w:p>
            <w:pPr>
              <w:spacing w:after="0"/>
              <w:rPr>
                <w:sz w:val="17"/>
                <w:szCs w:val="17"/>
                <w:color w:val="auto"/>
              </w:rPr>
            </w:pPr>
          </w:p>
        </w:tc>
        <w:tc>
          <w:tcPr>
            <w:tcW w:w="494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34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3,845</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177</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667</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206</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(4,895)</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(5,704)</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(5,714)</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(923)</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34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3,102</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3,102</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34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2,362</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2,362</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r>
      <w:tr>
        <w:trPr>
          <w:trHeight w:val="199"/>
        </w:trPr>
        <w:tc>
          <w:tcPr>
            <w:tcW w:w="20" w:type="dxa"/>
            <w:vAlign w:val="bottom"/>
          </w:tcPr>
          <w:p>
            <w:pPr>
              <w:spacing w:after="0"/>
              <w:rPr>
                <w:sz w:val="17"/>
                <w:szCs w:val="17"/>
                <w:color w:val="auto"/>
              </w:rPr>
            </w:pPr>
          </w:p>
        </w:tc>
        <w:tc>
          <w:tcPr>
            <w:tcW w:w="4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71</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74</w:t>
            </w:r>
          </w:p>
        </w:tc>
      </w:tr>
      <w:tr>
        <w:trPr>
          <w:trHeight w:val="196"/>
        </w:trPr>
        <w:tc>
          <w:tcPr>
            <w:tcW w:w="20" w:type="dxa"/>
            <w:vAlign w:val="bottom"/>
          </w:tcPr>
          <w:p>
            <w:pPr>
              <w:spacing w:after="0"/>
              <w:rPr>
                <w:sz w:val="17"/>
                <w:szCs w:val="17"/>
                <w:color w:val="auto"/>
              </w:rPr>
            </w:pPr>
          </w:p>
        </w:tc>
        <w:tc>
          <w:tcPr>
            <w:tcW w:w="49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3,829</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177</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667</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209</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(6,368)</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(1,486)</w:t>
            </w:r>
          </w:p>
        </w:tc>
      </w:tr>
      <w:tr>
        <w:trPr>
          <w:trHeight w:val="199"/>
        </w:trPr>
        <w:tc>
          <w:tcPr>
            <w:tcW w:w="20" w:type="dxa"/>
            <w:vAlign w:val="bottom"/>
          </w:tcPr>
          <w:p>
            <w:pPr>
              <w:spacing w:after="0"/>
              <w:rPr>
                <w:sz w:val="17"/>
                <w:szCs w:val="17"/>
                <w:color w:val="auto"/>
              </w:rPr>
            </w:pPr>
          </w:p>
        </w:tc>
        <w:tc>
          <w:tcPr>
            <w:tcW w:w="494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 borrowings, net</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2,536</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2,008</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4,544</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(1,726)</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2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(2,881)</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(3,000)</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(1,608)</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(1,608)</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34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233</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233</w:t>
            </w:r>
          </w:p>
        </w:tc>
      </w:tr>
      <w:tr>
        <w:trPr>
          <w:trHeight w:val="203"/>
        </w:trPr>
        <w:tc>
          <w:tcPr>
            <w:tcW w:w="20" w:type="dxa"/>
            <w:vAlign w:val="bottom"/>
          </w:tcPr>
          <w:p>
            <w:pPr>
              <w:spacing w:after="0"/>
              <w:rPr>
                <w:sz w:val="17"/>
                <w:szCs w:val="17"/>
                <w:color w:val="auto"/>
              </w:rPr>
            </w:pPr>
          </w:p>
        </w:tc>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from noncontrolling interests</w:t>
            </w:r>
          </w:p>
        </w:tc>
        <w:tc>
          <w:tcPr>
            <w:tcW w:w="34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2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r>
      <w:tr>
        <w:trPr>
          <w:trHeight w:val="199"/>
        </w:trPr>
        <w:tc>
          <w:tcPr>
            <w:tcW w:w="20" w:type="dxa"/>
            <w:vAlign w:val="bottom"/>
          </w:tcPr>
          <w:p>
            <w:pPr>
              <w:spacing w:after="0"/>
              <w:rPr>
                <w:sz w:val="17"/>
                <w:szCs w:val="17"/>
                <w:color w:val="auto"/>
              </w:rPr>
            </w:pPr>
          </w:p>
        </w:tc>
        <w:tc>
          <w:tcPr>
            <w:tcW w:w="4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99</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(189)</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(90)</w:t>
            </w:r>
          </w:p>
        </w:tc>
      </w:tr>
      <w:tr>
        <w:trPr>
          <w:trHeight w:val="196"/>
        </w:trPr>
        <w:tc>
          <w:tcPr>
            <w:tcW w:w="20" w:type="dxa"/>
            <w:vAlign w:val="bottom"/>
          </w:tcPr>
          <w:p>
            <w:pPr>
              <w:spacing w:after="0"/>
              <w:rPr>
                <w:sz w:val="17"/>
                <w:szCs w:val="17"/>
                <w:color w:val="auto"/>
              </w:rPr>
            </w:pPr>
          </w:p>
        </w:tc>
        <w:tc>
          <w:tcPr>
            <w:tcW w:w="49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(3,467)</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(553)</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185</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(4,037)</w:t>
            </w:r>
          </w:p>
        </w:tc>
      </w:tr>
      <w:tr>
        <w:trPr>
          <w:trHeight w:val="199"/>
        </w:trPr>
        <w:tc>
          <w:tcPr>
            <w:tcW w:w="496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7"/>
                <w:szCs w:val="17"/>
                <w:color w:val="auto"/>
              </w:rPr>
            </w:pPr>
          </w:p>
        </w:tc>
        <w:tc>
          <w:tcPr>
            <w:tcW w:w="6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9,331</w:t>
            </w:r>
          </w:p>
        </w:tc>
        <w:tc>
          <w:tcPr>
            <w:tcW w:w="200" w:type="dxa"/>
            <w:vAlign w:val="bottom"/>
          </w:tcPr>
          <w:p>
            <w:pPr>
              <w:spacing w:after="0"/>
              <w:rPr>
                <w:sz w:val="17"/>
                <w:szCs w:val="17"/>
                <w:color w:val="auto"/>
              </w:rPr>
            </w:pPr>
          </w:p>
        </w:tc>
        <w:tc>
          <w:tcPr>
            <w:tcW w:w="8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9,331</w:t>
            </w:r>
          </w:p>
        </w:tc>
      </w:tr>
      <w:tr>
        <w:trPr>
          <w:trHeight w:val="199"/>
        </w:trPr>
        <w:tc>
          <w:tcPr>
            <w:tcW w:w="49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1,620</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1,620</w:t>
            </w:r>
          </w:p>
        </w:tc>
      </w:tr>
      <w:tr>
        <w:trPr>
          <w:trHeight w:val="196"/>
        </w:trPr>
        <w:tc>
          <w:tcPr>
            <w:tcW w:w="4960" w:type="dxa"/>
            <w:vAlign w:val="bottom"/>
            <w:tcBorders>
              <w:bottom w:val="single" w:sz="8" w:color="3E499A"/>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34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E499A"/>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3E499A"/>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3E49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3E499A"/>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3E49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10,951</w:t>
            </w:r>
          </w:p>
        </w:tc>
        <w:tc>
          <w:tcPr>
            <w:tcW w:w="200" w:type="dxa"/>
            <w:vAlign w:val="bottom"/>
            <w:tcBorders>
              <w:bottom w:val="single" w:sz="8" w:color="3E49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3E49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3E499A"/>
            </w:tcBorders>
          </w:tcPr>
          <w:p>
            <w:pPr>
              <w:jc w:val="right"/>
              <w:ind w:right="22"/>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3E49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10,951</w:t>
            </w:r>
          </w:p>
        </w:tc>
      </w:tr>
      <w:tr>
        <w:trPr>
          <w:trHeight w:val="506"/>
        </w:trPr>
        <w:tc>
          <w:tcPr>
            <w:tcW w:w="4960" w:type="dxa"/>
            <w:vAlign w:val="bottom"/>
            <w:gridSpan w:val="2"/>
          </w:tcPr>
          <w:p>
            <w:pPr>
              <w:spacing w:after="0"/>
              <w:rPr>
                <w:sz w:val="20"/>
                <w:szCs w:val="20"/>
                <w:color w:val="auto"/>
              </w:rPr>
            </w:pPr>
            <w:r>
              <w:rPr>
                <w:rFonts w:ascii="Arial" w:cs="Arial" w:eastAsia="Arial" w:hAnsi="Arial"/>
                <w:sz w:val="14"/>
                <w:szCs w:val="14"/>
                <w:color w:val="auto"/>
              </w:rPr>
              <w:t>Comcast 2012 Annual Report on Form 10-K</w:t>
            </w:r>
          </w:p>
        </w:tc>
        <w:tc>
          <w:tcPr>
            <w:tcW w:w="340" w:type="dxa"/>
            <w:vAlign w:val="bottom"/>
          </w:tcPr>
          <w:p>
            <w:pPr>
              <w:spacing w:after="0"/>
              <w:rPr>
                <w:sz w:val="24"/>
                <w:szCs w:val="24"/>
                <w:color w:val="auto"/>
              </w:rPr>
            </w:pPr>
          </w:p>
        </w:tc>
        <w:tc>
          <w:tcPr>
            <w:tcW w:w="660" w:type="dxa"/>
            <w:vAlign w:val="bottom"/>
          </w:tcPr>
          <w:p>
            <w:pPr>
              <w:jc w:val="right"/>
              <w:ind w:right="54"/>
              <w:spacing w:after="0"/>
              <w:rPr>
                <w:sz w:val="20"/>
                <w:szCs w:val="20"/>
                <w:color w:val="auto"/>
              </w:rPr>
            </w:pPr>
            <w:r>
              <w:rPr>
                <w:rFonts w:ascii="Arial" w:cs="Arial" w:eastAsia="Arial" w:hAnsi="Arial"/>
                <w:sz w:val="14"/>
                <w:szCs w:val="14"/>
                <w:b w:val="1"/>
                <w:bCs w:val="1"/>
                <w:color w:val="auto"/>
              </w:rPr>
              <w:t>124</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color w:val="auto"/>
                <w:w w:val="99"/>
              </w:rPr>
              <w:t>Elimination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35"/>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and</w:t>
            </w:r>
          </w:p>
        </w:tc>
        <w:tc>
          <w:tcPr>
            <w:tcW w:w="10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7"/>
              </w:rPr>
              <w:t>Comcast</w:t>
            </w:r>
          </w:p>
        </w:tc>
        <w:tc>
          <w:tcPr>
            <w:tcW w:w="200" w:type="dxa"/>
            <w:vAlign w:val="bottom"/>
          </w:tcPr>
          <w:p>
            <w:pPr>
              <w:spacing w:after="0"/>
              <w:rPr>
                <w:sz w:val="12"/>
                <w:szCs w:val="12"/>
                <w:color w:val="auto"/>
              </w:rPr>
            </w:pPr>
          </w:p>
        </w:tc>
        <w:tc>
          <w:tcPr>
            <w:tcW w:w="660" w:type="dxa"/>
            <w:vAlign w:val="bottom"/>
          </w:tcPr>
          <w:p>
            <w:pPr>
              <w:jc w:val="right"/>
              <w:ind w:right="54"/>
              <w:spacing w:after="0" w:line="149" w:lineRule="exact"/>
              <w:rPr>
                <w:sz w:val="20"/>
                <w:szCs w:val="20"/>
                <w:color w:val="auto"/>
              </w:rPr>
            </w:pPr>
            <w:r>
              <w:rPr>
                <w:rFonts w:ascii="Arial" w:cs="Arial" w:eastAsia="Arial" w:hAnsi="Arial"/>
                <w:sz w:val="14"/>
                <w:szCs w:val="14"/>
                <w:color w:val="auto"/>
              </w:rPr>
              <w:t>CCCL</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CCHMO</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74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5"/>
              </w:rPr>
              <w:t>Guarantor</w:t>
            </w:r>
          </w:p>
        </w:tc>
        <w:tc>
          <w:tcPr>
            <w:tcW w:w="100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5020" w:type="dxa"/>
            <w:vAlign w:val="bottom"/>
            <w:gridSpan w:val="2"/>
          </w:tcPr>
          <w:p>
            <w:pPr>
              <w:spacing w:after="0" w:line="149" w:lineRule="exact"/>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2"/>
                <w:szCs w:val="12"/>
                <w:color w:val="auto"/>
              </w:rPr>
            </w:pPr>
          </w:p>
        </w:tc>
        <w:tc>
          <w:tcPr>
            <w:tcW w:w="680" w:type="dxa"/>
            <w:vAlign w:val="bottom"/>
          </w:tcPr>
          <w:p>
            <w:pPr>
              <w:jc w:val="right"/>
              <w:ind w:right="35"/>
              <w:spacing w:after="0" w:line="149" w:lineRule="exact"/>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2"/>
                <w:szCs w:val="12"/>
                <w:color w:val="auto"/>
              </w:rPr>
            </w:pPr>
          </w:p>
        </w:tc>
        <w:tc>
          <w:tcPr>
            <w:tcW w:w="660" w:type="dxa"/>
            <w:vAlign w:val="bottom"/>
          </w:tcPr>
          <w:p>
            <w:pPr>
              <w:jc w:val="right"/>
              <w:ind w:right="54"/>
              <w:spacing w:after="0" w:line="149" w:lineRule="exact"/>
              <w:rPr>
                <w:sz w:val="20"/>
                <w:szCs w:val="20"/>
                <w:color w:val="auto"/>
              </w:rPr>
            </w:pPr>
            <w:r>
              <w:rPr>
                <w:rFonts w:ascii="Arial" w:cs="Arial" w:eastAsia="Arial" w:hAnsi="Arial"/>
                <w:sz w:val="14"/>
                <w:szCs w:val="14"/>
                <w:color w:val="auto"/>
              </w:rPr>
              <w:t>Parent</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Parents</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Holdings</w:t>
            </w:r>
          </w:p>
        </w:tc>
        <w:tc>
          <w:tcPr>
            <w:tcW w:w="920" w:type="dxa"/>
            <w:vAlign w:val="bottom"/>
            <w:gridSpan w:val="2"/>
          </w:tcPr>
          <w:p>
            <w:pPr>
              <w:jc w:val="right"/>
              <w:ind w:right="35"/>
              <w:spacing w:after="0" w:line="149" w:lineRule="exact"/>
              <w:rPr>
                <w:sz w:val="20"/>
                <w:szCs w:val="20"/>
                <w:color w:val="auto"/>
              </w:rPr>
            </w:pPr>
            <w:r>
              <w:rPr>
                <w:rFonts w:ascii="Arial" w:cs="Arial" w:eastAsia="Arial" w:hAnsi="Arial"/>
                <w:sz w:val="14"/>
                <w:szCs w:val="14"/>
                <w:color w:val="auto"/>
              </w:rPr>
              <w:t>Subsidiaries</w:t>
            </w:r>
          </w:p>
        </w:tc>
        <w:tc>
          <w:tcPr>
            <w:tcW w:w="100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Adjustments</w:t>
            </w:r>
          </w:p>
        </w:tc>
        <w:tc>
          <w:tcPr>
            <w:tcW w:w="10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Corporation</w:t>
            </w:r>
          </w:p>
        </w:tc>
      </w:tr>
      <w:tr>
        <w:trPr>
          <w:trHeight w:val="196"/>
        </w:trPr>
        <w:tc>
          <w:tcPr>
            <w:tcW w:w="20" w:type="dxa"/>
            <w:vAlign w:val="bottom"/>
          </w:tcPr>
          <w:p>
            <w:pPr>
              <w:spacing w:after="0"/>
              <w:rPr>
                <w:sz w:val="17"/>
                <w:szCs w:val="17"/>
                <w:color w:val="auto"/>
              </w:rPr>
            </w:pPr>
          </w:p>
        </w:tc>
        <w:tc>
          <w:tcPr>
            <w:tcW w:w="500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(513)</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26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15,217</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14,345</w:t>
            </w:r>
          </w:p>
        </w:tc>
      </w:tr>
      <w:tr>
        <w:trPr>
          <w:trHeight w:val="199"/>
        </w:trPr>
        <w:tc>
          <w:tcPr>
            <w:tcW w:w="20" w:type="dxa"/>
            <w:vAlign w:val="bottom"/>
          </w:tcPr>
          <w:p>
            <w:pPr>
              <w:spacing w:after="0"/>
              <w:rPr>
                <w:sz w:val="17"/>
                <w:szCs w:val="17"/>
                <w:color w:val="auto"/>
              </w:rPr>
            </w:pPr>
          </w:p>
        </w:tc>
        <w:tc>
          <w:tcPr>
            <w:tcW w:w="500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40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4,615</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1,209</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131</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(5,974)</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(5,300)</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(5,307)</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(952)</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(954)</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40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(6,407)</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(6,407)</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40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277</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277</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40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40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w:t>
            </w: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4,606</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1,209</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131</w:t>
            </w: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(18,473)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(12,508)</w:t>
            </w:r>
          </w:p>
        </w:tc>
      </w:tr>
      <w:tr>
        <w:trPr>
          <w:trHeight w:val="199"/>
        </w:trPr>
        <w:tc>
          <w:tcPr>
            <w:tcW w:w="20" w:type="dxa"/>
            <w:vAlign w:val="bottom"/>
          </w:tcPr>
          <w:p>
            <w:pPr>
              <w:spacing w:after="0"/>
              <w:rPr>
                <w:sz w:val="17"/>
                <w:szCs w:val="17"/>
                <w:color w:val="auto"/>
              </w:rPr>
            </w:pPr>
          </w:p>
        </w:tc>
        <w:tc>
          <w:tcPr>
            <w:tcW w:w="500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 borrowings, net</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548</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544</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(1,095)</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(1,121)</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(3,216)</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(1,187)</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(1,187)</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40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283</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283</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from noncontrolling interests</w:t>
            </w:r>
          </w:p>
        </w:tc>
        <w:tc>
          <w:tcPr>
            <w:tcW w:w="40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51</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(159)</w:t>
            </w: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(4,093)</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(1,000)</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(6,201)</w:t>
            </w: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400" w:type="dxa"/>
            <w:vAlign w:val="bottom"/>
          </w:tcPr>
          <w:p>
            <w:pPr>
              <w:spacing w:after="0"/>
              <w:rPr>
                <w:sz w:val="17"/>
                <w:szCs w:val="17"/>
                <w:color w:val="auto"/>
              </w:rPr>
            </w:pPr>
          </w:p>
        </w:tc>
        <w:tc>
          <w:tcPr>
            <w:tcW w:w="6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8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(4,364)</w:t>
            </w:r>
          </w:p>
        </w:tc>
        <w:tc>
          <w:tcPr>
            <w:tcW w:w="200" w:type="dxa"/>
            <w:vAlign w:val="bottom"/>
          </w:tcPr>
          <w:p>
            <w:pPr>
              <w:spacing w:after="0"/>
              <w:rPr>
                <w:sz w:val="17"/>
                <w:szCs w:val="17"/>
                <w:color w:val="auto"/>
              </w:rPr>
            </w:pPr>
          </w:p>
        </w:tc>
        <w:tc>
          <w:tcPr>
            <w:tcW w:w="8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(4,364)</w:t>
            </w:r>
          </w:p>
        </w:tc>
      </w:tr>
      <w:tr>
        <w:trPr>
          <w:trHeight w:val="199"/>
        </w:trPr>
        <w:tc>
          <w:tcPr>
            <w:tcW w:w="5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5,984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5,984</w:t>
            </w:r>
          </w:p>
        </w:tc>
      </w:tr>
      <w:tr>
        <w:trPr>
          <w:trHeight w:val="177"/>
        </w:trPr>
        <w:tc>
          <w:tcPr>
            <w:tcW w:w="50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Cash and cash equivalents, end</w:t>
            </w: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5000" w:type="dxa"/>
            <w:vAlign w:val="bottom"/>
            <w:tcBorders>
              <w:bottom w:val="single" w:sz="8" w:color="3E499A"/>
            </w:tcBorders>
          </w:tcPr>
          <w:p>
            <w:pPr>
              <w:ind w:left="200"/>
              <w:spacing w:after="0"/>
              <w:rPr>
                <w:sz w:val="20"/>
                <w:szCs w:val="20"/>
                <w:color w:val="auto"/>
              </w:rPr>
            </w:pPr>
            <w:r>
              <w:rPr>
                <w:rFonts w:ascii="Arial" w:cs="Arial" w:eastAsia="Arial" w:hAnsi="Arial"/>
                <w:sz w:val="18"/>
                <w:szCs w:val="18"/>
                <w:b w:val="1"/>
                <w:bCs w:val="1"/>
                <w:color w:val="auto"/>
              </w:rPr>
              <w:t>of year</w:t>
            </w:r>
          </w:p>
        </w:tc>
        <w:tc>
          <w:tcPr>
            <w:tcW w:w="4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3E499A"/>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E499A"/>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E499A"/>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3E499A"/>
            </w:tcBorders>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3E499A"/>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3E499A"/>
            </w:tcBorders>
          </w:tcPr>
          <w:p>
            <w:pPr>
              <w:jc w:val="right"/>
              <w:ind w:right="35"/>
              <w:spacing w:after="0"/>
              <w:rPr>
                <w:sz w:val="20"/>
                <w:szCs w:val="20"/>
                <w:color w:val="auto"/>
              </w:rPr>
            </w:pPr>
            <w:r>
              <w:rPr>
                <w:rFonts w:ascii="Arial" w:cs="Arial" w:eastAsia="Arial" w:hAnsi="Arial"/>
                <w:sz w:val="18"/>
                <w:szCs w:val="18"/>
                <w:b w:val="1"/>
                <w:bCs w:val="1"/>
                <w:color w:val="auto"/>
              </w:rPr>
              <w:t>1,620</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E499A"/>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3E499A"/>
            </w:tcBorders>
          </w:tcPr>
          <w:p>
            <w:pPr>
              <w:jc w:val="right"/>
              <w:ind w:right="13"/>
              <w:spacing w:after="0"/>
              <w:rPr>
                <w:sz w:val="20"/>
                <w:szCs w:val="20"/>
                <w:color w:val="auto"/>
              </w:rPr>
            </w:pPr>
            <w:r>
              <w:rPr>
                <w:rFonts w:ascii="Arial" w:cs="Arial" w:eastAsia="Arial" w:hAnsi="Arial"/>
                <w:sz w:val="18"/>
                <w:szCs w:val="18"/>
                <w:b w:val="1"/>
                <w:bCs w:val="1"/>
                <w:color w:val="auto"/>
              </w:rPr>
              <w:t>1,620</w:t>
            </w:r>
          </w:p>
        </w:tc>
      </w:tr>
      <w:tr>
        <w:trPr>
          <w:trHeight w:val="50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125</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jc w:val="right"/>
              <w:spacing w:after="0"/>
              <w:rPr>
                <w:sz w:val="20"/>
                <w:szCs w:val="20"/>
                <w:color w:val="auto"/>
              </w:rPr>
            </w:pPr>
            <w:r>
              <w:rPr>
                <w:rFonts w:ascii="Arial" w:cs="Arial" w:eastAsia="Arial" w:hAnsi="Arial"/>
                <w:sz w:val="14"/>
                <w:szCs w:val="14"/>
                <w:color w:val="auto"/>
                <w:w w:val="99"/>
              </w:rPr>
              <w:t>Comcast 2012 Annual Report on Form 10-K</w:t>
            </w: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color w:val="auto"/>
                <w:w w:val="99"/>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and</w:t>
            </w:r>
          </w:p>
        </w:tc>
        <w:tc>
          <w:tcPr>
            <w:tcW w:w="10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4"/>
              </w:rPr>
              <w:t>Comcast</w:t>
            </w:r>
          </w:p>
        </w:tc>
        <w:tc>
          <w:tcPr>
            <w:tcW w:w="180" w:type="dxa"/>
            <w:vAlign w:val="bottom"/>
          </w:tcPr>
          <w:p>
            <w:pPr>
              <w:spacing w:after="0"/>
              <w:rPr>
                <w:sz w:val="12"/>
                <w:szCs w:val="12"/>
                <w:color w:val="auto"/>
              </w:rPr>
            </w:pPr>
          </w:p>
        </w:tc>
        <w:tc>
          <w:tcPr>
            <w:tcW w:w="540" w:type="dxa"/>
            <w:vAlign w:val="bottom"/>
          </w:tcPr>
          <w:p>
            <w:pPr>
              <w:jc w:val="right"/>
              <w:ind w:right="54"/>
              <w:spacing w:after="0" w:line="149" w:lineRule="exact"/>
              <w:rPr>
                <w:sz w:val="20"/>
                <w:szCs w:val="20"/>
                <w:color w:val="auto"/>
              </w:rPr>
            </w:pPr>
            <w:r>
              <w:rPr>
                <w:rFonts w:ascii="Arial" w:cs="Arial" w:eastAsia="Arial" w:hAnsi="Arial"/>
                <w:sz w:val="14"/>
                <w:szCs w:val="14"/>
                <w:color w:val="auto"/>
                <w:w w:val="99"/>
              </w:rPr>
              <w:t>CCCL</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CCHMO</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5"/>
              </w:rPr>
              <w:t>Guarantor</w:t>
            </w:r>
          </w:p>
        </w:tc>
        <w:tc>
          <w:tcPr>
            <w:tcW w:w="100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860" w:type="dxa"/>
            <w:vAlign w:val="bottom"/>
            <w:gridSpan w:val="2"/>
          </w:tcPr>
          <w:p>
            <w:pPr>
              <w:spacing w:after="0" w:line="14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2"/>
                <w:szCs w:val="12"/>
                <w:color w:val="auto"/>
              </w:rPr>
            </w:pPr>
          </w:p>
        </w:tc>
        <w:tc>
          <w:tcPr>
            <w:tcW w:w="6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Parent</w:t>
            </w:r>
          </w:p>
        </w:tc>
        <w:tc>
          <w:tcPr>
            <w:tcW w:w="180" w:type="dxa"/>
            <w:vAlign w:val="bottom"/>
          </w:tcPr>
          <w:p>
            <w:pPr>
              <w:spacing w:after="0"/>
              <w:rPr>
                <w:sz w:val="12"/>
                <w:szCs w:val="12"/>
                <w:color w:val="auto"/>
              </w:rPr>
            </w:pPr>
          </w:p>
        </w:tc>
        <w:tc>
          <w:tcPr>
            <w:tcW w:w="540" w:type="dxa"/>
            <w:vAlign w:val="bottom"/>
          </w:tcPr>
          <w:p>
            <w:pPr>
              <w:jc w:val="right"/>
              <w:ind w:right="54"/>
              <w:spacing w:after="0" w:line="149" w:lineRule="exact"/>
              <w:rPr>
                <w:sz w:val="20"/>
                <w:szCs w:val="20"/>
                <w:color w:val="auto"/>
              </w:rPr>
            </w:pPr>
            <w:r>
              <w:rPr>
                <w:rFonts w:ascii="Arial" w:cs="Arial" w:eastAsia="Arial" w:hAnsi="Arial"/>
                <w:sz w:val="14"/>
                <w:szCs w:val="14"/>
                <w:color w:val="auto"/>
                <w:w w:val="92"/>
              </w:rPr>
              <w:t>Parent</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Parents</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Holdings</w:t>
            </w:r>
          </w:p>
        </w:tc>
        <w:tc>
          <w:tcPr>
            <w:tcW w:w="9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Subsidiaries</w:t>
            </w:r>
          </w:p>
        </w:tc>
        <w:tc>
          <w:tcPr>
            <w:tcW w:w="100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Adjustments</w:t>
            </w:r>
          </w:p>
        </w:tc>
        <w:tc>
          <w:tcPr>
            <w:tcW w:w="10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Corporation</w:t>
            </w:r>
          </w:p>
        </w:tc>
      </w:tr>
      <w:tr>
        <w:trPr>
          <w:trHeight w:val="196"/>
        </w:trPr>
        <w:tc>
          <w:tcPr>
            <w:tcW w:w="20" w:type="dxa"/>
            <w:vAlign w:val="bottom"/>
          </w:tcPr>
          <w:p>
            <w:pPr>
              <w:spacing w:after="0"/>
              <w:rPr>
                <w:sz w:val="17"/>
                <w:szCs w:val="17"/>
                <w:color w:val="auto"/>
              </w:rPr>
            </w:pPr>
          </w:p>
        </w:tc>
        <w:tc>
          <w:tcPr>
            <w:tcW w:w="484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22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(235)</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12,194</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2"/>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11,179</w:t>
            </w:r>
          </w:p>
        </w:tc>
      </w:tr>
      <w:tr>
        <w:trPr>
          <w:trHeight w:val="199"/>
        </w:trPr>
        <w:tc>
          <w:tcPr>
            <w:tcW w:w="20" w:type="dxa"/>
            <w:vAlign w:val="bottom"/>
          </w:tcPr>
          <w:p>
            <w:pPr>
              <w:spacing w:after="0"/>
              <w:rPr>
                <w:sz w:val="17"/>
                <w:szCs w:val="17"/>
                <w:color w:val="auto"/>
              </w:rPr>
            </w:pPr>
          </w:p>
        </w:tc>
        <w:tc>
          <w:tcPr>
            <w:tcW w:w="484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72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488</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257</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132</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248</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(1,125)</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7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(4,954)</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(4,961)</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7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(534)</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72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72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99</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99</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72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190</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190</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72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r>
      <w:tr>
        <w:trPr>
          <w:trHeight w:val="199"/>
        </w:trPr>
        <w:tc>
          <w:tcPr>
            <w:tcW w:w="20" w:type="dxa"/>
            <w:vAlign w:val="bottom"/>
          </w:tcPr>
          <w:p>
            <w:pPr>
              <w:spacing w:after="0"/>
              <w:rPr>
                <w:sz w:val="17"/>
                <w:szCs w:val="17"/>
                <w:color w:val="auto"/>
              </w:rPr>
            </w:pPr>
          </w:p>
        </w:tc>
        <w:tc>
          <w:tcPr>
            <w:tcW w:w="48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(60)</w:t>
            </w:r>
          </w:p>
        </w:tc>
      </w:tr>
      <w:tr>
        <w:trPr>
          <w:trHeight w:val="196"/>
        </w:trPr>
        <w:tc>
          <w:tcPr>
            <w:tcW w:w="20" w:type="dxa"/>
            <w:vAlign w:val="bottom"/>
          </w:tcPr>
          <w:p>
            <w:pPr>
              <w:spacing w:after="0"/>
              <w:rPr>
                <w:sz w:val="17"/>
                <w:szCs w:val="17"/>
                <w:color w:val="auto"/>
              </w:rPr>
            </w:pPr>
          </w:p>
        </w:tc>
        <w:tc>
          <w:tcPr>
            <w:tcW w:w="48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7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479</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257</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132</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248</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(6,827)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(5,711)</w:t>
            </w:r>
          </w:p>
        </w:tc>
      </w:tr>
      <w:tr>
        <w:trPr>
          <w:trHeight w:val="199"/>
        </w:trPr>
        <w:tc>
          <w:tcPr>
            <w:tcW w:w="20" w:type="dxa"/>
            <w:vAlign w:val="bottom"/>
          </w:tcPr>
          <w:p>
            <w:pPr>
              <w:spacing w:after="0"/>
              <w:rPr>
                <w:sz w:val="17"/>
                <w:szCs w:val="17"/>
                <w:color w:val="auto"/>
              </w:rPr>
            </w:pPr>
          </w:p>
        </w:tc>
        <w:tc>
          <w:tcPr>
            <w:tcW w:w="484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72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3,390</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3,420</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7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(1,100)</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(1,153)</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7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7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(1,064)</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(1,064)</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72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34</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from noncontrolling interests</w:t>
            </w:r>
          </w:p>
        </w:tc>
        <w:tc>
          <w:tcPr>
            <w:tcW w:w="72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199"/>
        </w:trPr>
        <w:tc>
          <w:tcPr>
            <w:tcW w:w="20" w:type="dxa"/>
            <w:vAlign w:val="bottom"/>
          </w:tcPr>
          <w:p>
            <w:pPr>
              <w:spacing w:after="0"/>
              <w:rPr>
                <w:sz w:val="17"/>
                <w:szCs w:val="17"/>
                <w:color w:val="auto"/>
              </w:rPr>
            </w:pPr>
          </w:p>
        </w:tc>
        <w:tc>
          <w:tcPr>
            <w:tcW w:w="48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(148)</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(125)</w:t>
            </w:r>
          </w:p>
        </w:tc>
      </w:tr>
      <w:tr>
        <w:trPr>
          <w:trHeight w:val="196"/>
        </w:trPr>
        <w:tc>
          <w:tcPr>
            <w:tcW w:w="20" w:type="dxa"/>
            <w:vAlign w:val="bottom"/>
          </w:tcPr>
          <w:p>
            <w:pPr>
              <w:spacing w:after="0"/>
              <w:rPr>
                <w:sz w:val="17"/>
                <w:szCs w:val="17"/>
                <w:color w:val="auto"/>
              </w:rPr>
            </w:pPr>
          </w:p>
        </w:tc>
        <w:tc>
          <w:tcPr>
            <w:tcW w:w="48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7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99"/>
        </w:trPr>
        <w:tc>
          <w:tcPr>
            <w:tcW w:w="486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720" w:type="dxa"/>
            <w:vAlign w:val="bottom"/>
          </w:tcPr>
          <w:p>
            <w:pPr>
              <w:spacing w:after="0"/>
              <w:rPr>
                <w:sz w:val="17"/>
                <w:szCs w:val="17"/>
                <w:color w:val="auto"/>
              </w:rPr>
            </w:pPr>
          </w:p>
        </w:tc>
        <w:tc>
          <w:tcPr>
            <w:tcW w:w="6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5,313</w:t>
            </w:r>
          </w:p>
        </w:tc>
        <w:tc>
          <w:tcPr>
            <w:tcW w:w="200" w:type="dxa"/>
            <w:vAlign w:val="bottom"/>
          </w:tcPr>
          <w:p>
            <w:pPr>
              <w:spacing w:after="0"/>
              <w:rPr>
                <w:sz w:val="17"/>
                <w:szCs w:val="17"/>
                <w:color w:val="auto"/>
              </w:rPr>
            </w:pPr>
          </w:p>
        </w:tc>
        <w:tc>
          <w:tcPr>
            <w:tcW w:w="8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5,313</w:t>
            </w:r>
          </w:p>
        </w:tc>
      </w:tr>
      <w:tr>
        <w:trPr>
          <w:trHeight w:val="199"/>
        </w:trPr>
        <w:tc>
          <w:tcPr>
            <w:tcW w:w="48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7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671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671</w:t>
            </w:r>
          </w:p>
        </w:tc>
      </w:tr>
      <w:tr>
        <w:trPr>
          <w:trHeight w:val="177"/>
        </w:trPr>
        <w:tc>
          <w:tcPr>
            <w:tcW w:w="486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Cash and cash equivalents, end</w:t>
            </w: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840" w:type="dxa"/>
            <w:vAlign w:val="bottom"/>
            <w:tcBorders>
              <w:bottom w:val="single" w:sz="8" w:color="3E499A"/>
            </w:tcBorders>
          </w:tcPr>
          <w:p>
            <w:pPr>
              <w:ind w:left="200"/>
              <w:spacing w:after="0"/>
              <w:rPr>
                <w:sz w:val="20"/>
                <w:szCs w:val="20"/>
                <w:color w:val="auto"/>
              </w:rPr>
            </w:pPr>
            <w:r>
              <w:rPr>
                <w:rFonts w:ascii="Arial" w:cs="Arial" w:eastAsia="Arial" w:hAnsi="Arial"/>
                <w:sz w:val="18"/>
                <w:szCs w:val="18"/>
                <w:b w:val="1"/>
                <w:bCs w:val="1"/>
                <w:color w:val="auto"/>
              </w:rPr>
              <w:t>of year</w:t>
            </w:r>
          </w:p>
        </w:tc>
        <w:tc>
          <w:tcPr>
            <w:tcW w:w="72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3E499A"/>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3E499A"/>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E499A"/>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3E499A"/>
            </w:tcBorders>
          </w:tcPr>
          <w:p>
            <w:pPr>
              <w:ind w:left="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3E499A"/>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3E499A"/>
            </w:tcBorders>
          </w:tcPr>
          <w:p>
            <w:pPr>
              <w:jc w:val="right"/>
              <w:ind w:right="34"/>
              <w:spacing w:after="0"/>
              <w:rPr>
                <w:sz w:val="20"/>
                <w:szCs w:val="20"/>
                <w:color w:val="auto"/>
              </w:rPr>
            </w:pPr>
            <w:r>
              <w:rPr>
                <w:rFonts w:ascii="Arial" w:cs="Arial" w:eastAsia="Arial" w:hAnsi="Arial"/>
                <w:sz w:val="18"/>
                <w:szCs w:val="18"/>
                <w:b w:val="1"/>
                <w:bCs w:val="1"/>
                <w:color w:val="auto"/>
              </w:rPr>
              <w:t>5,984</w:t>
            </w:r>
          </w:p>
        </w:tc>
        <w:tc>
          <w:tcPr>
            <w:tcW w:w="200" w:type="dxa"/>
            <w:vAlign w:val="bottom"/>
            <w:tcBorders>
              <w:bottom w:val="single" w:sz="8" w:color="3E499A"/>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3E499A"/>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3E499A"/>
            </w:tcBorders>
          </w:tcPr>
          <w:p>
            <w:pPr>
              <w:jc w:val="right"/>
              <w:ind w:right="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3E499A"/>
            </w:tcBorders>
          </w:tcPr>
          <w:p>
            <w:pPr>
              <w:jc w:val="right"/>
              <w:ind w:right="13"/>
              <w:spacing w:after="0"/>
              <w:rPr>
                <w:sz w:val="20"/>
                <w:szCs w:val="20"/>
                <w:color w:val="auto"/>
              </w:rPr>
            </w:pPr>
            <w:r>
              <w:rPr>
                <w:rFonts w:ascii="Arial" w:cs="Arial" w:eastAsia="Arial" w:hAnsi="Arial"/>
                <w:sz w:val="18"/>
                <w:szCs w:val="18"/>
                <w:b w:val="1"/>
                <w:bCs w:val="1"/>
                <w:color w:val="auto"/>
              </w:rPr>
              <w:t>5,984</w:t>
            </w:r>
          </w:p>
        </w:tc>
      </w:tr>
      <w:tr>
        <w:trPr>
          <w:trHeight w:val="506"/>
        </w:trPr>
        <w:tc>
          <w:tcPr>
            <w:tcW w:w="4860" w:type="dxa"/>
            <w:vAlign w:val="bottom"/>
            <w:gridSpan w:val="2"/>
          </w:tcPr>
          <w:p>
            <w:pPr>
              <w:spacing w:after="0"/>
              <w:rPr>
                <w:sz w:val="20"/>
                <w:szCs w:val="20"/>
                <w:color w:val="auto"/>
              </w:rPr>
            </w:pPr>
            <w:r>
              <w:rPr>
                <w:rFonts w:ascii="Arial" w:cs="Arial" w:eastAsia="Arial" w:hAnsi="Arial"/>
                <w:sz w:val="14"/>
                <w:szCs w:val="14"/>
                <w:color w:val="auto"/>
              </w:rPr>
              <w:t>Comcast 2012 Annual Report on Form 10-K</w:t>
            </w:r>
          </w:p>
        </w:tc>
        <w:tc>
          <w:tcPr>
            <w:tcW w:w="720" w:type="dxa"/>
            <w:vAlign w:val="bottom"/>
          </w:tcPr>
          <w:p>
            <w:pPr>
              <w:spacing w:after="0"/>
              <w:rPr>
                <w:sz w:val="24"/>
                <w:szCs w:val="24"/>
                <w:color w:val="auto"/>
              </w:rPr>
            </w:pPr>
          </w:p>
        </w:tc>
        <w:tc>
          <w:tcPr>
            <w:tcW w:w="660" w:type="dxa"/>
            <w:vAlign w:val="bottom"/>
          </w:tcPr>
          <w:p>
            <w:pPr>
              <w:jc w:val="right"/>
              <w:ind w:right="335"/>
              <w:spacing w:after="0"/>
              <w:rPr>
                <w:sz w:val="20"/>
                <w:szCs w:val="20"/>
                <w:color w:val="auto"/>
              </w:rPr>
            </w:pPr>
            <w:r>
              <w:rPr>
                <w:rFonts w:ascii="Arial" w:cs="Arial" w:eastAsia="Arial" w:hAnsi="Arial"/>
                <w:sz w:val="14"/>
                <w:szCs w:val="14"/>
                <w:b w:val="1"/>
                <w:bCs w:val="1"/>
                <w:color w:val="auto"/>
                <w:w w:val="94"/>
              </w:rPr>
              <w:t>126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3E499A"/>
        </w:rPr>
        <w:t>Item 9: 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3E499A"/>
        </w:rPr>
        <w:t>Item 9A: 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Refer to Management’s Report on Internal Control Over Financial Reporting on page 74.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Refer to Report of Independent Registered Public Accounting Firm on page 75.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3E499A"/>
        </w:rPr>
        <w:t>Item 9B: 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127</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III</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3E499A"/>
        </w:rPr>
        <w:t>Item 10: Directors, Executive Officers and Corporate Governance</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May 2013. We refer to this proxy statement as the 2013 Proxy Statement.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term of office of each of our executive officers continues until his successor is selected and qualified or until his earlier death, resignation or removal. The following table sets forth information concerning our executive officers, including their ages, positions and tenure; as of the date of this Annual Report on Form 10-K.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2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Age</w:t>
            </w: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w w:val="94"/>
              </w:rPr>
              <w:t>Officer Since</w:t>
            </w:r>
          </w:p>
        </w:tc>
        <w:tc>
          <w:tcPr>
            <w:tcW w:w="63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Position with Comcast</w:t>
            </w:r>
          </w:p>
        </w:tc>
      </w:tr>
      <w:tr>
        <w:trPr>
          <w:trHeight w:val="199"/>
        </w:trPr>
        <w:tc>
          <w:tcPr>
            <w:tcW w:w="248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1280" w:type="dxa"/>
            <w:vAlign w:val="bottom"/>
          </w:tcPr>
          <w:p>
            <w:pPr>
              <w:ind w:left="880"/>
              <w:spacing w:after="0" w:line="200" w:lineRule="exact"/>
              <w:rPr>
                <w:sz w:val="20"/>
                <w:szCs w:val="20"/>
                <w:color w:val="auto"/>
              </w:rPr>
            </w:pPr>
            <w:r>
              <w:rPr>
                <w:rFonts w:ascii="Arial" w:cs="Arial" w:eastAsia="Arial" w:hAnsi="Arial"/>
                <w:sz w:val="18"/>
                <w:szCs w:val="18"/>
                <w:color w:val="auto"/>
              </w:rPr>
              <w:t>53</w:t>
            </w:r>
          </w:p>
        </w:tc>
        <w:tc>
          <w:tcPr>
            <w:tcW w:w="1280" w:type="dxa"/>
            <w:vAlign w:val="bottom"/>
          </w:tcPr>
          <w:p>
            <w:pPr>
              <w:jc w:val="center"/>
              <w:ind w:right="75"/>
              <w:spacing w:after="0" w:line="200" w:lineRule="exact"/>
              <w:rPr>
                <w:sz w:val="20"/>
                <w:szCs w:val="20"/>
                <w:color w:val="auto"/>
              </w:rPr>
            </w:pPr>
            <w:r>
              <w:rPr>
                <w:rFonts w:ascii="Arial" w:cs="Arial" w:eastAsia="Arial" w:hAnsi="Arial"/>
                <w:sz w:val="18"/>
                <w:szCs w:val="18"/>
                <w:color w:val="auto"/>
                <w:w w:val="99"/>
              </w:rPr>
              <w:t>1986</w:t>
            </w:r>
          </w:p>
        </w:tc>
        <w:tc>
          <w:tcPr>
            <w:tcW w:w="6380" w:type="dxa"/>
            <w:vAlign w:val="bottom"/>
          </w:tcPr>
          <w:p>
            <w:pPr>
              <w:ind w:left="340"/>
              <w:spacing w:after="0" w:line="200" w:lineRule="exact"/>
              <w:rPr>
                <w:sz w:val="20"/>
                <w:szCs w:val="20"/>
                <w:color w:val="auto"/>
              </w:rPr>
            </w:pPr>
            <w:r>
              <w:rPr>
                <w:rFonts w:ascii="Arial" w:cs="Arial" w:eastAsia="Arial" w:hAnsi="Arial"/>
                <w:sz w:val="18"/>
                <w:szCs w:val="18"/>
                <w:color w:val="auto"/>
              </w:rPr>
              <w:t>Chairman and Chief Executive Officer; President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Michael J. Angelakis</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48</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2007</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Vice Chairman; Chief Financial Officer</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54</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1998</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 President and Chief Executive Officer,</w:t>
            </w:r>
          </w:p>
        </w:tc>
      </w:tr>
      <w:tr>
        <w:trPr>
          <w:trHeight w:val="203"/>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NBCUniversal Holdings and NBCUniversal</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57</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2002</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Neil Smit</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54</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2011</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 President and Chief Executive Officer, Comcast</w:t>
            </w:r>
          </w:p>
        </w:tc>
      </w:tr>
      <w:tr>
        <w:trPr>
          <w:trHeight w:val="203"/>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Cable</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58</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1993</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Senior Vice President; General Counsel; Secretary</w:t>
            </w:r>
          </w:p>
        </w:tc>
      </w:tr>
      <w:tr>
        <w:trPr>
          <w:trHeight w:val="199"/>
        </w:trPr>
        <w:tc>
          <w:tcPr>
            <w:tcW w:w="24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1280" w:type="dxa"/>
            <w:vAlign w:val="bottom"/>
            <w:tcBorders>
              <w:bottom w:val="single" w:sz="8" w:color="auto"/>
            </w:tcBorders>
          </w:tcPr>
          <w:p>
            <w:pPr>
              <w:ind w:left="880"/>
              <w:spacing w:after="0" w:line="200" w:lineRule="exact"/>
              <w:rPr>
                <w:sz w:val="20"/>
                <w:szCs w:val="20"/>
                <w:color w:val="auto"/>
              </w:rPr>
            </w:pPr>
            <w:r>
              <w:rPr>
                <w:rFonts w:ascii="Arial" w:cs="Arial" w:eastAsia="Arial" w:hAnsi="Arial"/>
                <w:sz w:val="18"/>
                <w:szCs w:val="18"/>
                <w:color w:val="auto"/>
              </w:rPr>
              <w:t>56</w:t>
            </w:r>
          </w:p>
        </w:tc>
        <w:tc>
          <w:tcPr>
            <w:tcW w:w="1280" w:type="dxa"/>
            <w:vAlign w:val="bottom"/>
            <w:tcBorders>
              <w:bottom w:val="single" w:sz="8" w:color="auto"/>
            </w:tcBorders>
          </w:tcPr>
          <w:p>
            <w:pPr>
              <w:jc w:val="center"/>
              <w:ind w:right="75"/>
              <w:spacing w:after="0" w:line="200" w:lineRule="exact"/>
              <w:rPr>
                <w:sz w:val="20"/>
                <w:szCs w:val="20"/>
                <w:color w:val="auto"/>
              </w:rPr>
            </w:pPr>
            <w:r>
              <w:rPr>
                <w:rFonts w:ascii="Arial" w:cs="Arial" w:eastAsia="Arial" w:hAnsi="Arial"/>
                <w:sz w:val="18"/>
                <w:szCs w:val="18"/>
                <w:color w:val="auto"/>
                <w:w w:val="99"/>
              </w:rPr>
              <w:t>2000</w:t>
            </w:r>
          </w:p>
        </w:tc>
        <w:tc>
          <w:tcPr>
            <w:tcW w:w="6380" w:type="dxa"/>
            <w:vAlign w:val="bottom"/>
            <w:tcBorders>
              <w:bottom w:val="single" w:sz="8" w:color="auto"/>
            </w:tcBorders>
          </w:tcPr>
          <w:p>
            <w:pPr>
              <w:ind w:left="340"/>
              <w:spacing w:after="0" w:line="200" w:lineRule="exact"/>
              <w:rPr>
                <w:sz w:val="20"/>
                <w:szCs w:val="20"/>
                <w:color w:val="auto"/>
              </w:rPr>
            </w:pPr>
            <w:r>
              <w:rPr>
                <w:rFonts w:ascii="Arial" w:cs="Arial" w:eastAsia="Arial" w:hAnsi="Arial"/>
                <w:sz w:val="18"/>
                <w:szCs w:val="18"/>
                <w:color w:val="auto"/>
              </w:rPr>
              <w:t>Senior Vice President; Chief Accounting Officer; Controller</w:t>
            </w:r>
          </w:p>
        </w:tc>
      </w:tr>
    </w:tbl>
    <w:p>
      <w:pPr>
        <w:spacing w:after="0" w:line="1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our President, Chief Executive Officer and Chairman of the Board for more than five years.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Mr. Roberts had sole voting power over approximately 33 1/3% of the combined voting power of our two classes of voting common stock. He is a son of Mr. Ralph J. Roberts. Mr. Roberts is also a director of NBCUniversal Holdings and the National Cable and Telecommunications Association.</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Michael J. Angelakis </w:t>
      </w:r>
      <w:r>
        <w:rPr>
          <w:rFonts w:ascii="Arial" w:cs="Arial" w:eastAsia="Arial" w:hAnsi="Arial"/>
          <w:sz w:val="18"/>
          <w:szCs w:val="18"/>
          <w:color w:val="auto"/>
        </w:rPr>
        <w:t>has served as the Chief Financial Officer of Comcast Corporation for more than five years. Mr. Angelakis currently serves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NBCUniversal Holdings and the Federal Reserve Bank of Philadelphia.</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has served as an Executive Vice President for more than five years. On January 28, 2011, Mr. Burke became the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of NBCUniversal Holdings and NBCUniversal and resigned from his position as our Chief Operating Officer, which position he had held for more than five years. Mr. Burke also had been the President of Comcast Cable until March 2010. Mr. Burke is also a director of NBCUniversal Holdings, JPMorgan Chase &amp; Company and Berkshire Hathaway, Incorporated.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an Executive Vice President for more than five years.</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Neil Smit </w:t>
      </w:r>
      <w:r>
        <w:rPr>
          <w:rFonts w:ascii="Arial" w:cs="Arial" w:eastAsia="Arial" w:hAnsi="Arial"/>
          <w:sz w:val="18"/>
          <w:szCs w:val="18"/>
          <w:color w:val="auto"/>
        </w:rPr>
        <w:t>has served as the President of Comcast Cable since March 2010, became an Executive Vice President in January 2011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as Chief Executive Officer of Comcast Cable in November 2011. Before March 2010, Mr. Smit had been the President and Chief Executive Officer and a director of Charter Communications, Inc., a cable company, since August 2005. Charter Communications filed a voluntary petition for reorganization under Chapter 11 of the U.S. Bankruptcy Code in March 2009 and emerged from Chapter 11 bankruptcy in November 2009.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a Senior Vice President and our General Counsel and Secretary for more than five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Lawrence J. Salva </w:t>
      </w:r>
      <w:r>
        <w:rPr>
          <w:rFonts w:ascii="Arial" w:cs="Arial" w:eastAsia="Arial" w:hAnsi="Arial"/>
          <w:sz w:val="18"/>
          <w:szCs w:val="18"/>
          <w:color w:val="auto"/>
        </w:rPr>
        <w:t>has served as a Senior Vice President and our Controller and Chief Accounting Officer for more than five years.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128</w:t>
            </w: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3E499A"/>
        </w:rPr>
        <w:t>Item 11: Executive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2013 Proxy Statement.</w:t>
      </w:r>
    </w:p>
    <w:p>
      <w:pPr>
        <w:spacing w:after="0" w:line="313" w:lineRule="exact"/>
        <w:rPr>
          <w:sz w:val="20"/>
          <w:szCs w:val="20"/>
          <w:color w:val="auto"/>
        </w:rPr>
      </w:pPr>
    </w:p>
    <w:p>
      <w:pPr>
        <w:ind w:right="520"/>
        <w:spacing w:after="0" w:line="260" w:lineRule="auto"/>
        <w:rPr>
          <w:sz w:val="20"/>
          <w:szCs w:val="20"/>
          <w:color w:val="auto"/>
        </w:rPr>
      </w:pPr>
      <w:r>
        <w:rPr>
          <w:rFonts w:ascii="Arial" w:cs="Arial" w:eastAsia="Arial" w:hAnsi="Arial"/>
          <w:sz w:val="24"/>
          <w:szCs w:val="24"/>
          <w:color w:val="3E499A"/>
        </w:rPr>
        <w:t>Item 12: Security Ownership of Certain Beneficial Owners and Management and Related Stockholder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2013 Proxy Statement.</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3E499A"/>
        </w:rPr>
        <w:t>Item 13: Certain Relationships and Related Transactions, and Director Independence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2013 Proxy Statement.</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3E499A"/>
        </w:rPr>
        <w:t>Item 14: Principal Accountant Fees and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2013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intend to file our 2013 Proxy Statement for our annual meeting of shareholders with the SEC on or before April 5, 2013.</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129</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IV</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3E499A"/>
        </w:rPr>
        <w:t>Item 15: Exhibits and Financial Statement Schedules</w:t>
      </w:r>
    </w:p>
    <w:p>
      <w:pPr>
        <w:spacing w:after="0" w:line="123" w:lineRule="exact"/>
        <w:rPr>
          <w:sz w:val="20"/>
          <w:szCs w:val="20"/>
          <w:color w:val="auto"/>
        </w:rPr>
      </w:pPr>
    </w:p>
    <w:p>
      <w:pPr>
        <w:jc w:val="both"/>
        <w:ind w:firstLine="8"/>
        <w:spacing w:after="0" w:line="237" w:lineRule="auto"/>
        <w:tabs>
          <w:tab w:leader="none" w:pos="2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consolidated financial statements are filed as a part of this report on Form 10-K in Item 8, Financial Statements and Supplementary Data, and a list of the consolidated financial statements are found on page 73 of this report. Schedule II, Valuation and Qualifying Accounts, is found on page 137 of this report; all other financial statement schedules are omitted because the required information is not applicable, or because the information required is included in the consolidated financial statements and notes thereto.</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Exhibits required to be filed by Item 601 of Regulation S-K (all of which are under Commission File No. 001-32871, except as otherwise noted):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Amended and Restated Articles of Incorporation of Comcast Corporation (incorporated by reference to Exhibit 3.1 to our Quarterly</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Report on Form 10-Q for the quarter ended June 30, 2009).</w:t>
            </w: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7"/>
              </w:rPr>
              <w:t>Amended and Restated By-Laws of Comcast Corporation (incorporated by reference to Exhibit 3.1 to our Current Report on Form 8-K</w:t>
            </w:r>
          </w:p>
        </w:tc>
      </w:tr>
      <w:tr>
        <w:trPr>
          <w:trHeight w:val="211"/>
        </w:trPr>
        <w:tc>
          <w:tcPr>
            <w:tcW w:w="700" w:type="dxa"/>
            <w:vAlign w:val="bottom"/>
          </w:tcPr>
          <w:p>
            <w:pPr>
              <w:spacing w:after="0"/>
              <w:rPr>
                <w:sz w:val="18"/>
                <w:szCs w:val="18"/>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filed on November 23, 2011).</w:t>
            </w:r>
          </w:p>
        </w:tc>
        <w:tc>
          <w:tcPr>
            <w:tcW w:w="62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7"/>
              </w:rPr>
              <w:t>Specimen Class A Common Stock Certificate (incorporated by reference to Exhibit 4.1 to our Annual Report on Form 10-K for the year</w:t>
            </w:r>
          </w:p>
        </w:tc>
      </w:tr>
      <w:tr>
        <w:trPr>
          <w:trHeight w:val="211"/>
        </w:trPr>
        <w:tc>
          <w:tcPr>
            <w:tcW w:w="700" w:type="dxa"/>
            <w:vAlign w:val="bottom"/>
          </w:tcPr>
          <w:p>
            <w:pPr>
              <w:spacing w:after="0"/>
              <w:rPr>
                <w:sz w:val="18"/>
                <w:szCs w:val="18"/>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ended December 31, 2002).</w:t>
            </w:r>
          </w:p>
        </w:tc>
        <w:tc>
          <w:tcPr>
            <w:tcW w:w="62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8"/>
              </w:rPr>
              <w:t>Specimen Class A Special Common Stock Certificate (incorporated by reference to Exhibit 4.2 to our Annual Report on Form 10-K for</w:t>
            </w:r>
          </w:p>
        </w:tc>
      </w:tr>
      <w:tr>
        <w:trPr>
          <w:trHeight w:val="211"/>
        </w:trPr>
        <w:tc>
          <w:tcPr>
            <w:tcW w:w="700" w:type="dxa"/>
            <w:vAlign w:val="bottom"/>
          </w:tcPr>
          <w:p>
            <w:pPr>
              <w:spacing w:after="0"/>
              <w:rPr>
                <w:sz w:val="18"/>
                <w:szCs w:val="18"/>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the year ended December 31, 2002).</w:t>
            </w:r>
          </w:p>
        </w:tc>
        <w:tc>
          <w:tcPr>
            <w:tcW w:w="62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8"/>
              </w:rPr>
              <w:t>Indenture, dated January 7, 2003, between Comcast Corporation, the subsidiary guarantor party thereto, and The Bank of New York</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Mellon (f/k/a The Bank of New York), as trustee (incorporated by reference to Exhibit 4.4 to our Annual Report on Form 10-K for the</w:t>
            </w:r>
          </w:p>
        </w:tc>
      </w:tr>
      <w:tr>
        <w:trPr>
          <w:trHeight w:val="211"/>
        </w:trPr>
        <w:tc>
          <w:tcPr>
            <w:tcW w:w="700" w:type="dxa"/>
            <w:vAlign w:val="bottom"/>
          </w:tcPr>
          <w:p>
            <w:pPr>
              <w:spacing w:after="0"/>
              <w:rPr>
                <w:sz w:val="18"/>
                <w:szCs w:val="18"/>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year ended December 31, 2008).</w:t>
            </w:r>
          </w:p>
        </w:tc>
        <w:tc>
          <w:tcPr>
            <w:tcW w:w="62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4.4</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Supplemental Indenture, dated March 25, 2003, to the Indenture between Comcast Corporation, the subsidiary guarantors party</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thereto, and The Bank of New York Mellon (f/k/a The Bank of New York), as trustee, dated January 7, 2003 (incorporated by reference</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to Exhibit 4.5 to our Annual Report on Form 10-K for the year ended December 31, 2008).</w:t>
            </w: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4.5</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9"/>
              </w:rPr>
              <w:t>Second Supplemental Indenture, dated August 31, 2009, to the Indenture between Comcast Corporation, the subsidiary guarantors</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party thereto, and The Bank of New York Mellon, as Trustee, dated January 7, 2003, as supplemented by a First Supplemental</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Indenture dated March 25, 2003 (incorporated by reference to Exhibit 4.1 to our Current Report on Form 8-K filed on September 2,</w:t>
            </w:r>
          </w:p>
        </w:tc>
      </w:tr>
      <w:tr>
        <w:trPr>
          <w:trHeight w:val="211"/>
        </w:trPr>
        <w:tc>
          <w:tcPr>
            <w:tcW w:w="700" w:type="dxa"/>
            <w:vAlign w:val="bottom"/>
          </w:tcPr>
          <w:p>
            <w:pPr>
              <w:spacing w:after="0"/>
              <w:rPr>
                <w:sz w:val="18"/>
                <w:szCs w:val="18"/>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2009).</w:t>
            </w:r>
          </w:p>
        </w:tc>
        <w:tc>
          <w:tcPr>
            <w:tcW w:w="6280" w:type="dxa"/>
            <w:vAlign w:val="bottom"/>
          </w:tcPr>
          <w:p>
            <w:pPr>
              <w:spacing w:after="0"/>
              <w:rPr>
                <w:sz w:val="18"/>
                <w:szCs w:val="18"/>
                <w:color w:val="auto"/>
              </w:rPr>
            </w:pPr>
          </w:p>
        </w:tc>
      </w:tr>
      <w:tr>
        <w:trPr>
          <w:trHeight w:val="262"/>
        </w:trPr>
        <w:tc>
          <w:tcPr>
            <w:tcW w:w="700" w:type="dxa"/>
            <w:vAlign w:val="bottom"/>
          </w:tcPr>
          <w:p>
            <w:pPr>
              <w:spacing w:after="0"/>
              <w:rPr>
                <w:sz w:val="22"/>
                <w:szCs w:val="22"/>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Certain instruments defining the rights of holders of long-term obligation of the registrant and certain of its subsidiaries (the total</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amount of securities authorized under each of which does not exceed ten percent of the total assets of the registrant and its</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subsidiaries on a consolidated basis), are omitted pursuant to Item 601(b)(4)(iii)(A) of Regulation S-K. We agree to furnish copies of</w:t>
            </w:r>
          </w:p>
        </w:tc>
      </w:tr>
      <w:tr>
        <w:trPr>
          <w:trHeight w:val="211"/>
        </w:trPr>
        <w:tc>
          <w:tcPr>
            <w:tcW w:w="700" w:type="dxa"/>
            <w:vAlign w:val="bottom"/>
          </w:tcPr>
          <w:p>
            <w:pPr>
              <w:spacing w:after="0"/>
              <w:rPr>
                <w:sz w:val="18"/>
                <w:szCs w:val="18"/>
                <w:color w:val="auto"/>
              </w:rPr>
            </w:pPr>
          </w:p>
        </w:tc>
        <w:tc>
          <w:tcPr>
            <w:tcW w:w="4440" w:type="dxa"/>
            <w:vAlign w:val="bottom"/>
          </w:tcPr>
          <w:p>
            <w:pPr>
              <w:ind w:left="280"/>
              <w:spacing w:after="0"/>
              <w:rPr>
                <w:sz w:val="20"/>
                <w:szCs w:val="20"/>
                <w:color w:val="auto"/>
              </w:rPr>
            </w:pPr>
            <w:r>
              <w:rPr>
                <w:rFonts w:ascii="Arial" w:cs="Arial" w:eastAsia="Arial" w:hAnsi="Arial"/>
                <w:sz w:val="18"/>
                <w:szCs w:val="18"/>
                <w:color w:val="auto"/>
              </w:rPr>
              <w:t>any such instruments to the SEC upon request.</w:t>
            </w:r>
          </w:p>
        </w:tc>
        <w:tc>
          <w:tcPr>
            <w:tcW w:w="6280" w:type="dxa"/>
            <w:vAlign w:val="bottom"/>
          </w:tcPr>
          <w:p>
            <w:pPr>
              <w:spacing w:after="0"/>
              <w:rPr>
                <w:sz w:val="18"/>
                <w:szCs w:val="18"/>
                <w:color w:val="auto"/>
              </w:rPr>
            </w:pPr>
          </w:p>
        </w:tc>
      </w:tr>
      <w:tr>
        <w:trPr>
          <w:trHeight w:val="275"/>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Credit Agreement dated as of June 6, 2012 among Comcast Corporation, Comcast Cable Communications, LLC, the Financial</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Institutions party thereto and JP Morgan Chase Bank, N.A., as Administrative Agent and the Issuing Lender (incorporated by</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reference to Exhibit 10.1 to our Quarterly Report on Form 10-Q for the quarter ended June 30, 2012).</w:t>
            </w: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Stock Option Plan, as amended and restated effective December 9, 2008 (incorporated by reference to</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Exhibit 10.2 to our Annual Report on Form 10-K for the year ended December 31, 2008).</w:t>
            </w: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2003 Stock Option Plan, as amended and restated effective February 22, 2011 (incorporated by reference to</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Appendix C to our Definitive Proxy Statement on Schedule 14A filed on April 1, 2011).</w:t>
            </w:r>
          </w:p>
        </w:tc>
      </w:tr>
      <w:tr>
        <w:trPr>
          <w:trHeight w:val="501"/>
        </w:trPr>
        <w:tc>
          <w:tcPr>
            <w:tcW w:w="5140" w:type="dxa"/>
            <w:vAlign w:val="bottom"/>
            <w:gridSpan w:val="2"/>
          </w:tcPr>
          <w:p>
            <w:pPr>
              <w:spacing w:after="0"/>
              <w:rPr>
                <w:sz w:val="20"/>
                <w:szCs w:val="20"/>
                <w:color w:val="auto"/>
              </w:rPr>
            </w:pPr>
            <w:r>
              <w:rPr>
                <w:rFonts w:ascii="Arial" w:cs="Arial" w:eastAsia="Arial" w:hAnsi="Arial"/>
                <w:sz w:val="14"/>
                <w:szCs w:val="14"/>
                <w:color w:val="auto"/>
              </w:rPr>
              <w:t>Comcast 2012 Annual Report on Form 10-K</w:t>
            </w:r>
          </w:p>
        </w:tc>
        <w:tc>
          <w:tcPr>
            <w:tcW w:w="6280" w:type="dxa"/>
            <w:vAlign w:val="bottom"/>
          </w:tcPr>
          <w:p>
            <w:pPr>
              <w:jc w:val="right"/>
              <w:ind w:right="5532"/>
              <w:spacing w:after="0"/>
              <w:rPr>
                <w:sz w:val="20"/>
                <w:szCs w:val="20"/>
                <w:color w:val="auto"/>
              </w:rPr>
            </w:pPr>
            <w:r>
              <w:rPr>
                <w:rFonts w:ascii="Arial" w:cs="Arial" w:eastAsia="Arial" w:hAnsi="Arial"/>
                <w:sz w:val="14"/>
                <w:szCs w:val="14"/>
                <w:b w:val="1"/>
                <w:bCs w:val="1"/>
                <w:color w:val="auto"/>
              </w:rPr>
              <w:t>130</w:t>
            </w: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ind w:left="1080" w:right="20" w:hanging="1066"/>
        <w:spacing w:after="0" w:line="239"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Comcast Corporation 2002 Deferred Stock Option Plan, as amended and restated effective October 7, 2008 (incorporated by reference to Exhibit 10.2 to our Quarterly Report on Form 10-Q for the quarter ended September 30, 2008).</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Comcast Corporation 2002 Deferred Compensation Plan, as amended and restated effective February 10, 2009 (incorporated by reference to Exhibit 10.5 to our Annual Report on Form 10-K for the year ended December 31, 2009).</w:t>
      </w:r>
    </w:p>
    <w:p>
      <w:pPr>
        <w:spacing w:after="0" w:line="6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Comcast Corporation 2005 Deferred Compensation Plan, as amended and restated, dated December 1, 2012.</w:t>
      </w:r>
    </w:p>
    <w:p>
      <w:pPr>
        <w:spacing w:after="0" w:line="63"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Comcast Corporation 2002 Restricted Stock Plan, as amended and restated effective August 29, 2012 (incorporated by reference to Exhibit 10.2 to our Quarterly Report on Form 10-Q for the quarter ended September 30, 2012).</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1992 Executive Split Dollar Insurance Plan (incorporated by reference to Exhibit 10.12 to the Comcast Holdings Corporation Annual Report on Form 10-K for the year ended December 31, 1992).</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Comcast Corporation 2006 Cash Bonus Plan, as amended and restated effective February 22, 2011 (incorporated by reference to Exhibit 10.5 to our Quarterly Report on Form 10-Q for the quarter ended March 31, 2011).</w:t>
      </w:r>
    </w:p>
    <w:p>
      <w:pPr>
        <w:spacing w:after="0" w:line="6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Comcast Corporation Retirement-Investment Plan, as amended and restated effective January 1, 2013.</w:t>
      </w:r>
    </w:p>
    <w:p>
      <w:pPr>
        <w:spacing w:after="0" w:line="63" w:lineRule="exact"/>
        <w:rPr>
          <w:sz w:val="20"/>
          <w:szCs w:val="20"/>
          <w:color w:val="auto"/>
        </w:rPr>
      </w:pPr>
    </w:p>
    <w:p>
      <w:pPr>
        <w:jc w:val="center"/>
        <w:spacing w:after="0" w:line="239" w:lineRule="auto"/>
        <w:rPr>
          <w:sz w:val="20"/>
          <w:szCs w:val="20"/>
          <w:color w:val="auto"/>
        </w:rPr>
      </w:pPr>
      <w:r>
        <w:rPr>
          <w:rFonts w:ascii="Arial" w:cs="Arial" w:eastAsia="Arial" w:hAnsi="Arial"/>
          <w:sz w:val="18"/>
          <w:szCs w:val="18"/>
          <w:color w:val="auto"/>
        </w:rPr>
        <w:t>10.11*      Comcast Corporation 2002 Non-Employee Director Compensation Plan, as amended and restated effective May 30, 2012 (incorporated by reference to Exhibit 10.4 to our Quarterly Report on Form 10-Q for the quarter ended June 30, 2012).</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Comcast Corporation 2002 Employee Stock Purchase Plan (incorporated by reference to Exhibit 10.3 to our Quarterly Report on Form 10-Q for the quarter ended September 30, 2012).</w:t>
      </w:r>
    </w:p>
    <w:p>
      <w:pPr>
        <w:spacing w:after="0" w:line="60" w:lineRule="exact"/>
        <w:rPr>
          <w:sz w:val="20"/>
          <w:szCs w:val="20"/>
          <w:color w:val="auto"/>
        </w:rPr>
      </w:pPr>
    </w:p>
    <w:p>
      <w:pPr>
        <w:ind w:left="1080" w:right="20" w:hanging="1066"/>
        <w:spacing w:after="0" w:line="239" w:lineRule="auto"/>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Comcast-NBCUniversal 2011 Employee Stock Purchase Plan (incorporated by reference to Exhibit 10.4 to our Quarterly Report on Form 10-Q for the quarter ended September 30, 2012).</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Comcast Corporation Supplemental Executive Retirement Plan, as amended and restated effective January 1, 2005 (incorporated by reference to Exhibit 10.15 to our Annual Report on Form 10-K for the year ended December 31, 2007).</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Employment Agreement between Comcast Corporation and Brian L. Roberts, dated as of June 1, 2005 (incorporated by reference to Exhibit 99.1 to our Current Report on Form 8-K filed on August 5, 2005).</w:t>
      </w:r>
    </w:p>
    <w:p>
      <w:pPr>
        <w:spacing w:after="0" w:line="60" w:lineRule="exact"/>
        <w:rPr>
          <w:sz w:val="20"/>
          <w:szCs w:val="20"/>
          <w:color w:val="auto"/>
        </w:rPr>
      </w:pPr>
    </w:p>
    <w:p>
      <w:pPr>
        <w:ind w:left="1080" w:right="20" w:hanging="1066"/>
        <w:spacing w:after="0" w:line="239" w:lineRule="auto"/>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to Employment Agreement between Comcast Corporation and Brian L. Roberts, dated as of February 13, 2009 (incorporated by reference to Exhibit 99.1 to our Current Report on Form 8-K filed on February 13, 2009).</w:t>
      </w:r>
    </w:p>
    <w:p>
      <w:pPr>
        <w:spacing w:after="0" w:line="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Amendment No. 2 to Employment Agreement between Comcast Corporation and Brian L. Roberts, dated as of December 31, 2009</w:t>
      </w:r>
    </w:p>
    <w:p>
      <w:pPr>
        <w:jc w:val="center"/>
        <w:spacing w:after="0"/>
        <w:rPr>
          <w:sz w:val="20"/>
          <w:szCs w:val="20"/>
          <w:color w:val="auto"/>
        </w:rPr>
      </w:pPr>
      <w:r>
        <w:rPr>
          <w:rFonts w:ascii="Arial" w:cs="Arial" w:eastAsia="Arial" w:hAnsi="Arial"/>
          <w:sz w:val="18"/>
          <w:szCs w:val="18"/>
          <w:color w:val="auto"/>
        </w:rPr>
        <w:t>(incorporated by reference to Exhibit 10.23 to our Annual Report on Form 10-K for the year ended December 31, 2009).</w:t>
      </w:r>
    </w:p>
    <w:p>
      <w:pPr>
        <w:spacing w:after="0" w:line="63"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Amendment No. 3 to Employment Agreement between Comcast Corporation and Brian L. Roberts, dated as of June 30, 2010 (incorporated by reference to Exhibit 99.1 to our Current Report on Form 8-K filed on July 7, 2010).</w:t>
      </w:r>
    </w:p>
    <w:p>
      <w:pPr>
        <w:spacing w:after="0" w:line="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Amendment No. 4 to Employment Agreement between Comcast Corporation and Brian L. Roberts, dated as of December 31, 2010</w:t>
      </w:r>
    </w:p>
    <w:p>
      <w:pPr>
        <w:jc w:val="center"/>
        <w:spacing w:after="0"/>
        <w:rPr>
          <w:sz w:val="20"/>
          <w:szCs w:val="20"/>
          <w:color w:val="auto"/>
        </w:rPr>
      </w:pPr>
      <w:r>
        <w:rPr>
          <w:rFonts w:ascii="Arial" w:cs="Arial" w:eastAsia="Arial" w:hAnsi="Arial"/>
          <w:sz w:val="18"/>
          <w:szCs w:val="18"/>
          <w:color w:val="auto"/>
        </w:rPr>
        <w:t>(incorporated by reference to Exhibit 10.25 to our Annual Report on Form 10-K for the year ended December 31, 2010).</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131</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Amendment No. 5 to Employment Agreement between Comcast Corporation and Brian L. Roberts, dated as of June 30, 2011 (incorporated by reference to Exhibit 99.1 to our Current Report on Form 8-K filed on July 1, 2011).</w:t>
      </w:r>
    </w:p>
    <w:p>
      <w:pPr>
        <w:spacing w:after="0" w:line="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Amendment No. 6 to Employment Agreement between Comcast Corporation and Brian L. Roberts, dated as of December 15, 2011</w:t>
      </w:r>
    </w:p>
    <w:p>
      <w:pPr>
        <w:jc w:val="center"/>
        <w:ind w:right="-19"/>
        <w:spacing w:after="0"/>
        <w:rPr>
          <w:sz w:val="20"/>
          <w:szCs w:val="20"/>
          <w:color w:val="auto"/>
        </w:rPr>
      </w:pPr>
      <w:r>
        <w:rPr>
          <w:rFonts w:ascii="Arial" w:cs="Arial" w:eastAsia="Arial" w:hAnsi="Arial"/>
          <w:sz w:val="18"/>
          <w:szCs w:val="18"/>
          <w:color w:val="auto"/>
        </w:rPr>
        <w:t>(incorporated by reference to Exhibit 10.21 to our Annual Report on Form 10-K for the year ended December 31, 2011).</w:t>
      </w:r>
    </w:p>
    <w:p>
      <w:pPr>
        <w:spacing w:after="0" w:line="63"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No. 7 to Employment Agreement between Comcast Corporation and Brian L. Roberts, effective as of June 30, 2012 (incorporated by reference to Exhibit 99.1 to our Current Report on Form 8-K filed on September 14, 2012).</w:t>
      </w:r>
    </w:p>
    <w:p>
      <w:pPr>
        <w:spacing w:after="0" w:line="6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No. 8 to Employment Agreement between Comcast Corporation and Brian L. Roberts, dated as of December 14, 2012.</w:t>
      </w:r>
    </w:p>
    <w:p>
      <w:pPr>
        <w:spacing w:after="0" w:line="63"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Notice of Rights Waiver from Brian L. Roberts dated February 13, 2009 (incorporated by reference to Exhibit 99.2 to our Current Report on Form 8-K filed on February 13, 2009).</w:t>
      </w:r>
    </w:p>
    <w:p>
      <w:pPr>
        <w:spacing w:after="0" w:line="60"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Notice of Termination from Brian L. Roberts dated February 13, 2009 (incorporated by reference to Exhibit 99.3 to our Current Report on Form 8-K filed on February 13, 2009).</w:t>
      </w:r>
    </w:p>
    <w:p>
      <w:pPr>
        <w:spacing w:after="0" w:line="60"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Employment Agreement between Comcast Corporation and Ralph J. Roberts dated December 27, 2007 (incorporated by reference to Exhibit 99.1 to our Current Report on Form 8-K filed on December 28, 2007).</w:t>
      </w:r>
    </w:p>
    <w:p>
      <w:pPr>
        <w:spacing w:after="0" w:line="60"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to Employment Agreement between Comcast Corporation and Ralph J. Roberts dated as of January 1, 2008 (incorporated by reference to Exhibit 99.1 to our Current Report on Form 8-K filed on February 13, 2008).</w:t>
      </w:r>
    </w:p>
    <w:p>
      <w:pPr>
        <w:spacing w:after="0" w:line="60" w:lineRule="exact"/>
        <w:rPr>
          <w:sz w:val="20"/>
          <w:szCs w:val="20"/>
          <w:color w:val="auto"/>
        </w:rPr>
      </w:pPr>
    </w:p>
    <w:p>
      <w:pPr>
        <w:jc w:val="both"/>
        <w:ind w:left="1080" w:hanging="1066"/>
        <w:spacing w:after="0" w:line="281" w:lineRule="auto"/>
        <w:tabs>
          <w:tab w:leader="none" w:pos="10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Compensation and Deferred Compensation Agreement and Stock Appreciation Bonus Plan between Comcast Holdings Corporation and Ralph J. Roberts, as amended and restated March 16, 1994 (incorporated by reference to Exhibit 10.13 to the Comcast Holdings Corporation Annual Report on Form 10-K (Commission File No. 001-15471) for the year ended December 31, 1993).</w:t>
      </w:r>
    </w:p>
    <w:p>
      <w:pPr>
        <w:spacing w:after="0" w:line="29" w:lineRule="exact"/>
        <w:rPr>
          <w:sz w:val="20"/>
          <w:szCs w:val="20"/>
          <w:color w:val="auto"/>
        </w:rPr>
      </w:pPr>
    </w:p>
    <w:p>
      <w:pPr>
        <w:jc w:val="both"/>
        <w:ind w:left="1080" w:hanging="1066"/>
        <w:spacing w:after="0" w:line="238" w:lineRule="auto"/>
        <w:tabs>
          <w:tab w:leader="none" w:pos="10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Compensation and Deferred Compensation Agreement between Comcast Holdings Corporation and Ralph J. Roberts, as amended and restated August 31, 1998 (incorporated by reference to Exhibit 10.1 to the Comcast Holdings Corporation Quarterly Report on Form 10-Q (Commission File No. 001-15471) for the quarter ended September 30, 1998).</w:t>
      </w:r>
    </w:p>
    <w:p>
      <w:pPr>
        <w:spacing w:after="0" w:line="59" w:lineRule="exact"/>
        <w:rPr>
          <w:sz w:val="20"/>
          <w:szCs w:val="20"/>
          <w:color w:val="auto"/>
        </w:rPr>
      </w:pPr>
    </w:p>
    <w:p>
      <w:pPr>
        <w:jc w:val="both"/>
        <w:ind w:left="1080" w:hanging="1066"/>
        <w:spacing w:after="0" w:line="238" w:lineRule="auto"/>
        <w:tabs>
          <w:tab w:leader="none" w:pos="10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Amendment Agreement to Compensation and Deferred Compensation Agreement between Comcast Holdings Corporation and Ralph J. Roberts, dated as of August 19, 1999 (incorporated by reference to Exhibit 10.2 to the Comcast Holdings Corporation Quarterly Report on Form 10-Q (Commission File No. 001-15471) for the quarter ended March 31, 2000).</w:t>
      </w:r>
    </w:p>
    <w:p>
      <w:pPr>
        <w:spacing w:after="0" w:line="59" w:lineRule="exact"/>
        <w:rPr>
          <w:sz w:val="20"/>
          <w:szCs w:val="20"/>
          <w:color w:val="auto"/>
        </w:rPr>
      </w:pPr>
    </w:p>
    <w:p>
      <w:pPr>
        <w:jc w:val="both"/>
        <w:ind w:left="1080" w:hanging="1066"/>
        <w:spacing w:after="0" w:line="238" w:lineRule="auto"/>
        <w:tabs>
          <w:tab w:leader="none" w:pos="10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Amendment to Compensation and Deferred Compensation Agreement between Comcast Holdings Corporation and Ralph J. Roberts, dated as of June 5, 2001 (incorporated by reference to Exhibit 10.8 to the Comcast Holdings Corporation Annual Report on Form 10-K (Commission File No. 001-15471) for the year ended December 31, 2001).</w:t>
      </w:r>
    </w:p>
    <w:p>
      <w:pPr>
        <w:spacing w:after="0" w:line="59" w:lineRule="exact"/>
        <w:rPr>
          <w:sz w:val="20"/>
          <w:szCs w:val="20"/>
          <w:color w:val="auto"/>
        </w:rPr>
      </w:pPr>
    </w:p>
    <w:p>
      <w:pPr>
        <w:jc w:val="both"/>
        <w:ind w:left="1080" w:hanging="1066"/>
        <w:spacing w:after="0" w:line="238" w:lineRule="auto"/>
        <w:tabs>
          <w:tab w:leader="none" w:pos="10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January 24, 2002 (incorporated by reference to Exhibit 10.16 to our Annual Report on Form 10-K for the year ended December 31, 2002).</w:t>
      </w:r>
    </w:p>
    <w:p>
      <w:pPr>
        <w:spacing w:after="0" w:line="59" w:lineRule="exact"/>
        <w:rPr>
          <w:sz w:val="20"/>
          <w:szCs w:val="20"/>
          <w:color w:val="auto"/>
        </w:rPr>
      </w:pPr>
    </w:p>
    <w:p>
      <w:pPr>
        <w:jc w:val="both"/>
        <w:ind w:left="1080" w:hanging="1066"/>
        <w:spacing w:after="0" w:line="238" w:lineRule="auto"/>
        <w:tabs>
          <w:tab w:leader="none" w:pos="10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November 18, 2002 (incorporated by reference to Exhibit 10.17 to our Annual Report on Form 10-K for the year ended December 31, 2002).</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132</w:t>
            </w: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center"/>
        <w:spacing w:after="0" w:line="239" w:lineRule="auto"/>
        <w:rPr>
          <w:sz w:val="20"/>
          <w:szCs w:val="20"/>
          <w:color w:val="auto"/>
        </w:rPr>
      </w:pPr>
      <w:r>
        <w:rPr>
          <w:rFonts w:ascii="Arial" w:cs="Arial" w:eastAsia="Arial" w:hAnsi="Arial"/>
          <w:sz w:val="18"/>
          <w:szCs w:val="18"/>
          <w:color w:val="auto"/>
        </w:rPr>
        <w:t>10.34*      Second Amendment to Agreement between Comcast Corporation and Ralph J. Roberts, dated as of December 10, 2008 (incorporated by reference to Exhibit 10.2 to our Quarterly Report on Form 10-Q for the quarter ended June 30, 2009).</w:t>
      </w:r>
    </w:p>
    <w:p>
      <w:pPr>
        <w:spacing w:after="0" w:line="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Insurance Premium Termination Agreement between Comcast Corporation and Ralph J. Roberts, effective as of January 30, 2004</w:t>
      </w:r>
    </w:p>
    <w:p>
      <w:pPr>
        <w:jc w:val="center"/>
        <w:spacing w:after="0"/>
        <w:rPr>
          <w:sz w:val="20"/>
          <w:szCs w:val="20"/>
          <w:color w:val="auto"/>
        </w:rPr>
      </w:pPr>
      <w:r>
        <w:rPr>
          <w:rFonts w:ascii="Arial" w:cs="Arial" w:eastAsia="Arial" w:hAnsi="Arial"/>
          <w:sz w:val="18"/>
          <w:szCs w:val="18"/>
          <w:color w:val="auto"/>
        </w:rPr>
        <w:t>(incorporated by reference to Exhibit 10.1 to our Quarterly Report on Form 10-Q for the quarter ended March 31, 2004).</w:t>
      </w:r>
    </w:p>
    <w:p>
      <w:pPr>
        <w:spacing w:after="0" w:line="63"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Employment Agreement between Comcast Corporation and Michael J. Angelakis, dated as of November 22, 2011 (incorporated by reference to Exhibit 99.1 to our Current Report on Form 8-K filed on November 23, 2011).</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Employment Agreement between Comcast Corporation and Stephen B. Burke, dated as of December 16, 2009 (incorporated by reference to Exhibit 99.1 to our Current Report on Form 8-K filed on December 22, 2009).</w:t>
      </w:r>
    </w:p>
    <w:p>
      <w:pPr>
        <w:spacing w:after="0" w:line="60" w:lineRule="exact"/>
        <w:rPr>
          <w:sz w:val="20"/>
          <w:szCs w:val="20"/>
          <w:color w:val="auto"/>
        </w:rPr>
      </w:pPr>
    </w:p>
    <w:p>
      <w:pPr>
        <w:ind w:left="1080" w:right="20" w:hanging="1066"/>
        <w:spacing w:after="0" w:line="239" w:lineRule="auto"/>
        <w:tabs>
          <w:tab w:leader="none" w:pos="106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Employment Agreement between Comcast Corporation and David L. Cohen, dated as of February 22, 2011 (incorporated by reference to Exhibit 99.1 to our Current Report on Form 8-K filed on February 25, 2011).</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Employment Agreement between Comcast Corporation and Neil Smit, dated as of November 21, 2011 (incorporated by reference to Exhibit 10.37 to our Annual Report on Form 10-K for the year ended December 31, 2011).</w:t>
      </w:r>
    </w:p>
    <w:p>
      <w:pPr>
        <w:spacing w:after="0" w:line="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Form of Amendment, dated as of December 16, 2008, to the Employment Agreements with Ralph J. Roberts and Brian L. Roberts</w:t>
      </w:r>
    </w:p>
    <w:p>
      <w:pPr>
        <w:jc w:val="center"/>
        <w:ind w:right="-19"/>
        <w:spacing w:after="0"/>
        <w:rPr>
          <w:sz w:val="20"/>
          <w:szCs w:val="20"/>
          <w:color w:val="auto"/>
        </w:rPr>
      </w:pPr>
      <w:r>
        <w:rPr>
          <w:rFonts w:ascii="Arial" w:cs="Arial" w:eastAsia="Arial" w:hAnsi="Arial"/>
          <w:sz w:val="18"/>
          <w:szCs w:val="18"/>
          <w:color w:val="auto"/>
        </w:rPr>
        <w:t>(incorporated by reference to Exhibit 10.38 to our Annual Report on Form 10-K for the year ended December 31, 2008).</w:t>
      </w:r>
    </w:p>
    <w:p>
      <w:pPr>
        <w:spacing w:after="0" w:line="63"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Form of Amendment, dated as of December 14, 2012, to the Employment Agreements with Brian L. Roberts, Michael J. Angelakis, Stephen B. Burke, Neil Smit and David L. Cohen.</w:t>
      </w:r>
    </w:p>
    <w:p>
      <w:pPr>
        <w:spacing w:after="0" w:line="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Form of Non-Qualified Stock Option under the Comcast Corporation 2003 Stock Option Plan (incorporated by reference to Exhibit</w:t>
      </w:r>
    </w:p>
    <w:p>
      <w:pPr>
        <w:ind w:left="1080"/>
        <w:spacing w:after="0"/>
        <w:rPr>
          <w:sz w:val="20"/>
          <w:szCs w:val="20"/>
          <w:color w:val="auto"/>
        </w:rPr>
      </w:pPr>
      <w:r>
        <w:rPr>
          <w:rFonts w:ascii="Arial" w:cs="Arial" w:eastAsia="Arial" w:hAnsi="Arial"/>
          <w:sz w:val="18"/>
          <w:szCs w:val="18"/>
          <w:color w:val="auto"/>
        </w:rPr>
        <w:t>10.40 to our Annual Report on Form 10-K for the year ended December 31, 2008).</w:t>
      </w:r>
    </w:p>
    <w:p>
      <w:pPr>
        <w:spacing w:after="0" w:line="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Form of Long-Term Incentive Awards Summary Schedule under the Comcast Corporation 2002 Restricted Stock Plan.</w:t>
      </w:r>
    </w:p>
    <w:p>
      <w:pPr>
        <w:spacing w:after="0" w:line="63"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10.41 to our Annual Report on Form 10-K for the year ended December 31, 2008).</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99.4 to our Current Report on Form 8-K filed on December 22, 2009).</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10.4 to our Quarterly Report on Form 10-Q for the quarter ended March 31, 2010).</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10.7 to our Quarterly Report on Form 10-Q for the quarter ended March 31, 2011).</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10.1 to our Quarterly Report on Form 10-Q for the quarter ended March 31, 2012).</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133</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10.49*</w:t>
            </w:r>
          </w:p>
        </w:tc>
        <w:tc>
          <w:tcPr>
            <w:tcW w:w="10620" w:type="dxa"/>
            <w:vAlign w:val="bottom"/>
          </w:tcPr>
          <w:p>
            <w:pPr>
              <w:ind w:left="280"/>
              <w:spacing w:after="0"/>
              <w:rPr>
                <w:sz w:val="20"/>
                <w:szCs w:val="20"/>
                <w:color w:val="auto"/>
              </w:rPr>
            </w:pPr>
            <w:r>
              <w:rPr>
                <w:rFonts w:ascii="Arial" w:cs="Arial" w:eastAsia="Arial" w:hAnsi="Arial"/>
                <w:sz w:val="18"/>
                <w:szCs w:val="18"/>
                <w:color w:val="auto"/>
                <w:w w:val="98"/>
              </w:rPr>
              <w:t>Form of Director Indemnification Agreement (incorporated by reference to Exhibit 10.3 to our Quarterly Report on Form 10-Q for the</w:t>
            </w:r>
          </w:p>
        </w:tc>
      </w:tr>
      <w:tr>
        <w:trPr>
          <w:trHeight w:val="211"/>
        </w:trPr>
        <w:tc>
          <w:tcPr>
            <w:tcW w:w="80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quarter ended June 30, 2009).</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10.50</w:t>
            </w:r>
          </w:p>
        </w:tc>
        <w:tc>
          <w:tcPr>
            <w:tcW w:w="10620" w:type="dxa"/>
            <w:vAlign w:val="bottom"/>
          </w:tcPr>
          <w:p>
            <w:pPr>
              <w:ind w:left="280"/>
              <w:spacing w:after="0"/>
              <w:rPr>
                <w:sz w:val="20"/>
                <w:szCs w:val="20"/>
                <w:color w:val="auto"/>
              </w:rPr>
            </w:pPr>
            <w:r>
              <w:rPr>
                <w:rFonts w:ascii="Arial" w:cs="Arial" w:eastAsia="Arial" w:hAnsi="Arial"/>
                <w:sz w:val="18"/>
                <w:szCs w:val="18"/>
                <w:color w:val="auto"/>
              </w:rPr>
              <w:t>Master Agreement, dated as of December 3, 2009, by and among General Electric Company, NBC Universal, Inc. (n/k/a</w:t>
            </w:r>
          </w:p>
        </w:tc>
      </w:tr>
      <w:tr>
        <w:trPr>
          <w:trHeight w:val="203"/>
        </w:trPr>
        <w:tc>
          <w:tcPr>
            <w:tcW w:w="800" w:type="dxa"/>
            <w:vAlign w:val="bottom"/>
          </w:tcPr>
          <w:p>
            <w:pPr>
              <w:spacing w:after="0"/>
              <w:rPr>
                <w:sz w:val="17"/>
                <w:szCs w:val="17"/>
                <w:color w:val="auto"/>
              </w:rPr>
            </w:pPr>
          </w:p>
        </w:tc>
        <w:tc>
          <w:tcPr>
            <w:tcW w:w="10620" w:type="dxa"/>
            <w:vAlign w:val="bottom"/>
          </w:tcPr>
          <w:p>
            <w:pPr>
              <w:ind w:left="280"/>
              <w:spacing w:after="0" w:line="202" w:lineRule="exact"/>
              <w:rPr>
                <w:sz w:val="20"/>
                <w:szCs w:val="20"/>
                <w:color w:val="auto"/>
              </w:rPr>
            </w:pPr>
            <w:r>
              <w:rPr>
                <w:rFonts w:ascii="Arial" w:cs="Arial" w:eastAsia="Arial" w:hAnsi="Arial"/>
                <w:sz w:val="18"/>
                <w:szCs w:val="18"/>
                <w:color w:val="auto"/>
                <w:w w:val="99"/>
              </w:rPr>
              <w:t>NBCUniversal Media, LLC), Comcast Corporation and Navy, LLC (n/k/a NBCUniversal, LLC) (incorporated by reference to Exhibit</w:t>
            </w:r>
          </w:p>
        </w:tc>
      </w:tr>
      <w:tr>
        <w:trPr>
          <w:trHeight w:val="211"/>
        </w:trPr>
        <w:tc>
          <w:tcPr>
            <w:tcW w:w="80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2.1 to our Current Report on Form 8-K filed on December 4, 2009).</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10.51</w:t>
            </w:r>
          </w:p>
        </w:tc>
        <w:tc>
          <w:tcPr>
            <w:tcW w:w="10620" w:type="dxa"/>
            <w:vAlign w:val="bottom"/>
          </w:tcPr>
          <w:p>
            <w:pPr>
              <w:ind w:left="280"/>
              <w:spacing w:after="0"/>
              <w:rPr>
                <w:sz w:val="20"/>
                <w:szCs w:val="20"/>
                <w:color w:val="auto"/>
              </w:rPr>
            </w:pPr>
            <w:r>
              <w:rPr>
                <w:rFonts w:ascii="Arial" w:cs="Arial" w:eastAsia="Arial" w:hAnsi="Arial"/>
                <w:sz w:val="18"/>
                <w:szCs w:val="18"/>
                <w:color w:val="auto"/>
              </w:rPr>
              <w:t>Amendment No. 1, dated as of January 28, 2011, to Master Agreement, dated as of December 3, 2009, by and among General</w:t>
            </w:r>
          </w:p>
        </w:tc>
      </w:tr>
      <w:tr>
        <w:trPr>
          <w:trHeight w:val="203"/>
        </w:trPr>
        <w:tc>
          <w:tcPr>
            <w:tcW w:w="800" w:type="dxa"/>
            <w:vAlign w:val="bottom"/>
          </w:tcPr>
          <w:p>
            <w:pPr>
              <w:spacing w:after="0"/>
              <w:rPr>
                <w:sz w:val="17"/>
                <w:szCs w:val="17"/>
                <w:color w:val="auto"/>
              </w:rPr>
            </w:pPr>
          </w:p>
        </w:tc>
        <w:tc>
          <w:tcPr>
            <w:tcW w:w="10620" w:type="dxa"/>
            <w:vAlign w:val="bottom"/>
          </w:tcPr>
          <w:p>
            <w:pPr>
              <w:ind w:left="280"/>
              <w:spacing w:after="0" w:line="202" w:lineRule="exact"/>
              <w:rPr>
                <w:sz w:val="20"/>
                <w:szCs w:val="20"/>
                <w:color w:val="auto"/>
              </w:rPr>
            </w:pPr>
            <w:r>
              <w:rPr>
                <w:rFonts w:ascii="Arial" w:cs="Arial" w:eastAsia="Arial" w:hAnsi="Arial"/>
                <w:sz w:val="18"/>
                <w:szCs w:val="18"/>
                <w:color w:val="auto"/>
                <w:w w:val="97"/>
              </w:rPr>
              <w:t>Electric Company, NBC Universal, Inc. (n/k/a NBCUniversal Media, LLC), Comcast Corporation and Navy, LLC (n/k/a NBCUniversal,</w:t>
            </w:r>
          </w:p>
        </w:tc>
      </w:tr>
      <w:tr>
        <w:trPr>
          <w:trHeight w:val="211"/>
        </w:trPr>
        <w:tc>
          <w:tcPr>
            <w:tcW w:w="80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LLC) (incorporated by reference to Exhibit 10.49 to our Annual Report on Form 10-K for the year ended December 31, 2010).</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10.52</w:t>
            </w:r>
          </w:p>
        </w:tc>
        <w:tc>
          <w:tcPr>
            <w:tcW w:w="10620" w:type="dxa"/>
            <w:vAlign w:val="bottom"/>
          </w:tcPr>
          <w:p>
            <w:pPr>
              <w:ind w:left="280"/>
              <w:spacing w:after="0"/>
              <w:rPr>
                <w:sz w:val="20"/>
                <w:szCs w:val="20"/>
                <w:color w:val="auto"/>
              </w:rPr>
            </w:pPr>
            <w:r>
              <w:rPr>
                <w:rFonts w:ascii="Arial" w:cs="Arial" w:eastAsia="Arial" w:hAnsi="Arial"/>
                <w:sz w:val="18"/>
                <w:szCs w:val="18"/>
                <w:color w:val="auto"/>
                <w:w w:val="97"/>
              </w:rPr>
              <w:t>Amended and Restated Limited Liability Company Agreement of Navy, LLC (n/k/a NBCUniversal, LLC), dated as of January 28, 2011</w:t>
            </w:r>
          </w:p>
        </w:tc>
      </w:tr>
      <w:tr>
        <w:trPr>
          <w:trHeight w:val="211"/>
        </w:trPr>
        <w:tc>
          <w:tcPr>
            <w:tcW w:w="80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10.50 to our Annual Report on Form 10-K for the year ended December 31, 2010).</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12.1</w:t>
            </w:r>
          </w:p>
        </w:tc>
        <w:tc>
          <w:tcPr>
            <w:tcW w:w="10620" w:type="dxa"/>
            <w:vAlign w:val="bottom"/>
          </w:tcPr>
          <w:p>
            <w:pPr>
              <w:ind w:left="280"/>
              <w:spacing w:after="0"/>
              <w:rPr>
                <w:sz w:val="20"/>
                <w:szCs w:val="20"/>
                <w:color w:val="auto"/>
              </w:rPr>
            </w:pPr>
            <w:r>
              <w:rPr>
                <w:rFonts w:ascii="Arial" w:cs="Arial" w:eastAsia="Arial" w:hAnsi="Arial"/>
                <w:sz w:val="18"/>
                <w:szCs w:val="18"/>
                <w:color w:val="auto"/>
              </w:rPr>
              <w:t>Statement of Earnings to Fixed Charges and Earnings to Combined Fixed Charges and Preferred Dividends.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10620" w:type="dxa"/>
            <w:vAlign w:val="bottom"/>
          </w:tcPr>
          <w:p>
            <w:pPr>
              <w:ind w:left="280"/>
              <w:spacing w:after="0"/>
              <w:rPr>
                <w:sz w:val="20"/>
                <w:szCs w:val="20"/>
                <w:color w:val="auto"/>
              </w:rPr>
            </w:pPr>
            <w:r>
              <w:rPr>
                <w:rFonts w:ascii="Arial" w:cs="Arial" w:eastAsia="Arial" w:hAnsi="Arial"/>
                <w:sz w:val="18"/>
                <w:szCs w:val="18"/>
                <w:color w:val="auto"/>
              </w:rPr>
              <w:t>List of subsidiaries.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10620" w:type="dxa"/>
            <w:vAlign w:val="bottom"/>
          </w:tcPr>
          <w:p>
            <w:pPr>
              <w:ind w:left="280"/>
              <w:spacing w:after="0"/>
              <w:rPr>
                <w:sz w:val="20"/>
                <w:szCs w:val="20"/>
                <w:color w:val="auto"/>
              </w:rPr>
            </w:pPr>
            <w:r>
              <w:rPr>
                <w:rFonts w:ascii="Arial" w:cs="Arial" w:eastAsia="Arial" w:hAnsi="Arial"/>
                <w:sz w:val="18"/>
                <w:szCs w:val="18"/>
                <w:color w:val="auto"/>
              </w:rPr>
              <w:t>Consent of Deloitte &amp; Touche LLP.</w:t>
            </w:r>
          </w:p>
        </w:tc>
      </w:tr>
    </w:tbl>
    <w:p>
      <w:pPr>
        <w:spacing w:after="0" w:line="59" w:lineRule="exact"/>
        <w:rPr>
          <w:sz w:val="20"/>
          <w:szCs w:val="20"/>
          <w:color w:val="auto"/>
        </w:rPr>
      </w:pPr>
    </w:p>
    <w:p>
      <w:pPr>
        <w:ind w:left="1080" w:hanging="107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63" w:lineRule="exact"/>
        <w:rPr>
          <w:rFonts w:ascii="Arial" w:cs="Arial" w:eastAsia="Arial" w:hAnsi="Arial"/>
          <w:sz w:val="18"/>
          <w:szCs w:val="18"/>
          <w:color w:val="auto"/>
        </w:rPr>
      </w:pPr>
    </w:p>
    <w:p>
      <w:pPr>
        <w:ind w:left="1080" w:hanging="107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63" w:lineRule="exact"/>
        <w:rPr>
          <w:sz w:val="20"/>
          <w:szCs w:val="20"/>
          <w:color w:val="auto"/>
        </w:rPr>
      </w:pPr>
    </w:p>
    <w:p>
      <w:pPr>
        <w:jc w:val="both"/>
        <w:ind w:left="1080" w:hanging="1072"/>
        <w:spacing w:after="0" w:line="23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2012, filed with the Securities and Exchange Commission on February 20, 2013, formatted in XBRL (eXtensible Business Reporting Language): (i) the Consolidated Balance Sheet; (ii) the Consolidated Statement of Income; (iii) the Consolidated Statement of Comprehensive Income; (iv) the Consolidated Statement of Cash Flows; (v) the Consolidated Statement of Changes in Equity; and (vi) the Notes to Consolidated Financial Statements.</w:t>
      </w:r>
    </w:p>
    <w:p>
      <w:pPr>
        <w:spacing w:after="0" w:line="59"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134</w:t>
            </w: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Signatures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20, 2013.</w:t>
      </w:r>
    </w:p>
    <w:p>
      <w:pPr>
        <w:spacing w:after="0" w:line="195" w:lineRule="exact"/>
        <w:rPr>
          <w:sz w:val="20"/>
          <w:szCs w:val="20"/>
          <w:color w:val="auto"/>
        </w:rPr>
      </w:pPr>
    </w:p>
    <w:p>
      <w:pPr>
        <w:ind w:left="686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-4445</wp:posOffset>
            </wp:positionV>
            <wp:extent cx="263271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8"/>
          <w:szCs w:val="18"/>
          <w:color w:val="auto"/>
        </w:rPr>
        <w:t>Brian L. Roberts</w:t>
      </w:r>
    </w:p>
    <w:p>
      <w:pPr>
        <w:jc w:val="center"/>
        <w:ind w:left="7280"/>
        <w:spacing w:after="0"/>
        <w:rPr>
          <w:sz w:val="20"/>
          <w:szCs w:val="20"/>
          <w:color w:val="auto"/>
        </w:rPr>
      </w:pPr>
      <w:r>
        <w:rPr>
          <w:rFonts w:ascii="Arial" w:cs="Arial" w:eastAsia="Arial" w:hAnsi="Arial"/>
          <w:sz w:val="18"/>
          <w:szCs w:val="18"/>
          <w:i w:val="1"/>
          <w:iCs w:val="1"/>
          <w:color w:val="auto"/>
        </w:rPr>
        <w:t>Chairman and CEO</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Signature</w:t>
            </w:r>
          </w:p>
        </w:tc>
        <w:tc>
          <w:tcPr>
            <w:tcW w:w="3860" w:type="dxa"/>
            <w:vAlign w:val="bottom"/>
            <w:tcBorders>
              <w:bottom w:val="single" w:sz="8" w:color="auto"/>
            </w:tcBorders>
          </w:tcPr>
          <w:p>
            <w:pPr>
              <w:jc w:val="center"/>
              <w:ind w:left="774"/>
              <w:spacing w:after="0"/>
              <w:rPr>
                <w:sz w:val="20"/>
                <w:szCs w:val="20"/>
                <w:color w:val="auto"/>
              </w:rPr>
            </w:pPr>
            <w:r>
              <w:rPr>
                <w:rFonts w:ascii="Arial" w:cs="Arial" w:eastAsia="Arial" w:hAnsi="Arial"/>
                <w:sz w:val="14"/>
                <w:szCs w:val="14"/>
                <w:color w:val="auto"/>
                <w:w w:val="90"/>
              </w:rPr>
              <w:t>Title</w:t>
            </w:r>
          </w:p>
        </w:tc>
        <w:tc>
          <w:tcPr>
            <w:tcW w:w="8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r>
      <w:tr>
        <w:trPr>
          <w:trHeight w:val="399"/>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7"/>
              </w:rPr>
              <w:t>Chairman and CEO; 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20, 2013</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Brian L. Roberts</w:t>
            </w:r>
          </w:p>
        </w:tc>
        <w:tc>
          <w:tcPr>
            <w:tcW w:w="3860" w:type="dxa"/>
            <w:vAlign w:val="bottom"/>
          </w:tcPr>
          <w:p>
            <w:pPr>
              <w:jc w:val="center"/>
              <w:ind w:left="774"/>
              <w:spacing w:after="0" w:line="195" w:lineRule="exact"/>
              <w:rPr>
                <w:sz w:val="20"/>
                <w:szCs w:val="20"/>
                <w:color w:val="auto"/>
              </w:rPr>
            </w:pPr>
            <w:r>
              <w:rPr>
                <w:rFonts w:ascii="Arial" w:cs="Arial" w:eastAsia="Arial" w:hAnsi="Arial"/>
                <w:sz w:val="18"/>
                <w:szCs w:val="18"/>
                <w:color w:val="auto"/>
                <w:w w:val="97"/>
              </w:rPr>
              <w:t>(Principal Executive Officer)</w:t>
            </w: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680" w:type="dxa"/>
            <w:vAlign w:val="bottom"/>
            <w:tcBorders>
              <w:bottom w:val="single" w:sz="8" w:color="auto"/>
            </w:tcBorders>
          </w:tcPr>
          <w:p>
            <w:pPr>
              <w:spacing w:after="0"/>
              <w:rPr>
                <w:sz w:val="24"/>
                <w:szCs w:val="24"/>
                <w:color w:val="auto"/>
              </w:rPr>
            </w:pPr>
          </w:p>
        </w:tc>
        <w:tc>
          <w:tcPr>
            <w:tcW w:w="3860" w:type="dxa"/>
            <w:vAlign w:val="bottom"/>
          </w:tcPr>
          <w:p>
            <w:pPr>
              <w:jc w:val="center"/>
              <w:ind w:left="754"/>
              <w:spacing w:after="0"/>
              <w:rPr>
                <w:sz w:val="20"/>
                <w:szCs w:val="20"/>
                <w:color w:val="auto"/>
              </w:rPr>
            </w:pPr>
            <w:r>
              <w:rPr>
                <w:rFonts w:ascii="Arial" w:cs="Arial" w:eastAsia="Arial" w:hAnsi="Arial"/>
                <w:sz w:val="18"/>
                <w:szCs w:val="18"/>
                <w:color w:val="auto"/>
                <w:w w:val="97"/>
              </w:rPr>
              <w:t>Founder;</w:t>
            </w:r>
          </w:p>
        </w:tc>
        <w:tc>
          <w:tcPr>
            <w:tcW w:w="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Ralph J. Roberts</w:t>
            </w:r>
          </w:p>
        </w:tc>
        <w:tc>
          <w:tcPr>
            <w:tcW w:w="3860" w:type="dxa"/>
            <w:vAlign w:val="bottom"/>
          </w:tcPr>
          <w:p>
            <w:pPr>
              <w:jc w:val="center"/>
              <w:ind w:left="774"/>
              <w:spacing w:after="0" w:line="195" w:lineRule="exact"/>
              <w:rPr>
                <w:sz w:val="20"/>
                <w:szCs w:val="20"/>
                <w:color w:val="auto"/>
              </w:rPr>
            </w:pPr>
            <w:r>
              <w:rPr>
                <w:rFonts w:ascii="Arial" w:cs="Arial" w:eastAsia="Arial" w:hAnsi="Arial"/>
                <w:sz w:val="18"/>
                <w:szCs w:val="18"/>
                <w:color w:val="auto"/>
                <w:w w:val="97"/>
              </w:rPr>
              <w:t>Chairman Emeritus of the Board</w:t>
            </w: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7"/>
              </w:rPr>
              <w:t>Vice Chairman and CFO</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20, 2013</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Michael J. Angelakis</w:t>
            </w:r>
          </w:p>
        </w:tc>
        <w:tc>
          <w:tcPr>
            <w:tcW w:w="3860" w:type="dxa"/>
            <w:vAlign w:val="bottom"/>
          </w:tcPr>
          <w:p>
            <w:pPr>
              <w:jc w:val="center"/>
              <w:ind w:left="754"/>
              <w:spacing w:after="0" w:line="195" w:lineRule="exact"/>
              <w:rPr>
                <w:sz w:val="20"/>
                <w:szCs w:val="20"/>
                <w:color w:val="auto"/>
              </w:rPr>
            </w:pPr>
            <w:r>
              <w:rPr>
                <w:rFonts w:ascii="Arial" w:cs="Arial" w:eastAsia="Arial" w:hAnsi="Arial"/>
                <w:sz w:val="18"/>
                <w:szCs w:val="18"/>
                <w:color w:val="auto"/>
                <w:w w:val="97"/>
              </w:rPr>
              <w:t>(Principal Financial Officer)</w:t>
            </w: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4680" w:type="dxa"/>
            <w:vAlign w:val="bottom"/>
            <w:gridSpan w:val="2"/>
          </w:tcPr>
          <w:p>
            <w:pPr>
              <w:jc w:val="center"/>
              <w:spacing w:after="0"/>
              <w:rPr>
                <w:sz w:val="20"/>
                <w:szCs w:val="20"/>
                <w:color w:val="auto"/>
              </w:rPr>
            </w:pPr>
            <w:r>
              <w:rPr>
                <w:rFonts w:ascii="Arial" w:cs="Arial" w:eastAsia="Arial" w:hAnsi="Arial"/>
                <w:sz w:val="18"/>
                <w:szCs w:val="18"/>
                <w:color w:val="auto"/>
                <w:w w:val="97"/>
              </w:rPr>
              <w:t>Senior Vice President, Chief Accounting Officer and</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20, 2013</w:t>
            </w:r>
          </w:p>
        </w:tc>
      </w:tr>
      <w:tr>
        <w:trPr>
          <w:trHeight w:val="186"/>
        </w:trPr>
        <w:tc>
          <w:tcPr>
            <w:tcW w:w="4680" w:type="dxa"/>
            <w:vAlign w:val="bottom"/>
          </w:tcPr>
          <w:p>
            <w:pPr>
              <w:jc w:val="center"/>
              <w:spacing w:after="0" w:line="186" w:lineRule="exact"/>
              <w:rPr>
                <w:sz w:val="20"/>
                <w:szCs w:val="20"/>
                <w:color w:val="auto"/>
              </w:rPr>
            </w:pPr>
            <w:r>
              <w:rPr>
                <w:rFonts w:ascii="Arial" w:cs="Arial" w:eastAsia="Arial" w:hAnsi="Arial"/>
                <w:sz w:val="18"/>
                <w:szCs w:val="18"/>
                <w:color w:val="auto"/>
                <w:w w:val="97"/>
              </w:rPr>
              <w:t>Lawrence J. Salva</w:t>
            </w:r>
          </w:p>
        </w:tc>
        <w:tc>
          <w:tcPr>
            <w:tcW w:w="3860" w:type="dxa"/>
            <w:vAlign w:val="bottom"/>
          </w:tcPr>
          <w:p>
            <w:pPr>
              <w:jc w:val="center"/>
              <w:ind w:left="774"/>
              <w:spacing w:after="0" w:line="186" w:lineRule="exact"/>
              <w:rPr>
                <w:sz w:val="20"/>
                <w:szCs w:val="20"/>
                <w:color w:val="auto"/>
              </w:rPr>
            </w:pPr>
            <w:r>
              <w:rPr>
                <w:rFonts w:ascii="Arial" w:cs="Arial" w:eastAsia="Arial" w:hAnsi="Arial"/>
                <w:sz w:val="18"/>
                <w:szCs w:val="18"/>
                <w:color w:val="auto"/>
                <w:w w:val="97"/>
              </w:rPr>
              <w:t>Controller</w:t>
            </w:r>
          </w:p>
        </w:tc>
        <w:tc>
          <w:tcPr>
            <w:tcW w:w="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11"/>
        </w:trPr>
        <w:tc>
          <w:tcPr>
            <w:tcW w:w="4680" w:type="dxa"/>
            <w:vAlign w:val="bottom"/>
          </w:tcPr>
          <w:p>
            <w:pPr>
              <w:spacing w:after="0"/>
              <w:rPr>
                <w:sz w:val="18"/>
                <w:szCs w:val="18"/>
                <w:color w:val="auto"/>
              </w:rPr>
            </w:pP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7"/>
              </w:rPr>
              <w:t>(Principal Accounting Officer)</w:t>
            </w: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07"/>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J. B</w:t>
            </w:r>
            <w:r>
              <w:rPr>
                <w:rFonts w:ascii="Arial" w:cs="Arial" w:eastAsia="Arial" w:hAnsi="Arial"/>
                <w:sz w:val="14"/>
                <w:szCs w:val="14"/>
                <w:color w:val="auto"/>
              </w:rPr>
              <w:t>ACON</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20, 2013</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Kenneth J. Bacon</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20, 2013</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Sheldon M. Bonovitz</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J. C</w:t>
            </w:r>
            <w:r>
              <w:rPr>
                <w:rFonts w:ascii="Arial" w:cs="Arial" w:eastAsia="Arial" w:hAnsi="Arial"/>
                <w:sz w:val="14"/>
                <w:szCs w:val="14"/>
                <w:color w:val="auto"/>
              </w:rPr>
              <w:t>OLLINS</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20, 2013</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Joseph J. Collins</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 M</w:t>
            </w:r>
            <w:r>
              <w:rPr>
                <w:rFonts w:ascii="Arial" w:cs="Arial" w:eastAsia="Arial" w:hAnsi="Arial"/>
                <w:sz w:val="14"/>
                <w:szCs w:val="14"/>
                <w:color w:val="auto"/>
              </w:rPr>
              <w:t>ICHAEL</w:t>
            </w:r>
            <w:r>
              <w:rPr>
                <w:rFonts w:ascii="Arial" w:cs="Arial" w:eastAsia="Arial" w:hAnsi="Arial"/>
                <w:sz w:val="18"/>
                <w:szCs w:val="18"/>
                <w:color w:val="auto"/>
              </w:rPr>
              <w:t xml:space="preserve"> C</w:t>
            </w:r>
            <w:r>
              <w:rPr>
                <w:rFonts w:ascii="Arial" w:cs="Arial" w:eastAsia="Arial" w:hAnsi="Arial"/>
                <w:sz w:val="14"/>
                <w:szCs w:val="14"/>
                <w:color w:val="auto"/>
              </w:rPr>
              <w:t>OOK</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20, 2013</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J. Michael Cook</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20, 2013</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Gerald L. Hassell</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20, 2013</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Jeffrey A. Honickman</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DUARDO</w:t>
            </w:r>
            <w:r>
              <w:rPr>
                <w:rFonts w:ascii="Arial" w:cs="Arial" w:eastAsia="Arial" w:hAnsi="Arial"/>
                <w:sz w:val="18"/>
                <w:szCs w:val="18"/>
                <w:color w:val="auto"/>
              </w:rPr>
              <w:t xml:space="preserve"> G. M</w:t>
            </w:r>
            <w:r>
              <w:rPr>
                <w:rFonts w:ascii="Arial" w:cs="Arial" w:eastAsia="Arial" w:hAnsi="Arial"/>
                <w:sz w:val="14"/>
                <w:szCs w:val="14"/>
                <w:color w:val="auto"/>
              </w:rPr>
              <w:t>ESTRE</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20, 2013</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Eduardo G. Mestre</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OHNATHAN</w:t>
            </w:r>
            <w:r>
              <w:rPr>
                <w:rFonts w:ascii="Arial" w:cs="Arial" w:eastAsia="Arial" w:hAnsi="Arial"/>
                <w:sz w:val="18"/>
                <w:szCs w:val="18"/>
                <w:color w:val="auto"/>
              </w:rPr>
              <w:t xml:space="preserve"> A. R</w:t>
            </w:r>
            <w:r>
              <w:rPr>
                <w:rFonts w:ascii="Arial" w:cs="Arial" w:eastAsia="Arial" w:hAnsi="Arial"/>
                <w:sz w:val="14"/>
                <w:szCs w:val="14"/>
                <w:color w:val="auto"/>
              </w:rPr>
              <w:t>ODGERS</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20, 2013</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Johnathan A. Rodgers</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680" w:type="dxa"/>
            <w:vAlign w:val="bottom"/>
            <w:tcBorders>
              <w:bottom w:val="single" w:sz="8" w:color="auto"/>
            </w:tcBorders>
          </w:tcPr>
          <w:p>
            <w:pPr>
              <w:spacing w:after="0"/>
              <w:rPr>
                <w:sz w:val="24"/>
                <w:szCs w:val="24"/>
                <w:color w:val="auto"/>
              </w:rPr>
            </w:pP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Dr. Judith Rodin</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515"/>
        </w:trPr>
        <w:tc>
          <w:tcPr>
            <w:tcW w:w="4680" w:type="dxa"/>
            <w:vAlign w:val="bottom"/>
          </w:tcPr>
          <w:p>
            <w:pPr>
              <w:spacing w:after="0"/>
              <w:rPr>
                <w:sz w:val="24"/>
                <w:szCs w:val="24"/>
                <w:color w:val="auto"/>
              </w:rPr>
            </w:pPr>
          </w:p>
        </w:tc>
        <w:tc>
          <w:tcPr>
            <w:tcW w:w="3860" w:type="dxa"/>
            <w:vAlign w:val="bottom"/>
          </w:tcPr>
          <w:p>
            <w:pPr>
              <w:jc w:val="right"/>
              <w:ind w:right="2634"/>
              <w:spacing w:after="0"/>
              <w:rPr>
                <w:sz w:val="20"/>
                <w:szCs w:val="20"/>
                <w:color w:val="auto"/>
              </w:rPr>
            </w:pPr>
            <w:r>
              <w:rPr>
                <w:rFonts w:ascii="Arial" w:cs="Arial" w:eastAsia="Arial" w:hAnsi="Arial"/>
                <w:sz w:val="14"/>
                <w:szCs w:val="14"/>
                <w:b w:val="1"/>
                <w:bCs w:val="1"/>
                <w:color w:val="auto"/>
              </w:rPr>
              <w:t>135</w:t>
            </w:r>
          </w:p>
        </w:tc>
        <w:tc>
          <w:tcPr>
            <w:tcW w:w="2880" w:type="dxa"/>
            <w:vAlign w:val="bottom"/>
            <w:gridSpan w:val="2"/>
          </w:tcPr>
          <w:p>
            <w:pPr>
              <w:ind w:left="240"/>
              <w:spacing w:after="0"/>
              <w:rPr>
                <w:sz w:val="20"/>
                <w:szCs w:val="20"/>
                <w:color w:val="auto"/>
              </w:rPr>
            </w:pPr>
            <w:r>
              <w:rPr>
                <w:rFonts w:ascii="Arial" w:cs="Arial" w:eastAsia="Arial" w:hAnsi="Arial"/>
                <w:sz w:val="14"/>
                <w:szCs w:val="14"/>
                <w:color w:val="auto"/>
                <w:w w:val="95"/>
              </w:rPr>
              <w:t>Comcast 2012 Annual Report on Form 10-K</w:t>
            </w:r>
          </w:p>
        </w:tc>
      </w:tr>
    </w:tbl>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Comcast Corporation and subsidiaries (the “Company”) as of December 31, 2012 and 2011 and for each of the three years in the period ended December 31, 2012, and the Company’s internal control over financial reporting as of December 31, 2012, and have issued our report thereon dated February 20, 2013;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2012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136</w:t>
            </w: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Year ended December 31, 2012, 2011 and 2010</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Borders>
              <w:top w:val="single" w:sz="8" w:color="auto"/>
            </w:tcBorders>
          </w:tcPr>
          <w:p>
            <w:pPr>
              <w:spacing w:after="0"/>
              <w:rPr>
                <w:sz w:val="14"/>
                <w:szCs w:val="14"/>
                <w:color w:val="auto"/>
              </w:rPr>
            </w:pPr>
          </w:p>
        </w:tc>
        <w:tc>
          <w:tcPr>
            <w:tcW w:w="3120" w:type="dxa"/>
            <w:vAlign w:val="bottom"/>
            <w:tcBorders>
              <w:top w:val="single" w:sz="8" w:color="auto"/>
            </w:tcBorders>
            <w:gridSpan w:val="2"/>
          </w:tcPr>
          <w:p>
            <w:pPr>
              <w:ind w:left="1780"/>
              <w:spacing w:after="0"/>
              <w:rPr>
                <w:sz w:val="20"/>
                <w:szCs w:val="20"/>
                <w:color w:val="auto"/>
              </w:rPr>
            </w:pPr>
            <w:r>
              <w:rPr>
                <w:rFonts w:ascii="Arial" w:cs="Arial" w:eastAsia="Arial" w:hAnsi="Arial"/>
                <w:sz w:val="14"/>
                <w:szCs w:val="14"/>
                <w:color w:val="auto"/>
                <w:w w:val="99"/>
              </w:rPr>
              <w:t>Balance at Beginning</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Additions Charged to</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Deductions from</w:t>
            </w: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w w:val="98"/>
              </w:rPr>
              <w:t>Balance at End</w:t>
            </w:r>
          </w:p>
        </w:tc>
      </w:tr>
      <w:tr>
        <w:trPr>
          <w:trHeight w:val="149"/>
        </w:trPr>
        <w:tc>
          <w:tcPr>
            <w:tcW w:w="4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Year Ended December 31 (in millions)</w:t>
            </w:r>
          </w:p>
        </w:tc>
        <w:tc>
          <w:tcPr>
            <w:tcW w:w="2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of Year</w:t>
            </w:r>
          </w:p>
        </w:tc>
        <w:tc>
          <w:tcPr>
            <w:tcW w:w="1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Costs and Expenses</w:t>
            </w: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Reserves</w:t>
            </w: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of Year</w:t>
            </w:r>
          </w:p>
        </w:tc>
      </w:tr>
      <w:tr>
        <w:trPr>
          <w:trHeight w:val="199"/>
        </w:trPr>
        <w:tc>
          <w:tcPr>
            <w:tcW w:w="4700" w:type="dxa"/>
            <w:vAlign w:val="bottom"/>
          </w:tcPr>
          <w:p>
            <w:pPr>
              <w:spacing w:after="0" w:line="200" w:lineRule="exact"/>
              <w:rPr>
                <w:sz w:val="20"/>
                <w:szCs w:val="20"/>
                <w:color w:val="auto"/>
              </w:rPr>
            </w:pPr>
            <w:r>
              <w:rPr>
                <w:rFonts w:ascii="Arial" w:cs="Arial" w:eastAsia="Arial" w:hAnsi="Arial"/>
                <w:sz w:val="18"/>
                <w:szCs w:val="18"/>
                <w:color w:val="auto"/>
              </w:rPr>
              <w:t>2012</w:t>
            </w:r>
          </w:p>
        </w:tc>
        <w:tc>
          <w:tcPr>
            <w:tcW w:w="2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2240" w:type="dxa"/>
            <w:vAlign w:val="bottom"/>
          </w:tcPr>
          <w:p>
            <w:pPr>
              <w:ind w:left="17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3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2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599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717</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2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2240" w:type="dxa"/>
            <w:vAlign w:val="bottom"/>
          </w:tcPr>
          <w:p>
            <w:pPr>
              <w:ind w:left="17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3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Allowance for returns and customer incentives</w:t>
            </w:r>
          </w:p>
        </w:tc>
        <w:tc>
          <w:tcPr>
            <w:tcW w:w="2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536</w:t>
            </w: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2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9"/>
        </w:trPr>
        <w:tc>
          <w:tcPr>
            <w:tcW w:w="47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Allowance for doubtful accounts</w:t>
            </w:r>
          </w:p>
        </w:tc>
        <w:tc>
          <w:tcPr>
            <w:tcW w:w="2240" w:type="dxa"/>
            <w:vAlign w:val="bottom"/>
            <w:tcBorders>
              <w:bottom w:val="single" w:sz="8" w:color="auto"/>
            </w:tcBorders>
          </w:tcPr>
          <w:p>
            <w:pPr>
              <w:ind w:left="1760"/>
              <w:spacing w:after="0" w:line="200"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175</w:t>
            </w:r>
          </w:p>
        </w:tc>
        <w:tc>
          <w:tcPr>
            <w:tcW w:w="14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327</w:t>
            </w: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329</w:t>
            </w:r>
          </w:p>
        </w:tc>
        <w:tc>
          <w:tcPr>
            <w:tcW w:w="36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173</w:t>
            </w:r>
          </w:p>
        </w:tc>
      </w:tr>
      <w:tr>
        <w:trPr>
          <w:trHeight w:val="506"/>
        </w:trPr>
        <w:tc>
          <w:tcPr>
            <w:tcW w:w="4700" w:type="dxa"/>
            <w:vAlign w:val="bottom"/>
          </w:tcPr>
          <w:p>
            <w:pPr>
              <w:spacing w:after="0"/>
              <w:rPr>
                <w:sz w:val="24"/>
                <w:szCs w:val="24"/>
                <w:color w:val="auto"/>
              </w:rPr>
            </w:pPr>
          </w:p>
        </w:tc>
        <w:tc>
          <w:tcPr>
            <w:tcW w:w="2240" w:type="dxa"/>
            <w:vAlign w:val="bottom"/>
          </w:tcPr>
          <w:p>
            <w:pPr>
              <w:ind w:left="900"/>
              <w:spacing w:after="0"/>
              <w:rPr>
                <w:sz w:val="20"/>
                <w:szCs w:val="20"/>
                <w:color w:val="auto"/>
              </w:rPr>
            </w:pPr>
            <w:r>
              <w:rPr>
                <w:rFonts w:ascii="Arial" w:cs="Arial" w:eastAsia="Arial" w:hAnsi="Arial"/>
                <w:sz w:val="14"/>
                <w:szCs w:val="14"/>
                <w:b w:val="1"/>
                <w:bCs w:val="1"/>
                <w:color w:val="auto"/>
              </w:rPr>
              <w:t>137</w:t>
            </w:r>
          </w:p>
        </w:tc>
        <w:tc>
          <w:tcPr>
            <w:tcW w:w="880" w:type="dxa"/>
            <w:vAlign w:val="bottom"/>
          </w:tcPr>
          <w:p>
            <w:pPr>
              <w:spacing w:after="0"/>
              <w:rPr>
                <w:sz w:val="24"/>
                <w:szCs w:val="24"/>
                <w:color w:val="auto"/>
              </w:rPr>
            </w:pPr>
          </w:p>
        </w:tc>
        <w:tc>
          <w:tcPr>
            <w:tcW w:w="3600" w:type="dxa"/>
            <w:vAlign w:val="bottom"/>
            <w:gridSpan w:val="4"/>
          </w:tcPr>
          <w:p>
            <w:pPr>
              <w:jc w:val="right"/>
              <w:spacing w:after="0"/>
              <w:rPr>
                <w:sz w:val="20"/>
                <w:szCs w:val="20"/>
                <w:color w:val="auto"/>
              </w:rPr>
            </w:pPr>
            <w:r>
              <w:rPr>
                <w:rFonts w:ascii="Arial" w:cs="Arial" w:eastAsia="Arial" w:hAnsi="Arial"/>
                <w:sz w:val="14"/>
                <w:szCs w:val="14"/>
                <w:color w:val="auto"/>
              </w:rPr>
              <w:t>Comcast 2012 Annual Report on Form 10-K</w:t>
            </w:r>
          </w:p>
        </w:tc>
      </w:tr>
    </w:tbl>
    <w:p>
      <w:pPr>
        <w:sectPr>
          <w:pgSz w:w="11900" w:h="16838" w:orient="portrait"/>
          <w:cols w:equalWidth="0" w:num="1">
            <w:col w:w="11420"/>
          </w:cols>
          <w:pgMar w:left="240" w:top="459"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171"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Amendment and Restatement of the Plan</w:t>
      </w:r>
      <w:r>
        <w:rPr>
          <w:rFonts w:ascii="Arial" w:cs="Arial" w:eastAsia="Arial" w:hAnsi="Arial"/>
          <w:sz w:val="16"/>
          <w:szCs w:val="16"/>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2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Unfunded and Limited to Outside Directors, Directors Emeriti and Select Group of Management or Highly Compensated Employees</w:t>
      </w:r>
      <w:r>
        <w:rPr>
          <w:rFonts w:ascii="Arial" w:cs="Arial" w:eastAsia="Arial" w:hAnsi="Arial"/>
          <w:sz w:val="18"/>
          <w:szCs w:val="18"/>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Administrator.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ectPr>
          <w:pgSz w:w="11900" w:h="16838" w:orient="portrait"/>
          <w:cols w:equalWidth="0" w:num="1">
            <w:col w:w="11420"/>
          </w:cols>
          <w:pgMar w:left="240" w:top="125" w:right="239"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or a Director Emeritus; and</w:t>
      </w:r>
    </w:p>
    <w:p>
      <w:pPr>
        <w:spacing w:after="0" w:line="171" w:lineRule="exact"/>
        <w:rPr>
          <w:rFonts w:ascii="Arial" w:cs="Arial" w:eastAsia="Arial" w:hAnsi="Arial"/>
          <w:sz w:val="18"/>
          <w:szCs w:val="18"/>
          <w:color w:val="auto"/>
        </w:rPr>
      </w:pPr>
    </w:p>
    <w:p>
      <w:pPr>
        <w:ind w:left="460" w:right="3420" w:firstLine="461"/>
        <w:spacing w:after="0" w:line="438" w:lineRule="auto"/>
        <w:tabs>
          <w:tab w:leader="none" w:pos="11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 or its delegate.</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 (as defined in Section 3.1(a)(ii)).</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Active Participants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60" w:firstLine="1492"/>
        <w:spacing w:after="0" w:line="259" w:lineRule="auto"/>
        <w:tabs>
          <w:tab w:leader="none" w:pos="1693"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Protected Account Balances</w:t>
      </w:r>
      <w:r>
        <w:rPr>
          <w:rFonts w:ascii="Arial" w:cs="Arial" w:eastAsia="Arial" w:hAnsi="Arial"/>
          <w:sz w:val="18"/>
          <w:szCs w:val="18"/>
          <w:color w:val="auto"/>
        </w:rPr>
        <w:t>. Except as otherwise provided in Sections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40" w:lineRule="exact"/>
        <w:rPr>
          <w:rFonts w:ascii="Arial" w:cs="Arial" w:eastAsia="Arial" w:hAnsi="Arial"/>
          <w:sz w:val="18"/>
          <w:szCs w:val="18"/>
          <w:color w:val="auto"/>
        </w:rPr>
      </w:pPr>
    </w:p>
    <w:p>
      <w:pPr>
        <w:ind w:right="300" w:firstLine="1492"/>
        <w:spacing w:after="0" w:line="268" w:lineRule="auto"/>
        <w:tabs>
          <w:tab w:leader="none" w:pos="1742"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Contributions Credited on and after January 1, 2014 (on and after January 1, 2013 for Eligible NBCUniversal Employees)</w:t>
      </w:r>
      <w:r>
        <w:rPr>
          <w:rFonts w:ascii="Arial" w:cs="Arial" w:eastAsia="Arial" w:hAnsi="Arial"/>
          <w:sz w:val="18"/>
          <w:szCs w:val="18"/>
          <w:color w:val="auto"/>
        </w:rPr>
        <w:t>. Except as otherwise provided in Sections 2.6(b):</w:t>
      </w:r>
    </w:p>
    <w:p>
      <w:pPr>
        <w:spacing w:after="0" w:line="131" w:lineRule="exact"/>
        <w:rPr>
          <w:rFonts w:ascii="Arial" w:cs="Arial" w:eastAsia="Arial" w:hAnsi="Arial"/>
          <w:sz w:val="18"/>
          <w:szCs w:val="18"/>
          <w:color w:val="auto"/>
        </w:rPr>
      </w:pPr>
    </w:p>
    <w:p>
      <w:pPr>
        <w:ind w:firstLine="1948"/>
        <w:spacing w:after="0" w:line="255" w:lineRule="auto"/>
        <w:tabs>
          <w:tab w:leader="none" w:pos="2228" w:val="left"/>
        </w:tabs>
        <w:numPr>
          <w:ilvl w:val="2"/>
          <w:numId w:val="47"/>
        </w:numPr>
        <w:rPr>
          <w:rFonts w:ascii="Arial" w:cs="Arial" w:eastAsia="Arial" w:hAnsi="Arial"/>
          <w:sz w:val="18"/>
          <w:szCs w:val="18"/>
          <w:color w:val="auto"/>
        </w:rPr>
      </w:pPr>
      <w:r>
        <w:rPr>
          <w:rFonts w:ascii="Arial" w:cs="Arial" w:eastAsia="Arial" w:hAnsi="Arial"/>
          <w:sz w:val="18"/>
          <w:szCs w:val="18"/>
          <w:color w:val="auto"/>
        </w:rPr>
        <w:t>For amounts (other than Protected Account Balances) credited to Accounts of Eligible Comcast Employees, Outside Directors and Directors Emeriti with respect to Compensation earned on and after January 1, 2014 or pursuant to Section 3.8, and for amounts credited pursuant to Subsequent Elections filed on and after January 1, 2014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42" w:lineRule="exact"/>
        <w:rPr>
          <w:rFonts w:ascii="Arial" w:cs="Arial" w:eastAsia="Arial" w:hAnsi="Arial"/>
          <w:sz w:val="18"/>
          <w:szCs w:val="18"/>
          <w:color w:val="auto"/>
        </w:rPr>
      </w:pPr>
    </w:p>
    <w:p>
      <w:pPr>
        <w:ind w:right="160" w:firstLine="1948"/>
        <w:spacing w:after="0" w:line="298" w:lineRule="auto"/>
        <w:tabs>
          <w:tab w:leader="none" w:pos="2218" w:val="left"/>
        </w:tabs>
        <w:numPr>
          <w:ilvl w:val="2"/>
          <w:numId w:val="47"/>
        </w:numPr>
        <w:rPr>
          <w:rFonts w:ascii="Arial" w:cs="Arial" w:eastAsia="Arial" w:hAnsi="Arial"/>
          <w:sz w:val="16"/>
          <w:szCs w:val="16"/>
          <w:color w:val="auto"/>
        </w:rPr>
      </w:pPr>
      <w:r>
        <w:rPr>
          <w:rFonts w:ascii="Arial" w:cs="Arial" w:eastAsia="Arial" w:hAnsi="Arial"/>
          <w:sz w:val="16"/>
          <w:szCs w:val="16"/>
          <w:color w:val="auto"/>
        </w:rPr>
        <w:t>For amounts credited to Accounts of Eligible NBCUniversal Employees on and after January 1, 2013 and for amounts credited pursuant to Subsequent Elections filed after December 31, 2012 that are attributable to amounts credited to Accounts pursuant to Initial Elections filed with respect to Compensation earned after December 31, 2012, the term “Applicable Interest Rate,” means the interest rate that, when compounded daily pursuant to rules established by the Administrator from time to time, is mathematically equivalent to 9% (0.09) per annum, compounded annually.</w:t>
      </w:r>
    </w:p>
    <w:p>
      <w:pPr>
        <w:spacing w:after="0" w:line="112" w:lineRule="exact"/>
        <w:rPr>
          <w:rFonts w:ascii="Arial" w:cs="Arial" w:eastAsia="Arial" w:hAnsi="Arial"/>
          <w:sz w:val="16"/>
          <w:szCs w:val="16"/>
          <w:color w:val="auto"/>
        </w:rPr>
      </w:pPr>
    </w:p>
    <w:p>
      <w:pPr>
        <w:ind w:right="120" w:firstLine="921"/>
        <w:spacing w:after="0" w:line="255" w:lineRule="auto"/>
        <w:tabs>
          <w:tab w:leader="none" w:pos="1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41" w:name="page142"/>
    <w:bookmarkEnd w:id="141"/>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or Directors Emeriti made pursuant to Section 3.1(a), Comcast Corporation Class A Common Stock, par value $0.01, including a fractional share, and such other securities issued by Comcast Corporation as may be subject to adjustment in the event that shares of either class of Company Stock are changed into,</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142" w:name="page143"/>
    <w:bookmarkEnd w:id="142"/>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 provided that dividends and other distributions paid with respect to Company Stock after December 31, 2007 shall be deemed to be reinvested in additional hypothetical shares of Company Stock as of the payment date for such dividends and other distributions, based on the Fair Market Value of Company Stock as of such payment date, and provided further that dividends and other distributions paid with respect to Company Stock after May 30, 2012 shall be credited to the Income Fund.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171" w:lineRule="exact"/>
        <w:rPr>
          <w:sz w:val="20"/>
          <w:szCs w:val="20"/>
          <w:color w:val="auto"/>
        </w:rPr>
      </w:pPr>
    </w:p>
    <w:p>
      <w:pPr>
        <w:ind w:right="540" w:firstLine="921"/>
        <w:spacing w:after="0" w:line="306" w:lineRule="auto"/>
        <w:tabs>
          <w:tab w:leader="none" w:pos="1152" w:val="left"/>
        </w:tabs>
        <w:numPr>
          <w:ilvl w:val="1"/>
          <w:numId w:val="48"/>
        </w:numPr>
        <w:rPr>
          <w:rFonts w:ascii="Arial" w:cs="Arial" w:eastAsia="Arial" w:hAnsi="Arial"/>
          <w:sz w:val="16"/>
          <w:szCs w:val="16"/>
          <w:color w:val="auto"/>
        </w:rPr>
      </w:pPr>
      <w:r>
        <w:rPr>
          <w:rFonts w:ascii="Arial" w:cs="Arial" w:eastAsia="Arial" w:hAnsi="Arial"/>
          <w:sz w:val="16"/>
          <w:szCs w:val="16"/>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In the case of an Eligible Employee, the total cash remuneration for services payable by a Participating Company, excluding (i) Severance Pay,</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sales commissions or other similar payments or awards, including payments earned under any sales incentive arrangement for employees of NBCUniversal,</w:t>
      </w:r>
    </w:p>
    <w:p>
      <w:pPr>
        <w:spacing w:after="0" w:line="32" w:lineRule="exact"/>
        <w:rPr>
          <w:rFonts w:ascii="Arial" w:cs="Arial" w:eastAsia="Arial" w:hAnsi="Arial"/>
          <w:sz w:val="16"/>
          <w:szCs w:val="16"/>
          <w:color w:val="auto"/>
        </w:rPr>
      </w:pPr>
    </w:p>
    <w:p>
      <w:pPr>
        <w:ind w:right="160" w:firstLine="8"/>
        <w:spacing w:after="0" w:line="261" w:lineRule="auto"/>
        <w:tabs>
          <w:tab w:leader="none" w:pos="3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bonuses earned under any program designated by the Company’s Programming Division as a “long-term incentive plan” and (iv) bonuses earned under any long-term incentive plan for employees of NBCUniversal.</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Contribution Limit</w:t>
      </w:r>
      <w:r>
        <w:rPr>
          <w:rFonts w:ascii="Arial" w:cs="Arial" w:eastAsia="Arial" w:hAnsi="Arial"/>
          <w:sz w:val="18"/>
          <w:szCs w:val="18"/>
          <w:color w:val="auto"/>
        </w:rPr>
        <w:t>” means the product of (a) seven (7) times (b) Total Compensation.</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43" w:name="page144"/>
    <w:bookmarkEnd w:id="143"/>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2.18.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or Director Emeritus, a Participant whose service as an Outside Director or Director Emeritus, is terminated by death.</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71" w:lineRule="exact"/>
        <w:rPr>
          <w:sz w:val="20"/>
          <w:szCs w:val="20"/>
          <w:color w:val="auto"/>
        </w:rPr>
      </w:pPr>
    </w:p>
    <w:p>
      <w:pPr>
        <w:ind w:right="240" w:firstLine="921"/>
        <w:spacing w:after="0" w:line="332" w:lineRule="auto"/>
        <w:tabs>
          <w:tab w:leader="none" w:pos="11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85" w:lineRule="exact"/>
        <w:rPr>
          <w:rFonts w:ascii="Arial" w:cs="Arial" w:eastAsia="Arial" w:hAnsi="Arial"/>
          <w:sz w:val="16"/>
          <w:szCs w:val="16"/>
          <w:color w:val="auto"/>
        </w:rPr>
      </w:pPr>
    </w:p>
    <w:p>
      <w:pPr>
        <w:ind w:firstLine="921"/>
        <w:spacing w:after="0" w:line="259" w:lineRule="auto"/>
        <w:tabs>
          <w:tab w:leader="none" w:pos="11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171" w:lineRule="exact"/>
        <w:rPr>
          <w:sz w:val="20"/>
          <w:szCs w:val="20"/>
          <w:color w:val="auto"/>
        </w:rPr>
      </w:pPr>
    </w:p>
    <w:p>
      <w:pPr>
        <w:ind w:right="20" w:firstLine="921"/>
        <w:spacing w:after="0" w:line="268" w:lineRule="auto"/>
        <w:tabs>
          <w:tab w:leader="none" w:pos="11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2.22(a) acting on behalf of such individual.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means any judgment, decree or order (including approval of a property settlement agreement) which:</w:t>
      </w:r>
    </w:p>
    <w:p>
      <w:pPr>
        <w:spacing w:after="0" w:line="171" w:lineRule="exact"/>
        <w:rPr>
          <w:sz w:val="20"/>
          <w:szCs w:val="20"/>
          <w:color w:val="auto"/>
        </w:rPr>
      </w:pPr>
    </w:p>
    <w:p>
      <w:pPr>
        <w:ind w:left="1160" w:hanging="239"/>
        <w:spacing w:after="0"/>
        <w:tabs>
          <w:tab w:leader="none" w:pos="11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Relates to the provision of child support, alimony payments or marital property rights to a spouse or former spouse of a Participant; and</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made pursuant to a State domestic relations law (including a community property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Eligible Comcast Employee</w:t>
      </w:r>
      <w:r>
        <w:rPr>
          <w:rFonts w:ascii="Arial" w:cs="Arial" w:eastAsia="Arial" w:hAnsi="Arial"/>
          <w:sz w:val="18"/>
          <w:szCs w:val="18"/>
          <w:color w:val="auto"/>
        </w:rPr>
        <w:t>” means:</w:t>
      </w:r>
    </w:p>
    <w:p>
      <w:pPr>
        <w:spacing w:after="0" w:line="171" w:lineRule="exact"/>
        <w:rPr>
          <w:sz w:val="20"/>
          <w:szCs w:val="20"/>
          <w:color w:val="auto"/>
        </w:rPr>
      </w:pPr>
    </w:p>
    <w:p>
      <w:pPr>
        <w:ind w:right="240" w:firstLine="921"/>
        <w:spacing w:after="0" w:line="268" w:lineRule="auto"/>
        <w:tabs>
          <w:tab w:leader="none" w:pos="11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the 2012 Plan Year, each employee of a Participating Company who was an Eligible Employee under the rules of the Plan as in effect on December 31, 2011, including employees who are Comcast-legacy employees of NBCUniversal.</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80" w:right="379" w:bottom="1440" w:gutter="0" w:footer="0" w:header="0"/>
        </w:sectPr>
      </w:pPr>
    </w:p>
    <w:bookmarkStart w:id="144" w:name="page145"/>
    <w:bookmarkEnd w:id="144"/>
    <w:p>
      <w:pPr>
        <w:ind w:right="440" w:firstLine="921"/>
        <w:spacing w:after="0" w:line="259" w:lineRule="auto"/>
        <w:tabs>
          <w:tab w:leader="none" w:pos="1162"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2013 Plan Year, (i) each employee of a Participating Company other than NBCUniversal and (ii) each employee of NBCUniversal described in Section 2.24(a), provided that in each case, such employee has an Annual Rate of Pay of $200,000 or more as of both (iii) the date on which an Initial Election is filed with the Administrator for the 2013 Plan Year and (iv) January 1, 2013.</w:t>
      </w:r>
    </w:p>
    <w:p>
      <w:pPr>
        <w:spacing w:after="0" w:line="140" w:lineRule="exact"/>
        <w:rPr>
          <w:rFonts w:ascii="Arial" w:cs="Arial" w:eastAsia="Arial" w:hAnsi="Arial"/>
          <w:sz w:val="18"/>
          <w:szCs w:val="18"/>
          <w:color w:val="auto"/>
        </w:rPr>
      </w:pPr>
    </w:p>
    <w:p>
      <w:pPr>
        <w:ind w:right="240" w:firstLine="921"/>
        <w:spacing w:after="0" w:line="305" w:lineRule="auto"/>
        <w:tabs>
          <w:tab w:leader="none" w:pos="1152" w:val="left"/>
        </w:tabs>
        <w:numPr>
          <w:ilvl w:val="1"/>
          <w:numId w:val="54"/>
        </w:numPr>
        <w:rPr>
          <w:rFonts w:ascii="Arial" w:cs="Arial" w:eastAsia="Arial" w:hAnsi="Arial"/>
          <w:sz w:val="15"/>
          <w:szCs w:val="15"/>
          <w:color w:val="auto"/>
        </w:rPr>
      </w:pPr>
      <w:r>
        <w:rPr>
          <w:rFonts w:ascii="Arial" w:cs="Arial" w:eastAsia="Arial" w:hAnsi="Arial"/>
          <w:sz w:val="15"/>
          <w:szCs w:val="15"/>
          <w:color w:val="auto"/>
        </w:rPr>
        <w:t>For Plan Years beginning on and after January 1, 2014, (i) each employee of a Participating Company other than NBCUniversal and (ii) each employee of NBCUniversal described in Section 2.24(a), provided that in each case, such employee has an Annual Rate of Pay of $250,000 or more as of both</w:t>
      </w:r>
    </w:p>
    <w:p>
      <w:pPr>
        <w:ind w:left="320" w:hanging="312"/>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date on which an Initial Election is filed with the Administrator and (iv) the first day of the calendar year in which such Initial Election is filed.</w:t>
      </w:r>
    </w:p>
    <w:p>
      <w:pPr>
        <w:spacing w:after="0" w:line="187" w:lineRule="exact"/>
        <w:rPr>
          <w:rFonts w:ascii="Arial" w:cs="Arial" w:eastAsia="Arial" w:hAnsi="Arial"/>
          <w:sz w:val="16"/>
          <w:szCs w:val="16"/>
          <w:color w:val="auto"/>
        </w:rPr>
      </w:pPr>
    </w:p>
    <w:p>
      <w:pPr>
        <w:ind w:left="1160" w:hanging="239"/>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Grandfathered Employee who is an employee of a Participating Company other than NBCUniversal.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Each New Key Employee who is an employee of a Participating Company other than NBCUniversal.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Eligible Comcast Employee;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Eligible NBCU Employee;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Administrator, in its discretion, as an Eligible Employee.</w:t>
      </w:r>
    </w:p>
    <w:p>
      <w:pPr>
        <w:spacing w:after="0" w:line="19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Eligible NBCU Employee</w:t>
      </w:r>
      <w:r>
        <w:rPr>
          <w:rFonts w:ascii="Arial" w:cs="Arial" w:eastAsia="Arial" w:hAnsi="Arial"/>
          <w:sz w:val="18"/>
          <w:szCs w:val="18"/>
          <w:color w:val="auto"/>
        </w:rPr>
        <w:t>” means:</w:t>
      </w:r>
    </w:p>
    <w:p>
      <w:pPr>
        <w:spacing w:after="0" w:line="171" w:lineRule="exact"/>
        <w:rPr>
          <w:sz w:val="20"/>
          <w:szCs w:val="20"/>
          <w:color w:val="auto"/>
        </w:rPr>
      </w:pPr>
    </w:p>
    <w:p>
      <w:pPr>
        <w:ind w:firstLine="921"/>
        <w:spacing w:after="0" w:line="268"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employee of NBCUniversal who has been designated as a member of NBCUniversal’s Operating Committee by the Chief Executive Officer of NBCUniversal and approved by the Administrator, other than an employee who is described in Section 2.24.</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employee of NBCUniversal, other than an employee who is described in Section 2.24, who, for the 2013 Plan Year:</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Is not a member of NBCUniversal’s Operating Committee;</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Transferred employment directly from the Company to NBCUniversal in 2011 or 2012;</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Was an Eligible Employee under the rules of the Plan as in effect immediately before transferring employment from the Company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NBCUniversal;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45" w:name="page146"/>
    <w:bookmarkEnd w:id="145"/>
    <w:p>
      <w:pPr>
        <w:ind w:right="600" w:firstLine="1492"/>
        <w:spacing w:after="0" w:line="268" w:lineRule="auto"/>
        <w:tabs>
          <w:tab w:leader="none" w:pos="1781" w:val="left"/>
        </w:tabs>
        <w:numPr>
          <w:ilvl w:val="1"/>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Elected to waive the opportunity to continue to be an Eligible Employee following the transfer of employment directly from the Company to NBCUniversal;</w:t>
      </w:r>
    </w:p>
    <w:p>
      <w:pPr>
        <w:spacing w:after="0" w:line="131" w:lineRule="exact"/>
        <w:rPr>
          <w:rFonts w:ascii="Arial" w:cs="Arial" w:eastAsia="Arial" w:hAnsi="Arial"/>
          <w:sz w:val="18"/>
          <w:szCs w:val="18"/>
          <w:color w:val="auto"/>
        </w:rPr>
      </w:pPr>
    </w:p>
    <w:p>
      <w:pPr>
        <w:ind w:right="180" w:firstLine="1492"/>
        <w:spacing w:after="0" w:line="268" w:lineRule="auto"/>
        <w:tabs>
          <w:tab w:leader="none" w:pos="1732" w:val="left"/>
        </w:tabs>
        <w:numPr>
          <w:ilvl w:val="1"/>
          <w:numId w:val="58"/>
        </w:numPr>
        <w:rPr>
          <w:rFonts w:ascii="Arial" w:cs="Arial" w:eastAsia="Arial" w:hAnsi="Arial"/>
          <w:sz w:val="18"/>
          <w:szCs w:val="18"/>
          <w:color w:val="auto"/>
        </w:rPr>
      </w:pPr>
      <w:r>
        <w:rPr>
          <w:rFonts w:ascii="Arial" w:cs="Arial" w:eastAsia="Arial" w:hAnsi="Arial"/>
          <w:sz w:val="18"/>
          <w:szCs w:val="18"/>
          <w:color w:val="auto"/>
        </w:rPr>
        <w:t>Has an Annual Rate of Pay of $200,000 or more as of both (iii) the date on which an Initial Election is filed with the Administrator for the 2013 Plan Year and (iv) January 1, 2013; and</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Files an Initial Election with the Administrator for the 2013 Plan Year.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employee of NBCUniversal, other than an employee who is described in Section 2.24, who, for the 2013 Plan Year:</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Is not a member of NBCUniversal’s Operating Committee;</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Has been a participant in the NBCUniversal Supplementary Pension Plan for the period extending from January 29, 2011 through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December 31, 2012;</w:t>
      </w:r>
    </w:p>
    <w:p>
      <w:pPr>
        <w:spacing w:after="0" w:line="164" w:lineRule="exact"/>
        <w:rPr>
          <w:rFonts w:ascii="Arial" w:cs="Arial" w:eastAsia="Arial" w:hAnsi="Arial"/>
          <w:sz w:val="16"/>
          <w:szCs w:val="16"/>
          <w:color w:val="auto"/>
        </w:rPr>
      </w:pPr>
    </w:p>
    <w:p>
      <w:pPr>
        <w:ind w:right="140" w:firstLine="1492"/>
        <w:spacing w:after="0" w:line="268" w:lineRule="auto"/>
        <w:tabs>
          <w:tab w:leader="none" w:pos="1791" w:val="left"/>
        </w:tabs>
        <w:numPr>
          <w:ilvl w:val="1"/>
          <w:numId w:val="59"/>
        </w:numPr>
        <w:rPr>
          <w:rFonts w:ascii="Arial" w:cs="Arial" w:eastAsia="Arial" w:hAnsi="Arial"/>
          <w:sz w:val="18"/>
          <w:szCs w:val="18"/>
          <w:color w:val="auto"/>
        </w:rPr>
      </w:pPr>
      <w:r>
        <w:rPr>
          <w:rFonts w:ascii="Arial" w:cs="Arial" w:eastAsia="Arial" w:hAnsi="Arial"/>
          <w:sz w:val="18"/>
          <w:szCs w:val="18"/>
          <w:color w:val="auto"/>
        </w:rPr>
        <w:t>Has an Annual Rate of Pay is $200,000 or more as of both (iii) the date on which an Initial Election is filed with the Administrator for the 2013 Plan Year and (iv) January 1, 2013; and</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Files an Initial Election with the Administrator for the 2013 Plan Year.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Grandfathered Employee who is an employee of NBCUniversal.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New Key Employee who is an employee of NBCUniversal.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332" w:lineRule="auto"/>
        <w:tabs>
          <w:tab w:leader="none" w:pos="11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85" w:lineRule="exact"/>
        <w:rPr>
          <w:rFonts w:ascii="Arial" w:cs="Arial" w:eastAsia="Arial" w:hAnsi="Arial"/>
          <w:sz w:val="16"/>
          <w:szCs w:val="16"/>
          <w:color w:val="auto"/>
        </w:rPr>
      </w:pPr>
    </w:p>
    <w:p>
      <w:pPr>
        <w:ind w:firstLine="921"/>
        <w:spacing w:after="0" w:line="259"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2.28.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171" w:lineRule="exact"/>
        <w:rPr>
          <w:rFonts w:ascii="Arial" w:cs="Arial" w:eastAsia="Arial" w:hAnsi="Arial"/>
          <w:sz w:val="18"/>
          <w:szCs w:val="18"/>
          <w:color w:val="auto"/>
        </w:rPr>
      </w:pPr>
    </w:p>
    <w:p>
      <w:pPr>
        <w:ind w:right="280" w:firstLine="1492"/>
        <w:spacing w:after="0" w:line="268" w:lineRule="auto"/>
        <w:tabs>
          <w:tab w:leader="none" w:pos="1693" w:val="left"/>
        </w:tabs>
        <w:numPr>
          <w:ilvl w:val="2"/>
          <w:numId w:val="61"/>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as of December 31, 1989, was eligible to participate in the Prior Plan and who has been in continuous service to the Company or an Affiliate since December 31, 1989.</w:t>
      </w:r>
    </w:p>
    <w:p>
      <w:pPr>
        <w:spacing w:after="0" w:line="131" w:lineRule="exact"/>
        <w:rPr>
          <w:rFonts w:ascii="Arial" w:cs="Arial" w:eastAsia="Arial" w:hAnsi="Arial"/>
          <w:sz w:val="18"/>
          <w:szCs w:val="18"/>
          <w:color w:val="auto"/>
        </w:rPr>
      </w:pPr>
    </w:p>
    <w:p>
      <w:pPr>
        <w:ind w:firstLine="1492"/>
        <w:spacing w:after="0" w:line="305" w:lineRule="auto"/>
        <w:tabs>
          <w:tab w:leader="none" w:pos="1742" w:val="left"/>
        </w:tabs>
        <w:numPr>
          <w:ilvl w:val="2"/>
          <w:numId w:val="61"/>
        </w:numPr>
        <w:rPr>
          <w:rFonts w:ascii="Arial" w:cs="Arial" w:eastAsia="Arial" w:hAnsi="Arial"/>
          <w:sz w:val="15"/>
          <w:szCs w:val="15"/>
          <w:color w:val="auto"/>
        </w:rPr>
      </w:pPr>
      <w:r>
        <w:rPr>
          <w:rFonts w:ascii="Arial" w:cs="Arial" w:eastAsia="Arial" w:hAnsi="Arial"/>
          <w:sz w:val="15"/>
          <w:szCs w:val="15"/>
          <w:color w:val="auto"/>
        </w:rPr>
        <w:t>Each employee of a Participating Company other than NBCUniversal who was, at any time before January 1, 1995, eligible to participate in the Prior Plan and whose Annual Rate of Pay was $90,000 or more as of both (A) the date on which an Initial Election is filed with the Administrator and</w:t>
      </w:r>
    </w:p>
    <w:p>
      <w:pPr>
        <w:ind w:left="280" w:hanging="272"/>
        <w:spacing w:after="0"/>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first day of each calendar year beginning after December 31, 1994.</w:t>
      </w:r>
    </w:p>
    <w:p>
      <w:pPr>
        <w:spacing w:after="0" w:line="164" w:lineRule="exact"/>
        <w:rPr>
          <w:rFonts w:ascii="Arial" w:cs="Arial" w:eastAsia="Arial" w:hAnsi="Arial"/>
          <w:sz w:val="18"/>
          <w:szCs w:val="18"/>
          <w:color w:val="auto"/>
        </w:rPr>
      </w:pPr>
    </w:p>
    <w:p>
      <w:pPr>
        <w:ind w:right="220" w:firstLine="1492"/>
        <w:spacing w:after="0" w:line="306" w:lineRule="auto"/>
        <w:tabs>
          <w:tab w:leader="none" w:pos="1791" w:val="left"/>
        </w:tabs>
        <w:numPr>
          <w:ilvl w:val="2"/>
          <w:numId w:val="62"/>
        </w:numPr>
        <w:rPr>
          <w:rFonts w:ascii="Arial" w:cs="Arial" w:eastAsia="Arial" w:hAnsi="Arial"/>
          <w:sz w:val="16"/>
          <w:szCs w:val="16"/>
          <w:color w:val="auto"/>
        </w:rPr>
      </w:pPr>
      <w:r>
        <w:rPr>
          <w:rFonts w:ascii="Arial" w:cs="Arial" w:eastAsia="Arial" w:hAnsi="Arial"/>
          <w:sz w:val="16"/>
          <w:szCs w:val="16"/>
          <w:color w:val="auto"/>
        </w:rPr>
        <w:t>Each employee of a Participating Company other than NBCUniversal who was an employee of an entity that was a Participating Company in the Prior Plan as of June 30, 2002 and who had an Annual Rate of Pay of $125,000 as of each of (i) June 30, 2002; (ii) the date on which an Initial Election was filed with the Administrator and (iii) the first day of each calendar year beginning after December 31, 2002.</w:t>
      </w:r>
    </w:p>
    <w:p>
      <w:pPr>
        <w:spacing w:after="0" w:line="106" w:lineRule="exact"/>
        <w:rPr>
          <w:rFonts w:ascii="Arial" w:cs="Arial" w:eastAsia="Arial" w:hAnsi="Arial"/>
          <w:sz w:val="16"/>
          <w:szCs w:val="16"/>
          <w:color w:val="auto"/>
        </w:rPr>
      </w:pPr>
    </w:p>
    <w:p>
      <w:pPr>
        <w:ind w:firstLine="1492"/>
        <w:spacing w:after="0" w:line="256" w:lineRule="auto"/>
        <w:tabs>
          <w:tab w:leader="none" w:pos="1781" w:val="left"/>
        </w:tabs>
        <w:numPr>
          <w:ilvl w:val="2"/>
          <w:numId w:val="62"/>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Effective after December 31, 2013:</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is described in Section 2.28(a)(i)-(iv).</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63"/>
        </w:numPr>
        <w:rPr>
          <w:rFonts w:ascii="Arial" w:cs="Arial" w:eastAsia="Arial" w:hAnsi="Arial"/>
          <w:sz w:val="16"/>
          <w:szCs w:val="16"/>
          <w:color w:val="auto"/>
        </w:rPr>
      </w:pPr>
      <w:r>
        <w:rPr>
          <w:rFonts w:ascii="Arial" w:cs="Arial" w:eastAsia="Arial" w:hAnsi="Arial"/>
          <w:sz w:val="16"/>
          <w:szCs w:val="16"/>
          <w:color w:val="auto"/>
        </w:rPr>
        <w:t>Each employee of a Participating Company other than NBCUniversal who is a Participant and who has an Annual Rate of Pay of</w:t>
      </w:r>
    </w:p>
    <w:p>
      <w:pPr>
        <w:spacing w:after="0" w:line="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$200,000 or more as of each of (A) December 31, 2013; (B) the date on which an Initial Election is filed with the Administrator and (C) the first day of each calendar year beginning after December 31, 2013.</w:t>
      </w:r>
    </w:p>
    <w:p>
      <w:pPr>
        <w:spacing w:after="0" w:line="138" w:lineRule="exact"/>
        <w:rPr>
          <w:sz w:val="20"/>
          <w:szCs w:val="20"/>
          <w:color w:val="auto"/>
        </w:rPr>
      </w:pPr>
    </w:p>
    <w:p>
      <w:pPr>
        <w:ind w:right="300" w:firstLine="1492"/>
        <w:spacing w:after="0" w:line="259" w:lineRule="auto"/>
        <w:tabs>
          <w:tab w:leader="none" w:pos="1791"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employee of NBCUniversal described in Section 2.26(b) or 2.26(c)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Hardship</w:t>
      </w:r>
      <w:r>
        <w:rPr>
          <w:rFonts w:ascii="Arial" w:cs="Arial" w:eastAsia="Arial" w:hAnsi="Arial"/>
          <w:sz w:val="18"/>
          <w:szCs w:val="18"/>
          <w:color w:val="auto"/>
        </w:rPr>
        <w:t>” means an “unforeseeable emergency,” as defined in Section 409A. The Committee shall determine whether the circumstances of the Participant constitute an unforeseeable emergency and thus a Hardship within the meaning of this Section 2.29.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47" w:name="page148"/>
    <w:bookmarkEnd w:id="147"/>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the facts of each case; provided however, that all determinations as to Hardship shall be uniformly and consistently made according to the provisions of this Section 2.29 for all Participants in similar circumstances.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or Director Emeritus and is not actively employed by a Participating Company.</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9" w:lineRule="auto"/>
        <w:tabs>
          <w:tab w:leader="none" w:pos="115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Outside Directors and Directors Emeriti</w:t>
      </w:r>
      <w:r>
        <w:rPr>
          <w:rFonts w:ascii="Arial" w:cs="Arial" w:eastAsia="Arial" w:hAnsi="Arial"/>
          <w:sz w:val="18"/>
          <w:szCs w:val="18"/>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140" w:lineRule="exact"/>
        <w:rPr>
          <w:rFonts w:ascii="Arial" w:cs="Arial" w:eastAsia="Arial" w:hAnsi="Arial"/>
          <w:sz w:val="18"/>
          <w:szCs w:val="18"/>
          <w:color w:val="auto"/>
        </w:rPr>
      </w:pPr>
    </w:p>
    <w:p>
      <w:pPr>
        <w:ind w:firstLine="1492"/>
        <w:spacing w:after="0" w:line="268" w:lineRule="auto"/>
        <w:tabs>
          <w:tab w:leader="none" w:pos="1693" w:val="left"/>
        </w:tabs>
        <w:numPr>
          <w:ilvl w:val="1"/>
          <w:numId w:val="65"/>
        </w:numPr>
        <w:rPr>
          <w:rFonts w:ascii="Arial" w:cs="Arial" w:eastAsia="Arial" w:hAnsi="Arial"/>
          <w:sz w:val="18"/>
          <w:szCs w:val="18"/>
          <w:color w:val="auto"/>
        </w:rPr>
      </w:pPr>
      <w:r>
        <w:rPr>
          <w:rFonts w:ascii="Arial" w:cs="Arial" w:eastAsia="Arial" w:hAnsi="Arial"/>
          <w:sz w:val="18"/>
          <w:szCs w:val="18"/>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rFonts w:ascii="Arial" w:cs="Arial" w:eastAsia="Arial" w:hAnsi="Arial"/>
          <w:sz w:val="18"/>
          <w:szCs w:val="18"/>
          <w:color w:val="auto"/>
        </w:rPr>
      </w:pPr>
    </w:p>
    <w:p>
      <w:pPr>
        <w:ind w:right="100" w:firstLine="921"/>
        <w:spacing w:after="0" w:line="259" w:lineRule="auto"/>
        <w:tabs>
          <w:tab w:leader="none" w:pos="116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2013 Plan Year For Eligible Comcast Employees</w:t>
      </w:r>
      <w:r>
        <w:rPr>
          <w:rFonts w:ascii="Arial" w:cs="Arial" w:eastAsia="Arial" w:hAnsi="Arial"/>
          <w:sz w:val="18"/>
          <w:szCs w:val="18"/>
          <w:color w:val="auto"/>
        </w:rPr>
        <w:t>. With respect to Eligible Comcast Employees for Compensation earned in the 2013 Plan Year, the term “Initial Election means one or more written elections provided by the Administrator and filed with the Administrator in accordance with Article 3 pursuant to which an Eligible Comcast Employee may:</w:t>
      </w:r>
    </w:p>
    <w:p>
      <w:pPr>
        <w:spacing w:after="0" w:line="140" w:lineRule="exact"/>
        <w:rPr>
          <w:rFonts w:ascii="Arial" w:cs="Arial" w:eastAsia="Arial" w:hAnsi="Arial"/>
          <w:sz w:val="18"/>
          <w:szCs w:val="18"/>
          <w:color w:val="auto"/>
        </w:rPr>
      </w:pPr>
    </w:p>
    <w:p>
      <w:pPr>
        <w:ind w:right="20" w:firstLine="1492"/>
        <w:spacing w:after="0" w:line="306" w:lineRule="auto"/>
        <w:tabs>
          <w:tab w:leader="none" w:pos="1693" w:val="left"/>
        </w:tabs>
        <w:numPr>
          <w:ilvl w:val="1"/>
          <w:numId w:val="65"/>
        </w:numPr>
        <w:rPr>
          <w:rFonts w:ascii="Arial" w:cs="Arial" w:eastAsia="Arial" w:hAnsi="Arial"/>
          <w:sz w:val="16"/>
          <w:szCs w:val="16"/>
          <w:color w:val="auto"/>
        </w:rPr>
      </w:pPr>
      <w:r>
        <w:rPr>
          <w:rFonts w:ascii="Arial" w:cs="Arial" w:eastAsia="Arial" w:hAnsi="Arial"/>
          <w:sz w:val="16"/>
          <w:szCs w:val="16"/>
          <w:color w:val="auto"/>
        </w:rPr>
        <w:t>Elect to defer any portion of the Compensation payable for the performance of services as an Eligible Employee following the time that such election is filed, provided that 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06" w:lineRule="exact"/>
        <w:rPr>
          <w:rFonts w:ascii="Arial" w:cs="Arial" w:eastAsia="Arial" w:hAnsi="Arial"/>
          <w:sz w:val="16"/>
          <w:szCs w:val="16"/>
          <w:color w:val="auto"/>
        </w:rPr>
      </w:pPr>
    </w:p>
    <w:p>
      <w:pPr>
        <w:ind w:left="1760" w:hanging="268"/>
        <w:spacing w:after="0"/>
        <w:tabs>
          <w:tab w:leader="none" w:pos="1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rFonts w:ascii="Arial" w:cs="Arial" w:eastAsia="Arial" w:hAnsi="Arial"/>
          <w:sz w:val="18"/>
          <w:szCs w:val="18"/>
          <w:color w:val="auto"/>
        </w:rPr>
      </w:pPr>
    </w:p>
    <w:p>
      <w:pPr>
        <w:jc w:val="both"/>
        <w:ind w:right="60" w:firstLine="921"/>
        <w:spacing w:after="0" w:line="256" w:lineRule="auto"/>
        <w:tabs>
          <w:tab w:leader="none" w:pos="115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2013 Plan Year For Eligible NBCU Employees, and Plan Years Beginning After December 31, 2013</w:t>
      </w:r>
      <w:r>
        <w:rPr>
          <w:rFonts w:ascii="Arial" w:cs="Arial" w:eastAsia="Arial" w:hAnsi="Arial"/>
          <w:sz w:val="18"/>
          <w:szCs w:val="18"/>
          <w:color w:val="auto"/>
        </w:rPr>
        <w:t>. With respect to Eligible NBCU employees for Compensation earned after December 31, 2012 and with respect to Eligible Comcast Employees for Compensation earned after December 31, 2013, the term “Initial Election” means one or more written elections provided by the Administrator and filed with the Administrator in accordance with Article 3 pursuant to which an Eligible Employee may:</w:t>
      </w:r>
    </w:p>
    <w:p>
      <w:pPr>
        <w:spacing w:after="0" w:line="143" w:lineRule="exact"/>
        <w:rPr>
          <w:rFonts w:ascii="Arial" w:cs="Arial" w:eastAsia="Arial" w:hAnsi="Arial"/>
          <w:sz w:val="18"/>
          <w:szCs w:val="18"/>
          <w:color w:val="auto"/>
        </w:rPr>
      </w:pPr>
    </w:p>
    <w:p>
      <w:pPr>
        <w:ind w:right="340" w:firstLine="1492"/>
        <w:spacing w:after="0" w:line="268" w:lineRule="auto"/>
        <w:tabs>
          <w:tab w:leader="none" w:pos="1693" w:val="left"/>
        </w:tabs>
        <w:numPr>
          <w:ilvl w:val="1"/>
          <w:numId w:val="65"/>
        </w:numPr>
        <w:rPr>
          <w:rFonts w:ascii="Arial" w:cs="Arial" w:eastAsia="Arial" w:hAnsi="Arial"/>
          <w:sz w:val="18"/>
          <w:szCs w:val="18"/>
          <w:color w:val="auto"/>
        </w:rPr>
      </w:pPr>
      <w:r>
        <w:rPr>
          <w:rFonts w:ascii="Arial" w:cs="Arial" w:eastAsia="Arial" w:hAnsi="Arial"/>
          <w:sz w:val="18"/>
          <w:szCs w:val="18"/>
          <w:color w:val="auto"/>
        </w:rPr>
        <w:t>Subject to the limitations described in Section 2.32(c)(iii), elect to defer Compensation payable for the performance of services as an Eligible Employee following the time that such election is filed;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48" w:name="page149"/>
    <w:bookmarkEnd w:id="148"/>
    <w:p>
      <w:pPr>
        <w:ind w:left="1760" w:hanging="268"/>
        <w:spacing w:after="0"/>
        <w:tabs>
          <w:tab w:leader="none" w:pos="1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 the time of payment of the amount of deferred Compensation to which the Initial Election relates.</w:t>
      </w:r>
    </w:p>
    <w:p>
      <w:pPr>
        <w:spacing w:after="0" w:line="171" w:lineRule="exact"/>
        <w:rPr>
          <w:rFonts w:ascii="Arial" w:cs="Arial" w:eastAsia="Arial" w:hAnsi="Arial"/>
          <w:sz w:val="18"/>
          <w:szCs w:val="18"/>
          <w:color w:val="auto"/>
        </w:rPr>
      </w:pPr>
    </w:p>
    <w:p>
      <w:pPr>
        <w:ind w:right="60" w:firstLine="1492"/>
        <w:spacing w:after="0" w:line="332" w:lineRule="auto"/>
        <w:tabs>
          <w:tab w:leader="none" w:pos="1791" w:val="left"/>
        </w:tabs>
        <w:numPr>
          <w:ilvl w:val="0"/>
          <w:numId w:val="66"/>
        </w:numPr>
        <w:rPr>
          <w:rFonts w:ascii="Arial" w:cs="Arial" w:eastAsia="Arial" w:hAnsi="Arial"/>
          <w:sz w:val="16"/>
          <w:szCs w:val="16"/>
          <w:color w:val="auto"/>
        </w:rPr>
      </w:pPr>
      <w:r>
        <w:rPr>
          <w:rFonts w:ascii="Arial" w:cs="Arial" w:eastAsia="Arial" w:hAnsi="Arial"/>
          <w:sz w:val="16"/>
          <w:szCs w:val="16"/>
          <w:color w:val="auto"/>
        </w:rPr>
        <w:t>Effective for Eligible NBCU Employees with respect to Compensation earned after December 31, 2012, and with respect to all Eligible Employees with respect to Compensation earned after December 31, 2013, the following rules shall apply to Initial Elections:</w:t>
      </w:r>
    </w:p>
    <w:p>
      <w:pPr>
        <w:spacing w:after="0" w:line="85" w:lineRule="exact"/>
        <w:rPr>
          <w:rFonts w:ascii="Arial" w:cs="Arial" w:eastAsia="Arial" w:hAnsi="Arial"/>
          <w:sz w:val="16"/>
          <w:szCs w:val="16"/>
          <w:color w:val="auto"/>
        </w:rPr>
      </w:pPr>
    </w:p>
    <w:p>
      <w:pPr>
        <w:ind w:right="60" w:firstLine="1948"/>
        <w:spacing w:after="0" w:line="256" w:lineRule="auto"/>
        <w:tabs>
          <w:tab w:leader="none" w:pos="2228" w:val="left"/>
        </w:tabs>
        <w:numPr>
          <w:ilvl w:val="1"/>
          <w:numId w:val="66"/>
        </w:numPr>
        <w:rPr>
          <w:rFonts w:ascii="Arial" w:cs="Arial" w:eastAsia="Arial" w:hAnsi="Arial"/>
          <w:sz w:val="18"/>
          <w:szCs w:val="18"/>
          <w:color w:val="auto"/>
        </w:rPr>
      </w:pPr>
      <w:r>
        <w:rPr>
          <w:rFonts w:ascii="Arial" w:cs="Arial" w:eastAsia="Arial" w:hAnsi="Arial"/>
          <w:sz w:val="18"/>
          <w:szCs w:val="18"/>
          <w:color w:val="auto"/>
        </w:rPr>
        <w:t>Subject to the limits on deferrals of Compensation described in Section 2.32(iii)(B) and Section 2.32(iii)(C), (x) the maximum amount of base salary available for deferral shall be determined net of required withholdings and deductions as determined by the Administrator in its sole discretion, but shall in no event be less than 85% of the Participant’s base salary and (y) the maximum amount of a Signing Bonus available for deferral pursuant to an Initial Election shall not exceed 50%.</w:t>
      </w:r>
    </w:p>
    <w:p>
      <w:pPr>
        <w:spacing w:after="0" w:line="143" w:lineRule="exact"/>
        <w:rPr>
          <w:rFonts w:ascii="Arial" w:cs="Arial" w:eastAsia="Arial" w:hAnsi="Arial"/>
          <w:sz w:val="18"/>
          <w:szCs w:val="18"/>
          <w:color w:val="auto"/>
        </w:rPr>
      </w:pPr>
    </w:p>
    <w:p>
      <w:pPr>
        <w:ind w:left="2220" w:hanging="272"/>
        <w:spacing w:after="0"/>
        <w:tabs>
          <w:tab w:leader="none" w:pos="22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maximum amount subject to Initial Elections for any Plan Year shall not exceed 35% of Total Compensation.</w:t>
      </w:r>
    </w:p>
    <w:p>
      <w:pPr>
        <w:spacing w:after="0" w:line="171" w:lineRule="exact"/>
        <w:rPr>
          <w:rFonts w:ascii="Arial" w:cs="Arial" w:eastAsia="Arial" w:hAnsi="Arial"/>
          <w:sz w:val="18"/>
          <w:szCs w:val="18"/>
          <w:color w:val="auto"/>
        </w:rPr>
      </w:pPr>
    </w:p>
    <w:p>
      <w:pPr>
        <w:ind w:firstLine="1948"/>
        <w:spacing w:after="0" w:line="298" w:lineRule="auto"/>
        <w:tabs>
          <w:tab w:leader="none" w:pos="2218" w:val="left"/>
        </w:tabs>
        <w:numPr>
          <w:ilvl w:val="1"/>
          <w:numId w:val="66"/>
        </w:numPr>
        <w:rPr>
          <w:rFonts w:ascii="Arial" w:cs="Arial" w:eastAsia="Arial" w:hAnsi="Arial"/>
          <w:sz w:val="16"/>
          <w:szCs w:val="16"/>
          <w:color w:val="auto"/>
        </w:rPr>
      </w:pPr>
      <w:r>
        <w:rPr>
          <w:rFonts w:ascii="Arial" w:cs="Arial" w:eastAsia="Arial" w:hAnsi="Arial"/>
          <w:sz w:val="16"/>
          <w:szCs w:val="16"/>
          <w:color w:val="auto"/>
        </w:rPr>
        <w:t>No Initial Election with respect to Compensation expected to be earned in a Plan Year shall be effective if the sum of (x) the value of the Eligible Employee’s Account in the Plan, plus (y) the value of the Eligible Employee’s Account in the Prior Plan, plus (z) the value of the Eligible Employee’s Account in the Comcast Corporation 2002 Restricted Stock Plan (or any successor plan) to the extent such Account is credited to the “Income Fund” thereunder, exceeds the Contribution Limit with respect to such Plan Year, determined as of September 30</w:t>
      </w:r>
      <w:r>
        <w:rPr>
          <w:rFonts w:ascii="Arial" w:cs="Arial" w:eastAsia="Arial" w:hAnsi="Arial"/>
          <w:sz w:val="10"/>
          <w:szCs w:val="10"/>
          <w:color w:val="auto"/>
        </w:rPr>
        <w:t>th</w:t>
      </w:r>
      <w:r>
        <w:rPr>
          <w:rFonts w:ascii="Arial" w:cs="Arial" w:eastAsia="Arial" w:hAnsi="Arial"/>
          <w:sz w:val="16"/>
          <w:szCs w:val="16"/>
          <w:color w:val="auto"/>
        </w:rPr>
        <w:t xml:space="preserve"> immediately preceding such Plan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NBCUniversal</w:t>
      </w:r>
      <w:r>
        <w:rPr>
          <w:rFonts w:ascii="Arial" w:cs="Arial" w:eastAsia="Arial" w:hAnsi="Arial"/>
          <w:sz w:val="18"/>
          <w:szCs w:val="18"/>
          <w:color w:val="auto"/>
        </w:rPr>
        <w:t>” means NBCUniversal, LLC and its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Effective before January 1, 2014, and except as provided in Section 2.34(d), each employee of a Participating Company other than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NBCUniversal:</w:t>
      </w:r>
    </w:p>
    <w:p>
      <w:pPr>
        <w:spacing w:after="0" w:line="164" w:lineRule="exact"/>
        <w:rPr>
          <w:rFonts w:ascii="Arial" w:cs="Arial" w:eastAsia="Arial" w:hAnsi="Arial"/>
          <w:sz w:val="16"/>
          <w:szCs w:val="16"/>
          <w:color w:val="auto"/>
        </w:rPr>
      </w:pPr>
    </w:p>
    <w:p>
      <w:pPr>
        <w:ind w:left="1700" w:hanging="208"/>
        <w:spacing w:after="0"/>
        <w:tabs>
          <w:tab w:leader="none" w:pos="17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who becomes an employee of a Participating Company and has an Annual Rate of Pay of $200,000 or more as of his employment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commencement date, or</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1"/>
          <w:numId w:val="67"/>
        </w:numPr>
        <w:rPr>
          <w:rFonts w:ascii="Arial" w:cs="Arial" w:eastAsia="Arial" w:hAnsi="Arial"/>
          <w:sz w:val="15"/>
          <w:szCs w:val="15"/>
          <w:color w:val="auto"/>
        </w:rPr>
      </w:pPr>
      <w:r>
        <w:rPr>
          <w:rFonts w:ascii="Arial" w:cs="Arial" w:eastAsia="Arial" w:hAnsi="Arial"/>
          <w:sz w:val="15"/>
          <w:szCs w:val="15"/>
          <w:color w:val="auto"/>
        </w:rPr>
        <w:t>who has an Annual Rate of Pay that is increased to $200,000 or more and who, immediately preceding such increase, was not an Eligible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Employee.</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Effective after December 31, 2013, and except as provided in Section 2.34(d), each employee of a Participating Company other than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NBCUniversal:</w:t>
      </w:r>
    </w:p>
    <w:p>
      <w:pPr>
        <w:spacing w:after="0" w:line="164" w:lineRule="exact"/>
        <w:rPr>
          <w:rFonts w:ascii="Arial" w:cs="Arial" w:eastAsia="Arial" w:hAnsi="Arial"/>
          <w:sz w:val="16"/>
          <w:szCs w:val="16"/>
          <w:color w:val="auto"/>
        </w:rPr>
      </w:pPr>
    </w:p>
    <w:p>
      <w:pPr>
        <w:ind w:left="1700" w:hanging="208"/>
        <w:spacing w:after="0"/>
        <w:tabs>
          <w:tab w:leader="none" w:pos="17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who becomes an employee of a Participating Company and has an Annual Rate of Pay of $250,000 or more as of his employment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commencement date, or</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1"/>
          <w:numId w:val="67"/>
        </w:numPr>
        <w:rPr>
          <w:rFonts w:ascii="Arial" w:cs="Arial" w:eastAsia="Arial" w:hAnsi="Arial"/>
          <w:sz w:val="15"/>
          <w:szCs w:val="15"/>
          <w:color w:val="auto"/>
        </w:rPr>
      </w:pPr>
      <w:r>
        <w:rPr>
          <w:rFonts w:ascii="Arial" w:cs="Arial" w:eastAsia="Arial" w:hAnsi="Arial"/>
          <w:sz w:val="15"/>
          <w:szCs w:val="15"/>
          <w:color w:val="auto"/>
        </w:rPr>
        <w:t>who has an Annual Rate of Pay that is increased to $250,000 or more and who, immediately preceding such increase, was not an Eligible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Employee.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49" w:name="page150"/>
    <w:bookmarkEnd w:id="149"/>
    <w:p>
      <w:pPr>
        <w:ind w:right="200" w:firstLine="921"/>
        <w:spacing w:after="0" w:line="268" w:lineRule="auto"/>
        <w:tabs>
          <w:tab w:leader="none" w:pos="1152"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employee of NBCUniversal who first becomes a member of the NBCUniversal Operating Committee and approved by the Administrator during a Plan Year and who, immediately preceding the effective date of such membership, was not an Eligible Employee.</w:t>
      </w:r>
    </w:p>
    <w:p>
      <w:pPr>
        <w:spacing w:after="0" w:line="131" w:lineRule="exact"/>
        <w:rPr>
          <w:rFonts w:ascii="Arial" w:cs="Arial" w:eastAsia="Arial" w:hAnsi="Arial"/>
          <w:sz w:val="18"/>
          <w:szCs w:val="18"/>
          <w:color w:val="auto"/>
        </w:rPr>
      </w:pPr>
    </w:p>
    <w:p>
      <w:pPr>
        <w:ind w:right="200" w:firstLine="921"/>
        <w:spacing w:after="0" w:line="268" w:lineRule="auto"/>
        <w:tabs>
          <w:tab w:leader="none" w:pos="1162"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Section 2.34(a), (b) or (c) to the contrary, no employee shall be treated as a New Key Employee with respect to any Plan Year under this Section 2.34 if:</w:t>
      </w:r>
    </w:p>
    <w:p>
      <w:pPr>
        <w:spacing w:after="0" w:line="131" w:lineRule="exact"/>
        <w:rPr>
          <w:rFonts w:ascii="Arial" w:cs="Arial" w:eastAsia="Arial" w:hAnsi="Arial"/>
          <w:sz w:val="18"/>
          <w:szCs w:val="18"/>
          <w:color w:val="auto"/>
        </w:rPr>
      </w:pPr>
    </w:p>
    <w:p>
      <w:pPr>
        <w:ind w:right="60" w:firstLine="1492"/>
        <w:spacing w:after="0" w:line="332" w:lineRule="auto"/>
        <w:tabs>
          <w:tab w:leader="none" w:pos="1693" w:val="left"/>
        </w:tabs>
        <w:numPr>
          <w:ilvl w:val="1"/>
          <w:numId w:val="68"/>
        </w:numPr>
        <w:rPr>
          <w:rFonts w:ascii="Arial" w:cs="Arial" w:eastAsia="Arial" w:hAnsi="Arial"/>
          <w:sz w:val="16"/>
          <w:szCs w:val="16"/>
          <w:color w:val="auto"/>
        </w:rPr>
      </w:pPr>
      <w:r>
        <w:rPr>
          <w:rFonts w:ascii="Arial" w:cs="Arial" w:eastAsia="Arial" w:hAnsi="Arial"/>
          <w:sz w:val="16"/>
          <w:szCs w:val="16"/>
          <w:color w:val="auto"/>
        </w:rPr>
        <w:t>Such employee was eligible to participate in another plan sponsored by the Company or an Affiliate of the Company which is considered to be of a similar type as defined in Treasury Regulation Section 1.409A -1(c)(2)(i)(A) or (B) with respect to such Plan Year; or</w:t>
      </w:r>
    </w:p>
    <w:p>
      <w:pPr>
        <w:spacing w:after="0" w:line="85" w:lineRule="exact"/>
        <w:rPr>
          <w:rFonts w:ascii="Arial" w:cs="Arial" w:eastAsia="Arial" w:hAnsi="Arial"/>
          <w:sz w:val="16"/>
          <w:szCs w:val="16"/>
          <w:color w:val="auto"/>
        </w:rPr>
      </w:pPr>
    </w:p>
    <w:p>
      <w:pPr>
        <w:ind w:firstLine="1492"/>
        <w:spacing w:after="0" w:line="259" w:lineRule="auto"/>
        <w:tabs>
          <w:tab w:leader="none" w:pos="1742" w:val="left"/>
        </w:tabs>
        <w:numPr>
          <w:ilvl w:val="1"/>
          <w:numId w:val="68"/>
        </w:numPr>
        <w:rPr>
          <w:rFonts w:ascii="Arial" w:cs="Arial" w:eastAsia="Arial" w:hAnsi="Arial"/>
          <w:sz w:val="18"/>
          <w:szCs w:val="18"/>
          <w:color w:val="auto"/>
        </w:rPr>
      </w:pPr>
      <w:r>
        <w:rPr>
          <w:rFonts w:ascii="Arial" w:cs="Arial" w:eastAsia="Arial" w:hAnsi="Arial"/>
          <w:sz w:val="18"/>
          <w:szCs w:val="18"/>
          <w:color w:val="auto"/>
        </w:rPr>
        <w:t>Such employee has been eligible to participate in the Plan or any other plan referenced in Section 2.34(d)(i)(other than with respect to the accrual of earnings) at any time during the 24-month period ending on the date such employee would, but for this Section 2.34(d), otherwise become a New Key Employee.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171" w:lineRule="exact"/>
        <w:rPr>
          <w:sz w:val="20"/>
          <w:szCs w:val="20"/>
          <w:color w:val="auto"/>
        </w:rPr>
      </w:pPr>
    </w:p>
    <w:p>
      <w:pPr>
        <w:ind w:right="560" w:firstLine="921"/>
        <w:spacing w:after="0" w:line="332" w:lineRule="auto"/>
        <w:tabs>
          <w:tab w:leader="none" w:pos="11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85" w:lineRule="exact"/>
        <w:rPr>
          <w:rFonts w:ascii="Arial" w:cs="Arial" w:eastAsia="Arial" w:hAnsi="Arial"/>
          <w:sz w:val="16"/>
          <w:szCs w:val="16"/>
          <w:color w:val="auto"/>
        </w:rPr>
      </w:pPr>
    </w:p>
    <w:p>
      <w:pPr>
        <w:ind w:right="380" w:firstLine="921"/>
        <w:spacing w:after="0" w:line="268"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a Participant who is an Outside Director or Director Emeritus immediately preceding his termination of service, the Participant’s normal retirement from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2.37.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2.38. “</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the Company and each Affiliate of the Company designated by the Administrator in which the Company owns, directly or indirectly, 50 percent or more of the voting interests or value. Notwithstanding the foregoing, the Administrator may delegate its authority to designate an eligible Affiliate as a Participating Company under this Section 2.38 to an officer of the Company or committee of two or more officers of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50" w:name="page151"/>
    <w:bookmarkEnd w:id="1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2.39.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2.40.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2005 Deferred Compensation Plan, as set forth herein, and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Protected Account Balance</w:t>
      </w:r>
      <w:r>
        <w:rPr>
          <w:rFonts w:ascii="Arial" w:cs="Arial" w:eastAsia="Arial" w:hAnsi="Arial"/>
          <w:sz w:val="18"/>
          <w:szCs w:val="18"/>
          <w:color w:val="auto"/>
        </w:rPr>
        <w:t>” means:</w:t>
      </w:r>
    </w:p>
    <w:p>
      <w:pPr>
        <w:spacing w:after="0" w:line="171" w:lineRule="exact"/>
        <w:rPr>
          <w:sz w:val="20"/>
          <w:szCs w:val="20"/>
          <w:color w:val="auto"/>
        </w:rPr>
      </w:pPr>
    </w:p>
    <w:p>
      <w:pPr>
        <w:ind w:right="160" w:firstLine="921"/>
        <w:spacing w:after="0" w:line="259"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 credited to the Account of an Eligible Comcast Employee, Outside Director or Director Emeritus pursuant to Initial Elections and Subsequent Elections with respect to Compensation earned before January 1, 2014 or pursuant to Company Credits described in Section 3.8 that are credited before January 1, 2014, including interest credits attributable to such amount.</w:t>
      </w:r>
    </w:p>
    <w:p>
      <w:pPr>
        <w:spacing w:after="0" w:line="140" w:lineRule="exact"/>
        <w:rPr>
          <w:rFonts w:ascii="Arial" w:cs="Arial" w:eastAsia="Arial" w:hAnsi="Arial"/>
          <w:sz w:val="18"/>
          <w:szCs w:val="18"/>
          <w:color w:val="auto"/>
        </w:rPr>
      </w:pPr>
    </w:p>
    <w:p>
      <w:pPr>
        <w:ind w:right="100" w:firstLine="921"/>
        <w:spacing w:after="0" w:line="332" w:lineRule="auto"/>
        <w:tabs>
          <w:tab w:leader="none" w:pos="11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portion of an Eligible Comcast Employee’s Account attributable to Company Credits described in Section 3.8 that are made pursuant to an employment agreement entered into on or before December 31, 2013, including interest credits attributable to such amount.</w:t>
      </w:r>
    </w:p>
    <w:p>
      <w:pPr>
        <w:spacing w:after="0" w:line="85" w:lineRule="exact"/>
        <w:rPr>
          <w:rFonts w:ascii="Arial" w:cs="Arial" w:eastAsia="Arial" w:hAnsi="Arial"/>
          <w:sz w:val="16"/>
          <w:szCs w:val="16"/>
          <w:color w:val="auto"/>
        </w:rPr>
      </w:pPr>
    </w:p>
    <w:p>
      <w:pPr>
        <w:ind w:firstLine="921"/>
        <w:spacing w:after="0" w:line="294" w:lineRule="auto"/>
        <w:tabs>
          <w:tab w:leader="none" w:pos="115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amount credited pursuant to Initial Elections with respect to Compensation earned on and after January 1, 2014, if, as of the September 30th immediately preceding the Plan Year to which the Initial Election applies, the sum of (i) an Eligible Comcast Employee’s Account, plus (ii) such Eligible Comcast Employee’s Account in the Prior Plan, plus (iii) such Eligible Employee’s Account in the Comcast Corporation 2002 Restricted Stock Plan (or any successor plan) to the extent such Account is credited to the “Income Fund,” does not exceed the Participant’s highest total account balance as of the last day of any calendar quarter ending during the five-consecutive-year period ending December 31, 2013, including interest credits attributable to such amount.</w:t>
      </w:r>
    </w:p>
    <w:p>
      <w:pPr>
        <w:spacing w:after="0" w:line="115" w:lineRule="exact"/>
        <w:rPr>
          <w:rFonts w:ascii="Arial" w:cs="Arial" w:eastAsia="Arial" w:hAnsi="Arial"/>
          <w:sz w:val="16"/>
          <w:szCs w:val="16"/>
          <w:color w:val="auto"/>
        </w:rPr>
      </w:pPr>
    </w:p>
    <w:p>
      <w:pPr>
        <w:ind w:right="60" w:firstLine="921"/>
        <w:spacing w:after="0" w:line="268" w:lineRule="auto"/>
        <w:tabs>
          <w:tab w:leader="none" w:pos="11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 credited pursuant to Subsequent Elections filed after December 31, 2013 that are attributable to any portion of an Eligible Comcast Employee’s Account described in this Section 2.46.</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280" w:right="339"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2.47.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Signing Bonus</w:t>
      </w:r>
      <w:r>
        <w:rPr>
          <w:rFonts w:ascii="Arial" w:cs="Arial" w:eastAsia="Arial" w:hAnsi="Arial"/>
          <w:sz w:val="18"/>
          <w:szCs w:val="18"/>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2.51.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3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Total Compensation</w:t>
      </w:r>
      <w:r>
        <w:rPr>
          <w:rFonts w:ascii="Arial" w:cs="Arial" w:eastAsia="Arial" w:hAnsi="Arial"/>
          <w:sz w:val="18"/>
          <w:szCs w:val="18"/>
          <w:color w:val="auto"/>
        </w:rPr>
        <w:t>” means, for any Plan Year, the sum of an Eligible Employee’s Annual Rate of Pay, plus Company Credits described in Section 3.8, plus any target bonus amount under an annual cash bonus award, plus the grant date value (for Eligible Comcast Employees) or the target value (for Eligible NBCU Employees) of any annual long-term incentive award granted in the immediately preceding Plan Year, all as determined by the Administrator in its sole discretion, as of the September 30th immediately preceding the Plan Year. 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Initial Elections</w:t>
      </w:r>
      <w:r>
        <w:rPr>
          <w:rFonts w:ascii="Arial" w:cs="Arial" w:eastAsia="Arial" w:hAnsi="Arial"/>
          <w:sz w:val="16"/>
          <w:szCs w:val="16"/>
          <w:color w:val="auto"/>
        </w:rPr>
        <w:t>. Subject to any applicable limitations or restrictions on Initial Elections, each Outside Director, Director Emeritus and Eligible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9" w:right="299" w:bottom="1440" w:gutter="0" w:footer="0" w:header="0"/>
        </w:sectPr>
      </w:pPr>
    </w:p>
    <w:bookmarkStart w:id="152" w:name="page153"/>
    <w:bookmarkEnd w:id="152"/>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the right to defer Compensation by filing an Initial Election with respect to Compensation that he would otherwise be entitled to receive for a calendar year at the time and in the manner described in this Article 3. The Compensation of such Outside Director, Director Emeritus or Eligible Employee for a calendar year shall be reduced in an amount equal to the portion of the Compensation deferred by such Outside Director, Director Emeritus or Eligible Employee for such calendar year pursuant to such Outside Director’s, Director Emeritus’s or Eligible Employee’s Initial Election. Such reduction shall be effected on a pro rata basis from each periodic installment payment of such Outside Director’s, Director Emeritus’s or Eligible Employee’s Compensation for the calendar year (in accordance with the general pay practices of the Participating Company), and credited, as a bookkeeping entry, to such Outside Director’s, Director Emeritus’s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18" w:lineRule="exact"/>
        <w:rPr>
          <w:sz w:val="20"/>
          <w:szCs w:val="20"/>
          <w:color w:val="auto"/>
        </w:rPr>
      </w:pPr>
    </w:p>
    <w:p>
      <w:pPr>
        <w:ind w:right="540" w:firstLine="921"/>
        <w:spacing w:after="0" w:line="259" w:lineRule="auto"/>
        <w:tabs>
          <w:tab w:leader="none" w:pos="116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6" w:lineRule="auto"/>
        <w:tabs>
          <w:tab w:leader="none" w:pos="115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New Key Employees</w:t>
      </w:r>
      <w:r>
        <w:rPr>
          <w:rFonts w:ascii="Arial" w:cs="Arial" w:eastAsia="Arial" w:hAnsi="Arial"/>
          <w:sz w:val="18"/>
          <w:szCs w:val="18"/>
          <w:color w:val="auto"/>
        </w:rPr>
        <w:t>. Notwithstanding Section 3.1 and Section 3.2, a New Key Employee may file an Initial Election to defer Compensation payable for services to be performed after the date of such Initial Election. An Initial Election must be filed with the Administrator within 30 days of the date such New Key Employee first becomes eligible to participate in the Plan. An Initial Election by such New Key Employee for succeeding calendar years may be made in accordance with Section 3.1 and Section 3.2.</w:t>
      </w:r>
    </w:p>
    <w:p>
      <w:pPr>
        <w:spacing w:after="0" w:line="143" w:lineRule="exact"/>
        <w:rPr>
          <w:rFonts w:ascii="Arial" w:cs="Arial" w:eastAsia="Arial" w:hAnsi="Arial"/>
          <w:sz w:val="18"/>
          <w:szCs w:val="18"/>
          <w:color w:val="auto"/>
        </w:rPr>
      </w:pPr>
    </w:p>
    <w:p>
      <w:pPr>
        <w:ind w:right="100" w:firstLine="921"/>
        <w:spacing w:after="0" w:line="298" w:lineRule="auto"/>
        <w:tabs>
          <w:tab w:leader="none" w:pos="116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53" w:name="page154"/>
    <w:bookmarkEnd w:id="153"/>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56" w:lineRule="auto"/>
        <w:tabs>
          <w:tab w:leader="none" w:pos="11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Separate Initial Elections for Each Calendar Year</w:t>
      </w:r>
      <w:r>
        <w:rPr>
          <w:rFonts w:ascii="Arial" w:cs="Arial" w:eastAsia="Arial" w:hAnsi="Arial"/>
          <w:sz w:val="18"/>
          <w:szCs w:val="18"/>
          <w:color w:val="auto"/>
        </w:rPr>
        <w:t>. A separate Initial Election may be made for each calendar year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shall not affect such Outside Director’s or Eligible Employee’s right to make an Initial Election for any other calendar year.</w:t>
      </w:r>
    </w:p>
    <w:p>
      <w:pPr>
        <w:spacing w:after="0" w:line="143" w:lineRule="exact"/>
        <w:rPr>
          <w:rFonts w:ascii="Arial" w:cs="Arial" w:eastAsia="Arial" w:hAnsi="Arial"/>
          <w:sz w:val="18"/>
          <w:szCs w:val="18"/>
          <w:color w:val="auto"/>
        </w:rPr>
      </w:pPr>
    </w:p>
    <w:p>
      <w:pPr>
        <w:ind w:firstLine="921"/>
        <w:spacing w:after="0" w:line="291" w:lineRule="auto"/>
        <w:tabs>
          <w:tab w:leader="none" w:pos="116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Initial Election of Distribution Date</w:t>
      </w:r>
      <w:r>
        <w:rPr>
          <w:rFonts w:ascii="Arial" w:cs="Arial" w:eastAsia="Arial" w:hAnsi="Arial"/>
          <w:sz w:val="16"/>
          <w:szCs w:val="16"/>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date the compensation subject to the Initial Election would be paid but for the Initial Election. Further, each Outside Director, Director Emeritus or Eligible Employee may select with each Initial Election the manner of distribution in accordance with Article 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such Subsequent Election is made.</w:t>
      </w:r>
    </w:p>
    <w:p>
      <w:pPr>
        <w:spacing w:after="0" w:line="194" w:lineRule="exact"/>
        <w:rPr>
          <w:sz w:val="20"/>
          <w:szCs w:val="20"/>
          <w:color w:val="auto"/>
        </w:rPr>
      </w:pPr>
    </w:p>
    <w:p>
      <w:pPr>
        <w:ind w:right="260" w:firstLine="921"/>
        <w:spacing w:after="0" w:line="298" w:lineRule="auto"/>
        <w:tabs>
          <w:tab w:leader="none" w:pos="1152"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112" w:lineRule="exact"/>
        <w:rPr>
          <w:rFonts w:ascii="Arial" w:cs="Arial" w:eastAsia="Arial" w:hAnsi="Arial"/>
          <w:sz w:val="16"/>
          <w:szCs w:val="16"/>
          <w:color w:val="auto"/>
        </w:rPr>
      </w:pPr>
    </w:p>
    <w:p>
      <w:pPr>
        <w:ind w:right="40" w:firstLine="921"/>
        <w:spacing w:after="0" w:line="255" w:lineRule="auto"/>
        <w:tabs>
          <w:tab w:leader="none" w:pos="116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142" w:lineRule="exact"/>
        <w:rPr>
          <w:rFonts w:ascii="Arial" w:cs="Arial" w:eastAsia="Arial" w:hAnsi="Arial"/>
          <w:sz w:val="18"/>
          <w:szCs w:val="18"/>
          <w:color w:val="auto"/>
        </w:rPr>
      </w:pPr>
    </w:p>
    <w:p>
      <w:pPr>
        <w:ind w:right="600" w:firstLine="921"/>
        <w:spacing w:after="0" w:line="268" w:lineRule="auto"/>
        <w:tabs>
          <w:tab w:leader="none" w:pos="115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Surviving Spouses – Subsequent Election</w:t>
      </w:r>
      <w:r>
        <w:rPr>
          <w:rFonts w:ascii="Arial" w:cs="Arial" w:eastAsia="Arial" w:hAnsi="Arial"/>
          <w:sz w:val="18"/>
          <w:szCs w:val="18"/>
          <w:color w:val="auto"/>
        </w:rPr>
        <w:t>. A Surviving Spouse who is a Deceased Participant’s Beneficiary may elect to defer the time of payment of any part or all of such Deceased Participant’s Account the payment of which would be made more than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4" w:name="page155"/>
    <w:bookmarkEnd w:id="15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 with respect to all or any part of the Deceased Participant’s Account. Subsequent Elections pursuant to this Section 3.5(c) may specify different changes with respect to different parts of the Deceased Participant’s Account.</w:t>
      </w:r>
    </w:p>
    <w:p>
      <w:pPr>
        <w:spacing w:after="0" w:line="116" w:lineRule="exact"/>
        <w:rPr>
          <w:sz w:val="20"/>
          <w:szCs w:val="20"/>
          <w:color w:val="auto"/>
        </w:rPr>
      </w:pPr>
    </w:p>
    <w:p>
      <w:pPr>
        <w:ind w:right="20" w:firstLine="921"/>
        <w:spacing w:after="0" w:line="291" w:lineRule="auto"/>
        <w:tabs>
          <w:tab w:leader="none" w:pos="116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Beneficiary of a Deceased Participant Other Than a Surviving Spouse – Subsequent Election</w:t>
      </w:r>
      <w:r>
        <w:rPr>
          <w:rFonts w:ascii="Arial" w:cs="Arial" w:eastAsia="Arial" w:hAnsi="Arial"/>
          <w:sz w:val="16"/>
          <w:szCs w:val="16"/>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 with respect to all or any part of the Deceased Participant’s Account. Subsequent Elections pursuant to this Section 3.5(d) may specify different changes with respect to different parts of the Deceased Participant’s Account.</w:t>
      </w:r>
    </w:p>
    <w:p>
      <w:pPr>
        <w:spacing w:after="0" w:line="120" w:lineRule="exact"/>
        <w:rPr>
          <w:rFonts w:ascii="Arial" w:cs="Arial" w:eastAsia="Arial" w:hAnsi="Arial"/>
          <w:sz w:val="16"/>
          <w:szCs w:val="16"/>
          <w:color w:val="auto"/>
        </w:rPr>
      </w:pPr>
    </w:p>
    <w:p>
      <w:pPr>
        <w:ind w:right="40" w:firstLine="921"/>
        <w:spacing w:after="0" w:line="291" w:lineRule="auto"/>
        <w:tabs>
          <w:tab w:leader="none" w:pos="115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20" w:lineRule="exact"/>
        <w:rPr>
          <w:rFonts w:ascii="Arial" w:cs="Arial" w:eastAsia="Arial" w:hAnsi="Arial"/>
          <w:sz w:val="16"/>
          <w:szCs w:val="16"/>
          <w:color w:val="auto"/>
        </w:rPr>
      </w:pPr>
    </w:p>
    <w:p>
      <w:pPr>
        <w:ind w:right="40" w:firstLine="921"/>
        <w:spacing w:after="0" w:line="259" w:lineRule="auto"/>
        <w:tabs>
          <w:tab w:leader="none" w:pos="113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Except as otherwise specifically provided by the Plan,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55" w:name="page156"/>
    <w:bookmarkEnd w:id="15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171" w:lineRule="exact"/>
        <w:rPr>
          <w:sz w:val="20"/>
          <w:szCs w:val="20"/>
          <w:color w:val="auto"/>
        </w:rPr>
      </w:pPr>
    </w:p>
    <w:p>
      <w:pPr>
        <w:ind w:left="-40" w:right="220" w:firstLine="921"/>
        <w:spacing w:after="0" w:line="298" w:lineRule="auto"/>
        <w:tabs>
          <w:tab w:leader="none" w:pos="1112"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112" w:lineRule="exact"/>
        <w:rPr>
          <w:rFonts w:ascii="Arial" w:cs="Arial" w:eastAsia="Arial" w:hAnsi="Arial"/>
          <w:sz w:val="16"/>
          <w:szCs w:val="16"/>
          <w:color w:val="auto"/>
        </w:rPr>
      </w:pPr>
    </w:p>
    <w:p>
      <w:pPr>
        <w:ind w:left="-40" w:right="260" w:firstLine="921"/>
        <w:spacing w:after="0" w:line="268" w:lineRule="auto"/>
        <w:tabs>
          <w:tab w:leader="none" w:pos="1122"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Section 409A:</w:t>
      </w:r>
    </w:p>
    <w:p>
      <w:pPr>
        <w:spacing w:after="0" w:line="131" w:lineRule="exact"/>
        <w:rPr>
          <w:rFonts w:ascii="Arial" w:cs="Arial" w:eastAsia="Arial" w:hAnsi="Arial"/>
          <w:sz w:val="18"/>
          <w:szCs w:val="18"/>
          <w:color w:val="auto"/>
        </w:rPr>
      </w:pPr>
    </w:p>
    <w:p>
      <w:pPr>
        <w:ind w:left="-40" w:right="40" w:firstLine="1492"/>
        <w:spacing w:after="0" w:line="268" w:lineRule="auto"/>
        <w:tabs>
          <w:tab w:leader="none" w:pos="1653"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31" w:lineRule="exact"/>
        <w:rPr>
          <w:rFonts w:ascii="Arial" w:cs="Arial" w:eastAsia="Arial" w:hAnsi="Arial"/>
          <w:sz w:val="18"/>
          <w:szCs w:val="18"/>
          <w:color w:val="auto"/>
        </w:rPr>
      </w:pPr>
    </w:p>
    <w:p>
      <w:pPr>
        <w:ind w:left="-40" w:right="160" w:firstLine="1492"/>
        <w:spacing w:after="0" w:line="268" w:lineRule="auto"/>
        <w:tabs>
          <w:tab w:leader="none" w:pos="1702"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31" w:lineRule="exact"/>
        <w:rPr>
          <w:rFonts w:ascii="Arial" w:cs="Arial" w:eastAsia="Arial" w:hAnsi="Arial"/>
          <w:sz w:val="18"/>
          <w:szCs w:val="18"/>
          <w:color w:val="auto"/>
        </w:rPr>
      </w:pPr>
    </w:p>
    <w:p>
      <w:pPr>
        <w:ind w:left="-40" w:right="320" w:firstLine="1492"/>
        <w:spacing w:after="0" w:line="298" w:lineRule="auto"/>
        <w:tabs>
          <w:tab w:leader="none" w:pos="1751"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12" w:lineRule="exact"/>
        <w:rPr>
          <w:rFonts w:ascii="Arial" w:cs="Arial" w:eastAsia="Arial" w:hAnsi="Arial"/>
          <w:sz w:val="16"/>
          <w:szCs w:val="16"/>
          <w:color w:val="auto"/>
        </w:rPr>
      </w:pPr>
    </w:p>
    <w:p>
      <w:pPr>
        <w:ind w:left="-40" w:right="180" w:firstLine="1492"/>
        <w:spacing w:after="0" w:line="291" w:lineRule="auto"/>
        <w:tabs>
          <w:tab w:leader="none" w:pos="1741"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20" w:lineRule="exact"/>
        <w:rPr>
          <w:rFonts w:ascii="Arial" w:cs="Arial" w:eastAsia="Arial" w:hAnsi="Arial"/>
          <w:sz w:val="16"/>
          <w:szCs w:val="16"/>
          <w:color w:val="auto"/>
        </w:rPr>
      </w:pPr>
    </w:p>
    <w:p>
      <w:pPr>
        <w:ind w:left="-40" w:firstLine="1492"/>
        <w:spacing w:after="0" w:line="332" w:lineRule="auto"/>
        <w:tabs>
          <w:tab w:leader="none" w:pos="1692" w:val="left"/>
        </w:tabs>
        <w:numPr>
          <w:ilvl w:val="1"/>
          <w:numId w:val="76"/>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85" w:lineRule="exact"/>
        <w:rPr>
          <w:rFonts w:ascii="Arial" w:cs="Arial" w:eastAsia="Arial" w:hAnsi="Arial"/>
          <w:sz w:val="16"/>
          <w:szCs w:val="16"/>
          <w:color w:val="auto"/>
        </w:rPr>
      </w:pPr>
    </w:p>
    <w:p>
      <w:pPr>
        <w:ind w:left="-40" w:right="20" w:firstLine="1492"/>
        <w:spacing w:after="0" w:line="268" w:lineRule="auto"/>
        <w:tabs>
          <w:tab w:leader="none" w:pos="1741" w:val="left"/>
        </w:tabs>
        <w:numPr>
          <w:ilvl w:val="1"/>
          <w:numId w:val="76"/>
        </w:numPr>
        <w:rPr>
          <w:rFonts w:ascii="Arial" w:cs="Arial" w:eastAsia="Arial" w:hAnsi="Arial"/>
          <w:sz w:val="18"/>
          <w:szCs w:val="18"/>
          <w:color w:val="auto"/>
        </w:rPr>
      </w:pPr>
      <w:r>
        <w:rPr>
          <w:rFonts w:ascii="Arial" w:cs="Arial" w:eastAsia="Arial" w:hAnsi="Arial"/>
          <w:sz w:val="18"/>
          <w:szCs w:val="18"/>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80" w:right="259" w:bottom="1440" w:gutter="0" w:footer="0" w:header="0"/>
        </w:sectPr>
      </w:pPr>
    </w:p>
    <w:bookmarkStart w:id="156" w:name="page157"/>
    <w:bookmarkEnd w:id="156"/>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3.8. </w:t>
      </w:r>
      <w:r>
        <w:rPr>
          <w:rFonts w:ascii="Arial" w:cs="Arial" w:eastAsia="Arial" w:hAnsi="Arial"/>
          <w:sz w:val="16"/>
          <w:szCs w:val="16"/>
          <w:u w:val="single" w:color="auto"/>
          <w:color w:val="auto"/>
        </w:rPr>
        <w:t>Company Credits</w:t>
      </w:r>
      <w:r>
        <w:rPr>
          <w:rFonts w:ascii="Arial" w:cs="Arial" w:eastAsia="Arial" w:hAnsi="Arial"/>
          <w:sz w:val="16"/>
          <w:szCs w:val="16"/>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Administrator, as a bookkeeping entry to such Eligible Employee’s Account in accordance with Section 5.1. From and after the date Company Credits are allocated as designated by the Administrator,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10"/>
          <w:szCs w:val="10"/>
          <w:color w:val="auto"/>
        </w:rPr>
        <w:t>nd</w:t>
      </w:r>
      <w:r>
        <w:rPr>
          <w:rFonts w:ascii="Arial" w:cs="Arial" w:eastAsia="Arial" w:hAnsi="Arial"/>
          <w:sz w:val="16"/>
          <w:szCs w:val="16"/>
          <w:color w:val="auto"/>
        </w:rPr>
        <w:t xml:space="preserve"> of the third calendar year beginning after the Plan Year with respect to which the Company Credits were authorized, unless the Participant timely designates another time and form of payment that is a permissible time and form of payment for amounts subject to an Initial Election under Section 3.4(b)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98" w:lineRule="auto"/>
        <w:tabs>
          <w:tab w:leader="none" w:pos="1152"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12" w:lineRule="exact"/>
        <w:rPr>
          <w:rFonts w:ascii="Arial" w:cs="Arial" w:eastAsia="Arial" w:hAnsi="Arial"/>
          <w:sz w:val="16"/>
          <w:szCs w:val="16"/>
          <w:color w:val="auto"/>
        </w:rPr>
      </w:pPr>
    </w:p>
    <w:p>
      <w:pPr>
        <w:ind w:right="40" w:firstLine="921"/>
        <w:spacing w:after="0" w:line="323" w:lineRule="auto"/>
        <w:tabs>
          <w:tab w:leader="none" w:pos="1161"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For purposes of the Plan, a transfer of an employee between two employers, each of which is a Company,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 having terminated employment until the Participant’s termination of service as a Director Emeritus.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 – MANNER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right="160" w:firstLine="8"/>
        <w:spacing w:after="0" w:line="261" w:lineRule="auto"/>
        <w:tabs>
          <w:tab w:leader="none" w:pos="2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To the extent permitted by Section 409A, notwithstanding any Initial Election, Subsequent Election or any other provision of the Plan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164" w:lineRule="exact"/>
        <w:rPr>
          <w:rFonts w:ascii="Arial" w:cs="Arial" w:eastAsia="Arial" w:hAnsi="Arial"/>
          <w:sz w:val="16"/>
          <w:szCs w:val="16"/>
          <w:color w:val="auto"/>
        </w:rPr>
      </w:pPr>
    </w:p>
    <w:p>
      <w:pPr>
        <w:ind w:right="80" w:firstLine="1492"/>
        <w:spacing w:after="0" w:line="259" w:lineRule="auto"/>
        <w:tabs>
          <w:tab w:leader="none" w:pos="1693" w:val="left"/>
        </w:tabs>
        <w:numPr>
          <w:ilvl w:val="2"/>
          <w:numId w:val="79"/>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79"/>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4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Determination of Account Balances for Purposes of Distribution</w:t>
      </w:r>
      <w:r>
        <w:rPr>
          <w:rFonts w:ascii="Arial" w:cs="Arial" w:eastAsia="Arial" w:hAnsi="Arial"/>
          <w:sz w:val="18"/>
          <w:szCs w:val="18"/>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4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40" w:lineRule="exact"/>
        <w:rPr>
          <w:sz w:val="20"/>
          <w:szCs w:val="20"/>
          <w:color w:val="auto"/>
        </w:rPr>
      </w:pPr>
    </w:p>
    <w:p>
      <w:pPr>
        <w:ind w:firstLine="921"/>
        <w:spacing w:after="0" w:line="255" w:lineRule="auto"/>
        <w:tabs>
          <w:tab w:leader="none" w:pos="11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42" w:lineRule="exact"/>
        <w:rPr>
          <w:rFonts w:ascii="Arial" w:cs="Arial" w:eastAsia="Arial" w:hAnsi="Arial"/>
          <w:sz w:val="18"/>
          <w:szCs w:val="18"/>
          <w:color w:val="auto"/>
        </w:rPr>
      </w:pPr>
    </w:p>
    <w:p>
      <w:pPr>
        <w:ind w:right="120" w:firstLine="921"/>
        <w:spacing w:after="0" w:line="294" w:lineRule="auto"/>
        <w:tabs>
          <w:tab w:leader="none" w:pos="1162"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58" w:name="page159"/>
    <w:bookmarkEnd w:id="15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 – BOOK ACCOUNTS</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Deferred Compensation Account</w:t>
      </w:r>
      <w:r>
        <w:rPr>
          <w:rFonts w:ascii="Arial" w:cs="Arial" w:eastAsia="Arial" w:hAnsi="Arial"/>
          <w:sz w:val="16"/>
          <w:szCs w:val="16"/>
          <w:color w:val="auto"/>
        </w:rPr>
        <w:t>. A Deferred Compensation Account shall be established for each Outside Director, Director Emeritus and Eligible Employee when 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171" w:lineRule="exact"/>
        <w:rPr>
          <w:sz w:val="20"/>
          <w:szCs w:val="20"/>
          <w:color w:val="auto"/>
        </w:rPr>
      </w:pPr>
    </w:p>
    <w:p>
      <w:pPr>
        <w:ind w:right="600" w:firstLine="921"/>
        <w:spacing w:after="0" w:line="268" w:lineRule="auto"/>
        <w:tabs>
          <w:tab w:leader="none" w:pos="11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61"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40" w:lineRule="exact"/>
        <w:rPr>
          <w:rFonts w:ascii="Arial" w:cs="Arial" w:eastAsia="Arial" w:hAnsi="Arial"/>
          <w:sz w:val="18"/>
          <w:szCs w:val="18"/>
          <w:color w:val="auto"/>
        </w:rPr>
      </w:pPr>
    </w:p>
    <w:p>
      <w:pPr>
        <w:ind w:right="180" w:firstLine="921"/>
        <w:spacing w:after="0" w:line="256" w:lineRule="auto"/>
        <w:tabs>
          <w:tab w:leader="none" w:pos="11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43" w:lineRule="exact"/>
        <w:rPr>
          <w:rFonts w:ascii="Arial" w:cs="Arial" w:eastAsia="Arial" w:hAnsi="Arial"/>
          <w:sz w:val="18"/>
          <w:szCs w:val="18"/>
          <w:color w:val="auto"/>
        </w:rPr>
      </w:pPr>
    </w:p>
    <w:p>
      <w:pPr>
        <w:ind w:right="180" w:firstLine="921"/>
        <w:spacing w:after="0" w:line="255" w:lineRule="auto"/>
        <w:tabs>
          <w:tab w:leader="none" w:pos="1161"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159" w:name="page160"/>
    <w:bookmarkEnd w:id="15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Non-Alienation</w:t>
      </w:r>
      <w:r>
        <w:rPr>
          <w:rFonts w:ascii="Arial" w:cs="Arial" w:eastAsia="Arial" w:hAnsi="Arial"/>
          <w:sz w:val="18"/>
          <w:szCs w:val="18"/>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Domestic Relations Orders</w:t>
      </w:r>
      <w:r>
        <w:rPr>
          <w:rFonts w:ascii="Arial" w:cs="Arial" w:eastAsia="Arial" w:hAnsi="Arial"/>
          <w:sz w:val="16"/>
          <w:szCs w:val="16"/>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Payee Designation</w:t>
      </w:r>
      <w:r>
        <w:rPr>
          <w:rFonts w:ascii="Arial" w:cs="Arial" w:eastAsia="Arial" w:hAnsi="Arial"/>
          <w:sz w:val="18"/>
          <w:szCs w:val="18"/>
          <w:color w:val="auto"/>
        </w:rPr>
        <w:t>.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60" w:name="page161"/>
    <w:bookmarkEnd w:id="1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 – DEATH OF PARTICIPANT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defer the time of payment pursuant to Section 3.5.</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Participant’s request, the Committee determines that the Participant has incurred a Hardship, the Board may, in its discretion, authorize the immediate distribution of all or any portion of the Participant’s Account.</w:t>
      </w:r>
    </w:p>
    <w:p>
      <w:pPr>
        <w:spacing w:after="0" w:line="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132" w:lineRule="exact"/>
        <w:rPr>
          <w:sz w:val="20"/>
          <w:szCs w:val="20"/>
          <w:color w:val="auto"/>
        </w:rPr>
      </w:pPr>
    </w:p>
    <w:p>
      <w:pPr>
        <w:ind w:right="380" w:firstLine="921"/>
        <w:spacing w:after="0" w:line="268" w:lineRule="auto"/>
        <w:tabs>
          <w:tab w:leader="none" w:pos="11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the extent necessary to comply with laws relating to avoidance of conflicts of interest, as provided in Treasury Regulation section 1.409A-3(j)</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(4)(iii) (or any successor provision of law).</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194" w:lineRule="exact"/>
        <w:rPr>
          <w:rFonts w:ascii="Arial" w:cs="Arial" w:eastAsia="Arial" w:hAnsi="Arial"/>
          <w:sz w:val="16"/>
          <w:szCs w:val="16"/>
          <w:color w:val="auto"/>
        </w:rPr>
      </w:pPr>
    </w:p>
    <w:p>
      <w:pPr>
        <w:ind w:right="680" w:firstLine="921"/>
        <w:spacing w:after="0" w:line="268"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161" w:name="page162"/>
    <w:bookmarkEnd w:id="161"/>
    <w:p>
      <w:pPr>
        <w:ind w:left="1160" w:hanging="239"/>
        <w:spacing w:after="0"/>
        <w:tabs>
          <w:tab w:leader="none" w:pos="1160"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pay state, local or foreign taxes to the extent permitted by Treasury Regulation section 1.409A-3(j)(4)(xi) (or any successor provision of law).</w:t>
      </w:r>
    </w:p>
    <w:p>
      <w:pPr>
        <w:spacing w:after="0" w:line="194" w:lineRule="exact"/>
        <w:rPr>
          <w:rFonts w:ascii="Arial" w:cs="Arial" w:eastAsia="Arial" w:hAnsi="Arial"/>
          <w:sz w:val="16"/>
          <w:szCs w:val="16"/>
          <w:color w:val="auto"/>
        </w:rPr>
      </w:pPr>
    </w:p>
    <w:p>
      <w:pPr>
        <w:ind w:right="20" w:firstLine="921"/>
        <w:spacing w:after="0" w:line="259" w:lineRule="auto"/>
        <w:tabs>
          <w:tab w:leader="none" w:pos="11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connection with a bona fide dispute as to a Participant’s right to payment, to the extent permitted by Treasury Regulation section 1.409A-3(j)</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(4)(xiv) (or any successor provision of law).</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32" w:lineRule="exact"/>
        <w:rPr>
          <w:sz w:val="20"/>
          <w:szCs w:val="20"/>
          <w:color w:val="auto"/>
        </w:rPr>
      </w:pPr>
    </w:p>
    <w:p>
      <w:pPr>
        <w:ind w:left="1160" w:hanging="239"/>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62" w:name="page163"/>
    <w:bookmarkEnd w:id="162"/>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OneComcastCenter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163" w:name="page164"/>
    <w:bookmarkEnd w:id="16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 – MISCELLANEOUS PROVISIONS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original effective date of the Plan is January 1, 2005.</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274" w:right="339" w:bottom="1440" w:gutter="0" w:footer="0" w:header="0"/>
        </w:sectPr>
      </w:pPr>
    </w:p>
    <w:bookmarkStart w:id="164" w:name="page165"/>
    <w:bookmarkEnd w:id="16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COMCAST CORPORATION has caused this Plan to be executed by its officers thereunto duly authorized, and its corporate seal to be affixed hereto, on the 1st day of December,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280" w:right="49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COMCAST CORPORATION RETIREMENT-INVESTMENT PLAN</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Effective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66" w:name="page167"/>
    <w:bookmarkEnd w:id="166"/>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302"/>
        </w:trPr>
        <w:tc>
          <w:tcPr>
            <w:tcW w:w="11060" w:type="dxa"/>
            <w:vAlign w:val="bottom"/>
            <w:gridSpan w:val="28"/>
          </w:tcPr>
          <w:p>
            <w:pPr>
              <w:spacing w:after="0"/>
              <w:rPr>
                <w:sz w:val="20"/>
                <w:szCs w:val="20"/>
                <w:color w:val="auto"/>
              </w:rPr>
            </w:pPr>
            <w:r>
              <w:rPr>
                <w:rFonts w:ascii="Arial" w:cs="Arial" w:eastAsia="Arial" w:hAnsi="Arial"/>
                <w:sz w:val="18"/>
                <w:szCs w:val="18"/>
                <w:color w:val="auto"/>
              </w:rPr>
              <w:t>ARTICLE I DEFINITIONS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060" w:type="dxa"/>
            <w:vAlign w:val="bottom"/>
            <w:gridSpan w:val="28"/>
          </w:tcPr>
          <w:p>
            <w:pPr>
              <w:spacing w:after="0"/>
              <w:rPr>
                <w:sz w:val="20"/>
                <w:szCs w:val="20"/>
                <w:color w:val="auto"/>
              </w:rPr>
            </w:pPr>
            <w:r>
              <w:rPr>
                <w:rFonts w:ascii="Arial" w:cs="Arial" w:eastAsia="Arial" w:hAnsi="Arial"/>
                <w:sz w:val="18"/>
                <w:szCs w:val="18"/>
                <w:color w:val="auto"/>
              </w:rPr>
              <w:t>ARTICLE II TRANSITION AND ELIGIBILITY TO PARTICIPATE</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9260" w:type="dxa"/>
            <w:vAlign w:val="bottom"/>
            <w:gridSpan w:val="27"/>
          </w:tcPr>
          <w:p>
            <w:pPr>
              <w:spacing w:after="0"/>
              <w:rPr>
                <w:sz w:val="20"/>
                <w:szCs w:val="20"/>
                <w:color w:val="auto"/>
              </w:rPr>
            </w:pPr>
            <w:r>
              <w:rPr>
                <w:rFonts w:ascii="Arial" w:cs="Arial" w:eastAsia="Arial" w:hAnsi="Arial"/>
                <w:sz w:val="18"/>
                <w:szCs w:val="18"/>
                <w:color w:val="auto"/>
              </w:rPr>
              <w:t>Rights Affected and Preservation of Accrued Benefit</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2.2.</w:t>
            </w:r>
          </w:p>
        </w:tc>
        <w:tc>
          <w:tcPr>
            <w:tcW w:w="170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3"/>
              </w:rPr>
              <w:t>Eligibility to Participate</w:t>
            </w:r>
          </w:p>
        </w:tc>
        <w:tc>
          <w:tcPr>
            <w:tcW w:w="2020" w:type="dxa"/>
            <w:vAlign w:val="bottom"/>
            <w:tcBorders>
              <w:top w:val="single" w:sz="8" w:color="auto"/>
            </w:tcBorders>
            <w:gridSpan w:val="10"/>
          </w:tcPr>
          <w:p>
            <w:pPr>
              <w:spacing w:after="0"/>
              <w:rPr>
                <w:sz w:val="17"/>
                <w:szCs w:val="17"/>
                <w:color w:val="auto"/>
              </w:rPr>
            </w:pPr>
          </w:p>
        </w:tc>
        <w:tc>
          <w:tcPr>
            <w:tcW w:w="5540" w:type="dxa"/>
            <w:vAlign w:val="bottom"/>
            <w:gridSpan w:val="5"/>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2.3.</w:t>
            </w:r>
          </w:p>
        </w:tc>
        <w:tc>
          <w:tcPr>
            <w:tcW w:w="9260" w:type="dxa"/>
            <w:vAlign w:val="bottom"/>
            <w:gridSpan w:val="27"/>
          </w:tcPr>
          <w:p>
            <w:pPr>
              <w:spacing w:after="0" w:line="196" w:lineRule="exact"/>
              <w:rPr>
                <w:sz w:val="20"/>
                <w:szCs w:val="20"/>
                <w:color w:val="auto"/>
              </w:rPr>
            </w:pPr>
            <w:r>
              <w:rPr>
                <w:rFonts w:ascii="Arial" w:cs="Arial" w:eastAsia="Arial" w:hAnsi="Arial"/>
                <w:sz w:val="18"/>
                <w:szCs w:val="18"/>
                <w:color w:val="auto"/>
              </w:rPr>
              <w:t>Election to Make Pre-Tax Contributions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2.4.</w:t>
            </w:r>
          </w:p>
        </w:tc>
        <w:tc>
          <w:tcPr>
            <w:tcW w:w="9260" w:type="dxa"/>
            <w:vAlign w:val="bottom"/>
            <w:gridSpan w:val="27"/>
          </w:tcPr>
          <w:p>
            <w:pPr>
              <w:spacing w:after="0" w:line="196" w:lineRule="exact"/>
              <w:rPr>
                <w:sz w:val="20"/>
                <w:szCs w:val="20"/>
                <w:color w:val="auto"/>
              </w:rPr>
            </w:pPr>
            <w:r>
              <w:rPr>
                <w:rFonts w:ascii="Arial" w:cs="Arial" w:eastAsia="Arial" w:hAnsi="Arial"/>
                <w:sz w:val="18"/>
                <w:szCs w:val="18"/>
                <w:color w:val="auto"/>
              </w:rPr>
              <w:t>Eligibility to Participate – After-Tax Contributions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2.5.</w:t>
            </w:r>
          </w:p>
        </w:tc>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4"/>
              </w:rPr>
              <w:t>Data</w:t>
            </w:r>
          </w:p>
        </w:tc>
        <w:tc>
          <w:tcPr>
            <w:tcW w:w="3220" w:type="dxa"/>
            <w:vAlign w:val="bottom"/>
            <w:tcBorders>
              <w:top w:val="single" w:sz="8" w:color="auto"/>
            </w:tcBorders>
            <w:gridSpan w:val="20"/>
          </w:tcPr>
          <w:p>
            <w:pPr>
              <w:spacing w:after="0"/>
              <w:rPr>
                <w:sz w:val="17"/>
                <w:szCs w:val="17"/>
                <w:color w:val="auto"/>
              </w:rPr>
            </w:pPr>
          </w:p>
        </w:tc>
        <w:tc>
          <w:tcPr>
            <w:tcW w:w="570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2.6.</w:t>
            </w:r>
          </w:p>
        </w:tc>
        <w:tc>
          <w:tcPr>
            <w:tcW w:w="260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3"/>
              </w:rPr>
              <w:t>Credit for Qualified Military Service</w:t>
            </w:r>
          </w:p>
        </w:tc>
        <w:tc>
          <w:tcPr>
            <w:tcW w:w="6660" w:type="dxa"/>
            <w:vAlign w:val="bottom"/>
            <w:gridSpan w:val="9"/>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43"/>
        </w:trPr>
        <w:tc>
          <w:tcPr>
            <w:tcW w:w="11060" w:type="dxa"/>
            <w:vAlign w:val="bottom"/>
            <w:gridSpan w:val="28"/>
          </w:tcPr>
          <w:p>
            <w:pPr>
              <w:spacing w:after="0"/>
              <w:rPr>
                <w:sz w:val="20"/>
                <w:szCs w:val="20"/>
                <w:color w:val="auto"/>
              </w:rPr>
            </w:pPr>
            <w:r>
              <w:rPr>
                <w:rFonts w:ascii="Arial" w:cs="Arial" w:eastAsia="Arial" w:hAnsi="Arial"/>
                <w:sz w:val="18"/>
                <w:szCs w:val="18"/>
                <w:color w:val="auto"/>
              </w:rPr>
              <w:t>ARTICLE III CONTRIBUTIONS TO THE PLAN</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5040" w:type="dxa"/>
            <w:vAlign w:val="bottom"/>
            <w:tcBorders>
              <w:bottom w:val="single" w:sz="8" w:color="auto"/>
            </w:tcBorders>
            <w:gridSpan w:val="24"/>
          </w:tcPr>
          <w:p>
            <w:pPr>
              <w:spacing w:after="0"/>
              <w:rPr>
                <w:sz w:val="20"/>
                <w:szCs w:val="20"/>
                <w:color w:val="auto"/>
              </w:rPr>
            </w:pPr>
            <w:r>
              <w:rPr>
                <w:rFonts w:ascii="Arial" w:cs="Arial" w:eastAsia="Arial" w:hAnsi="Arial"/>
                <w:sz w:val="18"/>
                <w:szCs w:val="18"/>
                <w:color w:val="auto"/>
                <w:w w:val="89"/>
              </w:rPr>
              <w:t>Pre-Tax Contributions, Catch-Up Contributions and Roth Contributions</w:t>
            </w:r>
          </w:p>
        </w:tc>
        <w:tc>
          <w:tcPr>
            <w:tcW w:w="422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3.2.</w:t>
            </w:r>
          </w:p>
        </w:tc>
        <w:tc>
          <w:tcPr>
            <w:tcW w:w="170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After-Tax Contributions</w:t>
            </w:r>
          </w:p>
        </w:tc>
        <w:tc>
          <w:tcPr>
            <w:tcW w:w="7560" w:type="dxa"/>
            <w:vAlign w:val="bottom"/>
            <w:gridSpan w:val="15"/>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3.3.</w:t>
            </w:r>
          </w:p>
        </w:tc>
        <w:tc>
          <w:tcPr>
            <w:tcW w:w="192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5"/>
              </w:rPr>
              <w:t>Change of Percentage Rate</w:t>
            </w:r>
          </w:p>
        </w:tc>
        <w:tc>
          <w:tcPr>
            <w:tcW w:w="7340" w:type="dxa"/>
            <w:vAlign w:val="bottom"/>
            <w:gridSpan w:val="1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3.4.</w:t>
            </w:r>
          </w:p>
        </w:tc>
        <w:tc>
          <w:tcPr>
            <w:tcW w:w="9260" w:type="dxa"/>
            <w:vAlign w:val="bottom"/>
            <w:gridSpan w:val="27"/>
          </w:tcPr>
          <w:p>
            <w:pPr>
              <w:spacing w:after="0" w:line="196" w:lineRule="exact"/>
              <w:rPr>
                <w:sz w:val="20"/>
                <w:szCs w:val="20"/>
                <w:color w:val="auto"/>
              </w:rPr>
            </w:pPr>
            <w:r>
              <w:rPr>
                <w:rFonts w:ascii="Arial" w:cs="Arial" w:eastAsia="Arial" w:hAnsi="Arial"/>
                <w:sz w:val="18"/>
                <w:szCs w:val="18"/>
                <w:color w:val="auto"/>
              </w:rPr>
              <w:t>Discontinuance of Pre-Tax Contributions, Roth Contributions and After-Tax Contributions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3.5.</w:t>
            </w:r>
          </w:p>
        </w:tc>
        <w:tc>
          <w:tcPr>
            <w:tcW w:w="636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Matching Contributions</w:t>
            </w:r>
          </w:p>
        </w:tc>
        <w:tc>
          <w:tcPr>
            <w:tcW w:w="290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8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3.6.</w:t>
            </w:r>
          </w:p>
        </w:tc>
        <w:tc>
          <w:tcPr>
            <w:tcW w:w="9260" w:type="dxa"/>
            <w:vAlign w:val="bottom"/>
            <w:gridSpan w:val="27"/>
          </w:tcPr>
          <w:p>
            <w:pPr>
              <w:spacing w:after="0" w:line="196" w:lineRule="exact"/>
              <w:rPr>
                <w:sz w:val="20"/>
                <w:szCs w:val="20"/>
                <w:color w:val="auto"/>
              </w:rPr>
            </w:pPr>
            <w:r>
              <w:rPr>
                <w:rFonts w:ascii="Arial" w:cs="Arial" w:eastAsia="Arial" w:hAnsi="Arial"/>
                <w:sz w:val="18"/>
                <w:szCs w:val="18"/>
                <w:color w:val="auto"/>
              </w:rPr>
              <w:t>Timing and Deductibility of Contributions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3.7.</w:t>
            </w:r>
          </w:p>
        </w:tc>
        <w:tc>
          <w:tcPr>
            <w:tcW w:w="298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Fund</w:t>
            </w:r>
          </w:p>
        </w:tc>
        <w:tc>
          <w:tcPr>
            <w:tcW w:w="6280" w:type="dxa"/>
            <w:vAlign w:val="bottom"/>
            <w:gridSpan w:val="7"/>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8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3.8.</w:t>
            </w:r>
          </w:p>
        </w:tc>
        <w:tc>
          <w:tcPr>
            <w:tcW w:w="460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0"/>
              </w:rPr>
              <w:t>Limitation on Pre-Tax Contributions and Matching Contributions</w:t>
            </w:r>
          </w:p>
        </w:tc>
        <w:tc>
          <w:tcPr>
            <w:tcW w:w="466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3.9.</w:t>
            </w:r>
          </w:p>
        </w:tc>
        <w:tc>
          <w:tcPr>
            <w:tcW w:w="648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0"/>
              </w:rPr>
              <w:t>Prevention of Violation of Limitation on Pre-Tax Contributions and Matching Contributions</w:t>
            </w:r>
          </w:p>
        </w:tc>
        <w:tc>
          <w:tcPr>
            <w:tcW w:w="27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3.10.</w:t>
            </w:r>
          </w:p>
        </w:tc>
        <w:tc>
          <w:tcPr>
            <w:tcW w:w="9260" w:type="dxa"/>
            <w:vAlign w:val="bottom"/>
            <w:gridSpan w:val="27"/>
          </w:tcPr>
          <w:p>
            <w:pPr>
              <w:spacing w:after="0" w:line="196" w:lineRule="exact"/>
              <w:rPr>
                <w:sz w:val="20"/>
                <w:szCs w:val="20"/>
                <w:color w:val="auto"/>
              </w:rPr>
            </w:pPr>
            <w:r>
              <w:rPr>
                <w:rFonts w:ascii="Arial" w:cs="Arial" w:eastAsia="Arial" w:hAnsi="Arial"/>
                <w:sz w:val="18"/>
                <w:szCs w:val="18"/>
                <w:color w:val="auto"/>
              </w:rPr>
              <w:t>Maximum Allocation</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3.11.</w:t>
            </w:r>
          </w:p>
        </w:tc>
        <w:tc>
          <w:tcPr>
            <w:tcW w:w="1340" w:type="dxa"/>
            <w:vAlign w:val="bottom"/>
            <w:tcBorders>
              <w:top w:val="single" w:sz="8" w:color="auto"/>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6"/>
              </w:rPr>
              <w:t>Safe Harbor Status</w:t>
            </w:r>
          </w:p>
        </w:tc>
        <w:tc>
          <w:tcPr>
            <w:tcW w:w="180" w:type="dxa"/>
            <w:vAlign w:val="bottom"/>
            <w:tcBorders>
              <w:top w:val="single" w:sz="8" w:color="auto"/>
            </w:tcBorders>
          </w:tcPr>
          <w:p>
            <w:pPr>
              <w:spacing w:after="0"/>
              <w:rPr>
                <w:sz w:val="17"/>
                <w:szCs w:val="17"/>
                <w:color w:val="auto"/>
              </w:rPr>
            </w:pPr>
          </w:p>
        </w:tc>
        <w:tc>
          <w:tcPr>
            <w:tcW w:w="7740" w:type="dxa"/>
            <w:vAlign w:val="bottom"/>
            <w:gridSpan w:val="1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3.12.</w:t>
            </w:r>
          </w:p>
        </w:tc>
        <w:tc>
          <w:tcPr>
            <w:tcW w:w="9260" w:type="dxa"/>
            <w:vAlign w:val="bottom"/>
            <w:gridSpan w:val="27"/>
          </w:tcPr>
          <w:p>
            <w:pPr>
              <w:spacing w:after="0" w:line="196" w:lineRule="exact"/>
              <w:rPr>
                <w:sz w:val="20"/>
                <w:szCs w:val="20"/>
                <w:color w:val="auto"/>
              </w:rPr>
            </w:pPr>
            <w:r>
              <w:rPr>
                <w:rFonts w:ascii="Arial" w:cs="Arial" w:eastAsia="Arial" w:hAnsi="Arial"/>
                <w:sz w:val="18"/>
                <w:szCs w:val="18"/>
                <w:color w:val="auto"/>
              </w:rPr>
              <w:t>Distribution of Excess Contributions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80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43"/>
        </w:trPr>
        <w:tc>
          <w:tcPr>
            <w:tcW w:w="11060" w:type="dxa"/>
            <w:vAlign w:val="bottom"/>
            <w:gridSpan w:val="28"/>
          </w:tcPr>
          <w:p>
            <w:pPr>
              <w:spacing w:after="0"/>
              <w:rPr>
                <w:sz w:val="20"/>
                <w:szCs w:val="20"/>
                <w:color w:val="auto"/>
              </w:rPr>
            </w:pPr>
            <w:r>
              <w:rPr>
                <w:rFonts w:ascii="Arial" w:cs="Arial" w:eastAsia="Arial" w:hAnsi="Arial"/>
                <w:sz w:val="18"/>
                <w:szCs w:val="18"/>
                <w:color w:val="auto"/>
              </w:rPr>
              <w:t>ARTICLE IV PARTICIPANTS’ ACCOUNTS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9260" w:type="dxa"/>
            <w:vAlign w:val="bottom"/>
            <w:gridSpan w:val="27"/>
          </w:tcPr>
          <w:p>
            <w:pPr>
              <w:spacing w:after="0"/>
              <w:rPr>
                <w:sz w:val="20"/>
                <w:szCs w:val="20"/>
                <w:color w:val="auto"/>
              </w:rPr>
            </w:pPr>
            <w:r>
              <w:rPr>
                <w:rFonts w:ascii="Arial" w:cs="Arial" w:eastAsia="Arial" w:hAnsi="Arial"/>
                <w:sz w:val="18"/>
                <w:szCs w:val="18"/>
                <w:color w:val="auto"/>
              </w:rPr>
              <w:t>Accounts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80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40" w:type="dxa"/>
            <w:vAlign w:val="bottom"/>
            <w:gridSpan w:val="1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4.2.</w:t>
            </w:r>
          </w:p>
        </w:tc>
        <w:tc>
          <w:tcPr>
            <w:tcW w:w="68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7"/>
              </w:rPr>
              <w:t>Valuation</w:t>
            </w:r>
          </w:p>
        </w:tc>
        <w:tc>
          <w:tcPr>
            <w:tcW w:w="8580" w:type="dxa"/>
            <w:vAlign w:val="bottom"/>
            <w:gridSpan w:val="2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4.3.</w:t>
            </w:r>
          </w:p>
        </w:tc>
        <w:tc>
          <w:tcPr>
            <w:tcW w:w="222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Apportionment of Gain or Loss</w:t>
            </w:r>
          </w:p>
        </w:tc>
        <w:tc>
          <w:tcPr>
            <w:tcW w:w="704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4.4.</w:t>
            </w:r>
          </w:p>
        </w:tc>
        <w:tc>
          <w:tcPr>
            <w:tcW w:w="9260" w:type="dxa"/>
            <w:vAlign w:val="bottom"/>
            <w:gridSpan w:val="27"/>
          </w:tcPr>
          <w:p>
            <w:pPr>
              <w:spacing w:after="0" w:line="196" w:lineRule="exact"/>
              <w:rPr>
                <w:sz w:val="20"/>
                <w:szCs w:val="20"/>
                <w:color w:val="auto"/>
              </w:rPr>
            </w:pPr>
            <w:r>
              <w:rPr>
                <w:rFonts w:ascii="Arial" w:cs="Arial" w:eastAsia="Arial" w:hAnsi="Arial"/>
                <w:sz w:val="18"/>
                <w:szCs w:val="18"/>
                <w:color w:val="auto"/>
              </w:rPr>
              <w:t>Accounting for Allocations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80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340" w:type="dxa"/>
            <w:vAlign w:val="bottom"/>
            <w:gridSpan w:val="1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43"/>
        </w:trPr>
        <w:tc>
          <w:tcPr>
            <w:tcW w:w="11060" w:type="dxa"/>
            <w:vAlign w:val="bottom"/>
            <w:gridSpan w:val="28"/>
          </w:tcPr>
          <w:p>
            <w:pPr>
              <w:spacing w:after="0"/>
              <w:rPr>
                <w:sz w:val="20"/>
                <w:szCs w:val="20"/>
                <w:color w:val="auto"/>
              </w:rPr>
            </w:pPr>
            <w:r>
              <w:rPr>
                <w:rFonts w:ascii="Arial" w:cs="Arial" w:eastAsia="Arial" w:hAnsi="Arial"/>
                <w:sz w:val="18"/>
                <w:szCs w:val="18"/>
                <w:color w:val="auto"/>
              </w:rPr>
              <w:t>ARTICLE V DISTRIBUTION</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4"/>
              </w:rPr>
              <w:t>General</w:t>
            </w:r>
          </w:p>
        </w:tc>
        <w:tc>
          <w:tcPr>
            <w:tcW w:w="8700" w:type="dxa"/>
            <w:vAlign w:val="bottom"/>
            <w:gridSpan w:val="2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5.2.</w:t>
            </w:r>
          </w:p>
        </w:tc>
        <w:tc>
          <w:tcPr>
            <w:tcW w:w="172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8"/>
              </w:rPr>
              <w:t>Separation from Service</w:t>
            </w:r>
          </w:p>
        </w:tc>
        <w:tc>
          <w:tcPr>
            <w:tcW w:w="7540" w:type="dxa"/>
            <w:vAlign w:val="bottom"/>
            <w:gridSpan w:val="1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5.3.</w:t>
            </w:r>
          </w:p>
        </w:tc>
        <w:tc>
          <w:tcPr>
            <w:tcW w:w="9260" w:type="dxa"/>
            <w:vAlign w:val="bottom"/>
            <w:gridSpan w:val="27"/>
          </w:tcPr>
          <w:p>
            <w:pPr>
              <w:spacing w:after="0" w:line="196" w:lineRule="exact"/>
              <w:rPr>
                <w:sz w:val="20"/>
                <w:szCs w:val="20"/>
                <w:color w:val="auto"/>
              </w:rPr>
            </w:pPr>
            <w:r>
              <w:rPr>
                <w:rFonts w:ascii="Arial" w:cs="Arial" w:eastAsia="Arial" w:hAnsi="Arial"/>
                <w:sz w:val="18"/>
                <w:szCs w:val="18"/>
                <w:color w:val="auto"/>
              </w:rPr>
              <w:t>Death</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80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440" w:type="dxa"/>
            <w:vAlign w:val="bottom"/>
            <w:gridSpan w:val="1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5.4.</w:t>
            </w:r>
          </w:p>
        </w:tc>
        <w:tc>
          <w:tcPr>
            <w:tcW w:w="11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2"/>
              </w:rPr>
              <w:t>Total Disability</w:t>
            </w:r>
          </w:p>
        </w:tc>
        <w:tc>
          <w:tcPr>
            <w:tcW w:w="8160" w:type="dxa"/>
            <w:vAlign w:val="bottom"/>
            <w:gridSpan w:val="20"/>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5.5.</w:t>
            </w:r>
          </w:p>
        </w:tc>
        <w:tc>
          <w:tcPr>
            <w:tcW w:w="182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1"/>
              </w:rPr>
              <w:t>Valuation for Distribution</w:t>
            </w:r>
          </w:p>
        </w:tc>
        <w:tc>
          <w:tcPr>
            <w:tcW w:w="7440" w:type="dxa"/>
            <w:vAlign w:val="bottom"/>
            <w:gridSpan w:val="1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5.6.</w:t>
            </w:r>
          </w:p>
        </w:tc>
        <w:tc>
          <w:tcPr>
            <w:tcW w:w="160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3"/>
              </w:rPr>
              <w:t>Timing of Distribution</w:t>
            </w:r>
          </w:p>
        </w:tc>
        <w:tc>
          <w:tcPr>
            <w:tcW w:w="7660" w:type="dxa"/>
            <w:vAlign w:val="bottom"/>
            <w:gridSpan w:val="17"/>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64"/>
        </w:trPr>
        <w:tc>
          <w:tcPr>
            <w:tcW w:w="1800" w:type="dxa"/>
            <w:vAlign w:val="bottom"/>
          </w:tcPr>
          <w:p>
            <w:pPr>
              <w:ind w:left="440"/>
              <w:spacing w:after="0"/>
              <w:rPr>
                <w:sz w:val="20"/>
                <w:szCs w:val="20"/>
                <w:color w:val="auto"/>
              </w:rPr>
            </w:pPr>
            <w:r>
              <w:rPr>
                <w:rFonts w:ascii="Arial" w:cs="Arial" w:eastAsia="Arial" w:hAnsi="Arial"/>
                <w:sz w:val="18"/>
                <w:szCs w:val="18"/>
                <w:color w:val="auto"/>
              </w:rPr>
              <w:t>Section 5.7.</w:t>
            </w:r>
          </w:p>
        </w:tc>
        <w:tc>
          <w:tcPr>
            <w:tcW w:w="9260" w:type="dxa"/>
            <w:vAlign w:val="bottom"/>
            <w:gridSpan w:val="31"/>
          </w:tcPr>
          <w:p>
            <w:pPr>
              <w:spacing w:after="0"/>
              <w:rPr>
                <w:sz w:val="20"/>
                <w:szCs w:val="20"/>
                <w:color w:val="auto"/>
              </w:rPr>
            </w:pPr>
            <w:r>
              <w:rPr>
                <w:rFonts w:ascii="Arial" w:cs="Arial" w:eastAsia="Arial" w:hAnsi="Arial"/>
                <w:sz w:val="18"/>
                <w:szCs w:val="18"/>
                <w:color w:val="auto"/>
              </w:rPr>
              <w:t>Mode of Distribution of Retirement or Disability Benefits</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5.8.</w:t>
            </w:r>
          </w:p>
        </w:tc>
        <w:tc>
          <w:tcPr>
            <w:tcW w:w="9260" w:type="dxa"/>
            <w:vAlign w:val="bottom"/>
            <w:gridSpan w:val="31"/>
          </w:tcPr>
          <w:p>
            <w:pPr>
              <w:spacing w:after="0" w:line="196" w:lineRule="exact"/>
              <w:rPr>
                <w:sz w:val="20"/>
                <w:szCs w:val="20"/>
                <w:color w:val="auto"/>
              </w:rPr>
            </w:pPr>
            <w:r>
              <w:rPr>
                <w:rFonts w:ascii="Arial" w:cs="Arial" w:eastAsia="Arial" w:hAnsi="Arial"/>
                <w:sz w:val="18"/>
                <w:szCs w:val="18"/>
                <w:color w:val="auto"/>
              </w:rPr>
              <w:t>Rules for Election of Optional Mode of Retirement or Disability Benefit</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5.9.</w:t>
            </w:r>
          </w:p>
        </w:tc>
        <w:tc>
          <w:tcPr>
            <w:tcW w:w="106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8"/>
              </w:rPr>
              <w:t>Death Benefits</w:t>
            </w:r>
          </w:p>
        </w:tc>
        <w:tc>
          <w:tcPr>
            <w:tcW w:w="4020" w:type="dxa"/>
            <w:vAlign w:val="bottom"/>
            <w:tcBorders>
              <w:top w:val="single" w:sz="8" w:color="auto"/>
            </w:tcBorders>
            <w:gridSpan w:val="26"/>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5.10.</w:t>
            </w:r>
          </w:p>
        </w:tc>
        <w:tc>
          <w:tcPr>
            <w:tcW w:w="198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8"/>
              </w:rPr>
              <w:t>Explanations to Participants</w:t>
            </w:r>
          </w:p>
        </w:tc>
        <w:tc>
          <w:tcPr>
            <w:tcW w:w="7280" w:type="dxa"/>
            <w:vAlign w:val="bottom"/>
            <w:gridSpan w:val="17"/>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5.11.</w:t>
            </w:r>
          </w:p>
        </w:tc>
        <w:tc>
          <w:tcPr>
            <w:tcW w:w="17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Beneficiary Designation</w:t>
            </w:r>
          </w:p>
        </w:tc>
        <w:tc>
          <w:tcPr>
            <w:tcW w:w="7540" w:type="dxa"/>
            <w:vAlign w:val="bottom"/>
            <w:gridSpan w:val="19"/>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5.12.</w:t>
            </w:r>
          </w:p>
        </w:tc>
        <w:tc>
          <w:tcPr>
            <w:tcW w:w="236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9"/>
              </w:rPr>
              <w:t>Recalculation of Life Expectancy</w:t>
            </w:r>
          </w:p>
        </w:tc>
        <w:tc>
          <w:tcPr>
            <w:tcW w:w="6900" w:type="dxa"/>
            <w:vAlign w:val="bottom"/>
            <w:gridSpan w:val="1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5.13.</w:t>
            </w:r>
          </w:p>
        </w:tc>
        <w:tc>
          <w:tcPr>
            <w:tcW w:w="9260" w:type="dxa"/>
            <w:vAlign w:val="bottom"/>
            <w:gridSpan w:val="31"/>
          </w:tcPr>
          <w:p>
            <w:pPr>
              <w:spacing w:after="0" w:line="196" w:lineRule="exact"/>
              <w:rPr>
                <w:sz w:val="20"/>
                <w:szCs w:val="20"/>
                <w:color w:val="auto"/>
              </w:rPr>
            </w:pPr>
            <w:r>
              <w:rPr>
                <w:rFonts w:ascii="Arial" w:cs="Arial" w:eastAsia="Arial" w:hAnsi="Arial"/>
                <w:sz w:val="18"/>
                <w:szCs w:val="18"/>
                <w:color w:val="auto"/>
              </w:rPr>
              <w:t>Transfer of Account to Other Plan</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5.14.</w:t>
            </w:r>
          </w:p>
        </w:tc>
        <w:tc>
          <w:tcPr>
            <w:tcW w:w="240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Section 401(a)(9)</w:t>
            </w:r>
          </w:p>
        </w:tc>
        <w:tc>
          <w:tcPr>
            <w:tcW w:w="6860" w:type="dxa"/>
            <w:vAlign w:val="bottom"/>
            <w:gridSpan w:val="1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43"/>
        </w:trPr>
        <w:tc>
          <w:tcPr>
            <w:tcW w:w="1800" w:type="dxa"/>
            <w:vAlign w:val="bottom"/>
          </w:tcPr>
          <w:p>
            <w:pPr>
              <w:spacing w:after="0"/>
              <w:rPr>
                <w:sz w:val="20"/>
                <w:szCs w:val="20"/>
                <w:color w:val="auto"/>
              </w:rPr>
            </w:pPr>
            <w:r>
              <w:rPr>
                <w:rFonts w:ascii="Arial" w:cs="Arial" w:eastAsia="Arial" w:hAnsi="Arial"/>
                <w:sz w:val="18"/>
                <w:szCs w:val="18"/>
                <w:color w:val="auto"/>
                <w:w w:val="97"/>
              </w:rPr>
              <w:t>ARTICLE VI VESTING</w:t>
            </w: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9260" w:type="dxa"/>
            <w:vAlign w:val="bottom"/>
            <w:gridSpan w:val="31"/>
          </w:tcPr>
          <w:p>
            <w:pPr>
              <w:spacing w:after="0"/>
              <w:rPr>
                <w:sz w:val="20"/>
                <w:szCs w:val="20"/>
                <w:color w:val="auto"/>
              </w:rPr>
            </w:pPr>
            <w:r>
              <w:rPr>
                <w:rFonts w:ascii="Arial" w:cs="Arial" w:eastAsia="Arial" w:hAnsi="Arial"/>
                <w:sz w:val="18"/>
                <w:szCs w:val="18"/>
                <w:color w:val="auto"/>
              </w:rPr>
              <w:t>Nonforfeitable Amounts</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6.2.</w:t>
            </w:r>
          </w:p>
        </w:tc>
        <w:tc>
          <w:tcPr>
            <w:tcW w:w="198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7"/>
              </w:rPr>
              <w:t>Years of Service for Vesting</w:t>
            </w:r>
          </w:p>
        </w:tc>
        <w:tc>
          <w:tcPr>
            <w:tcW w:w="7280" w:type="dxa"/>
            <w:vAlign w:val="bottom"/>
            <w:gridSpan w:val="17"/>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6.3.</w:t>
            </w:r>
          </w:p>
        </w:tc>
        <w:tc>
          <w:tcPr>
            <w:tcW w:w="268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7"/>
              </w:rPr>
              <w:t>Breaks in Service and Loss of Service</w:t>
            </w:r>
          </w:p>
        </w:tc>
        <w:tc>
          <w:tcPr>
            <w:tcW w:w="65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6.4.</w:t>
            </w:r>
          </w:p>
        </w:tc>
        <w:tc>
          <w:tcPr>
            <w:tcW w:w="15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88"/>
              </w:rPr>
              <w:t>Restoration of Service</w:t>
            </w:r>
          </w:p>
        </w:tc>
        <w:tc>
          <w:tcPr>
            <w:tcW w:w="7680" w:type="dxa"/>
            <w:vAlign w:val="bottom"/>
            <w:gridSpan w:val="2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6.5.</w:t>
            </w:r>
          </w:p>
        </w:tc>
        <w:tc>
          <w:tcPr>
            <w:tcW w:w="9260" w:type="dxa"/>
            <w:vAlign w:val="bottom"/>
            <w:gridSpan w:val="31"/>
          </w:tcPr>
          <w:p>
            <w:pPr>
              <w:spacing w:after="0" w:line="196" w:lineRule="exact"/>
              <w:rPr>
                <w:sz w:val="20"/>
                <w:szCs w:val="20"/>
                <w:color w:val="auto"/>
              </w:rPr>
            </w:pPr>
            <w:r>
              <w:rPr>
                <w:rFonts w:ascii="Arial" w:cs="Arial" w:eastAsia="Arial" w:hAnsi="Arial"/>
                <w:sz w:val="18"/>
                <w:szCs w:val="18"/>
                <w:color w:val="auto"/>
              </w:rPr>
              <w:t>Forfeitures and Restoration of Forfeited Amounts upon Reemployment</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060" w:type="dxa"/>
            <w:vAlign w:val="bottom"/>
            <w:gridSpan w:val="32"/>
          </w:tcPr>
          <w:p>
            <w:pPr>
              <w:spacing w:after="0"/>
              <w:rPr>
                <w:sz w:val="20"/>
                <w:szCs w:val="20"/>
                <w:color w:val="auto"/>
              </w:rPr>
            </w:pPr>
            <w:r>
              <w:rPr>
                <w:rFonts w:ascii="Arial" w:cs="Arial" w:eastAsia="Arial" w:hAnsi="Arial"/>
                <w:sz w:val="18"/>
                <w:szCs w:val="18"/>
                <w:color w:val="auto"/>
              </w:rPr>
              <w:t>ARTICLE VII ROLLOVER CONTRIBUTIONS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9260" w:type="dxa"/>
            <w:vAlign w:val="bottom"/>
            <w:gridSpan w:val="31"/>
          </w:tcPr>
          <w:p>
            <w:pPr>
              <w:spacing w:after="0"/>
              <w:rPr>
                <w:sz w:val="20"/>
                <w:szCs w:val="20"/>
                <w:color w:val="auto"/>
              </w:rPr>
            </w:pPr>
            <w:r>
              <w:rPr>
                <w:rFonts w:ascii="Arial" w:cs="Arial" w:eastAsia="Arial" w:hAnsi="Arial"/>
                <w:sz w:val="18"/>
                <w:szCs w:val="18"/>
                <w:color w:val="auto"/>
              </w:rPr>
              <w:t>Rollover Contributions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7.2.</w:t>
            </w:r>
          </w:p>
        </w:tc>
        <w:tc>
          <w:tcPr>
            <w:tcW w:w="9260" w:type="dxa"/>
            <w:vAlign w:val="bottom"/>
            <w:gridSpan w:val="31"/>
          </w:tcPr>
          <w:p>
            <w:pPr>
              <w:spacing w:after="0" w:line="196" w:lineRule="exact"/>
              <w:rPr>
                <w:sz w:val="20"/>
                <w:szCs w:val="20"/>
                <w:color w:val="auto"/>
              </w:rPr>
            </w:pPr>
            <w:r>
              <w:rPr>
                <w:rFonts w:ascii="Arial" w:cs="Arial" w:eastAsia="Arial" w:hAnsi="Arial"/>
                <w:sz w:val="18"/>
                <w:szCs w:val="18"/>
                <w:color w:val="auto"/>
              </w:rPr>
              <w:t>Vesting and Distribution of Rollover Account</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7.3.</w:t>
            </w:r>
          </w:p>
        </w:tc>
        <w:tc>
          <w:tcPr>
            <w:tcW w:w="320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rPr>
              <w:t>Additional Rollover Amounts</w:t>
            </w:r>
          </w:p>
        </w:tc>
        <w:tc>
          <w:tcPr>
            <w:tcW w:w="6060" w:type="dxa"/>
            <w:vAlign w:val="bottom"/>
            <w:gridSpan w:val="9"/>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060" w:type="dxa"/>
            <w:vAlign w:val="bottom"/>
            <w:gridSpan w:val="32"/>
          </w:tcPr>
          <w:p>
            <w:pPr>
              <w:spacing w:after="0"/>
              <w:rPr>
                <w:sz w:val="20"/>
                <w:szCs w:val="20"/>
                <w:color w:val="auto"/>
              </w:rPr>
            </w:pPr>
            <w:r>
              <w:rPr>
                <w:rFonts w:ascii="Arial" w:cs="Arial" w:eastAsia="Arial" w:hAnsi="Arial"/>
                <w:sz w:val="18"/>
                <w:szCs w:val="18"/>
                <w:color w:val="auto"/>
              </w:rPr>
              <w:t>ARTICLE VIII WITHDRAWALS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3920" w:type="dxa"/>
            <w:vAlign w:val="bottom"/>
            <w:tcBorders>
              <w:bottom w:val="single" w:sz="8" w:color="auto"/>
            </w:tcBorders>
            <w:gridSpan w:val="27"/>
          </w:tcPr>
          <w:p>
            <w:pPr>
              <w:spacing w:after="0"/>
              <w:rPr>
                <w:sz w:val="20"/>
                <w:szCs w:val="20"/>
                <w:color w:val="auto"/>
              </w:rPr>
            </w:pPr>
            <w:r>
              <w:rPr>
                <w:rFonts w:ascii="Arial" w:cs="Arial" w:eastAsia="Arial" w:hAnsi="Arial"/>
                <w:sz w:val="18"/>
                <w:szCs w:val="18"/>
                <w:color w:val="auto"/>
                <w:w w:val="89"/>
              </w:rPr>
              <w:t>Withdrawals Not Subject to Section 401(k) Restrictions</w:t>
            </w:r>
          </w:p>
        </w:tc>
        <w:tc>
          <w:tcPr>
            <w:tcW w:w="5340" w:type="dxa"/>
            <w:vAlign w:val="bottom"/>
            <w:gridSpan w:val="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8.2.</w:t>
            </w:r>
          </w:p>
        </w:tc>
        <w:tc>
          <w:tcPr>
            <w:tcW w:w="362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89"/>
              </w:rPr>
              <w:t>Withdrawals Subject to Section 401(k) Restrictions</w:t>
            </w:r>
          </w:p>
        </w:tc>
        <w:tc>
          <w:tcPr>
            <w:tcW w:w="564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56"/>
        </w:trPr>
        <w:tc>
          <w:tcPr>
            <w:tcW w:w="1800" w:type="dxa"/>
            <w:vAlign w:val="bottom"/>
            <w:vMerge w:val="restart"/>
          </w:tcPr>
          <w:p>
            <w:pPr>
              <w:ind w:left="440"/>
              <w:spacing w:after="0" w:line="196" w:lineRule="exact"/>
              <w:rPr>
                <w:sz w:val="20"/>
                <w:szCs w:val="20"/>
                <w:color w:val="auto"/>
              </w:rPr>
            </w:pPr>
            <w:r>
              <w:rPr>
                <w:rFonts w:ascii="Arial" w:cs="Arial" w:eastAsia="Arial" w:hAnsi="Arial"/>
                <w:sz w:val="18"/>
                <w:szCs w:val="18"/>
                <w:color w:val="auto"/>
              </w:rPr>
              <w:t>Section 8.3.</w:t>
            </w:r>
          </w:p>
        </w:tc>
        <w:tc>
          <w:tcPr>
            <w:tcW w:w="3440" w:type="dxa"/>
            <w:vAlign w:val="bottom"/>
            <w:gridSpan w:val="23"/>
            <w:vMerge w:val="restart"/>
          </w:tcPr>
          <w:p>
            <w:pPr>
              <w:spacing w:after="0" w:line="196" w:lineRule="exact"/>
              <w:rPr>
                <w:sz w:val="20"/>
                <w:szCs w:val="20"/>
                <w:color w:val="auto"/>
              </w:rPr>
            </w:pPr>
            <w:r>
              <w:rPr>
                <w:rFonts w:ascii="Arial" w:cs="Arial" w:eastAsia="Arial" w:hAnsi="Arial"/>
                <w:sz w:val="18"/>
                <w:szCs w:val="18"/>
                <w:color w:val="auto"/>
                <w:w w:val="90"/>
              </w:rPr>
              <w:t>Withdrawals On and After Attainment of Age 59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w:t>
            </w:r>
          </w:p>
        </w:tc>
        <w:tc>
          <w:tcPr>
            <w:tcW w:w="5740" w:type="dxa"/>
            <w:vAlign w:val="bottom"/>
            <w:gridSpan w:val="7"/>
            <w:vMerge w:val="restart"/>
          </w:tcPr>
          <w:p>
            <w:pPr>
              <w:jc w:val="right"/>
              <w:ind w:right="5620"/>
              <w:spacing w:after="0" w:line="196"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1"/>
                <w:szCs w:val="11"/>
                <w:u w:val="single" w:color="auto"/>
                <w:color w:val="auto"/>
                <w:w w:val="89"/>
              </w:rPr>
              <w:t>2</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6"/>
        </w:trPr>
        <w:tc>
          <w:tcPr>
            <w:tcW w:w="1800" w:type="dxa"/>
            <w:vAlign w:val="bottom"/>
            <w:vMerge w:val="continue"/>
          </w:tcPr>
          <w:p>
            <w:pPr>
              <w:spacing w:after="0" w:line="20" w:lineRule="exact"/>
              <w:rPr>
                <w:sz w:val="1"/>
                <w:szCs w:val="1"/>
                <w:color w:val="auto"/>
              </w:rPr>
            </w:pPr>
          </w:p>
        </w:tc>
        <w:tc>
          <w:tcPr>
            <w:tcW w:w="3440" w:type="dxa"/>
            <w:vAlign w:val="bottom"/>
            <w:tcBorders>
              <w:bottom w:val="single" w:sz="8" w:color="auto"/>
            </w:tcBorders>
            <w:gridSpan w:val="2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40" w:type="dxa"/>
            <w:vAlign w:val="bottom"/>
            <w:gridSpan w:val="7"/>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8.4.</w:t>
            </w:r>
          </w:p>
        </w:tc>
        <w:tc>
          <w:tcPr>
            <w:tcW w:w="18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HEART Act Distributions</w:t>
            </w:r>
          </w:p>
        </w:tc>
        <w:tc>
          <w:tcPr>
            <w:tcW w:w="7400" w:type="dxa"/>
            <w:vAlign w:val="bottom"/>
            <w:gridSpan w:val="1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8.5.</w:t>
            </w:r>
          </w:p>
        </w:tc>
        <w:tc>
          <w:tcPr>
            <w:tcW w:w="266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89"/>
              </w:rPr>
              <w:t>Amount and Payment of Withdrawals</w:t>
            </w:r>
          </w:p>
        </w:tc>
        <w:tc>
          <w:tcPr>
            <w:tcW w:w="6600" w:type="dxa"/>
            <w:vAlign w:val="bottom"/>
            <w:gridSpan w:val="1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8.6.</w:t>
            </w:r>
          </w:p>
        </w:tc>
        <w:tc>
          <w:tcPr>
            <w:tcW w:w="292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88"/>
              </w:rPr>
              <w:t>Withdrawals Not Subject to Replacement</w:t>
            </w:r>
          </w:p>
        </w:tc>
        <w:tc>
          <w:tcPr>
            <w:tcW w:w="6340" w:type="dxa"/>
            <w:vAlign w:val="bottom"/>
            <w:gridSpan w:val="10"/>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8.7.</w:t>
            </w:r>
          </w:p>
        </w:tc>
        <w:tc>
          <w:tcPr>
            <w:tcW w:w="126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7"/>
              </w:rPr>
              <w:t>Pledged Amounts</w:t>
            </w:r>
          </w:p>
        </w:tc>
        <w:tc>
          <w:tcPr>
            <w:tcW w:w="8000" w:type="dxa"/>
            <w:vAlign w:val="bottom"/>
            <w:gridSpan w:val="2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8.8.</w:t>
            </w:r>
          </w:p>
        </w:tc>
        <w:tc>
          <w:tcPr>
            <w:tcW w:w="368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89"/>
              </w:rPr>
              <w:t>Investment Medium to be Charged with Withdrawal</w:t>
            </w:r>
          </w:p>
        </w:tc>
        <w:tc>
          <w:tcPr>
            <w:tcW w:w="5580" w:type="dxa"/>
            <w:vAlign w:val="bottom"/>
            <w:gridSpan w:val="5"/>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43"/>
        </w:trPr>
        <w:tc>
          <w:tcPr>
            <w:tcW w:w="11060" w:type="dxa"/>
            <w:vAlign w:val="bottom"/>
            <w:gridSpan w:val="32"/>
          </w:tcPr>
          <w:p>
            <w:pPr>
              <w:spacing w:after="0"/>
              <w:rPr>
                <w:sz w:val="20"/>
                <w:szCs w:val="20"/>
                <w:color w:val="auto"/>
              </w:rPr>
            </w:pPr>
            <w:r>
              <w:rPr>
                <w:rFonts w:ascii="Arial" w:cs="Arial" w:eastAsia="Arial" w:hAnsi="Arial"/>
                <w:sz w:val="18"/>
                <w:szCs w:val="18"/>
                <w:color w:val="auto"/>
              </w:rPr>
              <w:t>ARTICLE IX LOANS TO PARTICIPANTS</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12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1"/>
              </w:rPr>
              <w:t>Loan Application</w:t>
            </w:r>
          </w:p>
        </w:tc>
        <w:tc>
          <w:tcPr>
            <w:tcW w:w="8020" w:type="dxa"/>
            <w:vAlign w:val="bottom"/>
            <w:gridSpan w:val="2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9.2.</w:t>
            </w:r>
          </w:p>
        </w:tc>
        <w:tc>
          <w:tcPr>
            <w:tcW w:w="108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1"/>
              </w:rPr>
              <w:t>Loan Approval</w:t>
            </w:r>
          </w:p>
        </w:tc>
        <w:tc>
          <w:tcPr>
            <w:tcW w:w="8180" w:type="dxa"/>
            <w:vAlign w:val="bottom"/>
            <w:gridSpan w:val="2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9.3.</w:t>
            </w:r>
          </w:p>
        </w:tc>
        <w:tc>
          <w:tcPr>
            <w:tcW w:w="118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1"/>
              </w:rPr>
              <w:t>Amount of Loan</w:t>
            </w:r>
          </w:p>
        </w:tc>
        <w:tc>
          <w:tcPr>
            <w:tcW w:w="8080" w:type="dxa"/>
            <w:vAlign w:val="bottom"/>
            <w:gridSpan w:val="25"/>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9.4.</w:t>
            </w:r>
          </w:p>
        </w:tc>
        <w:tc>
          <w:tcPr>
            <w:tcW w:w="10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Terms of Loan</w:t>
            </w:r>
          </w:p>
        </w:tc>
        <w:tc>
          <w:tcPr>
            <w:tcW w:w="8220" w:type="dxa"/>
            <w:vAlign w:val="bottom"/>
            <w:gridSpan w:val="2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9.5.</w:t>
            </w:r>
          </w:p>
        </w:tc>
        <w:tc>
          <w:tcPr>
            <w:tcW w:w="9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Enforcement</w:t>
            </w:r>
          </w:p>
        </w:tc>
        <w:tc>
          <w:tcPr>
            <w:tcW w:w="8340" w:type="dxa"/>
            <w:vAlign w:val="bottom"/>
            <w:gridSpan w:val="29"/>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9.6.</w:t>
            </w:r>
          </w:p>
        </w:tc>
        <w:tc>
          <w:tcPr>
            <w:tcW w:w="12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Additional Rules</w:t>
            </w:r>
          </w:p>
        </w:tc>
        <w:tc>
          <w:tcPr>
            <w:tcW w:w="8060" w:type="dxa"/>
            <w:vAlign w:val="bottom"/>
            <w:gridSpan w:val="2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43"/>
        </w:trPr>
        <w:tc>
          <w:tcPr>
            <w:tcW w:w="11060" w:type="dxa"/>
            <w:vAlign w:val="bottom"/>
            <w:gridSpan w:val="32"/>
          </w:tcPr>
          <w:p>
            <w:pPr>
              <w:spacing w:after="0"/>
              <w:rPr>
                <w:sz w:val="20"/>
                <w:szCs w:val="20"/>
                <w:color w:val="auto"/>
              </w:rPr>
            </w:pPr>
            <w:r>
              <w:rPr>
                <w:rFonts w:ascii="Arial" w:cs="Arial" w:eastAsia="Arial" w:hAnsi="Arial"/>
                <w:sz w:val="18"/>
                <w:szCs w:val="18"/>
                <w:color w:val="auto"/>
              </w:rPr>
              <w:t>ARTICLE X ADMINISTRATION</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9260" w:type="dxa"/>
            <w:vAlign w:val="bottom"/>
            <w:gridSpan w:val="31"/>
          </w:tcPr>
          <w:p>
            <w:pPr>
              <w:spacing w:after="0"/>
              <w:rPr>
                <w:sz w:val="20"/>
                <w:szCs w:val="20"/>
                <w:color w:val="auto"/>
              </w:rPr>
            </w:pPr>
            <w:r>
              <w:rPr>
                <w:rFonts w:ascii="Arial" w:cs="Arial" w:eastAsia="Arial" w:hAnsi="Arial"/>
                <w:sz w:val="18"/>
                <w:szCs w:val="18"/>
                <w:color w:val="auto"/>
              </w:rPr>
              <w:t>Committee</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80" w:type="dxa"/>
            <w:vAlign w:val="bottom"/>
            <w:gridSpan w:val="1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10.2.</w:t>
            </w:r>
          </w:p>
        </w:tc>
        <w:tc>
          <w:tcPr>
            <w:tcW w:w="234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8"/>
              </w:rPr>
              <w:t>Duties and Powers of Committee</w:t>
            </w:r>
          </w:p>
        </w:tc>
        <w:tc>
          <w:tcPr>
            <w:tcW w:w="6920" w:type="dxa"/>
            <w:vAlign w:val="bottom"/>
            <w:gridSpan w:val="15"/>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10.3.</w:t>
            </w:r>
          </w:p>
        </w:tc>
        <w:tc>
          <w:tcPr>
            <w:tcW w:w="9260" w:type="dxa"/>
            <w:vAlign w:val="bottom"/>
            <w:gridSpan w:val="31"/>
          </w:tcPr>
          <w:p>
            <w:pPr>
              <w:spacing w:after="0" w:line="196" w:lineRule="exact"/>
              <w:rPr>
                <w:sz w:val="20"/>
                <w:szCs w:val="20"/>
                <w:color w:val="auto"/>
              </w:rPr>
            </w:pPr>
            <w:r>
              <w:rPr>
                <w:rFonts w:ascii="Arial" w:cs="Arial" w:eastAsia="Arial" w:hAnsi="Arial"/>
                <w:sz w:val="18"/>
                <w:szCs w:val="18"/>
                <w:color w:val="auto"/>
              </w:rPr>
              <w:t>Functioning of Committee</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6"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264"/>
        </w:trPr>
        <w:tc>
          <w:tcPr>
            <w:tcW w:w="180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9260" w:type="dxa"/>
            <w:vAlign w:val="bottom"/>
            <w:gridSpan w:val="29"/>
          </w:tcPr>
          <w:p>
            <w:pPr>
              <w:spacing w:after="0"/>
              <w:rPr>
                <w:sz w:val="20"/>
                <w:szCs w:val="20"/>
                <w:color w:val="auto"/>
              </w:rPr>
            </w:pPr>
            <w:r>
              <w:rPr>
                <w:rFonts w:ascii="Arial" w:cs="Arial" w:eastAsia="Arial" w:hAnsi="Arial"/>
                <w:sz w:val="18"/>
                <w:szCs w:val="18"/>
                <w:color w:val="auto"/>
              </w:rPr>
              <w:t>Allocation and Delegation of Duties</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10.5.</w:t>
            </w:r>
          </w:p>
        </w:tc>
        <w:tc>
          <w:tcPr>
            <w:tcW w:w="254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Plan Expenses</w:t>
            </w:r>
          </w:p>
        </w:tc>
        <w:tc>
          <w:tcPr>
            <w:tcW w:w="672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1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10.6.</w:t>
            </w:r>
          </w:p>
        </w:tc>
        <w:tc>
          <w:tcPr>
            <w:tcW w:w="9260" w:type="dxa"/>
            <w:vAlign w:val="bottom"/>
            <w:gridSpan w:val="29"/>
          </w:tcPr>
          <w:p>
            <w:pPr>
              <w:spacing w:after="0" w:line="196" w:lineRule="exact"/>
              <w:rPr>
                <w:sz w:val="20"/>
                <w:szCs w:val="20"/>
                <w:color w:val="auto"/>
              </w:rPr>
            </w:pPr>
            <w:r>
              <w:rPr>
                <w:rFonts w:ascii="Arial" w:cs="Arial" w:eastAsia="Arial" w:hAnsi="Arial"/>
                <w:sz w:val="18"/>
                <w:szCs w:val="18"/>
                <w:color w:val="auto"/>
              </w:rPr>
              <w:t>Information to be Supplied by a Participating Company</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10.7.</w:t>
            </w:r>
          </w:p>
        </w:tc>
        <w:tc>
          <w:tcPr>
            <w:tcW w:w="62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5"/>
              </w:rPr>
              <w:t>Disputes</w:t>
            </w:r>
          </w:p>
        </w:tc>
        <w:tc>
          <w:tcPr>
            <w:tcW w:w="3280" w:type="dxa"/>
            <w:vAlign w:val="bottom"/>
            <w:tcBorders>
              <w:top w:val="single" w:sz="8" w:color="auto"/>
            </w:tcBorders>
            <w:gridSpan w:val="23"/>
          </w:tcPr>
          <w:p>
            <w:pPr>
              <w:spacing w:after="0"/>
              <w:rPr>
                <w:sz w:val="17"/>
                <w:szCs w:val="17"/>
                <w:color w:val="auto"/>
              </w:rPr>
            </w:pPr>
          </w:p>
        </w:tc>
        <w:tc>
          <w:tcPr>
            <w:tcW w:w="536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10.8.</w:t>
            </w:r>
          </w:p>
        </w:tc>
        <w:tc>
          <w:tcPr>
            <w:tcW w:w="114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2"/>
              </w:rPr>
              <w:t>Indemnification</w:t>
            </w:r>
          </w:p>
        </w:tc>
        <w:tc>
          <w:tcPr>
            <w:tcW w:w="8120" w:type="dxa"/>
            <w:vAlign w:val="bottom"/>
            <w:gridSpan w:val="15"/>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343"/>
        </w:trPr>
        <w:tc>
          <w:tcPr>
            <w:tcW w:w="11060" w:type="dxa"/>
            <w:vAlign w:val="bottom"/>
            <w:gridSpan w:val="30"/>
          </w:tcPr>
          <w:p>
            <w:pPr>
              <w:spacing w:after="0"/>
              <w:rPr>
                <w:sz w:val="20"/>
                <w:szCs w:val="20"/>
                <w:color w:val="auto"/>
              </w:rPr>
            </w:pPr>
            <w:r>
              <w:rPr>
                <w:rFonts w:ascii="Arial" w:cs="Arial" w:eastAsia="Arial" w:hAnsi="Arial"/>
                <w:sz w:val="18"/>
                <w:szCs w:val="18"/>
                <w:color w:val="auto"/>
              </w:rPr>
              <w:t>ARTICLE XI THE FUND</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11.1.</w:t>
            </w:r>
          </w:p>
        </w:tc>
        <w:tc>
          <w:tcPr>
            <w:tcW w:w="9260" w:type="dxa"/>
            <w:vAlign w:val="bottom"/>
            <w:gridSpan w:val="29"/>
          </w:tcPr>
          <w:p>
            <w:pPr>
              <w:spacing w:after="0"/>
              <w:rPr>
                <w:sz w:val="20"/>
                <w:szCs w:val="20"/>
                <w:color w:val="auto"/>
              </w:rPr>
            </w:pPr>
            <w:r>
              <w:rPr>
                <w:rFonts w:ascii="Arial" w:cs="Arial" w:eastAsia="Arial" w:hAnsi="Arial"/>
                <w:sz w:val="18"/>
                <w:szCs w:val="18"/>
                <w:color w:val="auto"/>
              </w:rPr>
              <w:t>Designation of Trustee</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11.2.</w:t>
            </w:r>
          </w:p>
        </w:tc>
        <w:tc>
          <w:tcPr>
            <w:tcW w:w="126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Exclusive Benefit</w:t>
            </w:r>
          </w:p>
        </w:tc>
        <w:tc>
          <w:tcPr>
            <w:tcW w:w="340" w:type="dxa"/>
            <w:vAlign w:val="bottom"/>
            <w:tcBorders>
              <w:top w:val="single" w:sz="8" w:color="auto"/>
            </w:tcBorders>
            <w:gridSpan w:val="3"/>
          </w:tcPr>
          <w:p>
            <w:pPr>
              <w:spacing w:after="0"/>
              <w:rPr>
                <w:sz w:val="17"/>
                <w:szCs w:val="17"/>
                <w:color w:val="auto"/>
              </w:rPr>
            </w:pPr>
          </w:p>
        </w:tc>
        <w:tc>
          <w:tcPr>
            <w:tcW w:w="7660" w:type="dxa"/>
            <w:vAlign w:val="bottom"/>
            <w:gridSpan w:val="10"/>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11.3.</w:t>
            </w:r>
          </w:p>
        </w:tc>
        <w:tc>
          <w:tcPr>
            <w:tcW w:w="138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88"/>
              </w:rPr>
              <w:t>No Interest in Fund</w:t>
            </w:r>
          </w:p>
        </w:tc>
        <w:tc>
          <w:tcPr>
            <w:tcW w:w="78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11.4.</w:t>
            </w:r>
          </w:p>
        </w:tc>
        <w:tc>
          <w:tcPr>
            <w:tcW w:w="5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5"/>
              </w:rPr>
              <w:t>Trustee</w:t>
            </w:r>
          </w:p>
        </w:tc>
        <w:tc>
          <w:tcPr>
            <w:tcW w:w="8720" w:type="dxa"/>
            <w:vAlign w:val="bottom"/>
            <w:gridSpan w:val="2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11.5.</w:t>
            </w:r>
          </w:p>
        </w:tc>
        <w:tc>
          <w:tcPr>
            <w:tcW w:w="86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6"/>
              </w:rPr>
              <w:t>Investments</w:t>
            </w:r>
          </w:p>
        </w:tc>
        <w:tc>
          <w:tcPr>
            <w:tcW w:w="8400" w:type="dxa"/>
            <w:vAlign w:val="bottom"/>
            <w:gridSpan w:val="2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343"/>
        </w:trPr>
        <w:tc>
          <w:tcPr>
            <w:tcW w:w="11060" w:type="dxa"/>
            <w:vAlign w:val="bottom"/>
            <w:gridSpan w:val="30"/>
          </w:tcPr>
          <w:p>
            <w:pPr>
              <w:spacing w:after="0"/>
              <w:rPr>
                <w:sz w:val="20"/>
                <w:szCs w:val="20"/>
                <w:color w:val="auto"/>
              </w:rPr>
            </w:pPr>
            <w:r>
              <w:rPr>
                <w:rFonts w:ascii="Arial" w:cs="Arial" w:eastAsia="Arial" w:hAnsi="Arial"/>
                <w:sz w:val="18"/>
                <w:szCs w:val="18"/>
                <w:color w:val="auto"/>
              </w:rPr>
              <w:t>ARTICLE XII AMENDMENT OR TERMINATION OF THE PLAN</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12.1.</w:t>
            </w:r>
          </w:p>
        </w:tc>
        <w:tc>
          <w:tcPr>
            <w:tcW w:w="2760" w:type="dxa"/>
            <w:vAlign w:val="bottom"/>
            <w:tcBorders>
              <w:bottom w:val="single" w:sz="8" w:color="auto"/>
            </w:tcBorders>
            <w:gridSpan w:val="26"/>
          </w:tcPr>
          <w:p>
            <w:pPr>
              <w:spacing w:after="0"/>
              <w:rPr>
                <w:sz w:val="20"/>
                <w:szCs w:val="20"/>
                <w:color w:val="auto"/>
              </w:rPr>
            </w:pPr>
            <w:r>
              <w:rPr>
                <w:rFonts w:ascii="Arial" w:cs="Arial" w:eastAsia="Arial" w:hAnsi="Arial"/>
                <w:sz w:val="18"/>
                <w:szCs w:val="18"/>
                <w:color w:val="auto"/>
                <w:w w:val="88"/>
              </w:rPr>
              <w:t>Power of Amendment and Termination</w:t>
            </w:r>
          </w:p>
        </w:tc>
        <w:tc>
          <w:tcPr>
            <w:tcW w:w="650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12.2.</w:t>
            </w:r>
          </w:p>
        </w:tc>
        <w:tc>
          <w:tcPr>
            <w:tcW w:w="5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7"/>
              </w:rPr>
              <w:t>Merger</w:t>
            </w:r>
          </w:p>
        </w:tc>
        <w:tc>
          <w:tcPr>
            <w:tcW w:w="8740" w:type="dxa"/>
            <w:vAlign w:val="bottom"/>
            <w:gridSpan w:val="27"/>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343"/>
        </w:trPr>
        <w:tc>
          <w:tcPr>
            <w:tcW w:w="11060" w:type="dxa"/>
            <w:vAlign w:val="bottom"/>
            <w:gridSpan w:val="30"/>
          </w:tcPr>
          <w:p>
            <w:pPr>
              <w:spacing w:after="0"/>
              <w:rPr>
                <w:sz w:val="20"/>
                <w:szCs w:val="20"/>
                <w:color w:val="auto"/>
              </w:rPr>
            </w:pPr>
            <w:r>
              <w:rPr>
                <w:rFonts w:ascii="Arial" w:cs="Arial" w:eastAsia="Arial" w:hAnsi="Arial"/>
                <w:sz w:val="18"/>
                <w:szCs w:val="18"/>
                <w:color w:val="auto"/>
              </w:rPr>
              <w:t>ARTICLE XIII TOP-HEAVY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13.1.</w:t>
            </w:r>
          </w:p>
        </w:tc>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4"/>
              </w:rPr>
              <w:t>General</w:t>
            </w:r>
          </w:p>
        </w:tc>
        <w:tc>
          <w:tcPr>
            <w:tcW w:w="8700" w:type="dxa"/>
            <w:vAlign w:val="bottom"/>
            <w:gridSpan w:val="2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13.2.</w:t>
            </w:r>
          </w:p>
        </w:tc>
        <w:tc>
          <w:tcPr>
            <w:tcW w:w="8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2"/>
              </w:rPr>
              <w:t>Definitions</w:t>
            </w:r>
          </w:p>
        </w:tc>
        <w:tc>
          <w:tcPr>
            <w:tcW w:w="8460" w:type="dxa"/>
            <w:vAlign w:val="bottom"/>
            <w:gridSpan w:val="2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13.3.</w:t>
            </w:r>
          </w:p>
        </w:tc>
        <w:tc>
          <w:tcPr>
            <w:tcW w:w="342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1"/>
              </w:rPr>
              <w:t>Minimum Contribution for Non-Key Employees</w:t>
            </w:r>
          </w:p>
        </w:tc>
        <w:tc>
          <w:tcPr>
            <w:tcW w:w="584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13.4.</w:t>
            </w:r>
          </w:p>
        </w:tc>
        <w:tc>
          <w:tcPr>
            <w:tcW w:w="108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Social Security</w:t>
            </w:r>
          </w:p>
        </w:tc>
        <w:tc>
          <w:tcPr>
            <w:tcW w:w="8180" w:type="dxa"/>
            <w:vAlign w:val="bottom"/>
            <w:gridSpan w:val="17"/>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343"/>
        </w:trPr>
        <w:tc>
          <w:tcPr>
            <w:tcW w:w="11060" w:type="dxa"/>
            <w:vAlign w:val="bottom"/>
            <w:gridSpan w:val="30"/>
          </w:tcPr>
          <w:p>
            <w:pPr>
              <w:spacing w:after="0"/>
              <w:rPr>
                <w:sz w:val="20"/>
                <w:szCs w:val="20"/>
                <w:color w:val="auto"/>
              </w:rPr>
            </w:pPr>
            <w:r>
              <w:rPr>
                <w:rFonts w:ascii="Arial" w:cs="Arial" w:eastAsia="Arial" w:hAnsi="Arial"/>
                <w:sz w:val="18"/>
                <w:szCs w:val="18"/>
                <w:color w:val="auto"/>
              </w:rPr>
              <w:t>ARTICLE XIV GENERAL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14.1.</w:t>
            </w:r>
          </w:p>
        </w:tc>
        <w:tc>
          <w:tcPr>
            <w:tcW w:w="1680" w:type="dxa"/>
            <w:vAlign w:val="bottom"/>
            <w:tcBorders>
              <w:bottom w:val="single" w:sz="8" w:color="auto"/>
            </w:tcBorders>
            <w:gridSpan w:val="20"/>
          </w:tcPr>
          <w:p>
            <w:pPr>
              <w:spacing w:after="0"/>
              <w:rPr>
                <w:sz w:val="20"/>
                <w:szCs w:val="20"/>
                <w:color w:val="auto"/>
              </w:rPr>
            </w:pPr>
            <w:r>
              <w:rPr>
                <w:rFonts w:ascii="Arial" w:cs="Arial" w:eastAsia="Arial" w:hAnsi="Arial"/>
                <w:sz w:val="18"/>
                <w:szCs w:val="18"/>
                <w:color w:val="auto"/>
                <w:w w:val="90"/>
              </w:rPr>
              <w:t>No Employment Rights</w:t>
            </w:r>
          </w:p>
        </w:tc>
        <w:tc>
          <w:tcPr>
            <w:tcW w:w="7580" w:type="dxa"/>
            <w:vAlign w:val="bottom"/>
            <w:gridSpan w:val="9"/>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14.2.</w:t>
            </w:r>
          </w:p>
        </w:tc>
        <w:tc>
          <w:tcPr>
            <w:tcW w:w="112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0"/>
              </w:rPr>
              <w:t>Governing Law</w:t>
            </w:r>
          </w:p>
        </w:tc>
        <w:tc>
          <w:tcPr>
            <w:tcW w:w="8140" w:type="dxa"/>
            <w:vAlign w:val="bottom"/>
            <w:gridSpan w:val="1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14.3.</w:t>
            </w:r>
          </w:p>
        </w:tc>
        <w:tc>
          <w:tcPr>
            <w:tcW w:w="9260" w:type="dxa"/>
            <w:vAlign w:val="bottom"/>
            <w:gridSpan w:val="29"/>
          </w:tcPr>
          <w:p>
            <w:pPr>
              <w:spacing w:after="0" w:line="196" w:lineRule="exact"/>
              <w:rPr>
                <w:sz w:val="20"/>
                <w:szCs w:val="20"/>
                <w:color w:val="auto"/>
              </w:rPr>
            </w:pPr>
            <w:r>
              <w:rPr>
                <w:rFonts w:ascii="Arial" w:cs="Arial" w:eastAsia="Arial" w:hAnsi="Arial"/>
                <w:sz w:val="18"/>
                <w:szCs w:val="18"/>
                <w:color w:val="auto"/>
              </w:rPr>
              <w:t>Severability of Provisions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14.4.</w:t>
            </w:r>
          </w:p>
        </w:tc>
        <w:tc>
          <w:tcPr>
            <w:tcW w:w="1380" w:type="dxa"/>
            <w:vAlign w:val="bottom"/>
            <w:tcBorders>
              <w:top w:val="single" w:sz="8" w:color="auto"/>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88"/>
              </w:rPr>
              <w:t>No Interest in Fund</w:t>
            </w:r>
          </w:p>
        </w:tc>
        <w:tc>
          <w:tcPr>
            <w:tcW w:w="440" w:type="dxa"/>
            <w:vAlign w:val="bottom"/>
            <w:tcBorders>
              <w:top w:val="single" w:sz="8" w:color="auto"/>
            </w:tcBorders>
            <w:gridSpan w:val="4"/>
          </w:tcPr>
          <w:p>
            <w:pPr>
              <w:spacing w:after="0"/>
              <w:rPr>
                <w:sz w:val="17"/>
                <w:szCs w:val="17"/>
                <w:color w:val="auto"/>
              </w:rPr>
            </w:pPr>
          </w:p>
        </w:tc>
        <w:tc>
          <w:tcPr>
            <w:tcW w:w="7440" w:type="dxa"/>
            <w:vAlign w:val="bottom"/>
            <w:gridSpan w:val="7"/>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14.5.</w:t>
            </w:r>
          </w:p>
        </w:tc>
        <w:tc>
          <w:tcPr>
            <w:tcW w:w="132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7"/>
              </w:rPr>
              <w:t>Spendthrift Clause</w:t>
            </w:r>
          </w:p>
        </w:tc>
        <w:tc>
          <w:tcPr>
            <w:tcW w:w="7940" w:type="dxa"/>
            <w:vAlign w:val="bottom"/>
            <w:gridSpan w:val="1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14.6.</w:t>
            </w:r>
          </w:p>
        </w:tc>
        <w:tc>
          <w:tcPr>
            <w:tcW w:w="74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8"/>
              </w:rPr>
              <w:t>Incapacity</w:t>
            </w:r>
          </w:p>
        </w:tc>
        <w:tc>
          <w:tcPr>
            <w:tcW w:w="8520" w:type="dxa"/>
            <w:vAlign w:val="bottom"/>
            <w:gridSpan w:val="2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14.7.</w:t>
            </w:r>
          </w:p>
        </w:tc>
        <w:tc>
          <w:tcPr>
            <w:tcW w:w="9260" w:type="dxa"/>
            <w:vAlign w:val="bottom"/>
            <w:gridSpan w:val="29"/>
          </w:tcPr>
          <w:p>
            <w:pPr>
              <w:spacing w:after="0" w:line="196" w:lineRule="exact"/>
              <w:rPr>
                <w:sz w:val="20"/>
                <w:szCs w:val="20"/>
                <w:color w:val="auto"/>
              </w:rPr>
            </w:pPr>
            <w:r>
              <w:rPr>
                <w:rFonts w:ascii="Arial" w:cs="Arial" w:eastAsia="Arial" w:hAnsi="Arial"/>
                <w:sz w:val="18"/>
                <w:szCs w:val="18"/>
                <w:color w:val="auto"/>
              </w:rPr>
              <w:t>Withholding</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1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14.8.</w:t>
            </w:r>
          </w:p>
        </w:tc>
        <w:tc>
          <w:tcPr>
            <w:tcW w:w="9260" w:type="dxa"/>
            <w:vAlign w:val="bottom"/>
            <w:gridSpan w:val="29"/>
          </w:tcPr>
          <w:p>
            <w:pPr>
              <w:spacing w:after="0" w:line="196" w:lineRule="exact"/>
              <w:rPr>
                <w:sz w:val="20"/>
                <w:szCs w:val="20"/>
                <w:color w:val="auto"/>
              </w:rPr>
            </w:pPr>
            <w:r>
              <w:rPr>
                <w:rFonts w:ascii="Arial" w:cs="Arial" w:eastAsia="Arial" w:hAnsi="Arial"/>
                <w:sz w:val="18"/>
                <w:szCs w:val="18"/>
                <w:color w:val="auto"/>
              </w:rPr>
              <w:t>Missing Persons/Uncashed Checks</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14.9.</w:t>
            </w:r>
          </w:p>
        </w:tc>
        <w:tc>
          <w:tcPr>
            <w:tcW w:w="4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0"/>
              </w:rPr>
              <w:t>Notice</w:t>
            </w:r>
          </w:p>
        </w:tc>
        <w:tc>
          <w:tcPr>
            <w:tcW w:w="1980" w:type="dxa"/>
            <w:vAlign w:val="bottom"/>
            <w:tcBorders>
              <w:top w:val="single" w:sz="8" w:color="auto"/>
            </w:tcBorders>
            <w:gridSpan w:val="23"/>
          </w:tcPr>
          <w:p>
            <w:pPr>
              <w:spacing w:after="0"/>
              <w:rPr>
                <w:sz w:val="17"/>
                <w:szCs w:val="17"/>
                <w:color w:val="auto"/>
              </w:rPr>
            </w:pPr>
          </w:p>
        </w:tc>
        <w:tc>
          <w:tcPr>
            <w:tcW w:w="6800" w:type="dxa"/>
            <w:vAlign w:val="bottom"/>
            <w:gridSpan w:val="5"/>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343"/>
        </w:trPr>
        <w:tc>
          <w:tcPr>
            <w:tcW w:w="11060" w:type="dxa"/>
            <w:vAlign w:val="bottom"/>
            <w:gridSpan w:val="30"/>
          </w:tcPr>
          <w:p>
            <w:pPr>
              <w:spacing w:after="0"/>
              <w:rPr>
                <w:sz w:val="20"/>
                <w:szCs w:val="20"/>
                <w:color w:val="auto"/>
              </w:rPr>
            </w:pPr>
            <w:r>
              <w:rPr>
                <w:rFonts w:ascii="Arial" w:cs="Arial" w:eastAsia="Arial" w:hAnsi="Arial"/>
                <w:sz w:val="18"/>
                <w:szCs w:val="18"/>
                <w:color w:val="auto"/>
              </w:rPr>
              <w:t>ARTICLE XV ADDITIONAL SERVICE CREDIT FOR FORMER EMPLOYEES OF CERTAIN ACQUIRED BUSINESSES</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15.1.</w:t>
            </w:r>
          </w:p>
        </w:tc>
        <w:tc>
          <w:tcPr>
            <w:tcW w:w="9260" w:type="dxa"/>
            <w:vAlign w:val="bottom"/>
            <w:gridSpan w:val="29"/>
          </w:tcPr>
          <w:p>
            <w:pPr>
              <w:spacing w:after="0"/>
              <w:rPr>
                <w:sz w:val="20"/>
                <w:szCs w:val="20"/>
                <w:color w:val="auto"/>
              </w:rPr>
            </w:pPr>
            <w:r>
              <w:rPr>
                <w:rFonts w:ascii="Arial" w:cs="Arial" w:eastAsia="Arial" w:hAnsi="Arial"/>
                <w:sz w:val="18"/>
                <w:szCs w:val="18"/>
                <w:color w:val="auto"/>
              </w:rPr>
              <w:t>Additional Service Credit</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15.2.</w:t>
            </w:r>
          </w:p>
        </w:tc>
        <w:tc>
          <w:tcPr>
            <w:tcW w:w="1180" w:type="dxa"/>
            <w:vAlign w:val="bottom"/>
            <w:tcBorders>
              <w:top w:val="single" w:sz="8" w:color="auto"/>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9"/>
              </w:rPr>
              <w:t>Listed Employer</w:t>
            </w:r>
          </w:p>
        </w:tc>
        <w:tc>
          <w:tcPr>
            <w:tcW w:w="620" w:type="dxa"/>
            <w:vAlign w:val="bottom"/>
            <w:tcBorders>
              <w:top w:val="single" w:sz="8" w:color="auto"/>
            </w:tcBorders>
            <w:gridSpan w:val="6"/>
          </w:tcPr>
          <w:p>
            <w:pPr>
              <w:spacing w:after="0"/>
              <w:rPr>
                <w:sz w:val="17"/>
                <w:szCs w:val="17"/>
                <w:color w:val="auto"/>
              </w:rPr>
            </w:pPr>
          </w:p>
        </w:tc>
        <w:tc>
          <w:tcPr>
            <w:tcW w:w="746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15.3.</w:t>
            </w:r>
          </w:p>
        </w:tc>
        <w:tc>
          <w:tcPr>
            <w:tcW w:w="9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6"/>
              </w:rPr>
              <w:t>Applicability</w:t>
            </w:r>
          </w:p>
        </w:tc>
        <w:tc>
          <w:tcPr>
            <w:tcW w:w="8320" w:type="dxa"/>
            <w:vAlign w:val="bottom"/>
            <w:gridSpan w:val="19"/>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15.4.</w:t>
            </w:r>
          </w:p>
        </w:tc>
        <w:tc>
          <w:tcPr>
            <w:tcW w:w="9260" w:type="dxa"/>
            <w:vAlign w:val="bottom"/>
            <w:gridSpan w:val="29"/>
          </w:tcPr>
          <w:p>
            <w:pPr>
              <w:spacing w:after="0" w:line="196" w:lineRule="exact"/>
              <w:rPr>
                <w:sz w:val="20"/>
                <w:szCs w:val="20"/>
                <w:color w:val="auto"/>
              </w:rPr>
            </w:pPr>
            <w:r>
              <w:rPr>
                <w:rFonts w:ascii="Arial" w:cs="Arial" w:eastAsia="Arial" w:hAnsi="Arial"/>
                <w:sz w:val="18"/>
                <w:szCs w:val="18"/>
                <w:color w:val="auto"/>
              </w:rPr>
              <w:t>Limitation</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1800" w:type="dxa"/>
            <w:vAlign w:val="bottom"/>
          </w:tcPr>
          <w:p>
            <w:pPr>
              <w:spacing w:after="0" w:line="20" w:lineRule="exact"/>
              <w:rPr>
                <w:sz w:val="1"/>
                <w:szCs w:val="1"/>
                <w:color w:val="auto"/>
              </w:rPr>
            </w:pPr>
          </w:p>
        </w:tc>
        <w:tc>
          <w:tcPr>
            <w:tcW w:w="740" w:type="dxa"/>
            <w:vAlign w:val="bottom"/>
            <w:gridSpan w:val="6"/>
            <w:shd w:val="clear" w:color="auto" w:fill="000000"/>
          </w:tcPr>
          <w:p>
            <w:pPr>
              <w:spacing w:after="0" w:line="20" w:lineRule="exact"/>
              <w:rPr>
                <w:sz w:val="1"/>
                <w:szCs w:val="1"/>
                <w:color w:val="auto"/>
              </w:rPr>
            </w:pPr>
          </w:p>
        </w:tc>
        <w:tc>
          <w:tcPr>
            <w:tcW w:w="1420" w:type="dxa"/>
            <w:vAlign w:val="bottom"/>
            <w:gridSpan w:val="17"/>
          </w:tcPr>
          <w:p>
            <w:pPr>
              <w:spacing w:after="0" w:line="20" w:lineRule="exact"/>
              <w:rPr>
                <w:sz w:val="1"/>
                <w:szCs w:val="1"/>
                <w:color w:val="auto"/>
              </w:rPr>
            </w:pPr>
          </w:p>
        </w:tc>
        <w:tc>
          <w:tcPr>
            <w:tcW w:w="71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43"/>
        </w:trPr>
        <w:tc>
          <w:tcPr>
            <w:tcW w:w="11060" w:type="dxa"/>
            <w:vAlign w:val="bottom"/>
            <w:gridSpan w:val="30"/>
          </w:tcPr>
          <w:p>
            <w:pPr>
              <w:spacing w:after="0"/>
              <w:rPr>
                <w:sz w:val="20"/>
                <w:szCs w:val="20"/>
                <w:color w:val="auto"/>
              </w:rPr>
            </w:pPr>
            <w:r>
              <w:rPr>
                <w:rFonts w:ascii="Arial" w:cs="Arial" w:eastAsia="Arial" w:hAnsi="Arial"/>
                <w:sz w:val="18"/>
                <w:szCs w:val="18"/>
                <w:color w:val="auto"/>
              </w:rPr>
              <w:t>ARTICLE XVI COMCAST SPORTS NETWORK (PHILADELPHIA) L.P.</w:t>
            </w:r>
          </w:p>
        </w:tc>
        <w:tc>
          <w:tcPr>
            <w:tcW w:w="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86"/>
        </w:trPr>
        <w:tc>
          <w:tcPr>
            <w:tcW w:w="1800" w:type="dxa"/>
            <w:vAlign w:val="bottom"/>
          </w:tcPr>
          <w:p>
            <w:pPr>
              <w:ind w:left="440"/>
              <w:spacing w:after="0"/>
              <w:rPr>
                <w:sz w:val="20"/>
                <w:szCs w:val="20"/>
                <w:color w:val="auto"/>
              </w:rPr>
            </w:pPr>
            <w:r>
              <w:rPr>
                <w:rFonts w:ascii="Arial" w:cs="Arial" w:eastAsia="Arial" w:hAnsi="Arial"/>
                <w:sz w:val="18"/>
                <w:szCs w:val="18"/>
                <w:color w:val="auto"/>
              </w:rPr>
              <w:t>Section 16.1.</w:t>
            </w:r>
          </w:p>
        </w:tc>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4"/>
              </w:rPr>
              <w:t>General</w:t>
            </w:r>
          </w:p>
        </w:tc>
        <w:tc>
          <w:tcPr>
            <w:tcW w:w="8700" w:type="dxa"/>
            <w:vAlign w:val="bottom"/>
            <w:gridSpan w:val="2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16.2.</w:t>
            </w:r>
          </w:p>
        </w:tc>
        <w:tc>
          <w:tcPr>
            <w:tcW w:w="216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1"/>
              </w:rPr>
              <w:t>Eligibility and Vesting Service</w:t>
            </w:r>
          </w:p>
        </w:tc>
        <w:tc>
          <w:tcPr>
            <w:tcW w:w="710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6"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264"/>
        </w:trPr>
        <w:tc>
          <w:tcPr>
            <w:tcW w:w="1800" w:type="dxa"/>
            <w:vAlign w:val="bottom"/>
          </w:tcPr>
          <w:p>
            <w:pPr>
              <w:ind w:left="440"/>
              <w:spacing w:after="0"/>
              <w:rPr>
                <w:sz w:val="20"/>
                <w:szCs w:val="20"/>
                <w:color w:val="auto"/>
              </w:rPr>
            </w:pPr>
            <w:r>
              <w:rPr>
                <w:rFonts w:ascii="Arial" w:cs="Arial" w:eastAsia="Arial" w:hAnsi="Arial"/>
                <w:sz w:val="18"/>
                <w:szCs w:val="18"/>
                <w:color w:val="auto"/>
              </w:rPr>
              <w:t>Section 16.3.</w:t>
            </w: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Eligibility to Participate</w:t>
            </w:r>
          </w:p>
        </w:tc>
        <w:tc>
          <w:tcPr>
            <w:tcW w:w="1780" w:type="dxa"/>
            <w:vAlign w:val="bottom"/>
          </w:tcPr>
          <w:p>
            <w:pPr>
              <w:spacing w:after="0"/>
              <w:rPr>
                <w:sz w:val="22"/>
                <w:szCs w:val="22"/>
                <w:color w:val="auto"/>
              </w:rPr>
            </w:pP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1800" w:type="dxa"/>
            <w:vAlign w:val="bottom"/>
          </w:tcPr>
          <w:p>
            <w:pPr>
              <w:ind w:left="440"/>
              <w:spacing w:after="0" w:line="196" w:lineRule="exact"/>
              <w:rPr>
                <w:sz w:val="20"/>
                <w:szCs w:val="20"/>
                <w:color w:val="auto"/>
              </w:rPr>
            </w:pPr>
            <w:r>
              <w:rPr>
                <w:rFonts w:ascii="Arial" w:cs="Arial" w:eastAsia="Arial" w:hAnsi="Arial"/>
                <w:sz w:val="18"/>
                <w:szCs w:val="18"/>
                <w:color w:val="auto"/>
              </w:rPr>
              <w:t>Section 16.4.</w:t>
            </w:r>
          </w:p>
        </w:tc>
        <w:tc>
          <w:tcPr>
            <w:tcW w:w="3480" w:type="dxa"/>
            <w:vAlign w:val="bottom"/>
            <w:gridSpan w:val="3"/>
          </w:tcPr>
          <w:p>
            <w:pPr>
              <w:spacing w:after="0" w:line="196" w:lineRule="exact"/>
              <w:rPr>
                <w:sz w:val="20"/>
                <w:szCs w:val="20"/>
                <w:color w:val="auto"/>
              </w:rPr>
            </w:pPr>
            <w:r>
              <w:rPr>
                <w:rFonts w:ascii="Arial" w:cs="Arial" w:eastAsia="Arial" w:hAnsi="Arial"/>
                <w:sz w:val="18"/>
                <w:szCs w:val="18"/>
                <w:color w:val="auto"/>
              </w:rPr>
              <w:t>Separate Testing</w:t>
            </w:r>
          </w:p>
        </w:tc>
        <w:tc>
          <w:tcPr>
            <w:tcW w:w="6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18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r>
      <w:tr>
        <w:trPr>
          <w:trHeight w:val="343"/>
        </w:trPr>
        <w:tc>
          <w:tcPr>
            <w:tcW w:w="5280" w:type="dxa"/>
            <w:vAlign w:val="bottom"/>
            <w:gridSpan w:val="4"/>
          </w:tcPr>
          <w:p>
            <w:pPr>
              <w:spacing w:after="0"/>
              <w:rPr>
                <w:sz w:val="20"/>
                <w:szCs w:val="20"/>
                <w:color w:val="auto"/>
              </w:rPr>
            </w:pPr>
            <w:r>
              <w:rPr>
                <w:rFonts w:ascii="Arial" w:cs="Arial" w:eastAsia="Arial" w:hAnsi="Arial"/>
                <w:sz w:val="18"/>
                <w:szCs w:val="18"/>
                <w:color w:val="auto"/>
              </w:rPr>
              <w:t>SCHEDULE A MINIMUM DISTRIBUTION REQUIREMENTS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APPENDIX A</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5280" w:type="dxa"/>
            <w:vAlign w:val="bottom"/>
            <w:gridSpan w:val="4"/>
          </w:tcPr>
          <w:p>
            <w:pPr>
              <w:spacing w:after="0"/>
              <w:rPr>
                <w:sz w:val="20"/>
                <w:szCs w:val="20"/>
                <w:color w:val="auto"/>
              </w:rPr>
            </w:pPr>
            <w:r>
              <w:rPr>
                <w:rFonts w:ascii="Arial" w:cs="Arial" w:eastAsia="Arial" w:hAnsi="Arial"/>
                <w:sz w:val="18"/>
                <w:szCs w:val="18"/>
                <w:color w:val="auto"/>
                <w:w w:val="99"/>
              </w:rPr>
              <w:t>EXHIBIT A PARTICIPATING COMPANIES/LISTED EMPLOYERS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5280" w:type="dxa"/>
            <w:vAlign w:val="bottom"/>
            <w:gridSpan w:val="4"/>
          </w:tcPr>
          <w:p>
            <w:pPr>
              <w:spacing w:after="0"/>
              <w:rPr>
                <w:sz w:val="20"/>
                <w:szCs w:val="20"/>
                <w:color w:val="auto"/>
              </w:rPr>
            </w:pPr>
            <w:r>
              <w:rPr>
                <w:rFonts w:ascii="Arial" w:cs="Arial" w:eastAsia="Arial" w:hAnsi="Arial"/>
                <w:sz w:val="18"/>
                <w:szCs w:val="18"/>
                <w:color w:val="auto"/>
              </w:rPr>
              <w:t>EXHIBIT B NBCUNIVERSAL, LLC</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365"/>
        </w:trPr>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40" w:type="dxa"/>
            <w:vAlign w:val="bottom"/>
            <w:gridSpan w:val="2"/>
          </w:tcPr>
          <w:p>
            <w:pPr>
              <w:jc w:val="right"/>
              <w:ind w:right="5412"/>
              <w:spacing w:after="0"/>
              <w:rPr>
                <w:sz w:val="20"/>
                <w:szCs w:val="20"/>
                <w:color w:val="auto"/>
              </w:rPr>
            </w:pPr>
            <w:r>
              <w:rPr>
                <w:rFonts w:ascii="Arial" w:cs="Arial" w:eastAsia="Arial" w:hAnsi="Arial"/>
                <w:sz w:val="18"/>
                <w:szCs w:val="18"/>
                <w:color w:val="auto"/>
              </w:rPr>
              <w:t>-iv-</w:t>
            </w:r>
          </w:p>
        </w:tc>
      </w:tr>
    </w:tbl>
    <w:p>
      <w:pPr>
        <w:jc w:val="right"/>
        <w:ind w:right="5412"/>
        <w:spacing w:after="0"/>
        <w:rPr>
          <w:sz w:val="20"/>
          <w:szCs w:val="20"/>
          <w:color w:val="auto"/>
        </w:rPr>
        <w:sectPr>
          <w:pgSz w:w="11900" w:h="16838" w:orient="portrait"/>
          <w:cols w:equalWidth="0" w:num="1">
            <w:col w:w="11320"/>
          </w:cols>
          <w:pgMar w:left="240" w:top="27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70" w:name="page171"/>
    <w:bookmarkEnd w:id="17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COMCAST CORPORATION RETIREMENT-INVESTMENT PLAN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Amended and Restated Effective January 1, 2013</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Background</w:t>
      </w:r>
    </w:p>
    <w:p>
      <w:pPr>
        <w:spacing w:after="0" w:line="9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Comcast Corporation, a Pennsylvania corporation, established The Comcast Corporation Employees’ Thrift Plan (the “Plan”) to provide benefits to those of its employees and the employees of its subsidiaries who were eligible to participate as provided therein effective December 1, 1979. The Plan was amended from time to time and amended, restated and redesignated The Comcast Corporation Retirement-Investment Plan effective March 1, 1983. The Plan has been amended subsequently, and amended and restated at various times.</w:t>
      </w:r>
    </w:p>
    <w:p>
      <w:pPr>
        <w:spacing w:after="0" w:line="143"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Comcast Corporation amended, restated and redesignated the Plan as The AT&amp;T Comcast Corporation Retirement-Investment Plan, effective November 18, 2002, the date on which the combination of Comcast Corporation and AT&amp;T Broadband Corp. was consummated. Immediately following such redesignation, the Plan was renamed as The Comcast Corporation Retirement-Investment Plan.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Plan was last amended and restated effective January 1, 2011 (unless otherwise stated herein) to incorporate certain design changes.</w:t>
      </w:r>
    </w:p>
    <w:p>
      <w:pPr>
        <w:spacing w:after="0" w:line="26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Plan Mergers/Asset Transfers Prior to the Effective Date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plans were merged into the Plan as of the dates indicated below:</w:t>
      </w:r>
    </w:p>
    <w:p>
      <w:pPr>
        <w:spacing w:after="0" w:line="90" w:lineRule="exact"/>
        <w:rPr>
          <w:sz w:val="20"/>
          <w:szCs w:val="20"/>
          <w:color w:val="auto"/>
        </w:rPr>
      </w:pPr>
    </w:p>
    <w:p>
      <w:pPr>
        <w:ind w:left="1480" w:hanging="567"/>
        <w:spacing w:after="0" w:line="268"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Barden Savings Plan, the Michigan Savings Plan, the Suburban Savings Plan and the profit sharing and cash or deferred arrangement portion of the Selkirk Plan were merged with and into this Plan – January 1, 1996</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Jones Intercable, Inc. Profit Sharing\Retirement Savings Plan – October 1, 1999</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Garden State Cablevision Retirement-Investment Plan – May 1, 2000</w:t>
      </w:r>
    </w:p>
    <w:p>
      <w:pPr>
        <w:spacing w:after="0" w:line="90" w:lineRule="exact"/>
        <w:rPr>
          <w:rFonts w:ascii="Arial" w:cs="Arial" w:eastAsia="Arial" w:hAnsi="Arial"/>
          <w:sz w:val="18"/>
          <w:szCs w:val="18"/>
          <w:color w:val="auto"/>
        </w:rPr>
      </w:pPr>
    </w:p>
    <w:p>
      <w:pPr>
        <w:ind w:left="1480" w:right="600" w:hanging="567"/>
        <w:spacing w:after="0" w:line="268"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Prime Communications – Potomac LLC 401(k) Retirement &amp; Savings Plan and the Prime Cable 401(k) Savings and Security Plan – August 1, 2000</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TGC, Inc. D/B/A The Golf Channel 401(k) Profit Sharing Plan – August 1, 2002</w:t>
      </w:r>
    </w:p>
    <w:p>
      <w:pPr>
        <w:spacing w:after="0" w:line="171" w:lineRule="exact"/>
        <w:rPr>
          <w:sz w:val="20"/>
          <w:szCs w:val="20"/>
          <w:color w:val="auto"/>
        </w:rPr>
      </w:pPr>
    </w:p>
    <w:p>
      <w:pPr>
        <w:jc w:val="both"/>
        <w:ind w:right="460" w:firstLine="913"/>
        <w:spacing w:after="0" w:line="306" w:lineRule="auto"/>
        <w:rPr>
          <w:sz w:val="20"/>
          <w:szCs w:val="20"/>
          <w:color w:val="auto"/>
        </w:rPr>
      </w:pPr>
      <w:r>
        <w:rPr>
          <w:rFonts w:ascii="Arial" w:cs="Arial" w:eastAsia="Arial" w:hAnsi="Arial"/>
          <w:sz w:val="16"/>
          <w:szCs w:val="16"/>
          <w:color w:val="auto"/>
        </w:rPr>
        <w:t>Effective April 1, 1998, assets from the tax-qualified defined contribution plan of Marcus Cable (the “Marcus Cable Plan”), attributable to the account balances of participants in the Marcus Cable Plan who transferred employment directly from Marcus Cable to the Company in connection with the Company’s acquisition of certain cable television businesses of Marcus Cable, were transferred to the Plan.</w:t>
      </w:r>
    </w:p>
    <w:p>
      <w:pPr>
        <w:sectPr>
          <w:pgSz w:w="11900" w:h="16838" w:orient="portrait"/>
          <w:cols w:equalWidth="0" w:num="1">
            <w:col w:w="11380"/>
          </w:cols>
          <w:pgMar w:left="240" w:top="280" w:right="279" w:bottom="1440" w:gutter="0" w:footer="0" w:header="0"/>
        </w:sectPr>
      </w:pPr>
    </w:p>
    <w:bookmarkStart w:id="171" w:name="page172"/>
    <w:bookmarkEnd w:id="171"/>
    <w:p>
      <w:pPr>
        <w:ind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November 1, 1999, assets from the tax-qualified defined contribution plans of Greater Media (the “Greater Media Plans”), attributable to the account balances of participants in the Greater Media Plans who transferred employment directly from Greater Media to the Company in connection with the Company’s acquisition of the Philadelphia cable television business of Greater Media, were transferred to the Plan.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Effective April 1, 2002, assets from the Lenfest Group Retirement Plan were transferred to the Plan.</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Effective July 1, 2003 (the “Effective Date”), the Comcast Cable Communications Holdings, Inc. Long Term Savings Plan (formerly the AT&amp;T Broadband Long Term Savings Plan) was merged with and into the Plan.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CCCHI Plan Mergers/Asset Transfers Prior to the Effective Date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plans were merged into the CCCHI Plan as of the dates indicated below:</w:t>
      </w:r>
    </w:p>
    <w:p>
      <w:pPr>
        <w:spacing w:after="0" w:line="90" w:lineRule="exact"/>
        <w:rPr>
          <w:sz w:val="20"/>
          <w:szCs w:val="20"/>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TCI TKR L.P. Retirement Savings Plan for Bargaining Unit Employees – May 31, 2001</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AT&amp;T Long Term Savings Plan – San Francisco – June 22, 2001</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MediaOne Group 401(k) Savings Plan – July 1, 2001</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United Artists Cablesystems Corporation Savings and Investment Plan – August 2, 2002</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TKR Cable Company Defined Contribution Plan – October 4, 2002.</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Tech TV Savings and Profit Sharing Plan – December 31, 2007</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401(k) Savings Plan for Certain Seymour Employees – December 31, 2007</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ThePlatform for Media Retirement Savings Plan – December 31, 2007</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Effective January 25, 2002, assets from the AT&amp;T Merger and Acquisition Retirement Savings Plan, to the extent attributable to current and former employees of AT&amp;T Broadband, were transferred to the CCCHI Plan.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NBCUniversal – Participation/Asset Transfer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Effective January 1, 2013, NBCUniversal, LLC became a Participating Company in the Plan such that its employees (other certain employees who are eligible to participate in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72" w:name="page173"/>
    <w:bookmarkEnd w:id="172"/>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NBCUniversal Capital Accumulation Plan from and after January 1, 2013 and certain other employees who are members of certain collectively bargained units) shall be eligible to participate in this Comcast Corporation Retirement-Investment Plan (the “Plan”), subject to the eligibility requirements set forth herein. On or about the January 1, 2013, the assets of the NBCUniversal Capital Accumulation Plan representing the accounts of NBCUniversal, LLC employees who are eligible to participate in the Plan were transferred to the Fund. The terms and conditions of the Plan, as set forth herein, shall generally apply to Participants who are such as a result of their employment with NBCUniversal, LLC, except to the extent such provisions contradict with the terms and conditions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Amendment and Restatement</w:t>
      </w:r>
    </w:p>
    <w:p>
      <w:pPr>
        <w:spacing w:after="0" w:line="9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Comcast Corporation hereby amends and restates The Comcast Corporation Retirement-Investment Plan, effective January 1, 2013, unless stated otherwise herein, to reflect the admittance of NBCUniversal, LLC as a Participating Company, subject to receipt of an Internal Revenue Service determination that the Plan continues to meet all applicable requirements of section 401(a) of the Code, that employer contributions thereto remain deductible under section 404 of the Code and that the trust fund maintained with respect thereto remains tax exempt under section 501(a) of the Code.</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ind w:right="60" w:firstLine="913"/>
        <w:spacing w:after="0" w:line="335" w:lineRule="auto"/>
        <w:rPr>
          <w:sz w:val="20"/>
          <w:szCs w:val="20"/>
          <w:color w:val="auto"/>
        </w:rPr>
      </w:pPr>
      <w:r>
        <w:rPr>
          <w:rFonts w:ascii="Arial" w:cs="Arial" w:eastAsia="Arial" w:hAnsi="Arial"/>
          <w:sz w:val="15"/>
          <w:szCs w:val="15"/>
          <w:color w:val="auto"/>
        </w:rPr>
        <w:t>Except where otherwise clearly indicated by context, the masculine shall include the feminine and the singular shall include the plural, and vice-versa. Any term used herein without an initial capital letter that is used in a provision of the Code with which this Plan must comply to meet the requirements of section 401(a) of the Code shall be interpreted as having the meaning used in such provision of the Code, if necessary for the Plan to comply with such provision.</w:t>
      </w:r>
    </w:p>
    <w:p>
      <w:pPr>
        <w:spacing w:after="0" w:line="8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the entries maintained in the records of the Trustee which represent the Participant’s interest in the Fund. The term “Account” shall refer, as the context indicates, to any or all of the following:</w:t>
      </w:r>
    </w:p>
    <w:p>
      <w:pPr>
        <w:spacing w:after="0" w:line="132"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 Account</w:t>
      </w:r>
      <w:r>
        <w:rPr>
          <w:rFonts w:ascii="Arial" w:cs="Arial" w:eastAsia="Arial" w:hAnsi="Arial"/>
          <w:sz w:val="18"/>
          <w:szCs w:val="18"/>
          <w:color w:val="auto"/>
        </w:rPr>
        <w:t>” – the Account to which are credited After-Tax Matched Contributions allocated to a Participant, adjustments for withdrawals and distributions, and the earnings, losses and expenses attributable thereto. In addition, amounts denominated as “After-Tax Matched Contributions” under the CCCHI Plan are credited to this Account.</w:t>
      </w:r>
    </w:p>
    <w:p>
      <w:pPr>
        <w:spacing w:after="0" w:line="140" w:lineRule="exact"/>
        <w:rPr>
          <w:sz w:val="20"/>
          <w:szCs w:val="20"/>
          <w:color w:val="auto"/>
        </w:rPr>
      </w:pPr>
    </w:p>
    <w:p>
      <w:pPr>
        <w:ind w:right="620" w:firstLine="148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Rollover Account</w:t>
      </w:r>
      <w:r>
        <w:rPr>
          <w:rFonts w:ascii="Arial" w:cs="Arial" w:eastAsia="Arial" w:hAnsi="Arial"/>
          <w:sz w:val="16"/>
          <w:szCs w:val="16"/>
          <w:color w:val="auto"/>
        </w:rPr>
        <w:t>” – the Account to which are credited a Participant’s After-Tax Rollover Contributions, adjustments for withdrawals and distributions, and the earnings, losses and expenses attributable thereto. In addition, amounts denominated as “Non-taxable Rollover Contributions” under the CCCHI Plan or as “After-Tax Rollover Contributions” under the NBCU CAP are credited to this Account.</w:t>
      </w:r>
    </w:p>
    <w:p>
      <w:pPr>
        <w:spacing w:after="0" w:line="107" w:lineRule="exact"/>
        <w:rPr>
          <w:sz w:val="20"/>
          <w:szCs w:val="20"/>
          <w:color w:val="auto"/>
        </w:rPr>
      </w:pPr>
    </w:p>
    <w:p>
      <w:pPr>
        <w:ind w:right="80" w:firstLine="148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Unmatched Contribution Account</w:t>
      </w:r>
      <w:r>
        <w:rPr>
          <w:rFonts w:ascii="Arial" w:cs="Arial" w:eastAsia="Arial" w:hAnsi="Arial"/>
          <w:sz w:val="16"/>
          <w:szCs w:val="16"/>
          <w:color w:val="auto"/>
        </w:rPr>
        <w:t>” – the Account to which are credited After-Tax Unmatched Contributions allocated to a Participant, adjustments for withdrawals and distributions, and the earnings, losses and expenses attributable thereto. In addition, (i) amounts denominated as “Prior Plan Contributions” under the Plan prior to the Effective Date, (ii) amounts denominated as “After-Tax Unmatched Contributions” under the CCCHI Plan, and (iii) amounts transferred from a Participant’s “Frozen After-Tax Contribution Account” are credited to this Account.</w:t>
      </w:r>
    </w:p>
    <w:p>
      <w:pPr>
        <w:spacing w:after="0" w:line="113" w:lineRule="exact"/>
        <w:rPr>
          <w:sz w:val="20"/>
          <w:szCs w:val="20"/>
          <w:color w:val="auto"/>
        </w:rPr>
      </w:pPr>
    </w:p>
    <w:p>
      <w:pPr>
        <w:jc w:val="both"/>
        <w:ind w:right="2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 Account</w:t>
      </w:r>
      <w:r>
        <w:rPr>
          <w:rFonts w:ascii="Arial" w:cs="Arial" w:eastAsia="Arial" w:hAnsi="Arial"/>
          <w:sz w:val="18"/>
          <w:szCs w:val="18"/>
          <w:color w:val="auto"/>
        </w:rPr>
        <w:t>” – the Account to which are credited Broadband Heritage Matching Contributions and Prior Broadband Heritage Matching Contributions allocated to a Participant, adjustments for withdrawals and distributions, and the earnings, losses and expenses attributable thereto.</w:t>
      </w:r>
    </w:p>
    <w:p>
      <w:pPr>
        <w:spacing w:after="0" w:line="140" w:lineRule="exact"/>
        <w:rPr>
          <w:sz w:val="20"/>
          <w:szCs w:val="20"/>
          <w:color w:val="auto"/>
        </w:rPr>
      </w:pPr>
    </w:p>
    <w:p>
      <w:pPr>
        <w:ind w:right="260" w:firstLine="148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Catch-Up Contribution Account</w:t>
      </w:r>
      <w:r>
        <w:rPr>
          <w:rFonts w:ascii="Arial" w:cs="Arial" w:eastAsia="Arial" w:hAnsi="Arial"/>
          <w:sz w:val="16"/>
          <w:szCs w:val="16"/>
          <w:color w:val="auto"/>
        </w:rPr>
        <w:t>” – the Account to which are credited Catch-Up Contributions allocated to a Participant, adjustments for withdrawals and distributions, and the earnings, losses and expenses attributable thereto. In addition, pre-tax catch-up contributions allocated to a Participant under the Plan or the CCCHI prior to the Effective Date or under the NBCU CAP are allocated to this Account.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74" w:name="page175"/>
    <w:bookmarkEnd w:id="174"/>
    <w:p>
      <w:pPr>
        <w:ind w:right="80" w:firstLine="1484"/>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DC Adder Contribution Account (Frozen)</w:t>
      </w:r>
      <w:r>
        <w:rPr>
          <w:rFonts w:ascii="Arial" w:cs="Arial" w:eastAsia="Arial" w:hAnsi="Arial"/>
          <w:sz w:val="16"/>
          <w:szCs w:val="16"/>
          <w:color w:val="auto"/>
        </w:rPr>
        <w:t>” – the Account to which are credited amounts denominated as “DC Adder Contributions” under the NBCU CAP, adjustments for withdrawals and distributions, and the earnings, losses and expenses attributable thereto.</w:t>
      </w:r>
    </w:p>
    <w:p>
      <w:pPr>
        <w:spacing w:after="0" w:line="85" w:lineRule="exact"/>
        <w:rPr>
          <w:sz w:val="20"/>
          <w:szCs w:val="20"/>
          <w:color w:val="auto"/>
        </w:rPr>
      </w:pPr>
    </w:p>
    <w:p>
      <w:pPr>
        <w:ind w:firstLine="148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Matching Contribution Account</w:t>
      </w:r>
      <w:r>
        <w:rPr>
          <w:rFonts w:ascii="Arial" w:cs="Arial" w:eastAsia="Arial" w:hAnsi="Arial"/>
          <w:sz w:val="16"/>
          <w:szCs w:val="16"/>
          <w:color w:val="auto"/>
        </w:rPr>
        <w:t>” – the Account to which are credited Matching Contributions allocated to a Participant, adjustments for withdrawals and distributions, and the earnings, losses and expenses attributable thereto. In addition, (i) matching contributions under the Plan after December 31, 2000 and through the Effective Date, (ii) matching contributions under the CCCHI Plan after December 31, 2002 and through the Effective Date, and (iii) matching contributions made to Participants under the NBCU CAP are, in each case, allocated to this Account.</w:t>
      </w:r>
    </w:p>
    <w:p>
      <w:pPr>
        <w:spacing w:after="0" w:line="113" w:lineRule="exact"/>
        <w:rPr>
          <w:sz w:val="20"/>
          <w:szCs w:val="20"/>
          <w:color w:val="auto"/>
        </w:rPr>
      </w:pPr>
    </w:p>
    <w:p>
      <w:pPr>
        <w:jc w:val="both"/>
        <w:ind w:right="72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Retirement Contributions Account</w:t>
      </w:r>
      <w:r>
        <w:rPr>
          <w:rFonts w:ascii="Arial" w:cs="Arial" w:eastAsia="Arial" w:hAnsi="Arial"/>
          <w:sz w:val="18"/>
          <w:szCs w:val="18"/>
          <w:color w:val="auto"/>
        </w:rPr>
        <w:t>” – the Account to which are credited a Participant’s NBCU Retirement Contributions, adjustments for withdrawals and distributions, and the earnings, losses and expenses attributable thereto. In addition, amounts denominated as “Flexible Retirement Account Contributions” under the NBCU CAP are credited to this Account.</w:t>
      </w:r>
    </w:p>
    <w:p>
      <w:pPr>
        <w:spacing w:after="0" w:line="140" w:lineRule="exact"/>
        <w:rPr>
          <w:sz w:val="20"/>
          <w:szCs w:val="20"/>
          <w:color w:val="auto"/>
        </w:rPr>
      </w:pPr>
    </w:p>
    <w:p>
      <w:pPr>
        <w:ind w:right="180" w:firstLine="148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Pre-Tax Matched Contribution Account</w:t>
      </w:r>
      <w:r>
        <w:rPr>
          <w:rFonts w:ascii="Arial" w:cs="Arial" w:eastAsia="Arial" w:hAnsi="Arial"/>
          <w:sz w:val="16"/>
          <w:szCs w:val="16"/>
          <w:color w:val="auto"/>
        </w:rPr>
        <w:t>” – the Account to which are credited a Participant’s Pre-Tax Matched Contributions, adjustments for withdrawals and distributions, and the earnings, losses and expenses attributable thereto. In addition, (i) amounts denominated as “Salary Reduction Contributions” under the Plan prior to the Effective Date that were matched, (ii) amounts denominated as “Pre-Tax Matched Contributions” under the CCCHI Plan, and (iii) amounts denominated as “Pre-Tax Contributions” under the NBCU CAP are credited to this Account.</w:t>
      </w:r>
    </w:p>
    <w:p>
      <w:pPr>
        <w:spacing w:after="0" w:line="113" w:lineRule="exact"/>
        <w:rPr>
          <w:sz w:val="20"/>
          <w:szCs w:val="20"/>
          <w:color w:val="auto"/>
        </w:rPr>
      </w:pPr>
    </w:p>
    <w:p>
      <w:pPr>
        <w:ind w:right="80" w:firstLine="148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 Account</w:t>
      </w:r>
      <w:r>
        <w:rPr>
          <w:rFonts w:ascii="Arial" w:cs="Arial" w:eastAsia="Arial" w:hAnsi="Arial"/>
          <w:sz w:val="18"/>
          <w:szCs w:val="18"/>
          <w:color w:val="auto"/>
        </w:rPr>
        <w:t>” – the Account to which are credited a Participant’s Pre-Tax Unmatched Contributions, adjustments for withdrawals and distributions, and the earnings, losses and expenses attributable thereto. In addition, amounts denominated as “Salary Reduction Contributions” under the Plan prior to the Effective Date that were not matched, as well as amounts denominated as “Pre-Tax Unmatched Contributions” under the CCCHI Plan are credited to this Account.</w:t>
      </w:r>
    </w:p>
    <w:p>
      <w:pPr>
        <w:spacing w:after="0" w:line="143" w:lineRule="exact"/>
        <w:rPr>
          <w:sz w:val="20"/>
          <w:szCs w:val="20"/>
          <w:color w:val="auto"/>
        </w:rPr>
      </w:pPr>
    </w:p>
    <w:p>
      <w:pPr>
        <w:ind w:right="160" w:firstLine="148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(Unvested)</w:t>
      </w:r>
      <w:r>
        <w:rPr>
          <w:rFonts w:ascii="Arial" w:cs="Arial" w:eastAsia="Arial" w:hAnsi="Arial"/>
          <w:sz w:val="16"/>
          <w:szCs w:val="16"/>
          <w:color w:val="auto"/>
        </w:rPr>
        <w:t>” – the Account to which are credited Prior Company Matching Contributions (Unvested) allocated to a Participant, adjustments for withdrawals and distributions, and the earnings, losses and expenses attributable thereto.</w:t>
      </w:r>
    </w:p>
    <w:p>
      <w:pPr>
        <w:spacing w:after="0" w:line="85" w:lineRule="exact"/>
        <w:rPr>
          <w:sz w:val="20"/>
          <w:szCs w:val="20"/>
          <w:color w:val="auto"/>
        </w:rPr>
      </w:pPr>
    </w:p>
    <w:p>
      <w:pPr>
        <w:ind w:right="360" w:firstLine="148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(Vested)</w:t>
      </w:r>
      <w:r>
        <w:rPr>
          <w:rFonts w:ascii="Arial" w:cs="Arial" w:eastAsia="Arial" w:hAnsi="Arial"/>
          <w:sz w:val="16"/>
          <w:szCs w:val="16"/>
          <w:color w:val="auto"/>
        </w:rPr>
        <w:t>” – the Account to which are credited Prior Company Matching Contributions (Vested) allocated to a Participant, adjustments for withdrawals and distributions, and the earnings, losses and expenses attributable thereto.</w:t>
      </w:r>
    </w:p>
    <w:p>
      <w:pPr>
        <w:spacing w:after="0" w:line="85" w:lineRule="exact"/>
        <w:rPr>
          <w:sz w:val="20"/>
          <w:szCs w:val="20"/>
          <w:color w:val="auto"/>
        </w:rPr>
      </w:pPr>
    </w:p>
    <w:p>
      <w:pPr>
        <w:jc w:val="both"/>
        <w:ind w:right="20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QNEC Account</w:t>
      </w:r>
      <w:r>
        <w:rPr>
          <w:rFonts w:ascii="Arial" w:cs="Arial" w:eastAsia="Arial" w:hAnsi="Arial"/>
          <w:sz w:val="18"/>
          <w:szCs w:val="18"/>
          <w:color w:val="auto"/>
        </w:rPr>
        <w:t>” – the Account to which are credited a Participant’s Qualified Non-Elective Contributions, adjustments for withdrawals and distributions, and the earnings, losses and expenses attributable thereto, including any amounts designated as qualified non-elective contributions under the Plan or the CCCHI Plan prior to the Effective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75" w:name="page176"/>
    <w:bookmarkEnd w:id="175"/>
    <w:p>
      <w:pPr>
        <w:ind w:right="160" w:firstLine="148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Roth Catch-Up Contribution Account</w:t>
      </w:r>
      <w:r>
        <w:rPr>
          <w:rFonts w:ascii="Arial" w:cs="Arial" w:eastAsia="Arial" w:hAnsi="Arial"/>
          <w:sz w:val="18"/>
          <w:szCs w:val="18"/>
          <w:color w:val="auto"/>
        </w:rPr>
        <w:t>” – the Account to which are credited Roth Catch-Up Contributions allocated to a Participant, adjustments for withdrawals and distributions, and the earnings, losses and expenses attributable thereto. In addition, amounts denominated as “Roth Catch-Up Contributions” under the NBCU CAP are credited to this Account.</w:t>
      </w:r>
    </w:p>
    <w:p>
      <w:pPr>
        <w:spacing w:after="0" w:line="140" w:lineRule="exact"/>
        <w:rPr>
          <w:sz w:val="20"/>
          <w:szCs w:val="20"/>
          <w:color w:val="auto"/>
        </w:rPr>
      </w:pPr>
    </w:p>
    <w:p>
      <w:pPr>
        <w:jc w:val="both"/>
        <w:ind w:right="22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Matched Contribution Account</w:t>
      </w:r>
      <w:r>
        <w:rPr>
          <w:rFonts w:ascii="Arial" w:cs="Arial" w:eastAsia="Arial" w:hAnsi="Arial"/>
          <w:sz w:val="18"/>
          <w:szCs w:val="18"/>
          <w:color w:val="auto"/>
        </w:rPr>
        <w:t>” – the Account to which are credited a Participant’s Roth Matched Contributions, adjustments for withdrawals and distributions, and the earnings, losses and expenses attributable thereto. In addition, amounts denominated as “Roth Contributions” under the NBCU CAP are credited to this Account.</w:t>
      </w:r>
    </w:p>
    <w:p>
      <w:pPr>
        <w:spacing w:after="0" w:line="140"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Rollover Account</w:t>
      </w:r>
      <w:r>
        <w:rPr>
          <w:rFonts w:ascii="Arial" w:cs="Arial" w:eastAsia="Arial" w:hAnsi="Arial"/>
          <w:sz w:val="18"/>
          <w:szCs w:val="18"/>
          <w:color w:val="auto"/>
        </w:rPr>
        <w:t>” – the Account to which are credited a Participant’s Roth Rollover Contributions, adjustments for withdrawals and distributions, and the earnings, losses and expenses attributable thereto. In addition, amounts denominated as “Roth Rollover Contributions” under the NBCU CAP are credited to this Account.</w:t>
      </w:r>
    </w:p>
    <w:p>
      <w:pPr>
        <w:spacing w:after="0" w:line="140"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Unmatched Contribution Account</w:t>
      </w:r>
      <w:r>
        <w:rPr>
          <w:rFonts w:ascii="Arial" w:cs="Arial" w:eastAsia="Arial" w:hAnsi="Arial"/>
          <w:sz w:val="18"/>
          <w:szCs w:val="18"/>
          <w:color w:val="auto"/>
        </w:rPr>
        <w:t>” – the Account to which are credited a Participant’s Roth Unmatched Contributions, adjustments for withdrawals and distributions, and the earnings, losses and expenses attributable thereto.</w:t>
      </w:r>
    </w:p>
    <w:p>
      <w:pPr>
        <w:spacing w:after="0" w:line="132"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Rollover Account</w:t>
      </w:r>
      <w:r>
        <w:rPr>
          <w:rFonts w:ascii="Arial" w:cs="Arial" w:eastAsia="Arial" w:hAnsi="Arial"/>
          <w:sz w:val="18"/>
          <w:szCs w:val="18"/>
          <w:color w:val="auto"/>
        </w:rPr>
        <w:t>” – the Account to which are credited a Participant’s Taxable Rollover Contributions, adjustments for withdrawals and distributions, and the earnings, losses and expenses attributable thereto. In addition, (i) amounts denominated as “Rollover Contributions” under the Plan prior to the Effective Date, (ii) amounts denominated as “Taxable Rollover Contributions” under the CCCHI Plan, and (iii) amount denominated as “Taxable Rollover Contributions” under the NBCU CAP are credited to this Account.</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 an individual who has become an Active Participant as provided in Article II and has remained a Covered Employee at all times thereafter.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Deferral Percentage</w:t>
      </w:r>
      <w:r>
        <w:rPr>
          <w:rFonts w:ascii="Arial" w:cs="Arial" w:eastAsia="Arial" w:hAnsi="Arial"/>
          <w:sz w:val="18"/>
          <w:szCs w:val="18"/>
          <w:color w:val="auto"/>
        </w:rPr>
        <w:t>” means, for any Early Entry Eligible Employee for a given Plan Year, the ratio of:</w:t>
      </w:r>
    </w:p>
    <w:p>
      <w:pPr>
        <w:spacing w:after="0" w:line="171" w:lineRule="exact"/>
        <w:rPr>
          <w:sz w:val="20"/>
          <w:szCs w:val="20"/>
          <w:color w:val="auto"/>
        </w:rPr>
      </w:pPr>
    </w:p>
    <w:p>
      <w:pPr>
        <w:ind w:left="2180" w:hanging="232"/>
        <w:spacing w:after="0"/>
        <w:tabs>
          <w:tab w:leader="none" w:pos="2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such Early Entry Eligible Employee’s Pre-Tax Contributions for the Plan Year, plus</w:t>
      </w:r>
    </w:p>
    <w:p>
      <w:pPr>
        <w:spacing w:after="0" w:line="171" w:lineRule="exact"/>
        <w:rPr>
          <w:rFonts w:ascii="Arial" w:cs="Arial" w:eastAsia="Arial" w:hAnsi="Arial"/>
          <w:sz w:val="18"/>
          <w:szCs w:val="18"/>
          <w:color w:val="auto"/>
        </w:rPr>
      </w:pPr>
    </w:p>
    <w:p>
      <w:pPr>
        <w:ind w:right="180" w:firstLine="2404"/>
        <w:spacing w:after="0" w:line="306" w:lineRule="auto"/>
        <w:tabs>
          <w:tab w:leader="none" w:pos="2645" w:val="left"/>
        </w:tabs>
        <w:numPr>
          <w:ilvl w:val="1"/>
          <w:numId w:val="87"/>
        </w:numPr>
        <w:rPr>
          <w:rFonts w:ascii="Arial" w:cs="Arial" w:eastAsia="Arial" w:hAnsi="Arial"/>
          <w:sz w:val="16"/>
          <w:szCs w:val="16"/>
          <w:color w:val="auto"/>
        </w:rPr>
      </w:pPr>
      <w:r>
        <w:rPr>
          <w:rFonts w:ascii="Arial" w:cs="Arial" w:eastAsia="Arial" w:hAnsi="Arial"/>
          <w:sz w:val="16"/>
          <w:szCs w:val="16"/>
          <w:color w:val="auto"/>
        </w:rPr>
        <w:t>in the case of any Highly Compensated Early Entry Eligible Employee, his elective deferrals for the year under any other qualified retirement plan, other than an employee stock ownership plan as defined in section 4975(e)(7) of the Code or a tax credit employee stock ownership plan as defined in section 409(a) of the Code, maintained by the Participating Company or any Affiliated Company; to</w:t>
      </w:r>
    </w:p>
    <w:p>
      <w:pPr>
        <w:spacing w:after="0" w:line="106" w:lineRule="exact"/>
        <w:rPr>
          <w:rFonts w:ascii="Arial" w:cs="Arial" w:eastAsia="Arial" w:hAnsi="Arial"/>
          <w:sz w:val="16"/>
          <w:szCs w:val="16"/>
          <w:color w:val="auto"/>
        </w:rPr>
      </w:pPr>
    </w:p>
    <w:p>
      <w:pPr>
        <w:ind w:left="2200" w:hanging="252"/>
        <w:spacing w:after="0"/>
        <w:tabs>
          <w:tab w:leader="none" w:pos="22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Early Entry Eligible Employee’s Compensation for that portion of the Plan Year during which he was an Early Entry Eligible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76" w:name="page177"/>
    <w:bookmarkEnd w:id="17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plan administrator within the meaning of ERISA. The Committee shall be the Administrator.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Company</w:t>
      </w:r>
      <w:r>
        <w:rPr>
          <w:rFonts w:ascii="Arial" w:cs="Arial" w:eastAsia="Arial" w:hAnsi="Arial"/>
          <w:sz w:val="18"/>
          <w:szCs w:val="18"/>
          <w:color w:val="auto"/>
        </w:rPr>
        <w:t>” means, with respect to any Participating Company:</w:t>
      </w:r>
    </w:p>
    <w:p>
      <w:pPr>
        <w:spacing w:after="0" w:line="171" w:lineRule="exact"/>
        <w:rPr>
          <w:sz w:val="20"/>
          <w:szCs w:val="20"/>
          <w:color w:val="auto"/>
        </w:rPr>
      </w:pPr>
    </w:p>
    <w:p>
      <w:pPr>
        <w:ind w:left="2180" w:hanging="232"/>
        <w:spacing w:after="0"/>
        <w:tabs>
          <w:tab w:leader="none" w:pos="2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General.</w:t>
      </w:r>
    </w:p>
    <w:p>
      <w:pPr>
        <w:spacing w:after="0" w:line="171" w:lineRule="exact"/>
        <w:rPr>
          <w:rFonts w:ascii="Arial" w:cs="Arial" w:eastAsia="Arial" w:hAnsi="Arial"/>
          <w:sz w:val="18"/>
          <w:szCs w:val="18"/>
          <w:color w:val="auto"/>
        </w:rPr>
      </w:pPr>
    </w:p>
    <w:p>
      <w:pPr>
        <w:ind w:right="320" w:firstLine="2404"/>
        <w:spacing w:after="0" w:line="268" w:lineRule="auto"/>
        <w:tabs>
          <w:tab w:leader="none" w:pos="264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corporation that is a member of a controlled group of corporations, as determined under section 414(b) of the Code, which includes such Participating Company;</w:t>
      </w:r>
    </w:p>
    <w:p>
      <w:pPr>
        <w:spacing w:after="0" w:line="131" w:lineRule="exact"/>
        <w:rPr>
          <w:rFonts w:ascii="Arial" w:cs="Arial" w:eastAsia="Arial" w:hAnsi="Arial"/>
          <w:sz w:val="18"/>
          <w:szCs w:val="18"/>
          <w:color w:val="auto"/>
        </w:rPr>
      </w:pPr>
    </w:p>
    <w:p>
      <w:pPr>
        <w:ind w:right="440" w:firstLine="2404"/>
        <w:spacing w:after="0" w:line="268" w:lineRule="auto"/>
        <w:tabs>
          <w:tab w:leader="none" w:pos="264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trade or business (whether or not incorporated) that is under common control with such Participating Company, as determined under section 414(c) of the Code;</w:t>
      </w:r>
    </w:p>
    <w:p>
      <w:pPr>
        <w:spacing w:after="0" w:line="131" w:lineRule="exact"/>
        <w:rPr>
          <w:rFonts w:ascii="Arial" w:cs="Arial" w:eastAsia="Arial" w:hAnsi="Arial"/>
          <w:sz w:val="18"/>
          <w:szCs w:val="18"/>
          <w:color w:val="auto"/>
        </w:rPr>
      </w:pPr>
    </w:p>
    <w:p>
      <w:pPr>
        <w:ind w:left="2660" w:hanging="256"/>
        <w:spacing w:after="0"/>
        <w:tabs>
          <w:tab w:leader="none" w:pos="26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any member of an affiliated service group, as determined under section 414(m) of the Code, of which such Participating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is a member; and</w:t>
      </w:r>
    </w:p>
    <w:p>
      <w:pPr>
        <w:spacing w:after="0" w:line="164" w:lineRule="exact"/>
        <w:rPr>
          <w:rFonts w:ascii="Arial" w:cs="Arial" w:eastAsia="Arial" w:hAnsi="Arial"/>
          <w:sz w:val="16"/>
          <w:szCs w:val="16"/>
          <w:color w:val="auto"/>
        </w:rPr>
      </w:pPr>
    </w:p>
    <w:p>
      <w:pPr>
        <w:ind w:right="100" w:firstLine="2404"/>
        <w:spacing w:after="0" w:line="268" w:lineRule="auto"/>
        <w:tabs>
          <w:tab w:leader="none" w:pos="264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other organization or entity which is required to be aggregated with the Participating Company under section 414(o) of the Code and regulations issued thereunder.</w:t>
      </w:r>
    </w:p>
    <w:p>
      <w:pPr>
        <w:spacing w:after="0" w:line="131" w:lineRule="exact"/>
        <w:rPr>
          <w:rFonts w:ascii="Arial" w:cs="Arial" w:eastAsia="Arial" w:hAnsi="Arial"/>
          <w:sz w:val="18"/>
          <w:szCs w:val="18"/>
          <w:color w:val="auto"/>
        </w:rPr>
      </w:pPr>
    </w:p>
    <w:p>
      <w:pPr>
        <w:ind w:firstLine="1948"/>
        <w:spacing w:after="0" w:line="259" w:lineRule="auto"/>
        <w:tabs>
          <w:tab w:leader="none" w:pos="2189"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50% Affiliated Company</w:t>
      </w:r>
      <w:r>
        <w:rPr>
          <w:rFonts w:ascii="Arial" w:cs="Arial" w:eastAsia="Arial" w:hAnsi="Arial"/>
          <w:sz w:val="18"/>
          <w:szCs w:val="18"/>
          <w:color w:val="auto"/>
        </w:rPr>
        <w:t>.” “50% Affiliated Company” means an Affiliated Company described in subsection (a)(1) or subsection (a)(2) of this definition, but determined with “more than 50%” substituted for the phrase “at least 80%” in section 1563(a) of the Code, when applying sections 414(b) and (c) of the Code.</w:t>
      </w:r>
    </w:p>
    <w:p>
      <w:pPr>
        <w:spacing w:after="0" w:line="140" w:lineRule="exact"/>
        <w:rPr>
          <w:rFonts w:ascii="Arial" w:cs="Arial" w:eastAsia="Arial" w:hAnsi="Arial"/>
          <w:sz w:val="18"/>
          <w:szCs w:val="18"/>
          <w:color w:val="auto"/>
        </w:rPr>
      </w:pPr>
    </w:p>
    <w:p>
      <w:pPr>
        <w:ind w:firstLine="1948"/>
        <w:spacing w:after="0" w:line="298" w:lineRule="auto"/>
        <w:tabs>
          <w:tab w:leader="none" w:pos="2179"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Special Rules</w:t>
      </w:r>
      <w:r>
        <w:rPr>
          <w:rFonts w:ascii="Arial" w:cs="Arial" w:eastAsia="Arial" w:hAnsi="Arial"/>
          <w:sz w:val="16"/>
          <w:szCs w:val="16"/>
          <w:color w:val="auto"/>
        </w:rPr>
        <w:t>. (i) An entity is an Affiliated Company only during those periods in which it is included in a category described in subsection (a) or (b) of this definition. (ii) For purposes of crediting service for eligibility to participate and vesting, an entity at least 25% owned by the Company or a Participating Company shall be deemed an Affiliated Company; provided that, for purposes of eligibility to participate, crediting of such service is contingent upon an Employee notifying the Company of such prior service and verification of such prior service.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Contributions</w:t>
      </w:r>
      <w:r>
        <w:rPr>
          <w:rFonts w:ascii="Arial" w:cs="Arial" w:eastAsia="Arial" w:hAnsi="Arial"/>
          <w:sz w:val="18"/>
          <w:szCs w:val="18"/>
          <w:color w:val="auto"/>
        </w:rPr>
        <w:t>” means After-Tax Matched Contributions and After-Tax Unmatched Contributions.</w:t>
      </w:r>
    </w:p>
    <w:p>
      <w:pPr>
        <w:spacing w:after="0" w:line="171" w:lineRule="exact"/>
        <w:rPr>
          <w:sz w:val="20"/>
          <w:szCs w:val="20"/>
          <w:color w:val="auto"/>
        </w:rPr>
      </w:pPr>
    </w:p>
    <w:p>
      <w:pPr>
        <w:ind w:right="34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After-Tax Matched Contributions</w:t>
      </w:r>
      <w:r>
        <w:rPr>
          <w:rFonts w:ascii="Arial" w:cs="Arial" w:eastAsia="Arial" w:hAnsi="Arial"/>
          <w:sz w:val="15"/>
          <w:szCs w:val="15"/>
          <w:color w:val="auto"/>
        </w:rPr>
        <w:t>” means an amount that a Participant who is a Covered Union Employee (Broadband) elects to have deducted from his or her Compensation, in accordance with Article IV, after income taxes have been withheld on such amounts (other than Roth Contributions).</w:t>
      </w:r>
    </w:p>
    <w:p>
      <w:pPr>
        <w:spacing w:after="0" w:line="62"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Rollover Contributions</w:t>
      </w:r>
      <w:r>
        <w:rPr>
          <w:rFonts w:ascii="Arial" w:cs="Arial" w:eastAsia="Arial" w:hAnsi="Arial"/>
          <w:sz w:val="16"/>
          <w:szCs w:val="16"/>
          <w:color w:val="auto"/>
        </w:rPr>
        <w:t>” means a contribution to the Plan made in accordance with the rules of section 402 of the Code and pursuant to Section 7.1 of amounts which will not constitute taxable income to the Participant when distributed or withdrawn (other than Roth Rollover Contributions).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77" w:name="page178"/>
    <w:bookmarkEnd w:id="177"/>
    <w:p>
      <w:pPr>
        <w:jc w:val="both"/>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After-Tax Unmatched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 (other than Roth Contributions). After-Tax Unmatched Contributions are not eligible for Broadband Heritage Matching Contributions.</w:t>
      </w:r>
    </w:p>
    <w:p>
      <w:pPr>
        <w:spacing w:after="0" w:line="14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w:t>
      </w:r>
      <w:r>
        <w:rPr>
          <w:rFonts w:ascii="Arial" w:cs="Arial" w:eastAsia="Arial" w:hAnsi="Arial"/>
          <w:sz w:val="18"/>
          <w:szCs w:val="18"/>
          <w:color w:val="auto"/>
        </w:rPr>
        <w:t xml:space="preserve">” means, for any individual, his age on his last birthday, except that an individual reaches Age 59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or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on the corresponding date in the sixth calendar month following the month in which his 59th or 70th (respectively) birthday falls (or the last day of such sixth month if there is no such corresponding date therein).</w:t>
      </w:r>
    </w:p>
    <w:p>
      <w:pPr>
        <w:spacing w:after="0" w:line="14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as reflected on the records of the Company. An employee’s Annual Rate of Pay shall not include sales commissions or other similar payments or awards.</w:t>
      </w:r>
    </w:p>
    <w:p>
      <w:pPr>
        <w:spacing w:after="0" w:line="132"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combination of Comcast Corporation and AT&amp;T Broadband Corp., which was consummated on November 18, 2002.</w:t>
      </w:r>
    </w:p>
    <w:p>
      <w:pPr>
        <w:spacing w:after="0" w:line="132"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Actual Deferral Percentage</w:t>
      </w:r>
      <w:r>
        <w:rPr>
          <w:rFonts w:ascii="Arial" w:cs="Arial" w:eastAsia="Arial" w:hAnsi="Arial"/>
          <w:sz w:val="18"/>
          <w:szCs w:val="18"/>
          <w:color w:val="auto"/>
        </w:rPr>
        <w:t>” means, for a specified group of Early Entry Eligible Employees for a Plan Year, the average of the Actual Deferral Percentages for such Early Entry Eligible Employees for the Plan Year.</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Contribution Percentage</w:t>
      </w:r>
      <w:r>
        <w:rPr>
          <w:rFonts w:ascii="Arial" w:cs="Arial" w:eastAsia="Arial" w:hAnsi="Arial"/>
          <w:sz w:val="18"/>
          <w:szCs w:val="18"/>
          <w:color w:val="auto"/>
        </w:rPr>
        <w:t>” means, for a specified group of Early Entry Eligible Employees for a Plan Year, the average of the Contribution Percentages for such Early Entry Eligible Employees for the Plan Year.</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Commencement Date</w:t>
      </w:r>
      <w:r>
        <w:rPr>
          <w:rFonts w:ascii="Arial" w:cs="Arial" w:eastAsia="Arial" w:hAnsi="Arial"/>
          <w:sz w:val="18"/>
          <w:szCs w:val="18"/>
          <w:color w:val="auto"/>
        </w:rPr>
        <w:t>” means, for any Participant or beneficiary, the date as of which the first benefit payment, including a single sum, from the Participant’s Account is due, other than pursuant to a withdrawal under Article VIII.</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(or other governing body) of the Company and, to the extent the Board has delegated its authority hereunder to the Board’s Executive Committee, the Executive Committee.</w:t>
      </w:r>
    </w:p>
    <w:p>
      <w:pPr>
        <w:spacing w:after="0" w:line="13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Contributions</w:t>
      </w:r>
      <w:r>
        <w:rPr>
          <w:rFonts w:ascii="Arial" w:cs="Arial" w:eastAsia="Arial" w:hAnsi="Arial"/>
          <w:sz w:val="18"/>
          <w:szCs w:val="18"/>
          <w:color w:val="auto"/>
        </w:rPr>
        <w:t>” means the amounts contributed by the Company and referenced as “Broadband Heritage Matching Contributions” pursuant to the Plan as in effect on December 31, 2009.</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Catch-Up Contributions</w:t>
      </w:r>
      <w:r>
        <w:rPr>
          <w:rFonts w:ascii="Arial" w:cs="Arial" w:eastAsia="Arial" w:hAnsi="Arial"/>
          <w:sz w:val="18"/>
          <w:szCs w:val="18"/>
          <w:color w:val="auto"/>
        </w:rPr>
        <w:t xml:space="preserve">” means for any eligible Participant, contributions on his behalf as provided in Section 3.1.3 or in Section 3.1(b)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that are made in accordance with, and subject to the limitations of, section 414(v) of the Code.</w:t>
      </w:r>
    </w:p>
    <w:p>
      <w:pPr>
        <w:spacing w:after="0" w:line="132"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CCCHI Plan</w:t>
      </w:r>
      <w:r>
        <w:rPr>
          <w:rFonts w:ascii="Arial" w:cs="Arial" w:eastAsia="Arial" w:hAnsi="Arial"/>
          <w:sz w:val="18"/>
          <w:szCs w:val="18"/>
          <w:color w:val="auto"/>
        </w:rPr>
        <w:t>” means the Comcast Cable Communications Holdings, Inc. Long Term Savings Plan (formerly the AT&amp;T Broadband Long Term Savings Plan), as in effect on June 30, 2003.</w:t>
      </w:r>
    </w:p>
    <w:p>
      <w:pPr>
        <w:spacing w:after="0" w:line="13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“Change in Control” as defined in the AT&amp;T 1997 Long Term Incentive Program (as amended May 19, 1999 and March 14, 2000), or (ii)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178" w:name="page179"/>
    <w:bookmarkEnd w:id="178"/>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between AT&amp;T Broadband and Comcast Corp. contemplated in the Agreement and Plan of Merger dated as of December 19, 2001 by and among AT&amp;T Corp., AT&amp;T Broadband Corp., Comcast Corporation, AT&amp;T Broadband Acquisition Corp., Comcast Acquisition Corp. and AT&amp;T Comcast Corporation.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regulations issued thereunder.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individuals appointed to supervise the administration of the Plan, as provided in Article X of the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means Comcast Corporation Class A Common Stock.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for any Eligible Employee, for any Plan Year or Limitation Year, as the case may be:</w:t>
      </w:r>
    </w:p>
    <w:p>
      <w:pPr>
        <w:spacing w:after="0" w:line="171" w:lineRule="exact"/>
        <w:rPr>
          <w:sz w:val="20"/>
          <w:szCs w:val="20"/>
          <w:color w:val="auto"/>
        </w:rPr>
      </w:pPr>
    </w:p>
    <w:p>
      <w:pPr>
        <w:ind w:right="20" w:firstLine="1948"/>
        <w:spacing w:after="0" w:line="289" w:lineRule="auto"/>
        <w:tabs>
          <w:tab w:leader="none" w:pos="2179"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except as otherwise provided below in this definition, and subject to the limitations set forth in subsection (c) of this definition, his wages as reported on Form W-2 (</w:t>
      </w:r>
      <w:r>
        <w:rPr>
          <w:rFonts w:ascii="Arial" w:cs="Arial" w:eastAsia="Arial" w:hAnsi="Arial"/>
          <w:sz w:val="16"/>
          <w:szCs w:val="16"/>
          <w:u w:val="single" w:color="auto"/>
          <w:color w:val="auto"/>
        </w:rPr>
        <w:t>i.e.</w:t>
      </w:r>
      <w:r>
        <w:rPr>
          <w:rFonts w:ascii="Arial" w:cs="Arial" w:eastAsia="Arial" w:hAnsi="Arial"/>
          <w:sz w:val="16"/>
          <w:szCs w:val="16"/>
          <w:color w:val="auto"/>
        </w:rPr>
        <w:t>, wages as defined in section 3401(a) of the Code and all other payments of compensation for which the Participating Company is required to furnish the employee a written statement under sections 6041(d) and 6051(a)(3) of the Code) from a Participating Company for such Plan Year, reduced by reimbursements or other expense allowances, fringe benefits (cash and non-cash), moving expenses, deferred compensation, and welfare benefits, but including Pre-Tax Contributions and elective contributions that are not includible in gross income under sections 125 or 402(a)(8) of the Code. For the purposes of the definitions of “Actual Deferral Percentage” and “Contribution Percentage” in this Article (except as otherwise provided in such definitions), the Company may elect to consider only Compensation as defined above for that portion of the Plan Year during which the Employee was an Eligible Employee, provided that this election is applied uniformly to all Eligible Employees for the Plan Year.</w:t>
      </w:r>
    </w:p>
    <w:p>
      <w:pPr>
        <w:spacing w:after="0" w:line="118" w:lineRule="exact"/>
        <w:rPr>
          <w:rFonts w:ascii="Arial" w:cs="Arial" w:eastAsia="Arial" w:hAnsi="Arial"/>
          <w:sz w:val="16"/>
          <w:szCs w:val="16"/>
          <w:color w:val="auto"/>
        </w:rPr>
      </w:pPr>
    </w:p>
    <w:p>
      <w:pPr>
        <w:ind w:firstLine="1948"/>
        <w:spacing w:after="0" w:line="291" w:lineRule="auto"/>
        <w:tabs>
          <w:tab w:leader="none" w:pos="2189" w:val="left"/>
        </w:tabs>
        <w:numPr>
          <w:ilvl w:val="0"/>
          <w:numId w:val="89"/>
        </w:numPr>
        <w:rPr>
          <w:rFonts w:ascii="Arial" w:cs="Arial" w:eastAsia="Arial" w:hAnsi="Arial"/>
          <w:sz w:val="16"/>
          <w:szCs w:val="16"/>
          <w:color w:val="auto"/>
        </w:rPr>
      </w:pPr>
      <w:r>
        <w:rPr>
          <w:rFonts w:ascii="Arial" w:cs="Arial" w:eastAsia="Arial" w:hAnsi="Arial"/>
          <w:sz w:val="16"/>
          <w:szCs w:val="16"/>
          <w:color w:val="auto"/>
        </w:rPr>
        <w:t>for the purposes of Article XIII and Section 3.9, subject to the limitations set forth in subsection (c) of this definition, the Employee’s wages as reported on Form W-2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wages as defined in section 3401(a) of the Code and all other payments of compensation for which the Participating Company is required to furnish the employee a written statement under sections 6041(d) and 6051(a)(3) of the Code); </w:t>
      </w:r>
      <w:r>
        <w:rPr>
          <w:rFonts w:ascii="Arial" w:cs="Arial" w:eastAsia="Arial" w:hAnsi="Arial"/>
          <w:sz w:val="16"/>
          <w:szCs w:val="16"/>
          <w:u w:val="single" w:color="auto"/>
          <w:color w:val="auto"/>
        </w:rPr>
        <w:t>provided that</w:t>
      </w:r>
      <w:r>
        <w:rPr>
          <w:rFonts w:ascii="Arial" w:cs="Arial" w:eastAsia="Arial" w:hAnsi="Arial"/>
          <w:sz w:val="16"/>
          <w:szCs w:val="16"/>
          <w:color w:val="auto"/>
        </w:rPr>
        <w:t>, Compensation shall include any elective deferral as defined by section 402(g)(3) of the Code, all employee contributions to an annuity under section 403(b) of the Code, and any amount which is contributed or deferred by a Participating Company or Affiliated Company at the election of the Employee and which is not includible in the gross income of the Employee by reason of sections 125, 132(f) or 457 of the Code.</w:t>
      </w:r>
    </w:p>
    <w:p>
      <w:pPr>
        <w:spacing w:after="0" w:line="120" w:lineRule="exact"/>
        <w:rPr>
          <w:rFonts w:ascii="Arial" w:cs="Arial" w:eastAsia="Arial" w:hAnsi="Arial"/>
          <w:sz w:val="16"/>
          <w:szCs w:val="16"/>
          <w:color w:val="auto"/>
        </w:rPr>
      </w:pPr>
    </w:p>
    <w:p>
      <w:pPr>
        <w:ind w:right="80" w:firstLine="1948"/>
        <w:spacing w:after="0" w:line="268" w:lineRule="auto"/>
        <w:tabs>
          <w:tab w:leader="none" w:pos="2179"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Only compensation not in excess of $250,000, as adjusted for cost-of-living increases in accordance with section 401(a)(17)(B) of the Code, shall be considered for all purposes under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79" w:name="page180"/>
    <w:bookmarkEnd w:id="179"/>
    <w:p>
      <w:pPr>
        <w:ind w:right="140" w:firstLine="1948"/>
        <w:spacing w:after="0" w:line="289" w:lineRule="auto"/>
        <w:tabs>
          <w:tab w:leader="none" w:pos="2189"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Article III, except Section 3.9, as applied to Covered Union Employees (Broadband), Compensation shall mean base pay (prior to reductions under sections 125 and 401(k) of the Code), bonuses (other than STIP and executive STIP listed below), payments received under the Company Sickness and Accident Disability Plan or short term disability payments under the Company Disability Plan, commissions, and buyout of base pay due to demotion or resulting from pay parity, but shall not include: (1) shift, expatriate, and geographic differentials, overtime, non-cash payments, relocation allowances and special cash payments such as hire, stay or referral payments; (2) payments under the Short-Term Incentive Program (STIP), and executive bonuses including long-term payments and Executive Short-Term Incentive Plan (ESTIP); (3) payments made for waiver of medical coverage, previously deferred compensation, exercise of stock options, gross-up amounts or cashout of paid time off; (4) deferred compensation in any nonqualified plan; or (5) any compensation that is paid with an effective date after retirement or termination of employment.</w:t>
      </w:r>
    </w:p>
    <w:p>
      <w:pPr>
        <w:spacing w:after="0" w:line="118" w:lineRule="exact"/>
        <w:rPr>
          <w:rFonts w:ascii="Arial" w:cs="Arial" w:eastAsia="Arial" w:hAnsi="Arial"/>
          <w:sz w:val="16"/>
          <w:szCs w:val="16"/>
          <w:color w:val="auto"/>
        </w:rPr>
      </w:pPr>
    </w:p>
    <w:p>
      <w:pPr>
        <w:ind w:right="200" w:firstLine="1948"/>
        <w:spacing w:after="0" w:line="259" w:lineRule="auto"/>
        <w:tabs>
          <w:tab w:leader="none" w:pos="2179"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effective on and after January 1, 2006, Compensation shall not include any payments of compensation as described above in subsections (a), (b) and (d) that are paid more than 75 calendar days after an Employee’s Separation from Service.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Percentage</w:t>
      </w:r>
      <w:r>
        <w:rPr>
          <w:rFonts w:ascii="Arial" w:cs="Arial" w:eastAsia="Arial" w:hAnsi="Arial"/>
          <w:sz w:val="18"/>
          <w:szCs w:val="18"/>
          <w:color w:val="auto"/>
        </w:rPr>
        <w:t>” means for any Early Entry Eligible Employee for a given Plan Year, the ratio of:</w:t>
      </w:r>
    </w:p>
    <w:p>
      <w:pPr>
        <w:spacing w:after="0" w:line="171" w:lineRule="exact"/>
        <w:rPr>
          <w:sz w:val="20"/>
          <w:szCs w:val="20"/>
          <w:color w:val="auto"/>
        </w:rPr>
      </w:pPr>
    </w:p>
    <w:p>
      <w:pPr>
        <w:ind w:left="2180" w:hanging="232"/>
        <w:spacing w:after="0"/>
        <w:tabs>
          <w:tab w:leader="none" w:pos="2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such Early Entry Eligible Employee’s Matching Contributions, plus</w:t>
      </w:r>
    </w:p>
    <w:p>
      <w:pPr>
        <w:spacing w:after="0" w:line="171" w:lineRule="exact"/>
        <w:rPr>
          <w:rFonts w:ascii="Arial" w:cs="Arial" w:eastAsia="Arial" w:hAnsi="Arial"/>
          <w:sz w:val="18"/>
          <w:szCs w:val="18"/>
          <w:color w:val="auto"/>
        </w:rPr>
      </w:pPr>
    </w:p>
    <w:p>
      <w:pPr>
        <w:jc w:val="both"/>
        <w:ind w:right="60" w:firstLine="2404"/>
        <w:spacing w:after="0" w:line="256" w:lineRule="auto"/>
        <w:tabs>
          <w:tab w:leader="none" w:pos="2645"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the case of any Highly Compensated Early Entry Eligible Employee, any employee contributions and employer matching contributions, including any elective deferrals recharacterized as employee contributions, under any other qualified retirement plan, other than an employee stock ownership plan as defined in section 4975(e)(7) of the Code or a tax credit employee stock ownership plan as defined in section 409(a) of the Code, maintained by the Participating Company or any Affiliated Company, plus</w:t>
      </w:r>
    </w:p>
    <w:p>
      <w:pPr>
        <w:spacing w:after="0" w:line="143" w:lineRule="exact"/>
        <w:rPr>
          <w:rFonts w:ascii="Arial" w:cs="Arial" w:eastAsia="Arial" w:hAnsi="Arial"/>
          <w:sz w:val="18"/>
          <w:szCs w:val="18"/>
          <w:color w:val="auto"/>
        </w:rPr>
      </w:pPr>
    </w:p>
    <w:p>
      <w:pPr>
        <w:jc w:val="both"/>
        <w:ind w:firstLine="2404"/>
        <w:spacing w:after="0" w:line="256" w:lineRule="auto"/>
        <w:tabs>
          <w:tab w:leader="none" w:pos="264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at the election of the Committee, any portion of the Early Entry Eligible Employee’s Pre-Tax Contributions for the Plan Year or elective deferrals under any other qualified retirement plan maintained by a Participating Company or any Affiliated Company that may be disregarded without causing this Plan or such other qualified retirement plan to fail to satisfy the requirements of section 401(k)(3) of the Code and the regulations issued thereunder; to</w:t>
      </w:r>
    </w:p>
    <w:p>
      <w:pPr>
        <w:spacing w:after="0" w:line="143" w:lineRule="exact"/>
        <w:rPr>
          <w:rFonts w:ascii="Arial" w:cs="Arial" w:eastAsia="Arial" w:hAnsi="Arial"/>
          <w:sz w:val="18"/>
          <w:szCs w:val="18"/>
          <w:color w:val="auto"/>
        </w:rPr>
      </w:pPr>
    </w:p>
    <w:p>
      <w:pPr>
        <w:ind w:left="2200" w:hanging="252"/>
        <w:spacing w:after="0"/>
        <w:tabs>
          <w:tab w:leader="none" w:pos="22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Early Entry Eligible Employee’s Compensation for that portion of the Plan Year during which he was an Early Entry Eligible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165" w:lineRule="exact"/>
        <w:rPr>
          <w:sz w:val="20"/>
          <w:szCs w:val="20"/>
          <w:color w:val="auto"/>
        </w:rPr>
      </w:pPr>
    </w:p>
    <w:p>
      <w:pPr>
        <w:ind w:right="5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means any Employee who is (a) employed by a Participating Company and designated on the books and records of such Participating Company as an employee and (b) not covered by a collective bargaining agreement, unless such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80" w:name="page181"/>
    <w:bookmarkEnd w:id="18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specifically provides for participation hereunder. Notwithstanding the preceding sentence, with respect to NBCUniversal, “Covered Employee” means (a) any Employee of NBCUniversal or its participating subsidiaries who is designated on the books and records of NBCUniversal or its applicable subsidiary as employed in a job classification, or who with respect to an individual whose employment is subject to a collective bargaining agreement, a collective bargaining unit that was eligible to participate in the NBCUniversal Pension Plan as of January 29, 2011 with respect to all of his or her compensation (subject to the then applicable limit under section 401(a)(17) of the Code), (b) any Employee of NBCUniversal or its participating subsidiaries hired by NBCUniversal on or after January 29, 2011 and on or before December 31, 2012 (including Employees of NBCUniversal who transferred employment directly from Comcast to NBCUniversal) who is designated on the books and records of NBCUniversal or its applicable subsidiary as employed in a job classification or, with respect to an individual whose employment is subject to a collective bargaining agreement, a collective bargaining unit that, as of December 31, 2012, was eligible to participate in the NBCU CAP for purposes of receiving Flexible Retirement Contributions, and (c) any Employee of NBCUniversal or its participating subsidiaries hired on or after January 1, 2013 who is designated on the books and records of NBCUniversal or its applicable subsidiary as employed in a job classification, or who with respect to an individual whose employment is subject to a collective bargaining agreement, a collective bargaining unit that is not eligible to participant in the NBCU CAP and who otherwise meets the eligible requirements of the Plan (including for this purpose Section 2.5 of </w:t>
      </w:r>
      <w:r>
        <w:rPr>
          <w:rFonts w:ascii="Arial" w:cs="Arial" w:eastAsia="Arial" w:hAnsi="Arial"/>
          <w:sz w:val="16"/>
          <w:szCs w:val="16"/>
          <w:u w:val="single" w:color="auto"/>
          <w:color w:val="auto"/>
        </w:rPr>
        <w:t>Exhibit B</w:t>
      </w:r>
      <w:r>
        <w:rPr>
          <w:rFonts w:ascii="Arial" w:cs="Arial" w:eastAsia="Arial" w:hAnsi="Arial"/>
          <w:sz w:val="16"/>
          <w:szCs w:val="16"/>
          <w:color w:val="auto"/>
        </w:rPr>
        <w:t>). The following individuals shall not be Covered Employees: (a) an Employee of NBCUniversal or its participating subsidiaries whose employment is governed by a collective bargaining agreement that is entered into on or after January 1, 2013 (including, for this purpose, the execution of an amendment to a collective bargaining agreement in effect on December 31, 2012) which agreement does not specifically provide for participation in the Plan; (b) an individual who is treated as an Employee solely by reason of being a Leased Employee; (c) an individual who is not on an employee payroll of a Participating Company or the Participating Company does report such individual’s wages on Form W-2; (d) an individual who has entered into an agreement with a Participating Company which excludes him from participation in employee benefit plans of a Participating Company (whether or not such individual is treated or classified as an employee for certain specified purposes that do not include eligibility to participate in the Plan); and (e) an individual who is not classified by the Participating Company as an employee, even if such individual is retroactively recharacterized as an employee by a third party or a Participating Company.</w:t>
      </w:r>
    </w:p>
    <w:p>
      <w:pPr>
        <w:spacing w:after="0" w:line="129"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Union Employee (Broadband)</w:t>
      </w:r>
      <w:r>
        <w:rPr>
          <w:rFonts w:ascii="Arial" w:cs="Arial" w:eastAsia="Arial" w:hAnsi="Arial"/>
          <w:sz w:val="16"/>
          <w:szCs w:val="16"/>
          <w:color w:val="auto"/>
        </w:rPr>
        <w:t>” means a Covered Employee who is represented by the Communications Workers Union of America at locations designated on Appendix A, as it shall be revised from time to time without further action by the Committee to reflect the date as of which, pursuant to amendment of an applicable collective bargaining agreement or union decertification, any such location is no longer in a category covered by Appendix A.</w:t>
      </w:r>
    </w:p>
    <w:p>
      <w:pPr>
        <w:spacing w:after="0" w:line="107"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Union Employee (Comcast)</w:t>
      </w:r>
      <w:r>
        <w:rPr>
          <w:rFonts w:ascii="Arial" w:cs="Arial" w:eastAsia="Arial" w:hAnsi="Arial"/>
          <w:sz w:val="18"/>
          <w:szCs w:val="18"/>
          <w:color w:val="auto"/>
        </w:rPr>
        <w:t>” means a Covered Employee who is represented by a collective bargaining agreement that covers Employees at the Detroit, Michigan or New Haven, Michigan locations.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81" w:name="page182"/>
    <w:bookmarkEnd w:id="181"/>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Early Entry Eligible Employee</w:t>
      </w:r>
      <w:r>
        <w:rPr>
          <w:rFonts w:ascii="Arial" w:cs="Arial" w:eastAsia="Arial" w:hAnsi="Arial"/>
          <w:sz w:val="18"/>
          <w:szCs w:val="18"/>
          <w:color w:val="auto"/>
        </w:rPr>
        <w:t>” means an Eligible Employee who has satisfied the eligibility requirements of Section 2.2.1, but has not completed a Period of Service of three months. An Eligible Employee shall be considered an “Early Entry Eligible Employee” only for that portion of a Plan Year prior to the time when such Eligible Employee has completed a Period of Service of three months.</w:t>
      </w:r>
    </w:p>
    <w:p>
      <w:pPr>
        <w:spacing w:after="0" w:line="140"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Retirement Date</w:t>
      </w:r>
      <w:r>
        <w:rPr>
          <w:rFonts w:ascii="Arial" w:cs="Arial" w:eastAsia="Arial" w:hAnsi="Arial"/>
          <w:sz w:val="18"/>
          <w:szCs w:val="18"/>
          <w:color w:val="auto"/>
        </w:rPr>
        <w:t>” means the first day of any month coincident with or following the Severance from Service Date of any Participant who has attained Age 55.</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July 1, 2003.</w:t>
      </w:r>
    </w:p>
    <w:p>
      <w:pPr>
        <w:spacing w:after="0" w:line="171"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has become an Eligible Employee as set forth in Section 2.2, whether or not he is an Active Participant, and who has remained a Covered Employee at all times thereafter.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 individual who is employed by a Participating Company or an Affiliated Company or an individual who is a Leased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65"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Commencement Date</w:t>
      </w:r>
      <w:r>
        <w:rPr>
          <w:rFonts w:ascii="Arial" w:cs="Arial" w:eastAsia="Arial" w:hAnsi="Arial"/>
          <w:sz w:val="18"/>
          <w:szCs w:val="18"/>
          <w:color w:val="auto"/>
        </w:rPr>
        <w:t>” means, for any Employee, the date on which he is first entitled to be credited with an “Hour of Service” described in Paragraph (a)(1) of the definition of Hour of Service in this Article.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Entry Date</w:t>
      </w:r>
      <w:r>
        <w:rPr>
          <w:rFonts w:ascii="Arial" w:cs="Arial" w:eastAsia="Arial" w:hAnsi="Arial"/>
          <w:sz w:val="18"/>
          <w:szCs w:val="18"/>
          <w:color w:val="auto"/>
        </w:rPr>
        <w:t>” means the first day of any calendar month.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w:t>
      </w:r>
      <w:r>
        <w:rPr>
          <w:rFonts w:ascii="Arial" w:cs="Arial" w:eastAsia="Arial" w:hAnsi="Arial"/>
          <w:sz w:val="16"/>
          <w:szCs w:val="16"/>
          <w:color w:val="auto"/>
        </w:rPr>
        <w:t>” means the fund established for this Plan, administered under the Trust Agreement, out of which benefits payable under this Plan shall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paid.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Highly Compensated Early Entry Eligible Employee</w:t>
      </w:r>
      <w:r>
        <w:rPr>
          <w:rFonts w:ascii="Arial" w:cs="Arial" w:eastAsia="Arial" w:hAnsi="Arial"/>
          <w:sz w:val="16"/>
          <w:szCs w:val="16"/>
          <w:color w:val="auto"/>
        </w:rPr>
        <w:t>” means an Early Entry Eligible Employee who is (or is treated as) a Highly Compensated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Highly Compensated Employee</w:t>
      </w:r>
      <w:r>
        <w:rPr>
          <w:rFonts w:ascii="Arial" w:cs="Arial" w:eastAsia="Arial" w:hAnsi="Arial"/>
          <w:sz w:val="18"/>
          <w:szCs w:val="18"/>
          <w:color w:val="auto"/>
        </w:rPr>
        <w:t>” means an Employee who:</w:t>
      </w:r>
    </w:p>
    <w:p>
      <w:pPr>
        <w:spacing w:after="0" w:line="171" w:lineRule="exact"/>
        <w:rPr>
          <w:sz w:val="20"/>
          <w:szCs w:val="20"/>
          <w:color w:val="auto"/>
        </w:rPr>
      </w:pPr>
    </w:p>
    <w:p>
      <w:pPr>
        <w:ind w:left="2180" w:hanging="232"/>
        <w:spacing w:after="0"/>
        <w:tabs>
          <w:tab w:leader="none" w:pos="2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was a five-percent owner, as defined in section 416(i) of the Code at any time during the Plan Year or preceding Plan Year; or</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for the preceding Plan Year received more than $115,000 (as indexed) in Compensation from a Participating Company or 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Affiliated Company.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Hour of Service</w:t>
      </w:r>
      <w:r>
        <w:rPr>
          <w:rFonts w:ascii="Arial" w:cs="Arial" w:eastAsia="Arial" w:hAnsi="Arial"/>
          <w:sz w:val="18"/>
          <w:szCs w:val="18"/>
          <w:color w:val="auto"/>
        </w:rPr>
        <w:t>” means, for any Employee, a credit awarded with respect to:</w:t>
      </w:r>
    </w:p>
    <w:p>
      <w:pPr>
        <w:spacing w:after="0" w:line="171" w:lineRule="exact"/>
        <w:rPr>
          <w:sz w:val="20"/>
          <w:szCs w:val="20"/>
          <w:color w:val="auto"/>
        </w:rPr>
      </w:pPr>
    </w:p>
    <w:p>
      <w:pPr>
        <w:ind w:left="2180" w:hanging="232"/>
        <w:spacing w:after="0"/>
        <w:tabs>
          <w:tab w:leader="none" w:pos="2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as provided in (b),</w:t>
      </w:r>
    </w:p>
    <w:p>
      <w:pPr>
        <w:spacing w:after="0" w:line="171" w:lineRule="exact"/>
        <w:rPr>
          <w:rFonts w:ascii="Arial" w:cs="Arial" w:eastAsia="Arial" w:hAnsi="Arial"/>
          <w:sz w:val="18"/>
          <w:szCs w:val="18"/>
          <w:color w:val="auto"/>
        </w:rPr>
      </w:pPr>
    </w:p>
    <w:p>
      <w:pPr>
        <w:ind w:right="440" w:firstLine="2404"/>
        <w:spacing w:after="0" w:line="268" w:lineRule="auto"/>
        <w:tabs>
          <w:tab w:leader="none" w:pos="2645"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for the performance of employment duties;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82" w:name="page183"/>
    <w:bookmarkEnd w:id="182"/>
    <w:p>
      <w:pPr>
        <w:ind w:right="60" w:firstLine="2404"/>
        <w:spacing w:after="0" w:line="268" w:lineRule="auto"/>
        <w:tabs>
          <w:tab w:leader="none" w:pos="2645" w:val="left"/>
        </w:tabs>
        <w:numPr>
          <w:ilvl w:val="1"/>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hour for which he is entitled, either by award or agreement, to back pay from a Participating Company or an Affiliated Company, irrespective of mitigation of damages; or</w:t>
      </w:r>
    </w:p>
    <w:p>
      <w:pPr>
        <w:spacing w:after="0" w:line="131" w:lineRule="exact"/>
        <w:rPr>
          <w:rFonts w:ascii="Arial" w:cs="Arial" w:eastAsia="Arial" w:hAnsi="Arial"/>
          <w:sz w:val="18"/>
          <w:szCs w:val="18"/>
          <w:color w:val="auto"/>
        </w:rPr>
      </w:pPr>
    </w:p>
    <w:p>
      <w:pPr>
        <w:ind w:firstLine="2404"/>
        <w:spacing w:after="0" w:line="259" w:lineRule="auto"/>
        <w:tabs>
          <w:tab w:leader="none" w:pos="2645" w:val="left"/>
        </w:tabs>
        <w:numPr>
          <w:ilvl w:val="1"/>
          <w:numId w:val="94"/>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on account of a period of time during which no duties are performed due to vacation, holiday, illness, incapacity (including disability), jury duty, layoff, leave of absence, or military duty.</w:t>
      </w:r>
    </w:p>
    <w:p>
      <w:pPr>
        <w:spacing w:after="0" w:line="140" w:lineRule="exact"/>
        <w:rPr>
          <w:rFonts w:ascii="Arial" w:cs="Arial" w:eastAsia="Arial" w:hAnsi="Arial"/>
          <w:sz w:val="18"/>
          <w:szCs w:val="18"/>
          <w:color w:val="auto"/>
        </w:rPr>
      </w:pPr>
    </w:p>
    <w:p>
      <w:pPr>
        <w:ind w:left="2200" w:hanging="252"/>
        <w:spacing w:after="0"/>
        <w:tabs>
          <w:tab w:leader="none" w:pos="2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Anything to the contrary in subsection (a) notwithstanding:</w:t>
      </w:r>
    </w:p>
    <w:p>
      <w:pPr>
        <w:spacing w:after="0" w:line="171" w:lineRule="exact"/>
        <w:rPr>
          <w:rFonts w:ascii="Arial" w:cs="Arial" w:eastAsia="Arial" w:hAnsi="Arial"/>
          <w:sz w:val="18"/>
          <w:szCs w:val="18"/>
          <w:color w:val="auto"/>
        </w:rPr>
      </w:pPr>
    </w:p>
    <w:p>
      <w:pPr>
        <w:ind w:right="20" w:firstLine="2404"/>
        <w:spacing w:after="0" w:line="259" w:lineRule="auto"/>
        <w:tabs>
          <w:tab w:leader="none" w:pos="2645"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 Hours of Service shall be credited to an Employee for any period merely because, during such period, payments are made or due him under a plan maintained solely for the purpose of complying with applicable workers’ compensation, unemployment compensation, or disability insurance laws.</w:t>
      </w:r>
    </w:p>
    <w:p>
      <w:pPr>
        <w:spacing w:after="0" w:line="140" w:lineRule="exact"/>
        <w:rPr>
          <w:rFonts w:ascii="Arial" w:cs="Arial" w:eastAsia="Arial" w:hAnsi="Arial"/>
          <w:sz w:val="18"/>
          <w:szCs w:val="18"/>
          <w:color w:val="auto"/>
        </w:rPr>
      </w:pPr>
    </w:p>
    <w:p>
      <w:pPr>
        <w:ind w:right="20" w:firstLine="2404"/>
        <w:spacing w:after="0" w:line="268" w:lineRule="auto"/>
        <w:tabs>
          <w:tab w:leader="none" w:pos="2645"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 more than 501 Hours of Service shall be credited to an Employee under subsection (a)(3) of this definition on account of any single continuous period during which no duties are performed by him, except to the extent otherwise provided in the Plan.</w:t>
      </w:r>
    </w:p>
    <w:p>
      <w:pPr>
        <w:spacing w:after="0" w:line="131" w:lineRule="exact"/>
        <w:rPr>
          <w:rFonts w:ascii="Arial" w:cs="Arial" w:eastAsia="Arial" w:hAnsi="Arial"/>
          <w:sz w:val="18"/>
          <w:szCs w:val="18"/>
          <w:color w:val="auto"/>
        </w:rPr>
      </w:pPr>
    </w:p>
    <w:p>
      <w:pPr>
        <w:ind w:left="2660" w:hanging="256"/>
        <w:spacing w:after="0"/>
        <w:tabs>
          <w:tab w:leader="none" w:pos="26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No Hours of Service shall be credited to an Employee with respect to payments solely to reimburse for medical or medically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related expenses.</w:t>
      </w:r>
    </w:p>
    <w:p>
      <w:pPr>
        <w:spacing w:after="0" w:line="164" w:lineRule="exact"/>
        <w:rPr>
          <w:rFonts w:ascii="Arial" w:cs="Arial" w:eastAsia="Arial" w:hAnsi="Arial"/>
          <w:sz w:val="16"/>
          <w:szCs w:val="16"/>
          <w:color w:val="auto"/>
        </w:rPr>
      </w:pPr>
    </w:p>
    <w:p>
      <w:pPr>
        <w:ind w:left="2660" w:hanging="256"/>
        <w:spacing w:after="0"/>
        <w:tabs>
          <w:tab w:leader="none" w:pos="26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 Hours of Service shall be credited twice.</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Hours of Service shall be credited at least as liberally as required by the rules set forth in U.S. Department of Labor Reg.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§2530.200b-2(b) and (c).</w:t>
      </w:r>
    </w:p>
    <w:p>
      <w:pPr>
        <w:spacing w:after="0" w:line="164" w:lineRule="exact"/>
        <w:rPr>
          <w:rFonts w:ascii="Arial" w:cs="Arial" w:eastAsia="Arial" w:hAnsi="Arial"/>
          <w:sz w:val="16"/>
          <w:szCs w:val="16"/>
          <w:color w:val="auto"/>
        </w:rPr>
      </w:pPr>
    </w:p>
    <w:p>
      <w:pPr>
        <w:ind w:right="240" w:firstLine="2404"/>
        <w:spacing w:after="0" w:line="259" w:lineRule="auto"/>
        <w:tabs>
          <w:tab w:leader="none" w:pos="2645"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the case of an Employee who is such solely by reason of service as a Leased Employee, Hours of Service shall be credited as if such Employee were employed and paid with respect to such service (or with respect to any related absences or entitlements) by the Participating Company or Affiliated Company that is the recipient thereof.</w:t>
      </w:r>
    </w:p>
    <w:p>
      <w:pPr>
        <w:spacing w:after="0" w:line="140"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Medium</w:t>
      </w:r>
      <w:r>
        <w:rPr>
          <w:rFonts w:ascii="Arial" w:cs="Arial" w:eastAsia="Arial" w:hAnsi="Arial"/>
          <w:sz w:val="18"/>
          <w:szCs w:val="18"/>
          <w:color w:val="auto"/>
        </w:rPr>
        <w:t>” means any fund, contract, obligation, or other mode of investment to which a Participant may direct the investment of the assets of his Account.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Stock</w:t>
      </w:r>
      <w:r>
        <w:rPr>
          <w:rFonts w:ascii="Arial" w:cs="Arial" w:eastAsia="Arial" w:hAnsi="Arial"/>
          <w:sz w:val="18"/>
          <w:szCs w:val="18"/>
          <w:color w:val="auto"/>
        </w:rPr>
        <w:t>” means Comcast Corporation Class A Special Common Stock.</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Employee</w:t>
      </w:r>
      <w:r>
        <w:rPr>
          <w:rFonts w:ascii="Arial" w:cs="Arial" w:eastAsia="Arial" w:hAnsi="Arial"/>
          <w:sz w:val="18"/>
          <w:szCs w:val="18"/>
          <w:color w:val="auto"/>
        </w:rPr>
        <w:t>” means any person, other than an employee of a Participating Company or an Affiliated Company, who, pursuant to an agreement between a Participating Company or an Affiliated Company (the “recipient”) and any other individual (“leasing organization”), has performed services for the recipient (or for the recipient and related individuals) on a substantially full-time basis for a period of at least one year, and such services are performed by such individuals under the primary direction and control of the recipient, provided that for purposes of determining whether an individual is an Eligible Employee and for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83" w:name="page184"/>
    <w:bookmarkEnd w:id="183"/>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purposes of determining an individual’s eligibility and vesting service, an individual who would be a “Leased Employee” but for the requirement that such individual perform services for the recipient (or for the recipient and related individuals) on a substantially full-time basis for a period of at least one year shall nevertheless be treated as a Leased Employee.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Limitation Year</w:t>
      </w:r>
      <w:r>
        <w:rPr>
          <w:rFonts w:ascii="Arial" w:cs="Arial" w:eastAsia="Arial" w:hAnsi="Arial"/>
          <w:sz w:val="18"/>
          <w:szCs w:val="18"/>
          <w:color w:val="auto"/>
        </w:rPr>
        <w:t>” means the Plan Year or such other 12-consecutive-month period as may be designated by the Company.</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 xml:space="preserve">” means the amounts contributed by the Company pursuant to Sections 3.5.1(a) and (b) or pursuant to Section 3.2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w:t>
      </w:r>
    </w:p>
    <w:p>
      <w:pPr>
        <w:spacing w:after="0" w:line="132"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CAP</w:t>
      </w:r>
      <w:r>
        <w:rPr>
          <w:rFonts w:ascii="Arial" w:cs="Arial" w:eastAsia="Arial" w:hAnsi="Arial"/>
          <w:sz w:val="18"/>
          <w:szCs w:val="18"/>
          <w:color w:val="auto"/>
        </w:rPr>
        <w:t>” means the NBCUniversal Capital Accumulation Plan, a defined contribution plan sponsored by NBCUniversal that is intended to meet the applicable requirements of the Code.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Retirement Contributions</w:t>
      </w:r>
      <w:r>
        <w:rPr>
          <w:rFonts w:ascii="Arial" w:cs="Arial" w:eastAsia="Arial" w:hAnsi="Arial"/>
          <w:sz w:val="18"/>
          <w:szCs w:val="18"/>
          <w:color w:val="auto"/>
        </w:rPr>
        <w:t xml:space="preserve">” means the amounts contributed by a Participating Company pursuant to Section 3.3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means, for any Participant, the date on which he reaches Age 65.</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One-Year Period of Severance</w:t>
      </w:r>
      <w:r>
        <w:rPr>
          <w:rFonts w:ascii="Arial" w:cs="Arial" w:eastAsia="Arial" w:hAnsi="Arial"/>
          <w:sz w:val="18"/>
          <w:szCs w:val="18"/>
          <w:color w:val="auto"/>
        </w:rPr>
        <w:t>” means a 12-consecutive-month period beginning on the Employee’s Severance from Service Date during which the former Employee is credited with no Hours of Service.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individual for whom one or more Accounts are maintained under the Plan.</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xml:space="preserve">” means the Company, each subsidiary of the Company which is eligible to file a consolidated federal income tax return with the Company (except to the extent that the Board or its authorized delegate determines otherwise as reflected on </w:t>
      </w:r>
      <w:r>
        <w:rPr>
          <w:rFonts w:ascii="Arial" w:cs="Arial" w:eastAsia="Arial" w:hAnsi="Arial"/>
          <w:sz w:val="16"/>
          <w:szCs w:val="16"/>
          <w:u w:val="single" w:color="auto"/>
          <w:color w:val="auto"/>
        </w:rPr>
        <w:t>Exhibit A</w:t>
      </w:r>
      <w:r>
        <w:rPr>
          <w:rFonts w:ascii="Arial" w:cs="Arial" w:eastAsia="Arial" w:hAnsi="Arial"/>
          <w:sz w:val="16"/>
          <w:szCs w:val="16"/>
          <w:color w:val="auto"/>
        </w:rPr>
        <w:t>, as amended from time to time) and each other organization which is authorized by the Board of Directors or its authorized delegate to adopt this Plan by action of its board of directors or other governing body. Notwithstanding anything herein to the contrary, the term “Participating Company” excludes:</w:t>
      </w:r>
    </w:p>
    <w:p>
      <w:pPr>
        <w:spacing w:after="0" w:line="113" w:lineRule="exact"/>
        <w:rPr>
          <w:sz w:val="20"/>
          <w:szCs w:val="20"/>
          <w:color w:val="auto"/>
        </w:rPr>
      </w:pPr>
    </w:p>
    <w:p>
      <w:pPr>
        <w:ind w:left="1740" w:hanging="248"/>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effective November 21, 2006, E! Entertainment Television, Inc. and its subsidiaries;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the period beginning August 1, 2006 and ending December 17, 2006, thePlatform for Media, Inc.;</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the period beginning April 15, 2005, Strata Marketing, Inc; and</w:t>
      </w:r>
    </w:p>
    <w:p>
      <w:pPr>
        <w:spacing w:after="0" w:line="171" w:lineRule="exact"/>
        <w:rPr>
          <w:rFonts w:ascii="Arial" w:cs="Arial" w:eastAsia="Arial" w:hAnsi="Arial"/>
          <w:sz w:val="18"/>
          <w:szCs w:val="18"/>
          <w:color w:val="auto"/>
        </w:rPr>
      </w:pPr>
    </w:p>
    <w:p>
      <w:pPr>
        <w:jc w:val="center"/>
        <w:ind w:left="5560" w:right="1320" w:hanging="4068"/>
        <w:spacing w:after="0" w:line="440" w:lineRule="auto"/>
        <w:tabs>
          <w:tab w:leader="none" w:pos="1732"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the period beginning June 17, 2009 and ending December 31, 2009, New England Cable News and its subsidiaries. -14-</w:t>
      </w:r>
    </w:p>
    <w:p>
      <w:pPr>
        <w:sectPr>
          <w:pgSz w:w="11900" w:h="16838" w:orient="portrait"/>
          <w:cols w:equalWidth="0" w:num="1">
            <w:col w:w="11400"/>
          </w:cols>
          <w:pgMar w:left="240" w:top="280" w:right="259" w:bottom="1440" w:gutter="0" w:footer="0" w:header="0"/>
        </w:sectPr>
      </w:pPr>
    </w:p>
    <w:bookmarkStart w:id="184" w:name="page185"/>
    <w:bookmarkEnd w:id="184"/>
    <w:p>
      <w:pPr>
        <w:ind w:right="2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Payroll Period</w:t>
      </w:r>
      <w:r>
        <w:rPr>
          <w:rFonts w:ascii="Arial" w:cs="Arial" w:eastAsia="Arial" w:hAnsi="Arial"/>
          <w:sz w:val="18"/>
          <w:szCs w:val="18"/>
          <w:color w:val="auto"/>
        </w:rPr>
        <w:t>” means a weekly, bi-weekly, semi-monthly, or monthly pay period or such other standard pay period of the Participating Company applicable to the class of Employees of which the Eligible Employee is a part.</w:t>
      </w:r>
    </w:p>
    <w:p>
      <w:pPr>
        <w:spacing w:after="0" w:line="13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Service</w:t>
      </w:r>
      <w:r>
        <w:rPr>
          <w:rFonts w:ascii="Arial" w:cs="Arial" w:eastAsia="Arial" w:hAnsi="Arial"/>
          <w:sz w:val="18"/>
          <w:szCs w:val="18"/>
          <w:color w:val="auto"/>
        </w:rPr>
        <w:t>” means, with respect to any Employee, the period of time commencing on the Employee’s Employment Commencement Date and ending on the Employee’s Severance from Service Date and, if applicable, the period of time commencing on an Employee’s Reemployment Commencement Date and ending on the Employee’s subsequent Severance from Service Date. All service credited under the terms of the Plan in effect prior to the Effective Date shall be considered under the Plan.</w:t>
      </w:r>
    </w:p>
    <w:p>
      <w:pPr>
        <w:spacing w:after="0" w:line="14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Severance</w:t>
      </w:r>
      <w:r>
        <w:rPr>
          <w:rFonts w:ascii="Arial" w:cs="Arial" w:eastAsia="Arial" w:hAnsi="Arial"/>
          <w:sz w:val="18"/>
          <w:szCs w:val="18"/>
          <w:color w:val="auto"/>
        </w:rPr>
        <w:t>” means the period of time commencing on the Employee’s Severance from Service Date and ending on the date on which the Employee is again entitled to be credited with an Hour of Service.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Retirement-Investment Plan, a profit sharing plan, as set forth herein.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each 12-consecutive month period that begins on January 1st and ends on the next following December 31st.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Contributions</w:t>
      </w:r>
      <w:r>
        <w:rPr>
          <w:rFonts w:ascii="Arial" w:cs="Arial" w:eastAsia="Arial" w:hAnsi="Arial"/>
          <w:sz w:val="18"/>
          <w:szCs w:val="18"/>
          <w:color w:val="auto"/>
        </w:rPr>
        <w:t>” means Pre-Tax Matched Contributions and Pre-Tax Unmatched Contributions.</w:t>
      </w:r>
    </w:p>
    <w:p>
      <w:pPr>
        <w:spacing w:after="0" w:line="17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Matched Contributions</w:t>
      </w:r>
      <w:r>
        <w:rPr>
          <w:rFonts w:ascii="Arial" w:cs="Arial" w:eastAsia="Arial" w:hAnsi="Arial"/>
          <w:sz w:val="18"/>
          <w:szCs w:val="18"/>
          <w:color w:val="auto"/>
        </w:rPr>
        <w:t xml:space="preserve">” means an amount that a Participant elects to have deducted on a pre-tax basis from his or her Compensation and contributed to the Plan under a pay reduction election pursuant to Section 3.1.1 or pursuant to Section 3.1(a)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Pre-Tax Matched Contributions are eligible for Matching Contributions.</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Contributions</w:t>
      </w:r>
      <w:r>
        <w:rPr>
          <w:rFonts w:ascii="Arial" w:cs="Arial" w:eastAsia="Arial" w:hAnsi="Arial"/>
          <w:sz w:val="18"/>
          <w:szCs w:val="18"/>
          <w:color w:val="auto"/>
        </w:rPr>
        <w:t xml:space="preserve">” means an amount that a Participant elects to have deducted on a pre-tax basis from his or her Compensation and contributed to the Plan under a pay reduction election pursuant to Section 3.1.1 or pursuant to Section 3.1(a)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Pre-Tax Unmatched Contributions are not eligible for Matching Contributions.</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Broadband Heritage Matching Contributions</w:t>
      </w:r>
      <w:r>
        <w:rPr>
          <w:rFonts w:ascii="Arial" w:cs="Arial" w:eastAsia="Arial" w:hAnsi="Arial"/>
          <w:sz w:val="18"/>
          <w:szCs w:val="18"/>
          <w:color w:val="auto"/>
        </w:rPr>
        <w:t>” means matching contributions made under the CCCHI Plan prior to the Effective Date that were not subject to accelerated vesting under the CCCHI Plan as a result of the AT&amp;T Broadband Transaction because the Participant was not employed on such date or that were made after the AT&amp;T Broadband Transaction. Such matching contributions are subject to the applicable vesting schedule set forth in the Plan as in effect on December 31, 2009.</w:t>
      </w:r>
    </w:p>
    <w:p>
      <w:pPr>
        <w:spacing w:after="0" w:line="143"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Company Matching Contributions (Unvested)</w:t>
      </w:r>
      <w:r>
        <w:rPr>
          <w:rFonts w:ascii="Arial" w:cs="Arial" w:eastAsia="Arial" w:hAnsi="Arial"/>
          <w:sz w:val="18"/>
          <w:szCs w:val="18"/>
          <w:color w:val="auto"/>
        </w:rPr>
        <w:t>” means amounts denominated as “Vision Contributions” under the Plan prior to the Effective Date and matching contributions made pursuant to the Plan prior to January 1, 2001. Such matching contributions are subject to the applicable vesting schedule set forth in the Plan as in effect on December 31,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5" w:name="page186"/>
    <w:bookmarkEnd w:id="185"/>
    <w:p>
      <w:pPr>
        <w:ind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Prior Company Matching Contributions (Vested)</w:t>
      </w:r>
      <w:r>
        <w:rPr>
          <w:rFonts w:ascii="Arial" w:cs="Arial" w:eastAsia="Arial" w:hAnsi="Arial"/>
          <w:sz w:val="16"/>
          <w:szCs w:val="16"/>
          <w:color w:val="auto"/>
        </w:rPr>
        <w:t>” means the following amounts: (a) matching contributions made under the CCCHI Plan prior to the Effective Date that were fully vested in accordance with the change in control vesting provisions of Section 6.3(c) of the CCCHI Plan; (b) amounts credited to the account under the CCCHI Plan denominated as the United Artists Entertainment Company ESOP Account; (c) matching contributions made under the MediaOne Group 401(k) Savings Plan prior to January 1, 1999; and (d) matching contributions credited to a separate sub-account in the Plan and attributable to matching contributions under the following plans that were previously merged into the Plan: (1) Jones Intercable, Inc. Profit Sharing\Retirement Savings Plan,</w:t>
      </w:r>
    </w:p>
    <w:p>
      <w:pPr>
        <w:spacing w:after="0" w:line="2" w:lineRule="exact"/>
        <w:rPr>
          <w:sz w:val="20"/>
          <w:szCs w:val="20"/>
          <w:color w:val="auto"/>
        </w:rPr>
      </w:pPr>
    </w:p>
    <w:p>
      <w:pPr>
        <w:jc w:val="right"/>
        <w:ind w:left="920" w:right="3940" w:hanging="912"/>
        <w:spacing w:after="0" w:line="489" w:lineRule="auto"/>
        <w:tabs>
          <w:tab w:leader="none" w:pos="256" w:val="left"/>
        </w:tabs>
        <w:numPr>
          <w:ilvl w:val="0"/>
          <w:numId w:val="97"/>
        </w:numPr>
        <w:rPr>
          <w:rFonts w:ascii="Arial" w:cs="Arial" w:eastAsia="Arial" w:hAnsi="Arial"/>
          <w:sz w:val="16"/>
          <w:szCs w:val="16"/>
          <w:color w:val="auto"/>
        </w:rPr>
      </w:pPr>
      <w:r>
        <w:rPr>
          <w:rFonts w:ascii="Arial" w:cs="Arial" w:eastAsia="Arial" w:hAnsi="Arial"/>
          <w:sz w:val="16"/>
          <w:szCs w:val="16"/>
          <w:color w:val="auto"/>
        </w:rPr>
        <w:t>Lenfest Group Retirement Plan, and (3) the tax-qualified defined contribution plans of Greater Media. “</w:t>
      </w:r>
      <w:r>
        <w:rPr>
          <w:rFonts w:ascii="Arial" w:cs="Arial" w:eastAsia="Arial" w:hAnsi="Arial"/>
          <w:sz w:val="16"/>
          <w:szCs w:val="16"/>
          <w:u w:val="single" w:color="auto"/>
          <w:color w:val="auto"/>
        </w:rPr>
        <w:t>Qualified Non-Elective Contributions</w:t>
      </w:r>
      <w:r>
        <w:rPr>
          <w:rFonts w:ascii="Arial" w:cs="Arial" w:eastAsia="Arial" w:hAnsi="Arial"/>
          <w:sz w:val="16"/>
          <w:szCs w:val="16"/>
          <w:color w:val="auto"/>
        </w:rPr>
        <w:t>” means contributions made pursuant to Section 3.9.4.</w:t>
      </w:r>
    </w:p>
    <w:p>
      <w:pPr>
        <w:ind w:right="5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Reemployment Commencement Date</w:t>
      </w:r>
      <w:r>
        <w:rPr>
          <w:rFonts w:ascii="Arial" w:cs="Arial" w:eastAsia="Arial" w:hAnsi="Arial"/>
          <w:sz w:val="18"/>
          <w:szCs w:val="18"/>
          <w:color w:val="auto"/>
        </w:rPr>
        <w:t>” means the first day following a One-Year Period of Severance on which an Employee is entitled to be credited with an Hour of Service described in Paragraph (a)(1) of the definition of “Hour of Service” in this Article.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Beginning Date</w:t>
      </w:r>
      <w:r>
        <w:rPr>
          <w:rFonts w:ascii="Arial" w:cs="Arial" w:eastAsia="Arial" w:hAnsi="Arial"/>
          <w:sz w:val="18"/>
          <w:szCs w:val="18"/>
          <w:color w:val="auto"/>
        </w:rPr>
        <w:t>” means:</w:t>
      </w:r>
    </w:p>
    <w:p>
      <w:pPr>
        <w:spacing w:after="0" w:line="171" w:lineRule="exact"/>
        <w:rPr>
          <w:sz w:val="20"/>
          <w:szCs w:val="20"/>
          <w:color w:val="auto"/>
        </w:rPr>
      </w:pPr>
    </w:p>
    <w:p>
      <w:pPr>
        <w:ind w:firstLine="1948"/>
        <w:spacing w:after="0" w:line="259" w:lineRule="auto"/>
        <w:tabs>
          <w:tab w:leader="none" w:pos="21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For any Participant who attains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and is not a 5-percent owner (within the meaning of section 416 of the Code) of a Participating Company, April 1 of the calendar year following the later of the calendar year in which he has a Severance from Service Date or the calendar year in which he attained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760" w:firstLine="1948"/>
        <w:spacing w:after="0" w:line="268" w:lineRule="auto"/>
        <w:tabs>
          <w:tab w:leader="none" w:pos="2189"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For any Participant who attains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and is a 5-percent owner (within the meaning of section 416 of the Code) of a Participating Company, April 1 of the calendar year next following the calendar year in which he attains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60" w:firstLine="1948"/>
        <w:spacing w:after="0" w:line="268" w:lineRule="auto"/>
        <w:tabs>
          <w:tab w:leader="none" w:pos="21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any Participant who filed a valid deferral election with the Participating Company before January 1, 1984, and which has not subsequently been revoked, the date set forth in such election.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Date</w:t>
      </w:r>
      <w:r>
        <w:rPr>
          <w:rFonts w:ascii="Arial" w:cs="Arial" w:eastAsia="Arial" w:hAnsi="Arial"/>
          <w:sz w:val="18"/>
          <w:szCs w:val="18"/>
          <w:color w:val="auto"/>
        </w:rPr>
        <w:t>” means January 1, 2013.</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Catch-Up Contribution</w:t>
      </w:r>
      <w:r>
        <w:rPr>
          <w:rFonts w:ascii="Arial" w:cs="Arial" w:eastAsia="Arial" w:hAnsi="Arial"/>
          <w:sz w:val="18"/>
          <w:szCs w:val="18"/>
          <w:color w:val="auto"/>
        </w:rPr>
        <w:t xml:space="preserve">” means contributions made pursuant to Section 3.1.4 or pursuant to Section 3.1(c)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in each case in lieu of Pre-Tax Catch-Up Contributions.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Contributions</w:t>
      </w:r>
      <w:r>
        <w:rPr>
          <w:rFonts w:ascii="Arial" w:cs="Arial" w:eastAsia="Arial" w:hAnsi="Arial"/>
          <w:sz w:val="18"/>
          <w:szCs w:val="18"/>
          <w:color w:val="auto"/>
        </w:rPr>
        <w:t>” means Roth Matched Contributions and Roth Unmatched Contributions.</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Matched Contributions</w:t>
      </w:r>
      <w:r>
        <w:rPr>
          <w:rFonts w:ascii="Arial" w:cs="Arial" w:eastAsia="Arial" w:hAnsi="Arial"/>
          <w:sz w:val="18"/>
          <w:szCs w:val="18"/>
          <w:color w:val="auto"/>
        </w:rPr>
        <w:t xml:space="preserve">” means contributions made pursuant to Section 3.1.4 or pursuant to Section 3.1(c)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in each case in lieu of Pre-Tax Matched Contributions. Roth Matched Contributions are eligible for Matching Contributions.</w:t>
      </w:r>
    </w:p>
    <w:p>
      <w:pPr>
        <w:spacing w:after="0" w:line="132"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Roth Rollover Contributions</w:t>
      </w:r>
      <w:r>
        <w:rPr>
          <w:rFonts w:ascii="Arial" w:cs="Arial" w:eastAsia="Arial" w:hAnsi="Arial"/>
          <w:sz w:val="16"/>
          <w:szCs w:val="16"/>
          <w:color w:val="auto"/>
        </w:rPr>
        <w:t>” means a contribution to the Plan made in accordance with the rules of section 402 of the Code and pursuant to Section 7.1 of amounts rolled over from a designated Roth contribution account under the 401(k) or 403(b) plan of a former employer.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6" w:name="page187"/>
    <w:bookmarkEnd w:id="186"/>
    <w:p>
      <w:pPr>
        <w:ind w:right="20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Roth Unmatched Contributions</w:t>
      </w:r>
      <w:r>
        <w:rPr>
          <w:rFonts w:ascii="Arial" w:cs="Arial" w:eastAsia="Arial" w:hAnsi="Arial"/>
          <w:sz w:val="16"/>
          <w:szCs w:val="16"/>
          <w:color w:val="auto"/>
        </w:rPr>
        <w:t xml:space="preserve">” means contributions made pursuant to Section 3.1.4 or pursuant to Section 3.1(c)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applicable), in each case in lieu of Pre-Tax Unmatched Contributions. Roth Unmatched Contributions are not eligible for Matching Contributions.</w:t>
      </w:r>
    </w:p>
    <w:p>
      <w:pPr>
        <w:spacing w:after="0" w:line="85"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Severance from Service Date</w:t>
      </w:r>
      <w:r>
        <w:rPr>
          <w:rFonts w:ascii="Arial" w:cs="Arial" w:eastAsia="Arial" w:hAnsi="Arial"/>
          <w:sz w:val="16"/>
          <w:szCs w:val="16"/>
          <w:color w:val="auto"/>
        </w:rPr>
        <w:t>” means the date, as recorded on the records of a Participating Company or an Affiliated Company, on which an Employee of such company quits, retires, is discharged, or dies, or, if earlier, the first anniversary of the first day of a period during which the Employee remains absent from service with all Participating Companies and Affiliated Companies (with or without pay) for any other reason, except:</w:t>
      </w:r>
    </w:p>
    <w:p>
      <w:pPr>
        <w:spacing w:after="0" w:line="107" w:lineRule="exact"/>
        <w:rPr>
          <w:sz w:val="20"/>
          <w:szCs w:val="20"/>
          <w:color w:val="auto"/>
        </w:rPr>
      </w:pPr>
    </w:p>
    <w:p>
      <w:pPr>
        <w:ind w:firstLine="1948"/>
        <w:spacing w:after="0" w:line="256" w:lineRule="auto"/>
        <w:tabs>
          <w:tab w:leader="none" w:pos="2179" w:val="left"/>
        </w:tabs>
        <w:numPr>
          <w:ilvl w:val="0"/>
          <w:numId w:val="99"/>
        </w:numPr>
        <w:rPr>
          <w:rFonts w:ascii="Arial" w:cs="Arial" w:eastAsia="Arial" w:hAnsi="Arial"/>
          <w:sz w:val="18"/>
          <w:szCs w:val="18"/>
          <w:color w:val="auto"/>
        </w:rPr>
      </w:pPr>
      <w:r>
        <w:rPr>
          <w:rFonts w:ascii="Arial" w:cs="Arial" w:eastAsia="Arial" w:hAnsi="Arial"/>
          <w:sz w:val="18"/>
          <w:szCs w:val="18"/>
          <w:color w:val="auto"/>
        </w:rPr>
        <w:t>Solely for purposes of determining whether a One-Year Period of Severance has occurred, if the Employee is absent from work beyond the first anniversary of the first day of absence by reason of pregnancy, childbirth, or placement in connection with adoption, or for purposes of the care of such Employee’s child immediately after birth or placement in connection with adoption, such Employee’s Severance from Service Date shall be the second anniversary of the first day of such absence; or</w:t>
      </w:r>
    </w:p>
    <w:p>
      <w:pPr>
        <w:spacing w:after="0" w:line="143" w:lineRule="exact"/>
        <w:rPr>
          <w:rFonts w:ascii="Arial" w:cs="Arial" w:eastAsia="Arial" w:hAnsi="Arial"/>
          <w:sz w:val="18"/>
          <w:szCs w:val="18"/>
          <w:color w:val="auto"/>
        </w:rPr>
      </w:pPr>
    </w:p>
    <w:p>
      <w:pPr>
        <w:ind w:right="20" w:firstLine="1948"/>
        <w:spacing w:after="0" w:line="256" w:lineRule="auto"/>
        <w:tabs>
          <w:tab w:leader="none" w:pos="2189"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the Employee is absent for military service under leave granted by the Participating Company or Affiliated Company or required by law, the Employee shall not be considered to have a Severance from Service Date, provided the absent Employee returns to service with the Participating Company or Affiliated Company within 90 days of his release from active military duty or any longer period during which his right to reemployment is protected by law.</w:t>
      </w:r>
    </w:p>
    <w:p>
      <w:pPr>
        <w:spacing w:after="0" w:line="143"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Rollover Contributions</w:t>
      </w:r>
      <w:r>
        <w:rPr>
          <w:rFonts w:ascii="Arial" w:cs="Arial" w:eastAsia="Arial" w:hAnsi="Arial"/>
          <w:sz w:val="18"/>
          <w:szCs w:val="18"/>
          <w:color w:val="auto"/>
        </w:rPr>
        <w:t>” means a contribution to the Plan made in accordance with the rules of section 402 of the Code and pursuant to Section 7.1 of amounts which will constitute taxable income to the Participant when distributed or withdrawn. Taxable Rollover Contributions shall also include any amount voluntarily transferred by a Participant from the Storer Communications Pension Plan, or from the tax-qualified defined contribution plans of Adelphia Communications Corporation, Home Team Sports, AT&amp;T, MidAtlantic Communications, or Cable Network Services LLC (in which Outdoor Life Network was a participating employer).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Disability</w:t>
      </w:r>
      <w:r>
        <w:rPr>
          <w:rFonts w:ascii="Arial" w:cs="Arial" w:eastAsia="Arial" w:hAnsi="Arial"/>
          <w:sz w:val="16"/>
          <w:szCs w:val="16"/>
          <w:color w:val="auto"/>
        </w:rPr>
        <w:t>” means, with respect to any Participant, the earlier to occur of (a) the Participant qualifying for Social Security disability benefits or</w:t>
      </w:r>
    </w:p>
    <w:p>
      <w:pPr>
        <w:spacing w:after="0" w:line="38" w:lineRule="exact"/>
        <w:rPr>
          <w:sz w:val="20"/>
          <w:szCs w:val="20"/>
          <w:color w:val="auto"/>
        </w:rPr>
      </w:pPr>
    </w:p>
    <w:p>
      <w:pPr>
        <w:ind w:right="460" w:firstLine="8"/>
        <w:spacing w:after="0" w:line="261" w:lineRule="auto"/>
        <w:tabs>
          <w:tab w:leader="none" w:pos="24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Participant becoming eligible for and receiving benefits under a long-term disability program sponsored by a Participating Company or an Affiliated Company.</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means any agreement and declaration of trust executed under this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the corporate trustee or trustees or one or more individuals collectively appointed and acting under a Trust Agreement.</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87" w:name="page188"/>
    <w:bookmarkEnd w:id="187"/>
    <w:p>
      <w:pPr>
        <w:jc w:val="center"/>
        <w:spacing w:after="0" w:line="4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Valuation Date</w:t>
      </w:r>
      <w:r>
        <w:rPr>
          <w:rFonts w:ascii="Arial" w:cs="Arial" w:eastAsia="Arial" w:hAnsi="Arial"/>
          <w:sz w:val="18"/>
          <w:szCs w:val="18"/>
          <w:color w:val="auto"/>
        </w:rPr>
        <w:t>” means each day the New York Stock Exchange is open for trading, or such other day as the Committee shall determine. “</w:t>
      </w:r>
      <w:r>
        <w:rPr>
          <w:rFonts w:ascii="Arial" w:cs="Arial" w:eastAsia="Arial" w:hAnsi="Arial"/>
          <w:sz w:val="18"/>
          <w:szCs w:val="18"/>
          <w:u w:val="single" w:color="auto"/>
          <w:color w:val="auto"/>
        </w:rPr>
        <w:t>Year of Service</w:t>
      </w:r>
      <w:r>
        <w:rPr>
          <w:rFonts w:ascii="Arial" w:cs="Arial" w:eastAsia="Arial" w:hAnsi="Arial"/>
          <w:sz w:val="18"/>
          <w:szCs w:val="18"/>
          <w:color w:val="auto"/>
        </w:rPr>
        <w:t>” means, for any Employee, a credit used to determine his vested status under the Plan, as further described in Section 6.2. -18-</w:t>
      </w:r>
    </w:p>
    <w:p>
      <w:pPr>
        <w:sectPr>
          <w:pgSz w:w="11900" w:h="16838" w:orient="portrait"/>
          <w:cols w:equalWidth="0" w:num="1">
            <w:col w:w="9760"/>
          </w:cols>
          <w:pgMar w:left="1160" w:top="280" w:right="979" w:bottom="1440" w:gutter="0" w:footer="0" w:header="0"/>
        </w:sectPr>
      </w:pPr>
    </w:p>
    <w:bookmarkStart w:id="188" w:name="page189"/>
    <w:bookmarkEnd w:id="18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TRANSITION AND ELIGIBILITY TO PARTICIPATE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Rights Affected and Preservation of Accrued Benefit</w:t>
      </w:r>
      <w:r>
        <w:rPr>
          <w:rFonts w:ascii="Arial" w:cs="Arial" w:eastAsia="Arial" w:hAnsi="Arial"/>
          <w:sz w:val="18"/>
          <w:szCs w:val="18"/>
          <w:color w:val="auto"/>
        </w:rPr>
        <w:t>. Except as provided to the contrary herein, the provisions of this amended and restated Plan shall apply only to Employees who complete an Hour of Service on or after the Effective Date. The rights of any other individual shall be governed by the Plan as in effect upon his Severance from Service Date, except to the extent expressly provided in any amendment adopted subsequently thereto. Additional rules regarding service credit are set forth in Article XV.</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w:t>
      </w:r>
    </w:p>
    <w:p>
      <w:pPr>
        <w:spacing w:after="0" w:line="171" w:lineRule="exact"/>
        <w:rPr>
          <w:sz w:val="20"/>
          <w:szCs w:val="20"/>
          <w:color w:val="auto"/>
        </w:rPr>
      </w:pPr>
    </w:p>
    <w:p>
      <w:pPr>
        <w:jc w:val="both"/>
        <w:ind w:right="260" w:firstLine="1484"/>
        <w:spacing w:after="0" w:line="259" w:lineRule="auto"/>
        <w:rPr>
          <w:sz w:val="20"/>
          <w:szCs w:val="20"/>
          <w:color w:val="auto"/>
        </w:rPr>
      </w:pPr>
      <w:r>
        <w:rPr>
          <w:rFonts w:ascii="Arial" w:cs="Arial" w:eastAsia="Arial" w:hAnsi="Arial"/>
          <w:sz w:val="18"/>
          <w:szCs w:val="18"/>
          <w:color w:val="auto"/>
        </w:rPr>
        <w:t>2.2.1. Subject to Section 2.4, each Covered Employee as of the Restatement Date who was eligible to participate in the Plan immediately prior to the Restatement Date shall, for all purposes of the Plan applicable to that Covered Employee, continue to be an Eligible Employee as of the Effective Date.</w:t>
      </w:r>
    </w:p>
    <w:p>
      <w:pPr>
        <w:spacing w:after="0" w:line="140" w:lineRule="exact"/>
        <w:rPr>
          <w:sz w:val="20"/>
          <w:szCs w:val="20"/>
          <w:color w:val="auto"/>
        </w:rPr>
      </w:pPr>
    </w:p>
    <w:p>
      <w:pPr>
        <w:ind w:right="160" w:firstLine="1484"/>
        <w:spacing w:after="0" w:line="259" w:lineRule="auto"/>
        <w:rPr>
          <w:sz w:val="20"/>
          <w:szCs w:val="20"/>
          <w:color w:val="auto"/>
        </w:rPr>
      </w:pPr>
      <w:r>
        <w:rPr>
          <w:rFonts w:ascii="Arial" w:cs="Arial" w:eastAsia="Arial" w:hAnsi="Arial"/>
          <w:sz w:val="18"/>
          <w:szCs w:val="18"/>
          <w:color w:val="auto"/>
        </w:rPr>
        <w:t>2.2.2. Subject to Section 2.4, each Covered Employee who was not eligible to participate immediately prior to the Effective Date shall, for all purposes of the Plan applicable to that Covered Employee, become an Eligible Employee on the Entry Date next following his completion of a Period of Service of three months.</w:t>
      </w:r>
    </w:p>
    <w:p>
      <w:pPr>
        <w:spacing w:after="0" w:line="140"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2.2.3. If an individual is not a Covered Employee on the Entry Date next following the date he meets the requirements of Section 2.2.2, he shall become an Eligible Employee as of the first date thereafter on which he is a Covered Employee.</w:t>
      </w:r>
    </w:p>
    <w:p>
      <w:pPr>
        <w:spacing w:after="0" w:line="132" w:lineRule="exact"/>
        <w:rPr>
          <w:sz w:val="20"/>
          <w:szCs w:val="20"/>
          <w:color w:val="auto"/>
        </w:rPr>
      </w:pPr>
    </w:p>
    <w:p>
      <w:pPr>
        <w:ind w:right="360" w:firstLine="1484"/>
        <w:spacing w:after="0" w:line="256" w:lineRule="auto"/>
        <w:rPr>
          <w:sz w:val="20"/>
          <w:szCs w:val="20"/>
          <w:color w:val="auto"/>
        </w:rPr>
      </w:pPr>
      <w:r>
        <w:rPr>
          <w:rFonts w:ascii="Arial" w:cs="Arial" w:eastAsia="Arial" w:hAnsi="Arial"/>
          <w:sz w:val="18"/>
          <w:szCs w:val="18"/>
          <w:color w:val="auto"/>
        </w:rPr>
        <w:t>2.2.4. If a Covered Employee does not satisfy the requirements of Section 2.2.2 prior to incurring a Severance from Service Date, but is rehired prior to incurring a One-Year Period of Severance, the prior Period of Service shall be considered for purposes of satisfying the requirements of Section 2.2.2. If the Covered Employee incurs a One-Year Period of Severance, his prior Period of Service shall not be considered upon a subsequent Reemployment Commencement Date.</w:t>
      </w:r>
    </w:p>
    <w:p>
      <w:pPr>
        <w:spacing w:after="0" w:line="143"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2.2.5. An Eligible Employee who ceases to be a Covered Employee, due to incurring a Severance from Service Date or otherwise, and who later becomes a Covered Employee, shall become an Eligible Employee as of the date on which he first again completes an Hour of Service as a Covered Employee.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Election to Make Pre-Tax Contributions</w:t>
      </w:r>
      <w:r>
        <w:rPr>
          <w:rFonts w:ascii="Arial" w:cs="Arial" w:eastAsia="Arial" w:hAnsi="Arial"/>
          <w:sz w:val="18"/>
          <w:szCs w:val="18"/>
          <w:color w:val="auto"/>
        </w:rPr>
        <w:t>.</w:t>
      </w:r>
    </w:p>
    <w:p>
      <w:pPr>
        <w:spacing w:after="0" w:line="171" w:lineRule="exact"/>
        <w:rPr>
          <w:sz w:val="20"/>
          <w:szCs w:val="20"/>
          <w:color w:val="auto"/>
        </w:rPr>
      </w:pPr>
    </w:p>
    <w:p>
      <w:pPr>
        <w:jc w:val="both"/>
        <w:ind w:firstLine="1484"/>
        <w:spacing w:after="0" w:line="306" w:lineRule="auto"/>
        <w:rPr>
          <w:sz w:val="20"/>
          <w:szCs w:val="20"/>
          <w:color w:val="auto"/>
        </w:rPr>
      </w:pPr>
      <w:r>
        <w:rPr>
          <w:rFonts w:ascii="Arial" w:cs="Arial" w:eastAsia="Arial" w:hAnsi="Arial"/>
          <w:sz w:val="16"/>
          <w:szCs w:val="16"/>
          <w:color w:val="auto"/>
        </w:rPr>
        <w:t>2.3.1. Election to Make Pre-Tax Contributions. Each Eligible Employee may elect to make Pre-Tax Contributions or Roth Contributions and become an Active Participant by filing a notice of such election with the Committee in accordance with Section 14.9. Such notice shall authorize the Participating Company to reduce such Eligible Employee’s cash remuneration by an amount determined in accordance with Section 3.1 and 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89" w:name="page190"/>
    <w:bookmarkEnd w:id="18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 Pre-Tax Contributions or Roth Contributions on such Eligible Employee’s behalf in the amount of such reduction. Such election shall be effective as soon as administratively practicable following receipt of his election by the Committee.</w:t>
      </w:r>
    </w:p>
    <w:p>
      <w:pPr>
        <w:spacing w:after="0" w:line="132"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Automatic Enrollment</w:t>
      </w:r>
      <w:r>
        <w:rPr>
          <w:rFonts w:ascii="Arial" w:cs="Arial" w:eastAsia="Arial" w:hAnsi="Arial"/>
          <w:sz w:val="16"/>
          <w:szCs w:val="16"/>
          <w:color w:val="auto"/>
        </w:rPr>
        <w:t>. Each Eligible Employee who (i) is employed by a Participating Company on or after July 1, 2007 (other than an Eligible Employee who commences employment by a Participating Company as the result of the acquisition of the business of such Eligible Employee’s employer by a Participating Company (whether via a merger, stock acquisition or asset acquisition) and (ii) does not elect to make Pre-Tax Contributions or Roth Contributions and become an Active Participant pursuant to Section 2.3 will be automatically enrolled in the Plan on the Entry Date next following his completion of the Plan’s eligibility requirements, provided that the Eligible Employee does not affirmatively elect to decline to be an Active Participant in the Plan. Such an automatically enrolled Eligible Employee will be an Active Participant in the Plan as soon as administratively practicable following the expiration of the time determined by the Committee for returning the election form which includes the option to elect to decline to be an Active Participant in the Plan. Covered Employees who are designated by the Committee or its delegate as having been reemployed by a Participating Company following a One-Year Period of Severance are considered newly Eligible Employees for purposes of the automatic enrollment provisions described in this Section 2.3.2. Covered Employees who are designated by the Committee or its delegate as having been reemployed by a Participating Company prior to having incurred a One-Year Period of Severance will be automatically re-enrolled in the Plan at the Pre-Tax Contribution rate in effect for such Employee on his Severance from Service Date.</w:t>
      </w:r>
    </w:p>
    <w:p>
      <w:pPr>
        <w:spacing w:after="0" w:line="12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Eligibility to Participate – After-Tax Contributions</w:t>
      </w:r>
      <w:r>
        <w:rPr>
          <w:rFonts w:ascii="Arial" w:cs="Arial" w:eastAsia="Arial" w:hAnsi="Arial"/>
          <w:sz w:val="18"/>
          <w:szCs w:val="18"/>
          <w:color w:val="auto"/>
        </w:rPr>
        <w:t>. A Covered Union Employee (Broadband) shall be eligible to make After-Tax Contributions at the same time that such Employee becomes eligible to make Pre-Tax Contributions in accordance with Section 2.2; provided that, if and when such Employee ceases to be a Covered Union Employee (Broadband), such Employee shall no longer be eligible to make After-Tax Contributions. Elections to make After-Tax Contributions shall be accomplished in the manner specified in Section 2.3.</w:t>
      </w:r>
    </w:p>
    <w:p>
      <w:pPr>
        <w:spacing w:after="0" w:line="14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Data</w:t>
      </w:r>
      <w:r>
        <w:rPr>
          <w:rFonts w:ascii="Arial" w:cs="Arial" w:eastAsia="Arial" w:hAnsi="Arial"/>
          <w:sz w:val="16"/>
          <w:szCs w:val="16"/>
          <w:color w:val="auto"/>
        </w:rPr>
        <w:t>. Each Employee shall furnish to the Committee such data as the Committee may consider necessary for the determination of the Employee’s rights and benefits under the Plan and shall otherwise cooperate fully with the Committee in the administration of the Plan.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Credit for Qualified Military Service</w:t>
      </w:r>
      <w:r>
        <w:rPr>
          <w:rFonts w:ascii="Arial" w:cs="Arial" w:eastAsia="Arial" w:hAnsi="Arial"/>
          <w:sz w:val="18"/>
          <w:szCs w:val="18"/>
          <w:color w:val="auto"/>
        </w:rPr>
        <w:t>. Notwithstanding any provision in this Plan to the contrary, contributions, benefits and service credit with respect to qualified military service will be provided in accordance with section 414(u) of the Code.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190" w:name="page191"/>
    <w:bookmarkEnd w:id="190"/>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CONTRIBUTIONS TO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Pre-Tax Contributions, Catch-Up Contributions and Roth Contributions</w:t>
      </w:r>
      <w:r>
        <w:rPr>
          <w:rFonts w:ascii="Arial" w:cs="Arial" w:eastAsia="Arial" w:hAnsi="Arial"/>
          <w:sz w:val="18"/>
          <w:szCs w:val="18"/>
          <w:color w:val="auto"/>
        </w:rPr>
        <w:t>.</w:t>
      </w:r>
    </w:p>
    <w:p>
      <w:pPr>
        <w:spacing w:after="0" w:line="171" w:lineRule="exact"/>
        <w:rPr>
          <w:sz w:val="20"/>
          <w:szCs w:val="20"/>
          <w:color w:val="auto"/>
        </w:rPr>
      </w:pPr>
    </w:p>
    <w:p>
      <w:pPr>
        <w:ind w:right="180" w:firstLine="1484"/>
        <w:spacing w:after="0" w:line="286" w:lineRule="auto"/>
        <w:rPr>
          <w:sz w:val="20"/>
          <w:szCs w:val="20"/>
          <w:color w:val="auto"/>
        </w:rPr>
      </w:pPr>
      <w:r>
        <w:rPr>
          <w:rFonts w:ascii="Arial" w:cs="Arial" w:eastAsia="Arial" w:hAnsi="Arial"/>
          <w:sz w:val="16"/>
          <w:szCs w:val="16"/>
          <w:color w:val="auto"/>
        </w:rPr>
        <w:t>3.1.1. When an Eligible Employee files an election under Section 2.3 to have Pre-Tax Contributions made on his behalf, he shall elect the percentage by which his Compensation shall be reduced on account of such Pre-Tax Contributions. Subject to Section 3.8, this percentage may be between one percent (1%) and fifty percent (50%) of such Compensation, rounded to the nearer half percentage (0.5%). An automatically enrolled Eligible Employee’s Pre-Tax Contributions will, unless and until changed or discontinued by the Eligible Employee in accordance with Sections 3.2 or 3.3 and subject to Section 3.9, be equal to three percent (3%) (or, in the case of an Eligible Employee automatically enrolled prior to January 1, 2013, 2% ) of the Eligible Employee’s Compensation in the first Plan Year in which such Eligible Employee is automatically enrolled in the Plan. The Pre-Tax Contribution percentage of an Eligible Employee hired on or after January 1, 2013 will, unless otherwise elected by the Eligible Employee, increase by one percent (1%), up to a maximum of ten percent (10%) of the Eligible Employee’s Compensation, each subsequent Plan Year beginning on the anniversary occurring in that subsequent Plan Year of the date on which such Eligible Employee was first enrolled in the Plan. The Participating Company shall contribute an amount equal to such percentage of the Eligible Employee’s Compensation to the Fund for credit to the Eligible Employee’s Pre-Tax Matched Contribution Account and/or Pre-Tax Unmatched Contribution Account, as applicable, provided that such contributions may be prospectively limited as provided in Section 3.9.</w:t>
      </w:r>
    </w:p>
    <w:p>
      <w:pPr>
        <w:spacing w:after="0" w:line="127" w:lineRule="exact"/>
        <w:rPr>
          <w:sz w:val="20"/>
          <w:szCs w:val="20"/>
          <w:color w:val="auto"/>
        </w:rPr>
      </w:pPr>
    </w:p>
    <w:p>
      <w:pPr>
        <w:ind w:firstLine="1484"/>
        <w:spacing w:after="0" w:line="306" w:lineRule="auto"/>
        <w:rPr>
          <w:sz w:val="20"/>
          <w:szCs w:val="20"/>
          <w:color w:val="auto"/>
        </w:rPr>
      </w:pPr>
      <w:r>
        <w:rPr>
          <w:rFonts w:ascii="Arial" w:cs="Arial" w:eastAsia="Arial" w:hAnsi="Arial"/>
          <w:sz w:val="16"/>
          <w:szCs w:val="16"/>
          <w:color w:val="auto"/>
        </w:rPr>
        <w:t>3.1.2. Pre-Tax Contributions made on behalf of an Eligible Employee under this Plan, together with elective deferrals under any other plan or arrangement maintained by any Participating Company or Affiliated Company, shall not exceed $17,000 (as adjusted in accordance with section 402(g) of the Code and regulations thereunder) for any calendar year. To the extent necessary to satisfy this limitation for any year:</w:t>
      </w:r>
    </w:p>
    <w:p>
      <w:pPr>
        <w:spacing w:after="0" w:line="107" w:lineRule="exact"/>
        <w:rPr>
          <w:sz w:val="20"/>
          <w:szCs w:val="20"/>
          <w:color w:val="auto"/>
        </w:rPr>
      </w:pPr>
    </w:p>
    <w:p>
      <w:pPr>
        <w:ind w:left="2180" w:hanging="232"/>
        <w:spacing w:after="0"/>
        <w:tabs>
          <w:tab w:leader="none" w:pos="2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elections under Section 3.1.1 shall be prospectively restricted; and</w:t>
      </w:r>
    </w:p>
    <w:p>
      <w:pPr>
        <w:spacing w:after="0" w:line="171" w:lineRule="exact"/>
        <w:rPr>
          <w:rFonts w:ascii="Arial" w:cs="Arial" w:eastAsia="Arial" w:hAnsi="Arial"/>
          <w:sz w:val="18"/>
          <w:szCs w:val="18"/>
          <w:color w:val="auto"/>
        </w:rPr>
      </w:pPr>
    </w:p>
    <w:p>
      <w:pPr>
        <w:ind w:right="180" w:firstLine="1948"/>
        <w:spacing w:after="0" w:line="306" w:lineRule="auto"/>
        <w:tabs>
          <w:tab w:leader="none" w:pos="218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after application of Section 3.1.2(a), the excess Pre-Tax Contributions and excess elective deferrals under any other plan or arrangement maintained by any Participating Company or Affiliated Company (with earnings thereon, but reduced by any amounts previously distributed under Section 3.9.1 for the year) shall be paid to the Participant on or before the April 15 first following the calendar year in which such contributions were made.</w:t>
      </w:r>
    </w:p>
    <w:p>
      <w:pPr>
        <w:spacing w:after="0" w:line="107"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If the Pre-Tax Contributions plus elective deferrals described above do not exceed such limitation, but Pre-Tax Contributions, plus the elective deferrals, as defined in section 402(g)(3) of the Code, under any other plan for any Participant exceed such limitation for any calendar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91" w:name="page192"/>
    <w:bookmarkEnd w:id="191"/>
    <w:p>
      <w:pPr>
        <w:ind w:right="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 upon the written request of the Participant made on or before the March 1 first following such calendar year, the excess, including any earnings attributable thereto, designated by the Participant to be distributed from the Plan shall be paid to the Participant on or before the April 15 first following such calendar year.</w:t>
      </w:r>
    </w:p>
    <w:p>
      <w:pPr>
        <w:spacing w:after="0" w:line="62" w:lineRule="exact"/>
        <w:rPr>
          <w:sz w:val="20"/>
          <w:szCs w:val="20"/>
          <w:color w:val="auto"/>
        </w:rPr>
      </w:pPr>
    </w:p>
    <w:p>
      <w:pPr>
        <w:ind w:right="240" w:firstLine="1484"/>
        <w:spacing w:after="0" w:line="286"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Catch-Up Contributions</w:t>
      </w:r>
      <w:r>
        <w:rPr>
          <w:rFonts w:ascii="Arial" w:cs="Arial" w:eastAsia="Arial" w:hAnsi="Arial"/>
          <w:sz w:val="16"/>
          <w:szCs w:val="16"/>
          <w:color w:val="auto"/>
        </w:rPr>
        <w:t>. Eligible Employees who have attained Age 50 before the close of any Plan Year shall be eligible to make Catch-Up Contributions. Catch-Up Contributions shall be expressed as a percentage of Compensation between one percent (1%) and thirty percent</w:t>
      </w:r>
    </w:p>
    <w:p>
      <w:pPr>
        <w:ind w:right="40"/>
        <w:spacing w:after="0" w:line="254" w:lineRule="auto"/>
        <w:rPr>
          <w:sz w:val="20"/>
          <w:szCs w:val="20"/>
          <w:color w:val="auto"/>
        </w:rPr>
      </w:pPr>
      <w:r>
        <w:rPr>
          <w:rFonts w:ascii="Arial" w:cs="Arial" w:eastAsia="Arial" w:hAnsi="Arial"/>
          <w:sz w:val="18"/>
          <w:szCs w:val="18"/>
          <w:color w:val="auto"/>
        </w:rPr>
        <w:t>(30%) (rounded to the nearer half percentage (0.5%)).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3.5.</w:t>
      </w:r>
    </w:p>
    <w:p>
      <w:pPr>
        <w:spacing w:after="0" w:line="144" w:lineRule="exact"/>
        <w:rPr>
          <w:sz w:val="20"/>
          <w:szCs w:val="20"/>
          <w:color w:val="auto"/>
        </w:rPr>
      </w:pPr>
    </w:p>
    <w:p>
      <w:pPr>
        <w:ind w:firstLine="1484"/>
        <w:spacing w:after="0" w:line="287"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Roth Contributions</w:t>
      </w:r>
      <w:r>
        <w:rPr>
          <w:rFonts w:ascii="Arial" w:cs="Arial" w:eastAsia="Arial" w:hAnsi="Arial"/>
          <w:sz w:val="16"/>
          <w:szCs w:val="16"/>
          <w:color w:val="auto"/>
        </w:rPr>
        <w:t>. An Eligible Employee may elect, on a form prescribed by the Committee, to contribute, in lieu of all or a portion of the Pre-Tax Contributions and/or Catch-Up Contributions the Participant is otherwise eligible to make under the Plan, Roth Contributions and/or Roth Catch-Up Contributions to the Plan. Such Roth Contributions and Roth Catch-Up Contributions shall be allocated to the Eligible Employee’s Roth Matched Contribution Account, Roth Unmatched Contribution Account or Roth Catch-Up Contribution Account, as applicable. Roth Contributions and Roth Catch-Up Contributions shall be: (a) irrevocably designated as such by the Eligible Employee at the time of the election described in Sections 2.3 and 3.1.3 that is being made in lieu of all or a portion of the Pre-Tax Contribution and/or Catch-Up Contributions the Eligible Employee is otherwise eligible to make under the Plan; and (b) treated by the Participating Company as includible in the Eligible Employee’s income at the time the Participant would have received that amount in cash if the Eligible Employee had not made an election described in Sections 2.3 or 3.1.3 of the Plan. Unless specifically stated otherwise, Roth Contributions shall be treated as Pre-Tax Contributions for all purposes of the Plan (including, without limitation, Matching Contributions under Section 3.5) and Roth Catch-Up Contributions shall be treated as Catch-Up Contributions for all purposes of the Plan.</w:t>
      </w:r>
    </w:p>
    <w:p>
      <w:pPr>
        <w:spacing w:after="0" w:line="12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After-Tax Contributions</w:t>
      </w:r>
      <w:r>
        <w:rPr>
          <w:rFonts w:ascii="Arial" w:cs="Arial" w:eastAsia="Arial" w:hAnsi="Arial"/>
          <w:sz w:val="16"/>
          <w:szCs w:val="16"/>
          <w:color w:val="auto"/>
        </w:rPr>
        <w:t>. With respect to Participants who are Covered Union Employees (Broadband), the total amount of Pre-Tax Contributions and After-Tax Contributions credited to a Participant’s Account may not exceed 50% of the Participant’s Compensation.</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Change of Percentage Rate</w:t>
      </w:r>
      <w:r>
        <w:rPr>
          <w:rFonts w:ascii="Arial" w:cs="Arial" w:eastAsia="Arial" w:hAnsi="Arial"/>
          <w:sz w:val="18"/>
          <w:szCs w:val="18"/>
          <w:color w:val="auto"/>
        </w:rPr>
        <w:t>. A Participant may, without penalty, change the percentage of Compensation designated (i) through his automatic enrollment in the Plan or (ii) by him as his contribution rate under Sections 3.1.1, 3.1.3, 3.1.4 and/or 3.2, as applicable, to any percentage permitted by Sections 3.1.1, 3.1.3, 3.1.4 or 3.2, and such percentage shall remain in effect until so changed. Any such change shall become effective as soon as administratively practicable following receipt of the change by the Committee.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192" w:name="page193"/>
    <w:bookmarkEnd w:id="192"/>
    <w:p>
      <w:pPr>
        <w:ind w:right="3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3.4. </w:t>
      </w:r>
      <w:r>
        <w:rPr>
          <w:rFonts w:ascii="Arial" w:cs="Arial" w:eastAsia="Arial" w:hAnsi="Arial"/>
          <w:sz w:val="16"/>
          <w:szCs w:val="16"/>
          <w:u w:val="single" w:color="auto"/>
          <w:color w:val="auto"/>
        </w:rPr>
        <w:t>Discontinuance of Pre-Tax Contributions, Roth Contributions and After-Tax Contributions</w:t>
      </w:r>
      <w:r>
        <w:rPr>
          <w:rFonts w:ascii="Arial" w:cs="Arial" w:eastAsia="Arial" w:hAnsi="Arial"/>
          <w:sz w:val="16"/>
          <w:szCs w:val="16"/>
          <w:color w:val="auto"/>
        </w:rPr>
        <w:t>. A Participant may discontinue his Pre-Tax Contributions, Roth Contributions, Catch-Up Contributions, Roth Catch-Up Contributions or After-Tax Contributions at any time. Such discontinuance shall become effective as soon as administratively practicable following receipt of the discontinuance by the Committee.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3.5.1. Subject to Sections 2.2, 3.5.1(c), 3.8 and 3.9, the Participating Company shall contribute to the Fund for each Payroll Period:</w:t>
      </w:r>
    </w:p>
    <w:p>
      <w:pPr>
        <w:spacing w:after="0" w:line="194" w:lineRule="exact"/>
        <w:rPr>
          <w:sz w:val="20"/>
          <w:szCs w:val="20"/>
          <w:color w:val="auto"/>
        </w:rPr>
      </w:pPr>
    </w:p>
    <w:p>
      <w:pPr>
        <w:ind w:right="60" w:firstLine="1948"/>
        <w:spacing w:after="0" w:line="256" w:lineRule="auto"/>
        <w:tabs>
          <w:tab w:leader="none" w:pos="217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with respect to each Active Participant (other than an Active Participant who is a Covered Union Employee (Comcast) and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four and one-half percent (4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of his Compensation for such Payroll Period; and</w:t>
      </w:r>
    </w:p>
    <w:p>
      <w:pPr>
        <w:spacing w:after="0" w:line="143" w:lineRule="exact"/>
        <w:rPr>
          <w:rFonts w:ascii="Arial" w:cs="Arial" w:eastAsia="Arial" w:hAnsi="Arial"/>
          <w:sz w:val="18"/>
          <w:szCs w:val="18"/>
          <w:color w:val="auto"/>
        </w:rPr>
      </w:pPr>
    </w:p>
    <w:p>
      <w:pPr>
        <w:jc w:val="both"/>
        <w:ind w:right="140" w:firstLine="1948"/>
        <w:spacing w:after="0" w:line="256" w:lineRule="auto"/>
        <w:tabs>
          <w:tab w:leader="none" w:pos="218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respect to each Active Participant who is a Covered Union Employee (Comcast) and who is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six percent (6%) of his Compensation for such Payroll Period.</w:t>
      </w:r>
    </w:p>
    <w:p>
      <w:pPr>
        <w:spacing w:after="0" w:line="143" w:lineRule="exact"/>
        <w:rPr>
          <w:rFonts w:ascii="Arial" w:cs="Arial" w:eastAsia="Arial" w:hAnsi="Arial"/>
          <w:sz w:val="18"/>
          <w:szCs w:val="18"/>
          <w:color w:val="auto"/>
        </w:rPr>
      </w:pPr>
    </w:p>
    <w:p>
      <w:pPr>
        <w:ind w:right="20" w:firstLine="1948"/>
        <w:spacing w:after="0" w:line="288" w:lineRule="auto"/>
        <w:tabs>
          <w:tab w:leader="none" w:pos="217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Notwithstanding Section 3.5.1(a) or (b), if the sum of the Matching Contributions made for an Active Participant on a Payroll Period basis for any Plan Year fails to provide the maximum amount of Matching Contributions to which such Active Participant would be entitled except for the Matching Contributions being made on a Payroll Period basis for such Plan Year or because of Catch-Up Contributions being re-designated as Pre-Tax Matched Contributions, a Participating Company shall make an additional Matching Contribution for the benefit of such Participant for such Plan Year in an amount equal to the amount which, when added to the Matching Contributions made pursuant to Section 3.4.1, would have been contributed had the Matching Contribution been based on the amount of the Participant’s annual Pre-Tax Matched Contributions and annual Compensation. Notwithstanding the foregoing, the maximum total Matching Contribution for any Plan Year for any Participant who is (i) a Highly Compensated Employee (other than a Covered Union Employee (Comcast) or a Covered Union Employee (Broadband)) and (ii) whose Annual Rate of Pay as of the last day of the preceding calendar year is more than $200,000, shall be $10,000.</w:t>
      </w:r>
    </w:p>
    <w:p>
      <w:pPr>
        <w:spacing w:after="0" w:line="120" w:lineRule="exact"/>
        <w:rPr>
          <w:sz w:val="20"/>
          <w:szCs w:val="20"/>
          <w:color w:val="auto"/>
        </w:rPr>
      </w:pPr>
    </w:p>
    <w:p>
      <w:pPr>
        <w:ind w:firstLine="1484"/>
        <w:spacing w:after="0" w:line="294" w:lineRule="auto"/>
        <w:rPr>
          <w:sz w:val="20"/>
          <w:szCs w:val="20"/>
          <w:color w:val="auto"/>
        </w:rPr>
      </w:pPr>
      <w:r>
        <w:rPr>
          <w:rFonts w:ascii="Arial" w:cs="Arial" w:eastAsia="Arial" w:hAnsi="Arial"/>
          <w:sz w:val="16"/>
          <w:szCs w:val="16"/>
          <w:color w:val="auto"/>
        </w:rPr>
        <w:t>3.5.2. The Participating Companies’ Matching Contribution obligation for a Plan Year shall be offset by the amount, if any, of the sum of Matching Contributions, Broadband Heritage Matching Contributions and Prior Company Matching Contributions (Unvested) forfeited during such Plan Year by Participants who were Employees of such Participating Company, provided that Matching Contributions may be prospectively limited as provided in Section 3.9. Notwithstanding the foregoing, the contributions under this Section for any Plan Year shall not cause the total contributions by the Participating Company to exceed the maximum allowable current deduction under the applicable provisions of the Code.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193" w:name="page194"/>
    <w:bookmarkEnd w:id="193"/>
    <w:p>
      <w:pPr>
        <w:ind w:right="1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3.6. </w:t>
      </w:r>
      <w:r>
        <w:rPr>
          <w:rFonts w:ascii="Arial" w:cs="Arial" w:eastAsia="Arial" w:hAnsi="Arial"/>
          <w:sz w:val="16"/>
          <w:szCs w:val="16"/>
          <w:u w:val="single" w:color="auto"/>
          <w:color w:val="auto"/>
        </w:rPr>
        <w:t>Timing and Deductibility of Contributions</w:t>
      </w:r>
      <w:r>
        <w:rPr>
          <w:rFonts w:ascii="Arial" w:cs="Arial" w:eastAsia="Arial" w:hAnsi="Arial"/>
          <w:sz w:val="16"/>
          <w:szCs w:val="16"/>
          <w:color w:val="auto"/>
        </w:rPr>
        <w:t>. Participating Company contributions for any Plan Year under this Article shall be made no later than the last date on which amounts so paid may be deducted for Federal income tax purposes for the taxable year of the employer in which the Plan Year ends. All Participating Company contributions are expressly conditioned upon their deductibility for Federal income tax purposes. Amounts contributed as Pre-Tax Contributions, After-Tax Contributions, Catch-Up Contributions, Roth Contributions, Roth Catch-Up Contributions, After-Tax Rollover Contributions, Taxable Rollover Contributions, and Roth Rollover Contributions will be remitted to the Trustee as soon as practicable.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Fund</w:t>
      </w:r>
      <w:r>
        <w:rPr>
          <w:rFonts w:ascii="Arial" w:cs="Arial" w:eastAsia="Arial" w:hAnsi="Arial"/>
          <w:sz w:val="16"/>
          <w:szCs w:val="16"/>
          <w:color w:val="auto"/>
        </w:rPr>
        <w:t>. The contributions deposited by the Participating Company in the Fund in accordance with this Article shall constitute a fund held for the benefit of Participants and their eligible beneficiaries under and in accordance with this Plan. No part of the principal or income of the Fund shall be used for, or diverted to, purposes other than for the exclusive benefit of such Participants and their eligible beneficiaries (including necessary administrative costs); provided, that in the case of a contribution made by the Participating Company as a mistake of fact, or for which a tax deduction is disallowed, in whole or in part, by the Internal Revenue Service, the Participating Company shall be entitled to a refund of said contributions, which must be made within one year after payment of a contribution made as a mistake of fact, or within one year after disallowance.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Limitation on Pre-Tax Contributions and Matching Contributions</w:t>
      </w:r>
      <w:r>
        <w:rPr>
          <w:rFonts w:ascii="Arial" w:cs="Arial" w:eastAsia="Arial" w:hAnsi="Arial"/>
          <w:sz w:val="18"/>
          <w:szCs w:val="18"/>
          <w:color w:val="auto"/>
        </w:rPr>
        <w:t>.</w:t>
      </w:r>
    </w:p>
    <w:p>
      <w:pPr>
        <w:spacing w:after="0" w:line="171" w:lineRule="exact"/>
        <w:rPr>
          <w:sz w:val="20"/>
          <w:szCs w:val="20"/>
          <w:color w:val="auto"/>
        </w:rPr>
      </w:pPr>
    </w:p>
    <w:p>
      <w:pPr>
        <w:ind w:right="480" w:firstLine="1484"/>
        <w:spacing w:after="0" w:line="268" w:lineRule="auto"/>
        <w:rPr>
          <w:sz w:val="20"/>
          <w:szCs w:val="20"/>
          <w:color w:val="auto"/>
        </w:rPr>
      </w:pPr>
      <w:r>
        <w:rPr>
          <w:rFonts w:ascii="Arial" w:cs="Arial" w:eastAsia="Arial" w:hAnsi="Arial"/>
          <w:sz w:val="18"/>
          <w:szCs w:val="18"/>
          <w:color w:val="auto"/>
        </w:rPr>
        <w:t>3.8.1. For any Plan Year, the Average Actual Deferral Percentage for the Highly Compensated Early Entry Eligible Employees for the current Plan Year shall not exceed the greater of:</w:t>
      </w:r>
    </w:p>
    <w:p>
      <w:pPr>
        <w:spacing w:after="0" w:line="132" w:lineRule="exact"/>
        <w:rPr>
          <w:sz w:val="20"/>
          <w:szCs w:val="20"/>
          <w:color w:val="auto"/>
        </w:rPr>
      </w:pPr>
    </w:p>
    <w:p>
      <w:pPr>
        <w:ind w:left="2180" w:hanging="232"/>
        <w:spacing w:after="0"/>
        <w:tabs>
          <w:tab w:leader="none" w:pos="21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one hundred twenty-five percent (125%) of the Average Actual Deferral Percentage for all other Early Entry Eligible Employees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the preceding Plan Year; or</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two hundred percent (200%) of the Average Actual Deferral Percentage for all other Early Entry Eligible Employees for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preceding Plan Year; or</w:t>
      </w:r>
    </w:p>
    <w:p>
      <w:pPr>
        <w:spacing w:after="0" w:line="164" w:lineRule="exact"/>
        <w:rPr>
          <w:rFonts w:ascii="Arial" w:cs="Arial" w:eastAsia="Arial" w:hAnsi="Arial"/>
          <w:sz w:val="16"/>
          <w:szCs w:val="16"/>
          <w:color w:val="auto"/>
        </w:rPr>
      </w:pPr>
    </w:p>
    <w:p>
      <w:pPr>
        <w:ind w:left="2660" w:hanging="256"/>
        <w:spacing w:after="0"/>
        <w:tabs>
          <w:tab w:leader="none" w:pos="26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two percent (2%) plus the Average Actual Deferral Percentage for all other Early Entry Eligible Employees for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preceding Plan Year.</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3.8.2. For any Plan Year, the Average Contribution Percentage for the Highly Compensated Early Entry Eligible Employees for the current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 Year shall not exceed the greater of:</w:t>
      </w:r>
    </w:p>
    <w:p>
      <w:pPr>
        <w:spacing w:after="0" w:line="16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 one hundred twenty-five percent (125%) of the Average Contribution Percentage for all other Early Entry Eligible Employees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preceding Plan Year; or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194" w:name="page195"/>
    <w:bookmarkEnd w:id="194"/>
    <w:p>
      <w:pPr>
        <w:ind w:left="2200" w:hanging="252"/>
        <w:spacing w:after="0"/>
        <w:tabs>
          <w:tab w:leader="none" w:pos="2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lesser of:</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two hundred percent (200%) of the Average Contribution Percentage for all other Early Entry Eligible Employees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preceding Plan Year; or</w:t>
      </w:r>
    </w:p>
    <w:p>
      <w:pPr>
        <w:spacing w:after="0" w:line="16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(2) two percent (2%) plus the Average Contribution Percentage for all other Early Entry Eligible Employees for the preceding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 Year.</w:t>
      </w:r>
    </w:p>
    <w:p>
      <w:pPr>
        <w:spacing w:after="0" w:line="165"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3.8.3. If the Plan and any other plan(s) maintained by a Participating Company or an Affiliated Company are treated as a single plan for purposes of section 401(a)(4) or section 410(b) of the Code, the limitations in Sections 3.8.1 and 3.8.2 shall be applied by treating the Plan and such other plan(s) as a single plan.</w:t>
      </w:r>
    </w:p>
    <w:p>
      <w:pPr>
        <w:spacing w:after="0" w:line="140" w:lineRule="exact"/>
        <w:rPr>
          <w:sz w:val="20"/>
          <w:szCs w:val="20"/>
          <w:color w:val="auto"/>
        </w:rPr>
      </w:pPr>
    </w:p>
    <w:p>
      <w:pPr>
        <w:ind w:right="620" w:firstLine="1484"/>
        <w:spacing w:after="0" w:line="268" w:lineRule="auto"/>
        <w:rPr>
          <w:sz w:val="20"/>
          <w:szCs w:val="20"/>
          <w:color w:val="auto"/>
        </w:rPr>
      </w:pPr>
      <w:r>
        <w:rPr>
          <w:rFonts w:ascii="Arial" w:cs="Arial" w:eastAsia="Arial" w:hAnsi="Arial"/>
          <w:sz w:val="18"/>
          <w:szCs w:val="18"/>
          <w:color w:val="auto"/>
        </w:rPr>
        <w:t>3.8.4. The application of this Section shall satisfy sections 401(k) and 401(m) of the Code and regulations thereunder and such other requirements as may be prescribed by the Secretary of the Treasury.</w:t>
      </w:r>
    </w:p>
    <w:p>
      <w:pPr>
        <w:spacing w:after="0" w:line="132" w:lineRule="exact"/>
        <w:rPr>
          <w:sz w:val="20"/>
          <w:szCs w:val="20"/>
          <w:color w:val="auto"/>
        </w:rPr>
      </w:pPr>
    </w:p>
    <w:p>
      <w:pPr>
        <w:ind w:right="100" w:firstLine="1484"/>
        <w:spacing w:after="0" w:line="306" w:lineRule="auto"/>
        <w:rPr>
          <w:sz w:val="20"/>
          <w:szCs w:val="20"/>
          <w:color w:val="auto"/>
        </w:rPr>
      </w:pPr>
      <w:r>
        <w:rPr>
          <w:rFonts w:ascii="Arial" w:cs="Arial" w:eastAsia="Arial" w:hAnsi="Arial"/>
          <w:sz w:val="16"/>
          <w:szCs w:val="16"/>
          <w:color w:val="auto"/>
        </w:rPr>
        <w:t>3.8.5. The test set forth in Section 3.8.1 must be satisfied separately with respect to (1) Early Entry Eligible Employees who are not covered by a collective bargaining agreement and (2) Early Entry Eligible Employees who are covered by a collective bargaining agreement. The test set forth in Section 3.8.2 must be satisfied only with respect to Early Entry Eligible Employees who are not covered by a collective bargaining agreement.</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Prevention of Violation of Limitation on Pre-Tax Contributions and Matching Contributions</w:t>
      </w:r>
      <w:r>
        <w:rPr>
          <w:rFonts w:ascii="Arial" w:cs="Arial" w:eastAsia="Arial" w:hAnsi="Arial"/>
          <w:sz w:val="16"/>
          <w:szCs w:val="16"/>
          <w:color w:val="auto"/>
        </w:rPr>
        <w:t>. The Committee shall monitor the level of Participants’ Pre-Tax Contributions, Matching Contributions and elective deferrals, employee contributions, and employer matching contributions under any other qualified retirement plan maintained by a Participating Company or any Affiliated Company to insure against exceeding the limits of Section 3.8. To the extent practicable, the Plan Administrator may prospectively limit (i) some or all of the Highly Compensated Early Entry Eligible Employees’ Pre-Tax Contributions to reduce the Average Actual Deferral Percentage of the Highly Compensated Early Entry Eligible Employees to the extent necessary to satisfy Section 3.8.1 and/or</w:t>
      </w:r>
    </w:p>
    <w:p>
      <w:pPr>
        <w:spacing w:after="0" w:line="2" w:lineRule="exact"/>
        <w:rPr>
          <w:sz w:val="20"/>
          <w:szCs w:val="20"/>
          <w:color w:val="auto"/>
        </w:rPr>
      </w:pPr>
    </w:p>
    <w:p>
      <w:pPr>
        <w:ind w:right="20" w:firstLine="8"/>
        <w:spacing w:after="0" w:line="302" w:lineRule="auto"/>
        <w:tabs>
          <w:tab w:leader="none" w:pos="25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some or all of the Highly Compensated Early Entry Eligible Employees’ Matching Contributions to reduce the Average Contribution Percentage of the Highly Compensated Early Entry Eligible Employees to the extent necessary to satisfy Section 3.8.2. If the Committee determines after the end of the Plan Year that the limits of Section 3.8 may be or have been exceeded, it shall take the appropriate following action for such Plan Year:</w:t>
      </w:r>
    </w:p>
    <w:p>
      <w:pPr>
        <w:spacing w:after="0" w:line="109" w:lineRule="exact"/>
        <w:rPr>
          <w:sz w:val="20"/>
          <w:szCs w:val="20"/>
          <w:color w:val="auto"/>
        </w:rPr>
      </w:pPr>
    </w:p>
    <w:p>
      <w:pPr>
        <w:ind w:right="20" w:firstLine="1484"/>
        <w:spacing w:after="0" w:line="268" w:lineRule="auto"/>
        <w:rPr>
          <w:sz w:val="20"/>
          <w:szCs w:val="20"/>
          <w:color w:val="auto"/>
        </w:rPr>
      </w:pPr>
      <w:r>
        <w:rPr>
          <w:rFonts w:ascii="Arial" w:cs="Arial" w:eastAsia="Arial" w:hAnsi="Arial"/>
          <w:sz w:val="18"/>
          <w:szCs w:val="18"/>
          <w:color w:val="auto"/>
        </w:rPr>
        <w:t>3.9.1.(a) The Average Actual Deferral Percentage for the Highly Compensated Early Entry Eligible Employees shall be reduced to the extent necessary to satisfy Section 3.8.1.</w:t>
      </w:r>
    </w:p>
    <w:p>
      <w:pPr>
        <w:spacing w:after="0" w:line="132" w:lineRule="exact"/>
        <w:rPr>
          <w:sz w:val="20"/>
          <w:szCs w:val="20"/>
          <w:color w:val="auto"/>
        </w:rPr>
      </w:pPr>
    </w:p>
    <w:p>
      <w:pPr>
        <w:ind w:right="100" w:firstLine="1948"/>
        <w:spacing w:after="0" w:line="259" w:lineRule="auto"/>
        <w:tabs>
          <w:tab w:leader="none" w:pos="218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reduction shall be accomplished by reducing the maximum Actual Deferral Percentage for any Highly Compensated Early Entry Eligible Employee to an adjusted maximum Actual Deferral Percentage, which shall be the highest Actual Deferral Percentage that would cause one of the tests in Section 3.8.1 to be satisfied, if each Highly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95" w:name="page196"/>
    <w:bookmarkEnd w:id="195"/>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Compensated Early Entry Eligible Employee with a higher Actual Deferral Percentage had instead the adjusted maximum Actual Deferral Percentage, reducing the Highly Compensated Early Entry Eligible Employee’s Pre-Tax Contributions and elective deferrals under any other qualified retirement plan maintained by the Participating Company or any Affiliated Company (less any amounts previously distributed under Section 3.1 for the year) in order, beginning with the Highly Compensated Early Entry Eligible Employee(s) with the highest Actual Deferral Percentage.</w:t>
      </w:r>
    </w:p>
    <w:p>
      <w:pPr>
        <w:spacing w:after="0" w:line="113" w:lineRule="exact"/>
        <w:rPr>
          <w:sz w:val="20"/>
          <w:szCs w:val="20"/>
          <w:color w:val="auto"/>
        </w:rPr>
      </w:pPr>
    </w:p>
    <w:p>
      <w:pPr>
        <w:ind w:right="80" w:firstLine="1948"/>
        <w:spacing w:after="0" w:line="291" w:lineRule="auto"/>
        <w:tabs>
          <w:tab w:leader="none" w:pos="217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Not later than the end of the Plan Year following the close of the Plan Year for which the Pre-Tax Contributions were made, the excess Pre-Tax Contributions shall be paid to the Highly Compensated Early Entry Eligible Employees (determined on the basis of the Highly Compensated Early Entry Eligible Employees with the largest dollar amount of Pre-Tax Contributions), with earnings attributable thereto (as determined in accordance with applicable Treasury Regulations); provided, however, that for any Participant who is also a participant in any other qualified retirement plan maintained by the Participating Company or any Affiliated Company under which the Participant makes elective deferrals for such year, the Committee shall coordinate corrective actions under this Plan and such other plan for the year.</w:t>
      </w:r>
    </w:p>
    <w:p>
      <w:pPr>
        <w:spacing w:after="0" w:line="120"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3.9.2.(a) The Average Contribution Percentage for the Highly Compensated Early Entry Eligible Employees shall be reduced to the extent necessary to satisfy at least one of the tests in Section 3.8.2.</w:t>
      </w:r>
    </w:p>
    <w:p>
      <w:pPr>
        <w:spacing w:after="0" w:line="132" w:lineRule="exact"/>
        <w:rPr>
          <w:sz w:val="20"/>
          <w:szCs w:val="20"/>
          <w:color w:val="auto"/>
        </w:rPr>
      </w:pPr>
    </w:p>
    <w:p>
      <w:pPr>
        <w:ind w:firstLine="1948"/>
        <w:spacing w:after="0" w:line="253" w:lineRule="auto"/>
        <w:tabs>
          <w:tab w:leader="none" w:pos="218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reduction shall be accomplished by reducing the maximum Contribution Percentage for any Highly Compensated Early Entry Eligible Employee to an adjusted maximum Contribution Percentage, which shall be the highest Contribution Percentage that would cause one of the tests in Section 3.8.2 to be satisfied, if each Highly Compensated Early Entry Eligible Employee with a higher Contribution Percentage had instead the adjusted maximum Contribution Percentage, reducing, in the following order of priority, the Highly Compensated Early Entry Eligible Employees’ Matching Contributions and employee contributions and employer matching contributions under any other qualified retirement plan maintained by the Participating Company or an Affiliated Company, in order beginning with the Highly Compensated Early Entry Eligible Employee(s) with the highest Contribution Percentage.</w:t>
      </w:r>
    </w:p>
    <w:p>
      <w:pPr>
        <w:spacing w:after="0" w:line="147" w:lineRule="exact"/>
        <w:rPr>
          <w:rFonts w:ascii="Arial" w:cs="Arial" w:eastAsia="Arial" w:hAnsi="Arial"/>
          <w:sz w:val="18"/>
          <w:szCs w:val="18"/>
          <w:color w:val="auto"/>
        </w:rPr>
      </w:pPr>
    </w:p>
    <w:p>
      <w:pPr>
        <w:ind w:right="120" w:firstLine="1948"/>
        <w:spacing w:after="0" w:line="289" w:lineRule="auto"/>
        <w:tabs>
          <w:tab w:leader="none" w:pos="217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Not later than the end of the Plan Year following the close of the Plan Year for which such contributions were made, the excess Matching Contributions, with earnings attributable thereto (as determined in accordance with applicable Treasury Regulations) shall be treated as a forfeiture of the Highly Compensated Early Entry Eligible Employee’s Matching Contributions for the Plan Year to the extent such contributions are forfeitable (which forfeiture shall be used to reduce future Matching Contributions), or paid to the Highly Compensated Early Entry Eligible Employee to the extent such contributions are nonforfeitable; provided that any such forfeiture or payment shall be determined on the basis of the Highly Compensated Early Entry Eligible Employee(s) with the largest dollar amount of Matching Contributions; provided further, that, for any Participant who is also a participant in any other qualified retirement plan maintained by the Participating Company or any Affiliated Company under which the Participant makes employee contributions or is credited with employer matching contributions for the year, the Committee shall coordinate corrective actions under this Plan and such other plan for the year.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196" w:name="page197"/>
    <w:bookmarkEnd w:id="196"/>
    <w:p>
      <w:pPr>
        <w:ind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3.9.3. If the Plan and any other plan maintained by a Participating Company or an Affiliated Company are treated as a single plan pursuant to Section 3.8.3, the Committee shall coordinate corrective actions under the Plan and such other plan for the year.</w:t>
      </w:r>
    </w:p>
    <w:p>
      <w:pPr>
        <w:spacing w:after="0" w:line="132" w:lineRule="exact"/>
        <w:rPr>
          <w:sz w:val="20"/>
          <w:szCs w:val="20"/>
          <w:color w:val="auto"/>
        </w:rPr>
      </w:pPr>
    </w:p>
    <w:p>
      <w:pPr>
        <w:ind w:right="40" w:firstLine="1484"/>
        <w:spacing w:after="0" w:line="254" w:lineRule="auto"/>
        <w:rPr>
          <w:sz w:val="20"/>
          <w:szCs w:val="20"/>
          <w:color w:val="auto"/>
        </w:rPr>
      </w:pPr>
      <w:r>
        <w:rPr>
          <w:rFonts w:ascii="Arial" w:cs="Arial" w:eastAsia="Arial" w:hAnsi="Arial"/>
          <w:sz w:val="18"/>
          <w:szCs w:val="18"/>
          <w:color w:val="auto"/>
        </w:rPr>
        <w:t>3.9.4. The Company in its sole discretion may authorize an additional Company contribution for a Plan Year on behalf of the Non-Highly Compensated Early Entry Eligible Employees in an amount which the Company determines is necessary to meet one of the two actual deferral percentage tests or one of the two actual contribution percentage tests for such Plan Year. Such additional contributions shall be allocated in an equitable manner among the Non-Highly Compensated Early Entry Eligible Employees and the amount allocated to each such Employee shall be treated for all purposes under the Plan as an additional Pre-Tax Contribution by the Company for such Plan Year. Any such contributions shall be allocated to the Qualified Non-Elective Contribution Account.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Maximum Allocation</w:t>
      </w:r>
      <w:r>
        <w:rPr>
          <w:rFonts w:ascii="Arial" w:cs="Arial" w:eastAsia="Arial" w:hAnsi="Arial"/>
          <w:sz w:val="18"/>
          <w:szCs w:val="18"/>
          <w:color w:val="auto"/>
        </w:rPr>
        <w:t>.</w:t>
      </w:r>
    </w:p>
    <w:p>
      <w:pPr>
        <w:spacing w:after="0" w:line="171" w:lineRule="exact"/>
        <w:rPr>
          <w:sz w:val="20"/>
          <w:szCs w:val="20"/>
          <w:color w:val="auto"/>
        </w:rPr>
      </w:pPr>
    </w:p>
    <w:p>
      <w:pPr>
        <w:ind w:right="200" w:firstLine="1484"/>
        <w:spacing w:after="0" w:line="268" w:lineRule="auto"/>
        <w:rPr>
          <w:sz w:val="20"/>
          <w:szCs w:val="20"/>
          <w:color w:val="auto"/>
        </w:rPr>
      </w:pPr>
      <w:r>
        <w:rPr>
          <w:rFonts w:ascii="Arial" w:cs="Arial" w:eastAsia="Arial" w:hAnsi="Arial"/>
          <w:sz w:val="18"/>
          <w:szCs w:val="18"/>
          <w:color w:val="auto"/>
        </w:rPr>
        <w:t>3.10.1. Notwithstanding anything in this Plan to the contrary, in no event shall amounts allocated to a Participant’s Account under the Plan exceed the limitations set forth in section 415 of the Code, which are hereby incorporated into the Plan.</w:t>
      </w:r>
    </w:p>
    <w:p>
      <w:pPr>
        <w:spacing w:after="0" w:line="132" w:lineRule="exact"/>
        <w:rPr>
          <w:sz w:val="20"/>
          <w:szCs w:val="20"/>
          <w:color w:val="auto"/>
        </w:rPr>
      </w:pPr>
    </w:p>
    <w:p>
      <w:pPr>
        <w:ind w:right="80" w:firstLine="1484"/>
        <w:spacing w:after="0" w:line="306" w:lineRule="auto"/>
        <w:rPr>
          <w:sz w:val="20"/>
          <w:szCs w:val="20"/>
          <w:color w:val="auto"/>
        </w:rPr>
      </w:pPr>
      <w:r>
        <w:rPr>
          <w:rFonts w:ascii="Arial" w:cs="Arial" w:eastAsia="Arial" w:hAnsi="Arial"/>
          <w:sz w:val="16"/>
          <w:szCs w:val="16"/>
          <w:color w:val="auto"/>
        </w:rPr>
        <w:t>3.10.2. If the amounts otherwise allocable to a Participant’s Account under the Plan exceed the limitations set forth in section 415(c) of the Code, then the Plan shall correct such excess in accordance with the Employee Plans Compliance Resolution System (EPCRS) as set forth in Revenue Procedure 2008-50 or any superseding guidance, including, but not limited to, the preamble of the final regulations governing section 415 of the Code.</w:t>
      </w:r>
    </w:p>
    <w:p>
      <w:pPr>
        <w:spacing w:after="0" w:line="107" w:lineRule="exact"/>
        <w:rPr>
          <w:sz w:val="20"/>
          <w:szCs w:val="20"/>
          <w:color w:val="auto"/>
        </w:rPr>
      </w:pPr>
    </w:p>
    <w:p>
      <w:pPr>
        <w:ind w:right="20" w:firstLine="1484"/>
        <w:spacing w:after="0" w:line="256" w:lineRule="auto"/>
        <w:rPr>
          <w:sz w:val="20"/>
          <w:szCs w:val="20"/>
          <w:color w:val="auto"/>
        </w:rPr>
      </w:pPr>
      <w:r>
        <w:rPr>
          <w:rFonts w:ascii="Arial" w:cs="Arial" w:eastAsia="Arial" w:hAnsi="Arial"/>
          <w:sz w:val="18"/>
          <w:szCs w:val="18"/>
          <w:color w:val="auto"/>
        </w:rPr>
        <w:t xml:space="preserve">3.10.3. Effective for Plan Years beginning after July 1, 2007, payments made by the later of 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months after severance from employment or the end of the Limitation Year that includes the date of severance from employment are included in Compensation for the Limitation Year if, absent a severance from employment, such payments (i) would have been paid to the Participant and (ii) would have been considered Compensation while the Participant continued in employment with the Participating Company.</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Safe Harbor Status</w:t>
      </w:r>
      <w:r>
        <w:rPr>
          <w:rFonts w:ascii="Arial" w:cs="Arial" w:eastAsia="Arial" w:hAnsi="Arial"/>
          <w:sz w:val="18"/>
          <w:szCs w:val="18"/>
          <w:color w:val="auto"/>
        </w:rPr>
        <w:t>. Other than with respect to the Plan as it applies to Early Entry Eligible Employees and Covered Union Employees (Broadband), the Plan intends to satisfy section 401(k)(3)(a)(ii) of the Code by satisfying the matching contribution requirement of section 401(k)(12)(B) of the Code and the notice requirement of section 401(k)(12)(D) of the Code.</w:t>
      </w:r>
    </w:p>
    <w:p>
      <w:pPr>
        <w:spacing w:after="0" w:line="140"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Distribution of Excess Contributions</w:t>
      </w:r>
      <w:r>
        <w:rPr>
          <w:rFonts w:ascii="Arial" w:cs="Arial" w:eastAsia="Arial" w:hAnsi="Arial"/>
          <w:sz w:val="16"/>
          <w:szCs w:val="16"/>
          <w:color w:val="auto"/>
        </w:rPr>
        <w:t>. Any distribution of excess contributions made pursuant to this Section 3 will include earnings attributable to such contributions as required by, and as determined in accordance with, applicable Regulations of the Department of the Treasury.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97" w:name="page198"/>
    <w:bookmarkEnd w:id="19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PARTICIPANTS’ ACCOUNTS</w:t>
      </w:r>
    </w:p>
    <w:p>
      <w:pPr>
        <w:spacing w:after="0" w:line="17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Accounts</w:t>
      </w:r>
      <w:r>
        <w:rPr>
          <w:rFonts w:ascii="Arial" w:cs="Arial" w:eastAsia="Arial" w:hAnsi="Arial"/>
          <w:sz w:val="16"/>
          <w:szCs w:val="16"/>
          <w:color w:val="auto"/>
        </w:rPr>
        <w:t xml:space="preserve">. All contributions and earnings thereon may be invested in one commingled Fund for the benefit of all Participants. However, in order that the interest of each Participant may be accurately determined and computed, separate Accounts shall be maintained for each Participant and each Participant’s Accounts shall be made up of sub-accounts reflecting his investment elections pursuant to Section 11.5. These Accounts shall represent the Participant’s individual interest in the Fund. All contributions shall be credited to Participants’ Accounts as set forth in Article III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applicable).</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Valuation</w:t>
      </w:r>
      <w:r>
        <w:rPr>
          <w:rFonts w:ascii="Arial" w:cs="Arial" w:eastAsia="Arial" w:hAnsi="Arial"/>
          <w:sz w:val="18"/>
          <w:szCs w:val="18"/>
          <w:color w:val="auto"/>
        </w:rPr>
        <w:t>. The value of each Investment Medium in the Fund shall be computed by the Trustee as of the close of business on each Valuation Date on the basis of the fair market value of the assets of the Fund.</w:t>
      </w:r>
    </w:p>
    <w:p>
      <w:pPr>
        <w:spacing w:after="0" w:line="132"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Apportionment of Gain or Loss</w:t>
      </w:r>
      <w:r>
        <w:rPr>
          <w:rFonts w:ascii="Arial" w:cs="Arial" w:eastAsia="Arial" w:hAnsi="Arial"/>
          <w:sz w:val="15"/>
          <w:szCs w:val="15"/>
          <w:color w:val="auto"/>
        </w:rPr>
        <w:t>. The value of each Investment Medium in the Fund, as computed pursuant to Section 4.2, shall be compared with the value of such Investment Medium in the Fund as of the preceding Valuation Date. Any difference in the value, not including contributions or distributions made since the preceding Valuation Date, shall be the net increase or decrease of such Investment Medium in the Fund, and such amount shall be ratably apportioned by the Trustee on its books, among the Participants’ Accounts which are invested in such Investment Medium at the current Valuation Date.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Accounting for Allocations</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establish or provide for the establishment of accounting procedures for the purpose of making the allocations, valuations and adjustments to Participants’ Accounts provided for in this Article. From time to time such procedures may be modified for the purpose of achieving equitable and non-discriminatory allocations among the Accounts of Participants in accordance with the general concepts of the Plan and the provisions of this Article.</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Accounting and Other Procedures Regarding Company Stock and Investment Stock</w:t>
      </w:r>
      <w:r>
        <w:rPr>
          <w:rFonts w:ascii="Arial" w:cs="Arial" w:eastAsia="Arial" w:hAnsi="Arial"/>
          <w:sz w:val="18"/>
          <w:szCs w:val="18"/>
          <w:color w:val="auto"/>
        </w:rPr>
        <w:t>.</w:t>
      </w:r>
    </w:p>
    <w:p>
      <w:pPr>
        <w:spacing w:after="0" w:line="171" w:lineRule="exact"/>
        <w:rPr>
          <w:sz w:val="20"/>
          <w:szCs w:val="20"/>
          <w:color w:val="auto"/>
        </w:rPr>
      </w:pPr>
    </w:p>
    <w:p>
      <w:pPr>
        <w:ind w:right="320" w:firstLine="1948"/>
        <w:spacing w:after="0" w:line="268" w:lineRule="auto"/>
        <w:tabs>
          <w:tab w:leader="none" w:pos="217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Company Stock required for purposes of the Plan shall either be transferred or sold to the Trustee by the Company, or if not so transferred or sold shall be acquired by the Trustee on the market.</w:t>
      </w:r>
    </w:p>
    <w:p>
      <w:pPr>
        <w:spacing w:after="0" w:line="131" w:lineRule="exact"/>
        <w:rPr>
          <w:rFonts w:ascii="Arial" w:cs="Arial" w:eastAsia="Arial" w:hAnsi="Arial"/>
          <w:sz w:val="18"/>
          <w:szCs w:val="18"/>
          <w:color w:val="auto"/>
        </w:rPr>
      </w:pPr>
    </w:p>
    <w:p>
      <w:pPr>
        <w:ind w:right="60" w:firstLine="1948"/>
        <w:spacing w:after="0" w:line="306" w:lineRule="auto"/>
        <w:tabs>
          <w:tab w:leader="none" w:pos="218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As of each Valuation Date, all amounts to be invested in Company Stock shall be allocated to Participants’ Accounts as additional shares in accordance with this Section 4.4.2(b). First, the Committee shall determine the number of shares to be allocated under the Plan as of such Valuation Date. Second, the number of shares to be allocated to each Participant’s Account shall be equal to the total number of shares to be allocated under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198" w:name="page199"/>
    <w:bookmarkEnd w:id="19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Plan as of such Valuation Date multiplied by the ratio of the sum of the items listed below for each Participant entitled to share in such allocation that are to be invested in Company Stock to the sum of such items for all such Participants. The items referenced in the preceding sentence are (i) all Pre-Tax Contributions and Catch-Up Contributions, (ii) all Roth Contributions and Roth Catch-Up Contributions, (iii) all After-Tax Contributions, (iv) all Matching Contributions, Prior Broadband Heritage Matching Contributions, (v) all NBCU Retirement Contributions, (vi) all Taxable Rollover Contributions, After-Tax Rollover Contributions and Roth Rollover Contributions, (vii) all repayments of loans pursuant to Article IX of the Plan, (viii) funds that were to be invested in Company Stock as of the preceding Valuation Date but were not and (ix) income earned with respect to such funds.</w:t>
      </w:r>
    </w:p>
    <w:p>
      <w:pPr>
        <w:spacing w:after="0" w:line="120" w:lineRule="exact"/>
        <w:rPr>
          <w:sz w:val="20"/>
          <w:szCs w:val="20"/>
          <w:color w:val="auto"/>
        </w:rPr>
      </w:pPr>
    </w:p>
    <w:p>
      <w:pPr>
        <w:ind w:right="60" w:firstLine="1948"/>
        <w:spacing w:after="0" w:line="268" w:lineRule="auto"/>
        <w:tabs>
          <w:tab w:leader="none" w:pos="217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Shares of Company Stock and Investment Stock shall be converted to cash for purposes of distributions, withdrawals, and loans in accordance with the batch trading guidelines established by the Committee.</w:t>
      </w:r>
    </w:p>
    <w:p>
      <w:pPr>
        <w:spacing w:after="0" w:line="131" w:lineRule="exact"/>
        <w:rPr>
          <w:rFonts w:ascii="Arial" w:cs="Arial" w:eastAsia="Arial" w:hAnsi="Arial"/>
          <w:sz w:val="18"/>
          <w:szCs w:val="18"/>
          <w:color w:val="auto"/>
        </w:rPr>
      </w:pPr>
    </w:p>
    <w:p>
      <w:pPr>
        <w:ind w:right="140" w:firstLine="1948"/>
        <w:spacing w:after="0" w:line="298" w:lineRule="auto"/>
        <w:tabs>
          <w:tab w:leader="none" w:pos="218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Shares of Company Stock shall be allocated to Participants’ Accounts as results of elections to reallocate the investment of funds held in Participants’ Accounts to the Investment Medium that holds Company Stock pursuant to the real time trading guidelines established by agreement between the Company and the Trustee. Shares of Company Stock and Investment Stock shall be converted to cash for purposes of elections to reallocate the investment of amounts held in an Investment Medium that holds Company Stock or Investment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General</w:t>
      </w:r>
      <w:r>
        <w:rPr>
          <w:rFonts w:ascii="Arial" w:cs="Arial" w:eastAsia="Arial" w:hAnsi="Arial"/>
          <w:sz w:val="16"/>
          <w:szCs w:val="16"/>
          <w:color w:val="auto"/>
        </w:rPr>
        <w:t>. The interest of each Participant in the Fund shall be distributed in the manner, in the amount, and at the time provided in this Article, except as provided in Article VIII and except in the event of the termination of the Plan. The provisions of this Article shall be construed in accordance with section 401(a)(9) of the Code and regulations thereunder, including the incidental death benefit requirements of section 401(a)(9)(G) of the Code.</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A Participant who incurs a Severance from Service Date for reasons other than death or Total Disability shall have his nonforfeitable interest in his Account paid to him or applied for his benefit in accordance with the provisions of this Article.</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Death</w:t>
      </w:r>
      <w:r>
        <w:rPr>
          <w:rFonts w:ascii="Arial" w:cs="Arial" w:eastAsia="Arial" w:hAnsi="Arial"/>
          <w:sz w:val="18"/>
          <w:szCs w:val="18"/>
          <w:color w:val="auto"/>
        </w:rPr>
        <w:t>. If a Participant dies before his Benefit Commencement Date, or if the Participant dies after his Benefit Commencement Date and before his entire nonforfeitable interest in his Account has been paid to him, his remaining nonforfeitable interest in his Account shall be paid to, or applied for the benefit of, his beneficiary in accordance with the provisions of this Article. In the case of a Participant who dies on or after January 1, 2007 while performing Qualified Military Service (as defined in Code §414(u)), the survivors of such Participant shall be entitled to any benefit, including but not limited to any acceleration of vesting, that would be provided under the Plan had the Participant resumed employment with his employer and then terminated employment on account of his death.</w:t>
      </w:r>
    </w:p>
    <w:p>
      <w:pPr>
        <w:spacing w:after="0" w:line="14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Total Disability</w:t>
      </w:r>
      <w:r>
        <w:rPr>
          <w:rFonts w:ascii="Arial" w:cs="Arial" w:eastAsia="Arial" w:hAnsi="Arial"/>
          <w:sz w:val="18"/>
          <w:szCs w:val="18"/>
          <w:color w:val="auto"/>
        </w:rPr>
        <w:t>. If a Participant who is an Employee suffers a Total Disability and has a Severance from Service Date due to his Total Disability, his Account shall be paid to him or applied for his benefit in accordance with the provisions of this Article following the determination of his Total Disability and his Severance from Service Date.</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Valuation for Distribution</w:t>
      </w:r>
      <w:r>
        <w:rPr>
          <w:rFonts w:ascii="Arial" w:cs="Arial" w:eastAsia="Arial" w:hAnsi="Arial"/>
          <w:sz w:val="18"/>
          <w:szCs w:val="18"/>
          <w:color w:val="auto"/>
        </w:rPr>
        <w:t>. For the purposes of paying the amounts to be distributed to a Participant or his beneficiaries under the provisions of this Article, the value of the Fund and the amount of the Participant’s nonforfeitable interest shall be determined in accordance with the provisions of Article IV as of the Valuation Date coincident with or immediately preceding the date of any payment under this Article. Such amount shall be adjusted to take into account any additional contributions which have been or are to be allocated to the Participant’s Account since that Valuation Date, and any distributions or withdrawals made since that date.</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Timing of Distribution</w:t>
      </w:r>
      <w:r>
        <w:rPr>
          <w:rFonts w:ascii="Arial" w:cs="Arial" w:eastAsia="Arial" w:hAnsi="Arial"/>
          <w:sz w:val="18"/>
          <w:szCs w:val="18"/>
          <w:color w:val="auto"/>
        </w:rPr>
        <w:t>. Any Participant who has a Severance from Service Date for any reason other than death shall be entitled to receive his nonforfeitable interest in his Account, pursuant to the following rules:</w:t>
      </w:r>
    </w:p>
    <w:p>
      <w:pPr>
        <w:spacing w:after="0" w:line="132" w:lineRule="exact"/>
        <w:rPr>
          <w:sz w:val="20"/>
          <w:szCs w:val="20"/>
          <w:color w:val="auto"/>
        </w:rPr>
      </w:pPr>
    </w:p>
    <w:p>
      <w:pPr>
        <w:ind w:right="560" w:firstLine="1484"/>
        <w:spacing w:after="0" w:line="268" w:lineRule="auto"/>
        <w:rPr>
          <w:sz w:val="20"/>
          <w:szCs w:val="20"/>
          <w:color w:val="auto"/>
        </w:rPr>
      </w:pPr>
      <w:r>
        <w:rPr>
          <w:rFonts w:ascii="Arial" w:cs="Arial" w:eastAsia="Arial" w:hAnsi="Arial"/>
          <w:sz w:val="18"/>
          <w:szCs w:val="18"/>
          <w:color w:val="auto"/>
        </w:rPr>
        <w:t>5.6.1. If the Participant’s nonforfeitable interest in his Account exceeds $5,000, his Benefit Commencement Date shall be the earliest practicable date following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200" w:name="page201"/>
    <w:bookmarkEnd w:id="200"/>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Valuation Date coincident with or next following 30 days after his Severance from Service Date, except that, if the Participant does not consent to such distribution, distribution of his benefits shall commence on any later date elected by the Participant, that is not later than his Required Beginning Date, at which time his nonforfeitable interest shall commence to be paid to him. A Participant’s election to receive payment prior to his Required Beginning Date may be made no earlier than 180 days prior to the Benefit Commencement Date elected by the Participant.</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5.6.2. If a Participant’s nonforfeitable interest in his Account is not greater than $1,000, his Benefit Commencement Date shall be the earliest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practicable date following the Valuation Date coincident with or next following the first day of the first calendar quarter that begins after his Severance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Date and, provided the participant does not affirmatively elect to have the distribution of Account paid directly to an eligible retirement plan in a direct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rollover, his Account will be distributed in a cash lump sum. If a Participant’s nonforfeitable interest in his Account is greater than $1,000 but not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 and if the participant does not elect to have such distribution paid directly to an eligible retirement plan specified by the Participant in a direct rollover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receive the distribution directly, then the Participant’s vested Account shall be distributed in a direct rollover to an individual retirement plan designated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The preceding sentence shall not apply to alternate payees (under qualified domestic relations orders, as defined in section 414(p) of the Code),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surviving spouses or beneficiaries.</w:t>
      </w:r>
    </w:p>
    <w:p>
      <w:pPr>
        <w:spacing w:after="0" w:line="165" w:lineRule="exact"/>
        <w:rPr>
          <w:sz w:val="20"/>
          <w:szCs w:val="20"/>
          <w:color w:val="auto"/>
        </w:rPr>
      </w:pPr>
    </w:p>
    <w:p>
      <w:pPr>
        <w:ind w:right="280" w:firstLine="1484"/>
        <w:spacing w:after="0" w:line="268" w:lineRule="auto"/>
        <w:rPr>
          <w:sz w:val="20"/>
          <w:szCs w:val="20"/>
          <w:color w:val="auto"/>
        </w:rPr>
      </w:pPr>
      <w:r>
        <w:rPr>
          <w:rFonts w:ascii="Arial" w:cs="Arial" w:eastAsia="Arial" w:hAnsi="Arial"/>
          <w:sz w:val="18"/>
          <w:szCs w:val="18"/>
          <w:color w:val="auto"/>
        </w:rPr>
        <w:t>5.6.3. This Section shall apply to all Participants, including Participants who had a Severance from Service Date or ceased to be Covered Employees prior to the Effective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Mode of Distribution of Retirement or Disability Benefits</w:t>
      </w:r>
      <w:r>
        <w:rPr>
          <w:rFonts w:ascii="Arial" w:cs="Arial" w:eastAsia="Arial" w:hAnsi="Arial"/>
          <w:sz w:val="18"/>
          <w:szCs w:val="18"/>
          <w:color w:val="auto"/>
        </w:rPr>
        <w:t>.</w:t>
      </w:r>
    </w:p>
    <w:p>
      <w:pPr>
        <w:spacing w:after="0" w:line="171"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5.7.1. Except as provided to the contrary in this Article, a Participant may elect in writing to have his nonforfeitable interest in his Account paid to him or applied for his benefit in accordance with any of the following modes of payment:</w:t>
      </w:r>
    </w:p>
    <w:p>
      <w:pPr>
        <w:spacing w:after="0" w:line="132" w:lineRule="exact"/>
        <w:rPr>
          <w:sz w:val="20"/>
          <w:szCs w:val="20"/>
          <w:color w:val="auto"/>
        </w:rPr>
      </w:pPr>
    </w:p>
    <w:p>
      <w:pPr>
        <w:ind w:right="160" w:firstLine="1948"/>
        <w:spacing w:after="0" w:line="268" w:lineRule="auto"/>
        <w:tabs>
          <w:tab w:leader="none" w:pos="217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case of a Participant whose nonforfeitable interest in his Account exceeds $5,000, approximately equal annual or quarterly installments over a period not to exceed the lesser of:</w:t>
      </w:r>
    </w:p>
    <w:p>
      <w:pPr>
        <w:spacing w:after="0" w:line="131" w:lineRule="exact"/>
        <w:rPr>
          <w:rFonts w:ascii="Arial" w:cs="Arial" w:eastAsia="Arial" w:hAnsi="Arial"/>
          <w:sz w:val="18"/>
          <w:szCs w:val="18"/>
          <w:color w:val="auto"/>
        </w:rPr>
      </w:pPr>
    </w:p>
    <w:p>
      <w:pPr>
        <w:ind w:right="260" w:firstLine="2404"/>
        <w:spacing w:after="0" w:line="268" w:lineRule="auto"/>
        <w:tabs>
          <w:tab w:leader="none" w:pos="264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life expectancy of the Participant or the joint and survivor life expectancy of the Participant and his beneficiary (with such life expectancy to be determined in accordance with applicable regulations under the Code); or</w:t>
      </w:r>
    </w:p>
    <w:p>
      <w:pPr>
        <w:spacing w:after="0" w:line="131" w:lineRule="exact"/>
        <w:rPr>
          <w:rFonts w:ascii="Arial" w:cs="Arial" w:eastAsia="Arial" w:hAnsi="Arial"/>
          <w:sz w:val="18"/>
          <w:szCs w:val="18"/>
          <w:color w:val="auto"/>
        </w:rPr>
      </w:pPr>
    </w:p>
    <w:p>
      <w:pPr>
        <w:ind w:right="160" w:firstLine="2404"/>
        <w:spacing w:after="0" w:line="268" w:lineRule="auto"/>
        <w:tabs>
          <w:tab w:leader="none" w:pos="264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unless the sole beneficiary is the Participant’s spouse, the maximum number of years permitted by section 401(a)(9) of the Code and the applicable regulations; or</w:t>
      </w:r>
    </w:p>
    <w:p>
      <w:pPr>
        <w:spacing w:after="0" w:line="131" w:lineRule="exact"/>
        <w:rPr>
          <w:rFonts w:ascii="Arial" w:cs="Arial" w:eastAsia="Arial" w:hAnsi="Arial"/>
          <w:sz w:val="18"/>
          <w:szCs w:val="18"/>
          <w:color w:val="auto"/>
        </w:rPr>
      </w:pPr>
    </w:p>
    <w:p>
      <w:pPr>
        <w:ind w:right="40" w:firstLine="1948"/>
        <w:spacing w:after="0" w:line="268" w:lineRule="auto"/>
        <w:tabs>
          <w:tab w:leader="none" w:pos="218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single sum payment in cash, except that a Participant may elect to receive the portion of his Account invested in Company Stock and/or Investment Stock in the form of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201" w:name="page202"/>
    <w:bookmarkEnd w:id="201"/>
    <w:p>
      <w:pPr>
        <w:ind w:right="520" w:firstLine="1948"/>
        <w:spacing w:after="0" w:line="259" w:lineRule="auto"/>
        <w:tabs>
          <w:tab w:leader="none" w:pos="2179"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Participant who was a participant in the CCCHI Plan, a Participant may withdraw up to ninety-five percent (95%) of his Account, in increments of not less than $500. A surviving beneficiary of such a Participant may also make withdrawal in accordance with this Section 5.7.1(c).</w:t>
      </w:r>
    </w:p>
    <w:p>
      <w:pPr>
        <w:spacing w:after="0" w:line="140" w:lineRule="exact"/>
        <w:rPr>
          <w:rFonts w:ascii="Arial" w:cs="Arial" w:eastAsia="Arial" w:hAnsi="Arial"/>
          <w:sz w:val="18"/>
          <w:szCs w:val="18"/>
          <w:color w:val="auto"/>
        </w:rPr>
      </w:pPr>
    </w:p>
    <w:p>
      <w:pPr>
        <w:ind w:right="60" w:firstLine="1948"/>
        <w:spacing w:after="0" w:line="294" w:lineRule="auto"/>
        <w:tabs>
          <w:tab w:leader="none" w:pos="218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the case of a Participant whose nonforfeitable interest in his Account exceeds $500, the Participant may elect to withdraw such portion (which may be all) of his remaining account balance as he may designate from time to time, provided that if the amount so designated by such Participant is less than his entire remaining balance, such amount shall be at least $500. The Participant may elect this option up to four times each calendar year and may also elect a fifth and final distribution for such year pursuant to this Section 5.7.1(d) of his entire remaining balance in his Account. Payment to the Participant of the designated amount shall be made in cash as soon as practicable after the election.</w:t>
      </w:r>
    </w:p>
    <w:p>
      <w:pPr>
        <w:spacing w:after="0" w:line="116"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5.7.2. If a Participant fails to make a valid election under this Section in accordance with the rules described in Section 5.8, the value of his Account shall be distributed to him as a single sum payment.</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Rules for Election of Optional Mode of Retirement or Disability Benefit</w:t>
      </w:r>
      <w:r>
        <w:rPr>
          <w:rFonts w:ascii="Arial" w:cs="Arial" w:eastAsia="Arial" w:hAnsi="Arial"/>
          <w:sz w:val="18"/>
          <w:szCs w:val="18"/>
          <w:color w:val="auto"/>
        </w:rPr>
        <w:t>. A Participant may elect an optional mode of payment under Section 5.7 by filing a notice with the Committee in accordance with Section 14.9. A Participant may elect an optional mode of payment at any time during the period provided in Section 5.6.2.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Death Benefits</w:t>
      </w:r>
      <w:r>
        <w:rPr>
          <w:rFonts w:ascii="Arial" w:cs="Arial" w:eastAsia="Arial" w:hAnsi="Arial"/>
          <w:sz w:val="18"/>
          <w:szCs w:val="18"/>
          <w:color w:val="auto"/>
        </w:rPr>
        <w:t>.</w:t>
      </w:r>
    </w:p>
    <w:p>
      <w:pPr>
        <w:spacing w:after="0" w:line="171" w:lineRule="exact"/>
        <w:rPr>
          <w:sz w:val="20"/>
          <w:szCs w:val="20"/>
          <w:color w:val="auto"/>
        </w:rPr>
      </w:pPr>
    </w:p>
    <w:p>
      <w:pPr>
        <w:ind w:right="200" w:firstLine="1484"/>
        <w:spacing w:after="0" w:line="268" w:lineRule="auto"/>
        <w:rPr>
          <w:sz w:val="20"/>
          <w:szCs w:val="20"/>
          <w:color w:val="auto"/>
        </w:rPr>
      </w:pPr>
      <w:r>
        <w:rPr>
          <w:rFonts w:ascii="Arial" w:cs="Arial" w:eastAsia="Arial" w:hAnsi="Arial"/>
          <w:sz w:val="18"/>
          <w:szCs w:val="18"/>
          <w:color w:val="auto"/>
        </w:rPr>
        <w:t>5.9.1.(a) A beneficiary entitled to benefits under Section 5.3 upon the death of a Participant prior to his Benefit Commencement Date shall receive a single sum payment equal to the Participant’s nonforfeitable interest in his Account.</w:t>
      </w:r>
    </w:p>
    <w:p>
      <w:pPr>
        <w:spacing w:after="0" w:line="132" w:lineRule="exact"/>
        <w:rPr>
          <w:sz w:val="20"/>
          <w:szCs w:val="20"/>
          <w:color w:val="auto"/>
        </w:rPr>
      </w:pPr>
    </w:p>
    <w:p>
      <w:pPr>
        <w:ind w:right="60" w:firstLine="1948"/>
        <w:spacing w:after="0" w:line="259" w:lineRule="auto"/>
        <w:tabs>
          <w:tab w:leader="none" w:pos="21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 Participant dies after his Benefit Commencement Date while in receipt of installment payments described in Section 5.7.1(a), and before his entire nonforfeitable interest in his Account has been paid to him, his beneficiary may elect in writing to have the remaining nonforfeitable interest in the Participant’s Account paid in accordance with either of the following modes of payment:</w:t>
      </w:r>
    </w:p>
    <w:p>
      <w:pPr>
        <w:spacing w:after="0" w:line="140" w:lineRule="exact"/>
        <w:rPr>
          <w:rFonts w:ascii="Arial" w:cs="Arial" w:eastAsia="Arial" w:hAnsi="Arial"/>
          <w:sz w:val="18"/>
          <w:szCs w:val="18"/>
          <w:color w:val="auto"/>
        </w:rPr>
      </w:pPr>
    </w:p>
    <w:p>
      <w:pPr>
        <w:ind w:firstLine="2404"/>
        <w:spacing w:after="0" w:line="268" w:lineRule="auto"/>
        <w:tabs>
          <w:tab w:leader="none" w:pos="264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single sum payment in cash, except that a beneficiary may elect to receive the portion of the Account invested in Company Stock and/or Investment Stock in the form of shares; or</w:t>
      </w:r>
    </w:p>
    <w:p>
      <w:pPr>
        <w:spacing w:after="0" w:line="131" w:lineRule="exact"/>
        <w:rPr>
          <w:rFonts w:ascii="Arial" w:cs="Arial" w:eastAsia="Arial" w:hAnsi="Arial"/>
          <w:sz w:val="18"/>
          <w:szCs w:val="18"/>
          <w:color w:val="auto"/>
        </w:rPr>
      </w:pPr>
    </w:p>
    <w:p>
      <w:pPr>
        <w:ind w:right="160" w:firstLine="2404"/>
        <w:spacing w:after="0" w:line="294" w:lineRule="auto"/>
        <w:tabs>
          <w:tab w:leader="none" w:pos="264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approximately equal annual installments over the remainder of the period over which the Participant had elected to receive installment payments (with such remainder to be determined in accordance with applicable regulations under the Code); provided, however, that this form of payment shall not be available to a beneficiary that is not an individual. A beneficiary may elect the mode of payment under this Section at any time prior to his Benefit Commencement Date. Such election shall be on a form prescribed by the Committee. In the event that a beneficiary fails to make a valid election under this Section, the value of the Participant’s Account will be distributed as a single sum payment.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202" w:name="page203"/>
    <w:bookmarkEnd w:id="202"/>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5.9.2. Payment of death benefits payable under Section 5.3 shall commence as soon as practicable following the death of the Participant.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Explanations to Participants</w:t>
      </w:r>
      <w:r>
        <w:rPr>
          <w:rFonts w:ascii="Arial" w:cs="Arial" w:eastAsia="Arial" w:hAnsi="Arial"/>
          <w:sz w:val="16"/>
          <w:szCs w:val="16"/>
          <w:color w:val="auto"/>
        </w:rPr>
        <w:t>. The Committee shall provide to each Participant no less than 30 days and no more than 180 days before 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Benefit Commencement Date a written explanation of:</w:t>
      </w:r>
    </w:p>
    <w:p>
      <w:pPr>
        <w:spacing w:after="0" w:line="165" w:lineRule="exact"/>
        <w:rPr>
          <w:sz w:val="20"/>
          <w:szCs w:val="20"/>
          <w:color w:val="auto"/>
        </w:rPr>
      </w:pPr>
    </w:p>
    <w:p>
      <w:pPr>
        <w:ind w:right="320" w:firstLine="1484"/>
        <w:spacing w:after="0" w:line="268" w:lineRule="auto"/>
        <w:rPr>
          <w:sz w:val="20"/>
          <w:szCs w:val="20"/>
          <w:color w:val="auto"/>
        </w:rPr>
      </w:pPr>
      <w:r>
        <w:rPr>
          <w:rFonts w:ascii="Arial" w:cs="Arial" w:eastAsia="Arial" w:hAnsi="Arial"/>
          <w:sz w:val="18"/>
          <w:szCs w:val="18"/>
          <w:color w:val="auto"/>
        </w:rPr>
        <w:t>5.10.1. the terms and conditions of each optional mode of payment, including information explaining the relative values of each mode of benefit, in accordance with applicable governmental regulations under section 401(a)(11) of the Code;</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5.10.2. the Participant’s right to elect an optional mode of payment and the effect of such an election;</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5.10.3. the rights of the Participant’s spouse with respect to the Participant’s election of certain optional modes of payment; and</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5.10.4. the Participant’s right to revoke an election to receive an optional mode of payment and the effect of such revocation.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171" w:lineRule="exact"/>
        <w:rPr>
          <w:sz w:val="20"/>
          <w:szCs w:val="20"/>
          <w:color w:val="auto"/>
        </w:rPr>
      </w:pPr>
    </w:p>
    <w:p>
      <w:pPr>
        <w:ind w:right="80" w:firstLine="1484"/>
        <w:spacing w:after="0" w:line="290" w:lineRule="auto"/>
        <w:rPr>
          <w:sz w:val="20"/>
          <w:szCs w:val="20"/>
          <w:color w:val="auto"/>
        </w:rPr>
      </w:pPr>
      <w:r>
        <w:rPr>
          <w:rFonts w:ascii="Arial" w:cs="Arial" w:eastAsia="Arial" w:hAnsi="Arial"/>
          <w:sz w:val="16"/>
          <w:szCs w:val="16"/>
          <w:color w:val="auto"/>
        </w:rPr>
        <w:t>5.11.1. Except as provided in this Section 5.11, a Participant may designate the beneficiary or beneficiaries who shall receive, on or after his death, his interest in the Fund, provided that the designation of a beneficiary under a joint and survivor annuity shall be fixed and may not be changed on or after the date on which benefit payments commence. Such designation shall be made by executing and filing with the Committee a written instrument in such form as may be prescribed by the Committee for that purpose. Except as provided in this Section 5.11, the Participant may also revoke or change, at any time and from time to time, any beneficiary designations previously made. Such revocations and/or changes shall be made by executing and filing with the Committee a written instrument in such form as may be prescribed by the Committee for that purpose. If a Participant names a trust as beneficiary, a change in the identity of the trustees or in the instrument governing such trust shall not be deemed a change in beneficiary.</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5.11.2. No designation, revocation, or change of beneficiaries shall be valid and effective unless and until filed with the Committee.</w:t>
      </w:r>
    </w:p>
    <w:p>
      <w:pPr>
        <w:spacing w:after="0" w:line="194"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5.11.3. A Participant who does not establish to the satisfaction of the Committee that he has no spouse may not designate someone other than his spouse to be his beneficiary under Section 5.3 unless:</w:t>
      </w:r>
    </w:p>
    <w:p>
      <w:pPr>
        <w:spacing w:after="0" w:line="132" w:lineRule="exact"/>
        <w:rPr>
          <w:sz w:val="20"/>
          <w:szCs w:val="20"/>
          <w:color w:val="auto"/>
        </w:rPr>
      </w:pPr>
    </w:p>
    <w:p>
      <w:pPr>
        <w:ind w:right="240" w:firstLine="1948"/>
        <w:spacing w:after="0" w:line="268" w:lineRule="auto"/>
        <w:tabs>
          <w:tab w:leader="none" w:pos="217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(1) such spouse (or the spouse’s legal guardian if the spouse is legally incompetent) executes a written instrument whereby such spouse consents not to receive such benefit and consents either:</w:t>
      </w:r>
    </w:p>
    <w:p>
      <w:pPr>
        <w:spacing w:after="0" w:line="131" w:lineRule="exact"/>
        <w:rPr>
          <w:rFonts w:ascii="Arial" w:cs="Arial" w:eastAsia="Arial" w:hAnsi="Arial"/>
          <w:sz w:val="18"/>
          <w:szCs w:val="18"/>
          <w:color w:val="auto"/>
        </w:rPr>
      </w:pPr>
    </w:p>
    <w:p>
      <w:pPr>
        <w:ind w:left="3180" w:hanging="205"/>
        <w:spacing w:after="0"/>
        <w:tabs>
          <w:tab w:leader="none" w:pos="31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the specific beneficiary or beneficiaries designated by the Participant; or</w:t>
      </w:r>
    </w:p>
    <w:p>
      <w:pPr>
        <w:spacing w:after="0" w:line="171" w:lineRule="exact"/>
        <w:rPr>
          <w:rFonts w:ascii="Arial" w:cs="Arial" w:eastAsia="Arial" w:hAnsi="Arial"/>
          <w:sz w:val="18"/>
          <w:szCs w:val="18"/>
          <w:color w:val="auto"/>
        </w:rPr>
      </w:pPr>
    </w:p>
    <w:p>
      <w:pPr>
        <w:ind w:left="3240" w:hanging="265"/>
        <w:spacing w:after="0"/>
        <w:tabs>
          <w:tab w:leader="none" w:pos="32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the Participant’s right to designate any beneficiary without further consent by the spouse;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203" w:name="page204"/>
    <w:bookmarkEnd w:id="203"/>
    <w:p>
      <w:pPr>
        <w:ind w:left="2660" w:hanging="256"/>
        <w:spacing w:after="0"/>
        <w:tabs>
          <w:tab w:leader="none" w:pos="2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instrument acknowledges the effect of the election to which the Spouse’s consent is being given; and</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such instrument is witnessed by a Plan representative or notary public;</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Participant:</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establishes to the satisfaction of the Committee that his spouse cannot be located; or</w:t>
      </w:r>
    </w:p>
    <w:p>
      <w:pPr>
        <w:spacing w:after="0" w:line="171" w:lineRule="exact"/>
        <w:rPr>
          <w:rFonts w:ascii="Arial" w:cs="Arial" w:eastAsia="Arial" w:hAnsi="Arial"/>
          <w:sz w:val="18"/>
          <w:szCs w:val="18"/>
          <w:color w:val="auto"/>
        </w:rPr>
      </w:pPr>
    </w:p>
    <w:p>
      <w:pPr>
        <w:ind w:right="80" w:firstLine="2404"/>
        <w:spacing w:after="0" w:line="370" w:lineRule="auto"/>
        <w:tabs>
          <w:tab w:leader="none" w:pos="2645" w:val="left"/>
        </w:tabs>
        <w:numPr>
          <w:ilvl w:val="1"/>
          <w:numId w:val="116"/>
        </w:numPr>
        <w:rPr>
          <w:rFonts w:ascii="Arial" w:cs="Arial" w:eastAsia="Arial" w:hAnsi="Arial"/>
          <w:sz w:val="15"/>
          <w:szCs w:val="15"/>
          <w:color w:val="auto"/>
        </w:rPr>
      </w:pPr>
      <w:r>
        <w:rPr>
          <w:rFonts w:ascii="Arial" w:cs="Arial" w:eastAsia="Arial" w:hAnsi="Arial"/>
          <w:sz w:val="15"/>
          <w:szCs w:val="15"/>
          <w:color w:val="auto"/>
        </w:rPr>
        <w:t>furnishes a court order to the Committee establishing that the Participant is legally separated or has been abandoned (within the meaning of local law), unless a qualified domestic relations order pertaining to such Participant provides that the spouse’s consent must be obtained; or</w:t>
      </w:r>
    </w:p>
    <w:p>
      <w:pPr>
        <w:spacing w:after="0" w:line="62" w:lineRule="exact"/>
        <w:rPr>
          <w:rFonts w:ascii="Arial" w:cs="Arial" w:eastAsia="Arial" w:hAnsi="Arial"/>
          <w:sz w:val="15"/>
          <w:szCs w:val="15"/>
          <w:color w:val="auto"/>
        </w:rPr>
      </w:pPr>
    </w:p>
    <w:p>
      <w:pPr>
        <w:ind w:right="220" w:firstLine="1948"/>
        <w:spacing w:after="0" w:line="268" w:lineRule="auto"/>
        <w:tabs>
          <w:tab w:leader="none" w:pos="217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spouse has previously given consent in accordance with this Section and consented to the Participant’s right to designate any beneficiary without further consent by the spouse.</w:t>
      </w:r>
    </w:p>
    <w:p>
      <w:pPr>
        <w:spacing w:after="0" w:line="13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consent of a spouse in accordance with this Section 5.11.3 shall not be effective with respect to other spouses of the Participant prior to the Participant’s Benefit Commencement Date, and an election to which Section 5.11.3(b) applies shall become void if the circumstances causing the consent of the spouse not to be required no longer exist prior to the Participant’s Benefit Commencement Date. For purposes of this Section 5.11.3, the term “spouse” shall include an individual of the same sex as the Participant, provided that the Participant and such other individual are legally married pursuant to applicable law of a state or other jurisdiction, and the state or other jurisdiction in which the Participant resides recognizes Participant and such other individual as spouses of each other.</w:t>
      </w:r>
    </w:p>
    <w:p>
      <w:pPr>
        <w:spacing w:after="0" w:line="116" w:lineRule="exact"/>
        <w:rPr>
          <w:sz w:val="20"/>
          <w:szCs w:val="20"/>
          <w:color w:val="auto"/>
        </w:rPr>
      </w:pPr>
    </w:p>
    <w:p>
      <w:pPr>
        <w:ind w:right="500" w:firstLine="1484"/>
        <w:spacing w:after="0" w:line="306" w:lineRule="auto"/>
        <w:rPr>
          <w:sz w:val="20"/>
          <w:szCs w:val="20"/>
          <w:color w:val="auto"/>
        </w:rPr>
      </w:pPr>
      <w:r>
        <w:rPr>
          <w:rFonts w:ascii="Arial" w:cs="Arial" w:eastAsia="Arial" w:hAnsi="Arial"/>
          <w:sz w:val="16"/>
          <w:szCs w:val="16"/>
          <w:color w:val="auto"/>
        </w:rPr>
        <w:t>5.11.4. If a Participant has no beneficiary under Section 5.11.1 or Section 5.11.3, if the Participant’s beneficiary(ies) predecease the Participant, or if the beneficiary(ies) cannot be located by the Committee, the interest of the deceased Participant shall be paid to the Participant’s surviving spouse, or if no spouse survives the Participant, to the personal representative of the Participant’s estate.</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Recalculation of Life Expectancy</w:t>
      </w:r>
      <w:r>
        <w:rPr>
          <w:rFonts w:ascii="Arial" w:cs="Arial" w:eastAsia="Arial" w:hAnsi="Arial"/>
          <w:sz w:val="18"/>
          <w:szCs w:val="18"/>
          <w:color w:val="auto"/>
        </w:rPr>
        <w:t>. If a Participant’s Account is payable over the life expectancy of the Participant and/or his spouse and/or another beneficiary, the determination of whether such life expectancy shall be recalculated, in accordance with regulations issued under section 401(a)(9) of the Code, shall be made as follows:</w:t>
      </w:r>
    </w:p>
    <w:p>
      <w:pPr>
        <w:spacing w:after="0" w:line="140" w:lineRule="exact"/>
        <w:rPr>
          <w:sz w:val="20"/>
          <w:szCs w:val="20"/>
          <w:color w:val="auto"/>
        </w:rPr>
      </w:pPr>
    </w:p>
    <w:p>
      <w:pPr>
        <w:ind w:firstLine="1484"/>
        <w:spacing w:after="0" w:line="332" w:lineRule="auto"/>
        <w:rPr>
          <w:sz w:val="20"/>
          <w:szCs w:val="20"/>
          <w:color w:val="auto"/>
        </w:rPr>
      </w:pPr>
      <w:r>
        <w:rPr>
          <w:rFonts w:ascii="Arial" w:cs="Arial" w:eastAsia="Arial" w:hAnsi="Arial"/>
          <w:sz w:val="16"/>
          <w:szCs w:val="16"/>
          <w:color w:val="auto"/>
        </w:rPr>
        <w:t>5.12.1. If the Account is payable over the life expectancy of the Participant or the joint and survivor life expectancy of the Participant and his spouse, the Participant shall elect, on a form supplied by the Committee, whether or not such life expectancy shall be recalculated.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204" w:name="page205"/>
    <w:bookmarkEnd w:id="204"/>
    <w:p>
      <w:pPr>
        <w:ind w:right="460"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5.12.2. If the Account is payable over the life expectancy of the Participant’s spouse, such spouse shall elect, on a form supplied by the Committee, whether or not such life expectancy will be recalculated.</w:t>
      </w:r>
    </w:p>
    <w:p>
      <w:pPr>
        <w:spacing w:after="0" w:line="132" w:lineRule="exact"/>
        <w:rPr>
          <w:sz w:val="20"/>
          <w:szCs w:val="20"/>
          <w:color w:val="auto"/>
        </w:rPr>
      </w:pPr>
    </w:p>
    <w:p>
      <w:pPr>
        <w:ind w:right="180" w:firstLine="1484"/>
        <w:spacing w:after="0" w:line="259" w:lineRule="auto"/>
        <w:rPr>
          <w:sz w:val="20"/>
          <w:szCs w:val="20"/>
          <w:color w:val="auto"/>
        </w:rPr>
      </w:pPr>
      <w:r>
        <w:rPr>
          <w:rFonts w:ascii="Arial" w:cs="Arial" w:eastAsia="Arial" w:hAnsi="Arial"/>
          <w:sz w:val="18"/>
          <w:szCs w:val="18"/>
          <w:color w:val="auto"/>
        </w:rPr>
        <w:t>5.12.3. If the Account is payable over the joint and survivor life expectancy of the Participant and a beneficiary other than the Participant’s spouse, the Participant shall elect, on a form supplied by the Committee, whether or not the Participant’s own life expectancy shall be recalculated. The life expectancy of the beneficiary shall not be recalculated after the Benefit Commencement Date.</w:t>
      </w:r>
    </w:p>
    <w:p>
      <w:pPr>
        <w:spacing w:after="0" w:line="140" w:lineRule="exact"/>
        <w:rPr>
          <w:sz w:val="20"/>
          <w:szCs w:val="20"/>
          <w:color w:val="auto"/>
        </w:rPr>
      </w:pPr>
    </w:p>
    <w:p>
      <w:pPr>
        <w:ind w:right="140" w:firstLine="1484"/>
        <w:spacing w:after="0" w:line="268" w:lineRule="auto"/>
        <w:rPr>
          <w:sz w:val="20"/>
          <w:szCs w:val="20"/>
          <w:color w:val="auto"/>
        </w:rPr>
      </w:pPr>
      <w:r>
        <w:rPr>
          <w:rFonts w:ascii="Arial" w:cs="Arial" w:eastAsia="Arial" w:hAnsi="Arial"/>
          <w:sz w:val="18"/>
          <w:szCs w:val="18"/>
          <w:color w:val="auto"/>
        </w:rPr>
        <w:t>5.12.4. If the Account is payable over the life expectancy of a beneficiary other than the Participant’s spouse, such life expectancy shall not be recalculated after the Benefit Commencement Date.</w:t>
      </w:r>
    </w:p>
    <w:p>
      <w:pPr>
        <w:spacing w:after="0" w:line="132" w:lineRule="exact"/>
        <w:rPr>
          <w:sz w:val="20"/>
          <w:szCs w:val="20"/>
          <w:color w:val="auto"/>
        </w:rPr>
      </w:pPr>
    </w:p>
    <w:p>
      <w:pPr>
        <w:ind w:right="20" w:firstLine="1484"/>
        <w:spacing w:after="0" w:line="268" w:lineRule="auto"/>
        <w:rPr>
          <w:sz w:val="20"/>
          <w:szCs w:val="20"/>
          <w:color w:val="auto"/>
        </w:rPr>
      </w:pPr>
      <w:r>
        <w:rPr>
          <w:rFonts w:ascii="Arial" w:cs="Arial" w:eastAsia="Arial" w:hAnsi="Arial"/>
          <w:sz w:val="18"/>
          <w:szCs w:val="18"/>
          <w:color w:val="auto"/>
        </w:rPr>
        <w:t>5.12.5. If a Participant or a Participant’s spouse fails to make an election under this Section, his life expectancy shall not be recalculated after his Benefit Commencement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Transfer of Account to Other Plan</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5.13.1.(a) Except to the extent otherwise provided by section 401(a)(31) of the Code and regulations thereunder, a Participant or beneficiary entitled to receive a distribution from the Plan, either pursuant to this Article or pursuant to Article VIII, may direct the Committee to have the Trustee transfer the amount to be distributed directly to:</w:t>
      </w:r>
    </w:p>
    <w:p>
      <w:pPr>
        <w:spacing w:after="0" w:line="140" w:lineRule="exact"/>
        <w:rPr>
          <w:sz w:val="20"/>
          <w:szCs w:val="20"/>
          <w:color w:val="auto"/>
        </w:rPr>
      </w:pPr>
    </w:p>
    <w:p>
      <w:pPr>
        <w:ind w:left="2660" w:hanging="256"/>
        <w:spacing w:after="0"/>
        <w:tabs>
          <w:tab w:leader="none" w:pos="2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individual retirement account described in section 408(a) of the Code,</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Roth individual retirement account described in section 408A of the Code,</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individual retirement annuity described in section 408(b) of the Code (other than an endowment contract),</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qualified retirement plan described in section 401(a) of the Code, the terms of which permit the acceptance of rollover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165" w:lineRule="exact"/>
        <w:rPr>
          <w:sz w:val="20"/>
          <w:szCs w:val="20"/>
          <w:color w:val="auto"/>
        </w:rPr>
      </w:pPr>
    </w:p>
    <w:p>
      <w:pPr>
        <w:ind w:left="2660" w:hanging="256"/>
        <w:spacing w:after="0"/>
        <w:tabs>
          <w:tab w:leader="none" w:pos="2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annuity plan described in section 403(a) of the Code, or</w:t>
      </w:r>
    </w:p>
    <w:p>
      <w:pPr>
        <w:spacing w:after="0" w:line="171" w:lineRule="exact"/>
        <w:rPr>
          <w:rFonts w:ascii="Arial" w:cs="Arial" w:eastAsia="Arial" w:hAnsi="Arial"/>
          <w:sz w:val="18"/>
          <w:szCs w:val="18"/>
          <w:color w:val="auto"/>
        </w:rPr>
      </w:pPr>
    </w:p>
    <w:p>
      <w:pPr>
        <w:jc w:val="both"/>
        <w:ind w:right="140" w:firstLine="2404"/>
        <w:spacing w:after="0" w:line="259" w:lineRule="auto"/>
        <w:tabs>
          <w:tab w:leader="none" w:pos="264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205" w:name="page206"/>
    <w:bookmarkEnd w:id="205"/>
    <w:p>
      <w:pPr>
        <w:ind w:left="2200" w:hanging="252"/>
        <w:spacing w:after="0"/>
        <w:tabs>
          <w:tab w:leader="none" w:pos="2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Non-spouse beneficiary rollover right.</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For distributions after December 31, 2009, a non-spouse beneficiary who is a “designated beneficiary” under section 401(a)</w:t>
      </w:r>
    </w:p>
    <w:p>
      <w:pPr>
        <w:spacing w:after="0" w:line="49" w:lineRule="exact"/>
        <w:rPr>
          <w:rFonts w:ascii="Arial" w:cs="Arial" w:eastAsia="Arial" w:hAnsi="Arial"/>
          <w:sz w:val="15"/>
          <w:szCs w:val="15"/>
          <w:color w:val="auto"/>
        </w:rPr>
      </w:pPr>
    </w:p>
    <w:p>
      <w:pPr>
        <w:spacing w:after="0" w:line="255" w:lineRule="auto"/>
        <w:rPr>
          <w:rFonts w:ascii="Arial" w:cs="Arial" w:eastAsia="Arial" w:hAnsi="Arial"/>
          <w:sz w:val="15"/>
          <w:szCs w:val="15"/>
          <w:color w:val="auto"/>
        </w:rPr>
      </w:pPr>
      <w:r>
        <w:rPr>
          <w:rFonts w:ascii="Arial" w:cs="Arial" w:eastAsia="Arial" w:hAnsi="Arial"/>
          <w:sz w:val="18"/>
          <w:szCs w:val="18"/>
          <w:color w:val="auto"/>
        </w:rPr>
        <w:t>(9)(E) of the Code and the regulations thereunder, by a direct rollover, may rollover all or any portion of his or her distribution to an individual retirement account which the beneficiary establishes for purposes of receiving the distribution. In order to be able to rollover the distribution, the distribution otherwise must satisfy the requirements for an eligible rollover distribution as described in the Plan.</w:t>
      </w:r>
    </w:p>
    <w:p>
      <w:pPr>
        <w:spacing w:after="0" w:line="144" w:lineRule="exact"/>
        <w:rPr>
          <w:rFonts w:ascii="Arial" w:cs="Arial" w:eastAsia="Arial" w:hAnsi="Arial"/>
          <w:sz w:val="15"/>
          <w:szCs w:val="15"/>
          <w:color w:val="auto"/>
        </w:rPr>
      </w:pPr>
    </w:p>
    <w:p>
      <w:pPr>
        <w:ind w:right="140" w:firstLine="2404"/>
        <w:spacing w:after="0" w:line="332" w:lineRule="auto"/>
        <w:tabs>
          <w:tab w:leader="none" w:pos="2645"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the Participant’s named beneficiary is a trust, the Plan may make a direct rollover to an individual retirement account on behalf of the trust, provided the trust satisfies the requirements to be a designated beneficiary within the meaning of section §401(a)(9)(E) of the Code.</w:t>
      </w:r>
    </w:p>
    <w:p>
      <w:pPr>
        <w:spacing w:after="0" w:line="85" w:lineRule="exact"/>
        <w:rPr>
          <w:rFonts w:ascii="Arial" w:cs="Arial" w:eastAsia="Arial" w:hAnsi="Arial"/>
          <w:sz w:val="16"/>
          <w:szCs w:val="16"/>
          <w:color w:val="auto"/>
        </w:rPr>
      </w:pPr>
    </w:p>
    <w:p>
      <w:pPr>
        <w:ind w:right="100" w:firstLine="2404"/>
        <w:spacing w:after="0" w:line="255" w:lineRule="auto"/>
        <w:tabs>
          <w:tab w:leader="none" w:pos="264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non-spouse beneficiary may not rollover an amount which is a required minimum distribution, as determined under applicable Treasury regulations and other Revenue Service guidance. If the Participant dies before his or her required beginning date and the non-spouse beneficiary rolls over to an individual retirement account the maximum amount eligible for rollover, the beneficiary may elect to use either the 5-year rule or the life expectancy rule, pursuant to Treas. Reg. §1.401(a)(9)-3, A-4(c), in determining the required minimum distributions from the individual retirement account that receives the non-spouse beneficiary’s distribution.</w:t>
      </w:r>
    </w:p>
    <w:p>
      <w:pPr>
        <w:spacing w:after="0" w:line="143"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5.13.2. The Participant or beneficiary must specify the name of the plan or account to which the Participant or beneficiary wishes to have the amount transferred, on a form and in a manner prescribed by the Committee.</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5.13.3. Section 5.13.1 shall not apply to the following distributions:</w:t>
      </w:r>
    </w:p>
    <w:p>
      <w:pPr>
        <w:spacing w:after="0" w:line="171" w:lineRule="exact"/>
        <w:rPr>
          <w:sz w:val="20"/>
          <w:szCs w:val="20"/>
          <w:color w:val="auto"/>
        </w:rPr>
      </w:pPr>
    </w:p>
    <w:p>
      <w:pPr>
        <w:ind w:left="2180" w:hanging="232"/>
        <w:spacing w:after="0"/>
        <w:tabs>
          <w:tab w:leader="none" w:pos="21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except as provided in Section 5.13.3(f), any distribution of After-Tax Contributions;</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any distribution which is made pursuant to the Participant’s election of installments over either (1) a period of 10 years or more, or</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period equal to the life or life expectancy of the Participant or the joint lives or life expectancy of the Participant and his beneficiary;</w:t>
      </w:r>
    </w:p>
    <w:p>
      <w:pPr>
        <w:spacing w:after="0" w:line="164" w:lineRule="exact"/>
        <w:rPr>
          <w:rFonts w:ascii="Arial" w:cs="Arial" w:eastAsia="Arial" w:hAnsi="Arial"/>
          <w:sz w:val="18"/>
          <w:szCs w:val="18"/>
          <w:color w:val="auto"/>
        </w:rPr>
      </w:pPr>
    </w:p>
    <w:p>
      <w:pPr>
        <w:ind w:right="120" w:firstLine="1948"/>
        <w:spacing w:after="0" w:line="268" w:lineRule="auto"/>
        <w:tabs>
          <w:tab w:leader="none" w:pos="217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that portion of any distribution after the Participant’s Required Beginning Date that is required to be distributed to the Participant by the minimum distribution rules of section 401(a)(9) of the Code;</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amount that is distributed on account of hardship; or</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such other distributions as may be exempted by applicable statute or regulation from the requirements of section 401(a)(31)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164" w:lineRule="exact"/>
        <w:rPr>
          <w:rFonts w:ascii="Arial" w:cs="Arial" w:eastAsia="Arial" w:hAnsi="Arial"/>
          <w:sz w:val="16"/>
          <w:szCs w:val="16"/>
          <w:color w:val="auto"/>
        </w:rPr>
      </w:pPr>
    </w:p>
    <w:p>
      <w:pPr>
        <w:ind w:right="540" w:firstLine="1948"/>
        <w:spacing w:after="0" w:line="268" w:lineRule="auto"/>
        <w:tabs>
          <w:tab w:leader="none" w:pos="215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portion of a distribution shall not fail to be eligible for rollover merely because the portion consists of after-tax employee contributions which are not includible in gross income. However, such portion may be transferred only to an individual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206" w:name="page207"/>
    <w:bookmarkEnd w:id="20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retirement account or annuity described in section 408(a) or (b) of the Code, to a qualified plan described in section 401(a) or 403(a) of the Code, or to a 403(b) plan that agrees to separately account for amounts so transferred, including separately accounting for the portion of such distribution which is includible in gross income and the portion of such distribution which is not so includible.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Section 401(a)(9)</w:t>
      </w:r>
      <w:r>
        <w:rPr>
          <w:rFonts w:ascii="Arial" w:cs="Arial" w:eastAsia="Arial" w:hAnsi="Arial"/>
          <w:sz w:val="18"/>
          <w:szCs w:val="18"/>
          <w:color w:val="auto"/>
        </w:rPr>
        <w:t>. Required minimum distributions shall be made in accordance with section 401(a)(9) of the Code and the regulations thereunder, as provided in Schedule A attached hereto.</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280" w:right="359" w:bottom="1440" w:gutter="0" w:footer="0" w:header="0"/>
        </w:sectPr>
      </w:pPr>
    </w:p>
    <w:bookmarkStart w:id="207" w:name="page208"/>
    <w:bookmarkEnd w:id="20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VESTING</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Nonforfeitable Amounts</w:t>
      </w:r>
      <w:r>
        <w:rPr>
          <w:rFonts w:ascii="Arial" w:cs="Arial" w:eastAsia="Arial" w:hAnsi="Arial"/>
          <w:sz w:val="16"/>
          <w:szCs w:val="16"/>
          <w:color w:val="auto"/>
        </w:rPr>
        <w:t>. A Participant shall have a 100% nonforfeitable interest at all times in the following Accounts: (1) After-Tax Matched Contribution Account, (2) After-Tax Unmatched Contribution Account, (3) Catch-Up Contribution Account, (4) Matching Contribution Account, (5) After-Tax Rollover Account, (6) Pre-Tax Matched Contribution Account, (7) Pre-Tax Unmatched Contribution Account, (8) Prior Company Matching Contribution Account (Vested), (9) DC Adder Contribution Account, (10) QNEC Account, (11) Roth Catch-Up Contribution Account, (12) Roth Matched Contribution Account, (13) Roth Rollover Account, (14) Roth Unmatched Contribution Account, and (15) Taxable Rollover Account. A Participant shall have such nonforfeitable interest in all other Accounts as determined pursuant to the rules of the Plan as in effect on December 31, 2009.</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Years of Service for Vesting</w:t>
      </w:r>
      <w:r>
        <w:rPr>
          <w:rFonts w:ascii="Arial" w:cs="Arial" w:eastAsia="Arial" w:hAnsi="Arial"/>
          <w:sz w:val="18"/>
          <w:szCs w:val="18"/>
          <w:color w:val="auto"/>
        </w:rPr>
        <w:t>.</w:t>
      </w:r>
    </w:p>
    <w:p>
      <w:pPr>
        <w:spacing w:after="0" w:line="171" w:lineRule="exact"/>
        <w:rPr>
          <w:sz w:val="20"/>
          <w:szCs w:val="20"/>
          <w:color w:val="auto"/>
        </w:rPr>
      </w:pPr>
    </w:p>
    <w:p>
      <w:pPr>
        <w:jc w:val="both"/>
        <w:ind w:right="120" w:firstLine="1484"/>
        <w:spacing w:after="0" w:line="370" w:lineRule="auto"/>
        <w:rPr>
          <w:sz w:val="20"/>
          <w:szCs w:val="20"/>
          <w:color w:val="auto"/>
        </w:rPr>
      </w:pPr>
      <w:r>
        <w:rPr>
          <w:rFonts w:ascii="Arial" w:cs="Arial" w:eastAsia="Arial" w:hAnsi="Arial"/>
          <w:sz w:val="15"/>
          <w:szCs w:val="15"/>
          <w:color w:val="auto"/>
        </w:rPr>
        <w:t>6.2.1. For the purposes of this Article, an Employee shall be credited with Years of Service equal to the number of whole years in all of the Employee’s Periods of Service. To determine the number of whole years in all of an Employee’s Periods of Service, non-contiguous periods shall be aggregated.</w:t>
      </w:r>
    </w:p>
    <w:p>
      <w:pPr>
        <w:spacing w:after="0" w:line="62" w:lineRule="exact"/>
        <w:rPr>
          <w:sz w:val="20"/>
          <w:szCs w:val="20"/>
          <w:color w:val="auto"/>
        </w:rPr>
      </w:pPr>
    </w:p>
    <w:p>
      <w:pPr>
        <w:ind w:right="340" w:firstLine="1484"/>
        <w:spacing w:after="0" w:line="268" w:lineRule="auto"/>
        <w:rPr>
          <w:sz w:val="20"/>
          <w:szCs w:val="20"/>
          <w:color w:val="auto"/>
        </w:rPr>
      </w:pPr>
      <w:r>
        <w:rPr>
          <w:rFonts w:ascii="Arial" w:cs="Arial" w:eastAsia="Arial" w:hAnsi="Arial"/>
          <w:sz w:val="18"/>
          <w:szCs w:val="18"/>
          <w:color w:val="auto"/>
        </w:rPr>
        <w:t>6.2.2. Years of Service shall be calculated on the basis that 30 days equals a completed month or one-twelfth (1/12) of a year and twelve completed months equal one year.</w:t>
      </w:r>
    </w:p>
    <w:p>
      <w:pPr>
        <w:spacing w:after="0" w:line="132"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6.2.3. If a former Employee is reemployed by a Participating Company or an Affiliated Company before he incurs a One-Year Period of Severance and if such Employee’s Period of Severance commenced with a quit, discharge or retirement, the Employee shall be credited with Years of Service for the Period of Severance.</w:t>
      </w:r>
    </w:p>
    <w:p>
      <w:pPr>
        <w:spacing w:after="0" w:line="140"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6.2.4. If an Employee severs from service by reason of a quit, discharge, or retirement during an absence from service for 12 months or less for any reason other than a quit, discharge or retirement, and if he then performs an Hour of Service within 12 months of the date on which he was first absent from service, he shall be credited with Years of Service for his Period of Severance.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6.2.5. Notwithstanding any provision of the Plan to the contrary, an Employee shall not be credited with Years of Service for the same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twice.</w:t>
      </w:r>
    </w:p>
    <w:p>
      <w:pPr>
        <w:spacing w:after="0" w:line="165" w:lineRule="exact"/>
        <w:rPr>
          <w:sz w:val="20"/>
          <w:szCs w:val="20"/>
          <w:color w:val="auto"/>
        </w:rPr>
      </w:pPr>
    </w:p>
    <w:p>
      <w:pPr>
        <w:ind w:right="40" w:firstLine="1484"/>
        <w:spacing w:after="0" w:line="255" w:lineRule="auto"/>
        <w:rPr>
          <w:sz w:val="20"/>
          <w:szCs w:val="20"/>
          <w:color w:val="auto"/>
        </w:rPr>
      </w:pPr>
      <w:r>
        <w:rPr>
          <w:rFonts w:ascii="Arial" w:cs="Arial" w:eastAsia="Arial" w:hAnsi="Arial"/>
          <w:sz w:val="18"/>
          <w:szCs w:val="18"/>
          <w:color w:val="auto"/>
        </w:rPr>
        <w:t xml:space="preserve">6.2.6. </w:t>
      </w:r>
      <w:r>
        <w:rPr>
          <w:rFonts w:ascii="Arial" w:cs="Arial" w:eastAsia="Arial" w:hAnsi="Arial"/>
          <w:sz w:val="18"/>
          <w:szCs w:val="18"/>
          <w:u w:val="single" w:color="auto"/>
          <w:color w:val="auto"/>
        </w:rPr>
        <w:t>CIC Development Corp</w:t>
      </w:r>
      <w:r>
        <w:rPr>
          <w:rFonts w:ascii="Arial" w:cs="Arial" w:eastAsia="Arial" w:hAnsi="Arial"/>
          <w:sz w:val="18"/>
          <w:szCs w:val="18"/>
          <w:color w:val="auto"/>
        </w:rPr>
        <w:t>. Effective December 14, 1999, any Active Participant who transfers employment directly from a Participating Company to CIC Development Corp., shall have his service with CIC Development Corp. credited for purposes of vesting under the Plan for the period commencing with the effective date of such individual’s direct transfer and ending on the earlier of (a) the date such individual is fully vested in his Matching Contribution and Vision Accounts (as applicable) or (b) the date such individual requests a distribution of any portion of his Matching Contribution or Vision Accounts.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208" w:name="page209"/>
    <w:bookmarkEnd w:id="208"/>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6.3. </w:t>
      </w:r>
      <w:r>
        <w:rPr>
          <w:rFonts w:ascii="Arial" w:cs="Arial" w:eastAsia="Arial" w:hAnsi="Arial"/>
          <w:sz w:val="18"/>
          <w:szCs w:val="18"/>
          <w:u w:val="single" w:color="auto"/>
          <w:color w:val="auto"/>
        </w:rPr>
        <w:t>Breaks in Service and Loss of Service</w:t>
      </w:r>
      <w:r>
        <w:rPr>
          <w:rFonts w:ascii="Arial" w:cs="Arial" w:eastAsia="Arial" w:hAnsi="Arial"/>
          <w:sz w:val="18"/>
          <w:szCs w:val="18"/>
          <w:color w:val="auto"/>
        </w:rPr>
        <w:t>. An Employee’s Years of Service shall be canceled if he incurs a One-Year Period of Severance before his Normal Retirement Date and at a time when he has no Accounts under the Plan.</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Restoration of Service</w:t>
      </w:r>
      <w:r>
        <w:rPr>
          <w:rFonts w:ascii="Arial" w:cs="Arial" w:eastAsia="Arial" w:hAnsi="Arial"/>
          <w:sz w:val="16"/>
          <w:szCs w:val="16"/>
          <w:color w:val="auto"/>
        </w:rPr>
        <w:t>. The Years of Service of an Employee whose Years of Service have been canceled pursuant to Section 6.3 shall be restored to his credit if he thereafter completes an Hour of Service at a time when the number of his consecutive One-Year Periods of Severance is less than the greater of (a) the number of Years of Service to his credit when the first such One-Year Period of Severance occurred, or (b) five.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Forfeitures and Restoration of Forfeited Amounts upon Reemployment</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6.5.1. If a Participant who has had a Severance from Service Date does not thereafter complete an Hour of Service before the end of the Plan Year in which occurs the earlier of:</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 the date on which he receives or is deemed to receive a distribution of his entire nonforfeitable interest in his Account, which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less than 100%; or</w:t>
      </w:r>
    </w:p>
    <w:p>
      <w:pPr>
        <w:spacing w:after="0" w:line="16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 the date on which he incurs his fifth consecutive One-Year Period of Severance,</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his Broadband Heritage Matching Contribution Account, his Prior Company Matching Contribution Account (Unvested) and his NBCU Retirement Contribution Account shall be closed, and the forfeitable amount held therein shall be forfeited. For purposes of this Section 6.5.1, a Participant who has a Severance from Service Date at a time when his nonforfeitable interest in the Plan is zero shall be deemed to have received a distribution described in Section 6.5.1(a) on such Severance from Service Date.</w:t>
      </w:r>
    </w:p>
    <w:p>
      <w:pPr>
        <w:spacing w:after="0" w:line="143" w:lineRule="exact"/>
        <w:rPr>
          <w:sz w:val="20"/>
          <w:szCs w:val="20"/>
          <w:color w:val="auto"/>
        </w:rPr>
      </w:pPr>
    </w:p>
    <w:p>
      <w:pPr>
        <w:ind w:right="40" w:firstLine="1484"/>
        <w:spacing w:after="0" w:line="332" w:lineRule="auto"/>
        <w:rPr>
          <w:sz w:val="20"/>
          <w:szCs w:val="20"/>
          <w:color w:val="auto"/>
        </w:rPr>
      </w:pPr>
      <w:r>
        <w:rPr>
          <w:rFonts w:ascii="Arial" w:cs="Arial" w:eastAsia="Arial" w:hAnsi="Arial"/>
          <w:sz w:val="16"/>
          <w:szCs w:val="16"/>
          <w:color w:val="auto"/>
        </w:rPr>
        <w:t>6.5.2. Amounts forfeited from a Participant’s Broadband Heritage Matching Contribution Account and Prior Company Matching Contribution Account (Unvested) under Section 6.5.1 shall be used to reduce future Matching Contributions and/or Broadband Heritage Matching Contributions.</w:t>
      </w:r>
    </w:p>
    <w:p>
      <w:pPr>
        <w:spacing w:after="0" w:line="85" w:lineRule="exact"/>
        <w:rPr>
          <w:sz w:val="20"/>
          <w:szCs w:val="20"/>
          <w:color w:val="auto"/>
        </w:rPr>
      </w:pPr>
    </w:p>
    <w:p>
      <w:pPr>
        <w:ind w:right="40" w:firstLine="1484"/>
        <w:spacing w:after="0" w:line="291" w:lineRule="auto"/>
        <w:rPr>
          <w:sz w:val="20"/>
          <w:szCs w:val="20"/>
          <w:color w:val="auto"/>
        </w:rPr>
      </w:pPr>
      <w:r>
        <w:rPr>
          <w:rFonts w:ascii="Arial" w:cs="Arial" w:eastAsia="Arial" w:hAnsi="Arial"/>
          <w:sz w:val="16"/>
          <w:szCs w:val="16"/>
          <w:color w:val="auto"/>
        </w:rPr>
        <w:t>6.5.3. If a Participant who has received (or is deemed to have received) a distribution described in Section 6.5.1(a), whereby any part of his Account has been forfeited, again becomes a Covered Employee prior to incurring five consecutive One-Year Periods of Severance, the amount so forfeited shall be restored to his new Broadband Heritage Matching Contribution Account, Prior Company Matching Contribution Account and/or NBCU Retirement Contribution Account, if, and only if, he repays the full amount of such distribution (if any) prior to the earlier of (1) the fifth anniversary of the date on which he subsequently becomes a Covered Employee or (2) the first date the Participant incurs five consecutive One-Year Periods of Severance following the date of the distribution; provided, however, that a Participant described in the preceding sentence who is deemed to receive a distribution of his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209" w:name="page210"/>
    <w:bookmarkEnd w:id="20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nonforfeitable interest shall be deemed to repay such distribution on the date he again becomes a Covered Employee. Any amounts repaid pursuant to this Section 6.5.3 shall be credited to the Participant’s After-Tax Unmatched Contribution Account. Amounts restored under this Section shall be charged against the following amounts in the following order of priority: (A) forfeitures for the Plan Year and (B) Company contributions for the Plan Year. If the foregoing amounts are insufficient, the Participating Company by whom such Participant is reemployed shall make any additional contribution necessary to accomplish the restoration.</w:t>
      </w:r>
    </w:p>
    <w:p>
      <w:pPr>
        <w:spacing w:after="0" w:line="143" w:lineRule="exact"/>
        <w:rPr>
          <w:sz w:val="20"/>
          <w:szCs w:val="20"/>
          <w:color w:val="auto"/>
        </w:rPr>
      </w:pPr>
    </w:p>
    <w:p>
      <w:pPr>
        <w:ind w:right="160" w:firstLine="1484"/>
        <w:spacing w:after="0" w:line="256" w:lineRule="auto"/>
        <w:rPr>
          <w:sz w:val="20"/>
          <w:szCs w:val="20"/>
          <w:color w:val="auto"/>
        </w:rPr>
      </w:pPr>
      <w:r>
        <w:rPr>
          <w:rFonts w:ascii="Arial" w:cs="Arial" w:eastAsia="Arial" w:hAnsi="Arial"/>
          <w:sz w:val="18"/>
          <w:szCs w:val="18"/>
          <w:color w:val="auto"/>
        </w:rPr>
        <w:t>6.5.4. If a Participant has received a distribution under the Plan, other than a distribution of his entire nonforfeitable interest in his Account upon his Severance from Service Date, at a time when he has less than a 100% nonforfeitable interest in his entire Account and prior to the date on which he incurs his fifth consecutive One-Year Period of Severance, his nonforfeitable interest in his Account at all times prior to the date on which he incurs his fifth consecutive One-Year Period of Severance, shall be the difference between:</w:t>
      </w:r>
    </w:p>
    <w:p>
      <w:pPr>
        <w:spacing w:after="0" w:line="143" w:lineRule="exact"/>
        <w:rPr>
          <w:sz w:val="20"/>
          <w:szCs w:val="20"/>
          <w:color w:val="auto"/>
        </w:rPr>
      </w:pPr>
    </w:p>
    <w:p>
      <w:pPr>
        <w:ind w:left="2180" w:hanging="232"/>
        <w:spacing w:after="0"/>
        <w:tabs>
          <w:tab w:leader="none" w:pos="2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amount his nonforfeitable interest would have been if he had not received the distribution; and</w:t>
      </w:r>
    </w:p>
    <w:p>
      <w:pPr>
        <w:spacing w:after="0" w:line="171" w:lineRule="exact"/>
        <w:rPr>
          <w:rFonts w:ascii="Arial" w:cs="Arial" w:eastAsia="Arial" w:hAnsi="Arial"/>
          <w:sz w:val="18"/>
          <w:szCs w:val="18"/>
          <w:color w:val="auto"/>
        </w:rPr>
      </w:pPr>
    </w:p>
    <w:p>
      <w:pPr>
        <w:ind w:right="20" w:firstLine="1948"/>
        <w:spacing w:after="0" w:line="298" w:lineRule="auto"/>
        <w:tabs>
          <w:tab w:leader="none" w:pos="218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amount to which the distribution would have increased or decreased if it had remained in the Fund. Immediately after the Participant has five consecutive One-Year Periods of Severance, his nonforfeitable interest determined under this Section, if in excess of zero, shall be established as a separate account, and he shall at all times have a nonforfeitable interest therein. If the Participant is later reemployed as a Covered Employee, any allocations to him shall be credited to a new account, and his nonforfeitable interest therein shall be determined under Section 6.1.</w:t>
      </w:r>
    </w:p>
    <w:p>
      <w:pPr>
        <w:spacing w:after="0" w:line="113"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6.5.5. If a Participant has had five consecutive One-Year Periods of Severance and again becomes a Covered Employee, the amount forfeited under Section 6.5.1 shall not be restored to his new Account under any circumstances.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ROLLOVER CONTRIBUTIONS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Rollover Contributions</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7.1.1. Subject to the restrictions set forth in Section 7.1.2, a Covered Employee may transfer or have transferred directly to the Fund, from any qualified retirement plan of a former employer, all or a portion of his interest in the distributing plan. In addition, a Covered Employee who has established an individual retirement account to hold distributions received from qualified retirement plans of former employers may transfer all of the assets of such individual retirement account to the Fund.</w:t>
      </w:r>
    </w:p>
    <w:p>
      <w:pPr>
        <w:spacing w:after="0" w:line="143" w:lineRule="exact"/>
        <w:rPr>
          <w:sz w:val="20"/>
          <w:szCs w:val="20"/>
          <w:color w:val="auto"/>
        </w:rPr>
      </w:pPr>
    </w:p>
    <w:p>
      <w:pPr>
        <w:ind w:right="40" w:firstLine="1484"/>
        <w:spacing w:after="0" w:line="268" w:lineRule="auto"/>
        <w:rPr>
          <w:sz w:val="20"/>
          <w:szCs w:val="20"/>
          <w:color w:val="auto"/>
        </w:rPr>
      </w:pPr>
      <w:r>
        <w:rPr>
          <w:rFonts w:ascii="Arial" w:cs="Arial" w:eastAsia="Arial" w:hAnsi="Arial"/>
          <w:sz w:val="18"/>
          <w:szCs w:val="18"/>
          <w:color w:val="auto"/>
        </w:rPr>
        <w:t>7.1.2. The Trustee shall not accept a distribution from any other qualified retirement plan or from an individual retirement account unless the following conditions are met:</w:t>
      </w:r>
    </w:p>
    <w:p>
      <w:pPr>
        <w:spacing w:after="0" w:line="132" w:lineRule="exact"/>
        <w:rPr>
          <w:sz w:val="20"/>
          <w:szCs w:val="20"/>
          <w:color w:val="auto"/>
        </w:rPr>
      </w:pPr>
    </w:p>
    <w:p>
      <w:pPr>
        <w:ind w:left="2180" w:hanging="232"/>
        <w:spacing w:after="0"/>
        <w:tabs>
          <w:tab w:leader="none" w:pos="2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 the distribution being transferred must come directly from the fiduciary of the plan of the former employer, or</w:t>
      </w:r>
    </w:p>
    <w:p>
      <w:pPr>
        <w:spacing w:after="0" w:line="171" w:lineRule="exact"/>
        <w:rPr>
          <w:rFonts w:ascii="Arial" w:cs="Arial" w:eastAsia="Arial" w:hAnsi="Arial"/>
          <w:sz w:val="18"/>
          <w:szCs w:val="18"/>
          <w:color w:val="auto"/>
        </w:rPr>
      </w:pPr>
    </w:p>
    <w:p>
      <w:pPr>
        <w:ind w:right="160" w:firstLine="2404"/>
        <w:spacing w:after="0" w:line="259" w:lineRule="auto"/>
        <w:tabs>
          <w:tab w:leader="none" w:pos="264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it must come from the Covered Employee within 60 days after the Covered Employee receives a distribution from such other qualified retirement plan or individual retirement account and must comply with the provisions of section 402(c), 403(a)(4), 408(d)(3) or 457(f)(16) of the Code, whichever applies;</w:t>
      </w:r>
    </w:p>
    <w:p>
      <w:pPr>
        <w:spacing w:after="0" w:line="140" w:lineRule="exact"/>
        <w:rPr>
          <w:rFonts w:ascii="Arial" w:cs="Arial" w:eastAsia="Arial" w:hAnsi="Arial"/>
          <w:sz w:val="18"/>
          <w:szCs w:val="18"/>
          <w:color w:val="auto"/>
        </w:rPr>
      </w:pPr>
    </w:p>
    <w:p>
      <w:pPr>
        <w:ind w:right="120" w:firstLine="1948"/>
        <w:spacing w:after="0" w:line="268" w:lineRule="auto"/>
        <w:tabs>
          <w:tab w:leader="none" w:pos="218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distributions from a plan for a self-employed person shall not be transferred to this Plan, unless the transfer is directly to the Fund from the funding agent of the distributing plan;</w:t>
      </w:r>
    </w:p>
    <w:p>
      <w:pPr>
        <w:spacing w:after="0" w:line="131" w:lineRule="exact"/>
        <w:rPr>
          <w:rFonts w:ascii="Arial" w:cs="Arial" w:eastAsia="Arial" w:hAnsi="Arial"/>
          <w:sz w:val="18"/>
          <w:szCs w:val="18"/>
          <w:color w:val="auto"/>
        </w:rPr>
      </w:pPr>
    </w:p>
    <w:p>
      <w:pPr>
        <w:ind w:right="80" w:firstLine="1948"/>
        <w:spacing w:after="0" w:line="256" w:lineRule="auto"/>
        <w:tabs>
          <w:tab w:leader="none" w:pos="217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interest being transferred shall not include assets from any plan to the extent that the Committee determines that the transfer of such interest (i) would impose upon this Plan requirements as to form of distribution that would not otherwise apply hereunder, or (ii) would otherwise result in the elimination of Code section 411(d)(6) protected benefits, or (iii) would cause the Plan to be a direct or indirect transferee of a plan to which the joint and survivor annuity requirements of sections 401(a)(11) and 417 of the Code apply;</w:t>
      </w:r>
    </w:p>
    <w:p>
      <w:pPr>
        <w:spacing w:after="0" w:line="143" w:lineRule="exact"/>
        <w:rPr>
          <w:rFonts w:ascii="Arial" w:cs="Arial" w:eastAsia="Arial" w:hAnsi="Arial"/>
          <w:sz w:val="18"/>
          <w:szCs w:val="18"/>
          <w:color w:val="auto"/>
        </w:rPr>
      </w:pPr>
    </w:p>
    <w:p>
      <w:pPr>
        <w:ind w:right="60" w:firstLine="1948"/>
        <w:spacing w:after="0" w:line="268" w:lineRule="auto"/>
        <w:tabs>
          <w:tab w:leader="none" w:pos="218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interest being transferred shall not contain nondeductible contributions made to the distributing plan by the Covered Employee unless the transfer to the Fund is directly from the funding agent of the distributing plan; and</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subject to Section 7.3, the interest being transferred shall be in the form of cash.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211" w:name="page212"/>
    <w:bookmarkEnd w:id="2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7.2. </w:t>
      </w:r>
      <w:r>
        <w:rPr>
          <w:rFonts w:ascii="Arial" w:cs="Arial" w:eastAsia="Arial" w:hAnsi="Arial"/>
          <w:sz w:val="18"/>
          <w:szCs w:val="18"/>
          <w:u w:val="single" w:color="auto"/>
          <w:color w:val="auto"/>
        </w:rPr>
        <w:t>Vesting and Distribution of Rollover Account</w:t>
      </w:r>
      <w:r>
        <w:rPr>
          <w:rFonts w:ascii="Arial" w:cs="Arial" w:eastAsia="Arial" w:hAnsi="Arial"/>
          <w:sz w:val="18"/>
          <w:szCs w:val="18"/>
          <w:color w:val="auto"/>
        </w:rPr>
        <w:t>.</w:t>
      </w:r>
    </w:p>
    <w:p>
      <w:pPr>
        <w:spacing w:after="0" w:line="171" w:lineRule="exact"/>
        <w:rPr>
          <w:sz w:val="20"/>
          <w:szCs w:val="20"/>
          <w:color w:val="auto"/>
        </w:rPr>
      </w:pPr>
    </w:p>
    <w:p>
      <w:pPr>
        <w:ind w:right="240" w:firstLine="1484"/>
        <w:spacing w:after="0" w:line="306" w:lineRule="auto"/>
        <w:rPr>
          <w:sz w:val="20"/>
          <w:szCs w:val="20"/>
          <w:color w:val="auto"/>
        </w:rPr>
      </w:pPr>
      <w:r>
        <w:rPr>
          <w:rFonts w:ascii="Arial" w:cs="Arial" w:eastAsia="Arial" w:hAnsi="Arial"/>
          <w:sz w:val="16"/>
          <w:szCs w:val="16"/>
          <w:color w:val="auto"/>
        </w:rPr>
        <w:t>7.2.1. The distributions transferred by or for a Covered Employee from another qualified retirement plan or from an individual retirement account shall be credited to the Covered Employee’s After-Tax Rollover Account, Roth Rollover Account and/or Taxable Rollover Account, as applicable. A Covered Employee shall be fully vested at all times in his After-Tax Rollover Account, Roth Rollover Account and Taxable Rollover Account.</w:t>
      </w:r>
    </w:p>
    <w:p>
      <w:pPr>
        <w:spacing w:after="0" w:line="107" w:lineRule="exact"/>
        <w:rPr>
          <w:sz w:val="20"/>
          <w:szCs w:val="20"/>
          <w:color w:val="auto"/>
        </w:rPr>
      </w:pPr>
    </w:p>
    <w:p>
      <w:pPr>
        <w:ind w:right="300" w:firstLine="1484"/>
        <w:spacing w:after="0" w:line="268" w:lineRule="auto"/>
        <w:rPr>
          <w:sz w:val="20"/>
          <w:szCs w:val="20"/>
          <w:color w:val="auto"/>
        </w:rPr>
      </w:pPr>
      <w:r>
        <w:rPr>
          <w:rFonts w:ascii="Arial" w:cs="Arial" w:eastAsia="Arial" w:hAnsi="Arial"/>
          <w:sz w:val="18"/>
          <w:szCs w:val="18"/>
          <w:color w:val="auto"/>
        </w:rPr>
        <w:t>7.2.2. A Covered Employee’s After-Tax Rollover Account, Roth Rollover Account and Taxable Rollover Account shall be distributed as otherwise provided under the Plan.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Additional Rollover Amounts</w:t>
      </w:r>
      <w:r>
        <w:rPr>
          <w:rFonts w:ascii="Arial" w:cs="Arial" w:eastAsia="Arial" w:hAnsi="Arial"/>
          <w:sz w:val="16"/>
          <w:szCs w:val="16"/>
          <w:color w:val="auto"/>
        </w:rPr>
        <w:t>. If an individual becomes a Participant as a result of a corporate transaction and elects to roll over a benefit from the prior employer’s tax-qualified defined contribution plan, the Committee, in its sole discretion, may permit the rollover of outstanding loan balances. The Committee, in its sole discretion, may permit the rollover of an outstanding loan balance from the NBCU CAP by an Eligible Employee who transfers from a position at NBCUniversal that is not eligible to participate in the Plan to a position that is eligible to participate in the Plan.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212" w:name="page213"/>
    <w:bookmarkEnd w:id="21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WITHDRAWALS</w:t>
      </w:r>
    </w:p>
    <w:p>
      <w:pPr>
        <w:spacing w:after="0" w:line="171"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Withdrawals Not Subject to Section 401(k) Restrictions</w:t>
      </w:r>
      <w:r>
        <w:rPr>
          <w:rFonts w:ascii="Arial" w:cs="Arial" w:eastAsia="Arial" w:hAnsi="Arial"/>
          <w:sz w:val="16"/>
          <w:szCs w:val="16"/>
          <w:color w:val="auto"/>
        </w:rPr>
        <w:t xml:space="preserve">. A Participant who is an active Employee and has not attained Age 59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 xml:space="preserve"> may withdraw, in accordance with rules prescribed by the Committee and uniformly applied, up to the total value of the following Accounts:</w:t>
      </w:r>
    </w:p>
    <w:p>
      <w:pPr>
        <w:spacing w:after="0" w:line="85"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8.1.1. After-Tax Matched Contribution Account; provided that, if a Participant withdraws any After-Tax Matched Contributions credited in the Plan Year of withdrawal or the two preceding Plan Years, the Participant shall be suspended from participation for three months from the date of the withdrawal.</w:t>
      </w:r>
    </w:p>
    <w:p>
      <w:pPr>
        <w:spacing w:after="0" w:line="14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8.1.2. After-Tax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8.1.3. After-Tax Rollover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8.1.4. Roth Rollover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8.1.5. Taxable Rollover Contribution Account;</w:t>
      </w:r>
    </w:p>
    <w:p>
      <w:pPr>
        <w:spacing w:after="0" w:line="171" w:lineRule="exact"/>
        <w:rPr>
          <w:sz w:val="20"/>
          <w:szCs w:val="20"/>
          <w:color w:val="auto"/>
        </w:rPr>
      </w:pPr>
    </w:p>
    <w:p>
      <w:pPr>
        <w:ind w:firstLine="1484"/>
        <w:spacing w:after="0" w:line="332" w:lineRule="auto"/>
        <w:rPr>
          <w:sz w:val="20"/>
          <w:szCs w:val="20"/>
          <w:color w:val="auto"/>
        </w:rPr>
      </w:pPr>
      <w:r>
        <w:rPr>
          <w:rFonts w:ascii="Arial" w:cs="Arial" w:eastAsia="Arial" w:hAnsi="Arial"/>
          <w:sz w:val="16"/>
          <w:szCs w:val="16"/>
          <w:color w:val="auto"/>
        </w:rPr>
        <w:t>8.1.6. Broadband Heritage Matching Contribution Account, provided that Broadband Heritage Matching Contributions and Prior Broadband Heritage Matching Contributions are not eligible for withdrawal if they were credited in the Plan Year of withdrawal or the two preceding Plan Years; and</w:t>
      </w:r>
    </w:p>
    <w:p>
      <w:pPr>
        <w:spacing w:after="0" w:line="85" w:lineRule="exact"/>
        <w:rPr>
          <w:sz w:val="20"/>
          <w:szCs w:val="20"/>
          <w:color w:val="auto"/>
        </w:rPr>
      </w:pPr>
    </w:p>
    <w:p>
      <w:pPr>
        <w:ind w:right="380" w:firstLine="1484"/>
        <w:spacing w:after="0" w:line="268" w:lineRule="auto"/>
        <w:rPr>
          <w:sz w:val="20"/>
          <w:szCs w:val="20"/>
          <w:color w:val="auto"/>
        </w:rPr>
      </w:pPr>
      <w:r>
        <w:rPr>
          <w:rFonts w:ascii="Arial" w:cs="Arial" w:eastAsia="Arial" w:hAnsi="Arial"/>
          <w:sz w:val="18"/>
          <w:szCs w:val="18"/>
          <w:color w:val="auto"/>
        </w:rPr>
        <w:t>8.1.7. Prior Company Matching Contribution Account (Vested), provided that contributions are not eligible for withdrawal if they were credited in the Plan Year of withdrawal or the two preceding Plan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Withdrawals Subject to Section 401(k) Restrictions</w:t>
      </w:r>
      <w:r>
        <w:rPr>
          <w:rFonts w:ascii="Arial" w:cs="Arial" w:eastAsia="Arial" w:hAnsi="Arial"/>
          <w:sz w:val="18"/>
          <w:szCs w:val="18"/>
          <w:color w:val="auto"/>
        </w:rPr>
        <w:t>.</w:t>
      </w:r>
    </w:p>
    <w:p>
      <w:pPr>
        <w:spacing w:after="0" w:line="171" w:lineRule="exact"/>
        <w:rPr>
          <w:sz w:val="20"/>
          <w:szCs w:val="20"/>
          <w:color w:val="auto"/>
        </w:rPr>
      </w:pPr>
    </w:p>
    <w:p>
      <w:pPr>
        <w:ind w:right="20" w:firstLine="1484"/>
        <w:spacing w:after="0" w:line="332" w:lineRule="auto"/>
        <w:rPr>
          <w:sz w:val="20"/>
          <w:szCs w:val="20"/>
          <w:color w:val="auto"/>
        </w:rPr>
      </w:pPr>
      <w:r>
        <w:rPr>
          <w:rFonts w:ascii="Arial" w:cs="Arial" w:eastAsia="Arial" w:hAnsi="Arial"/>
          <w:sz w:val="16"/>
          <w:szCs w:val="16"/>
          <w:color w:val="auto"/>
        </w:rPr>
        <w:t>8.2.1. In addition to the withdrawals permitted under Section 8.1, a Participant who is an active Employee may withdraw, under the rules set forth in Sections 8.2.2 through 8.2.5 and such other rules as may be prescribed by the Committee and uniformly applied, the following amounts:</w:t>
      </w:r>
    </w:p>
    <w:p>
      <w:pPr>
        <w:spacing w:after="0" w:line="85" w:lineRule="exact"/>
        <w:rPr>
          <w:sz w:val="20"/>
          <w:szCs w:val="20"/>
          <w:color w:val="auto"/>
        </w:rPr>
      </w:pPr>
    </w:p>
    <w:p>
      <w:pPr>
        <w:ind w:right="60" w:firstLine="1948"/>
        <w:spacing w:after="0" w:line="332" w:lineRule="auto"/>
        <w:tabs>
          <w:tab w:leader="none" w:pos="217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his Broadband Heritage Matching Contribution Account, to the extent that Broadband Heritage Matching Contributions and Prior Broadband Heritage Matching Contributions were made in the Plan Year of withdrawal or the two preceding Plan Years;</w:t>
      </w:r>
    </w:p>
    <w:p>
      <w:pPr>
        <w:spacing w:after="0" w:line="85" w:lineRule="exact"/>
        <w:rPr>
          <w:rFonts w:ascii="Arial" w:cs="Arial" w:eastAsia="Arial" w:hAnsi="Arial"/>
          <w:sz w:val="16"/>
          <w:szCs w:val="16"/>
          <w:color w:val="auto"/>
        </w:rPr>
      </w:pPr>
    </w:p>
    <w:p>
      <w:pPr>
        <w:ind w:right="120" w:firstLine="1948"/>
        <w:spacing w:after="0" w:line="259" w:lineRule="auto"/>
        <w:tabs>
          <w:tab w:leader="none" w:pos="218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that portion of his Prior Company Matching Contribution Account (Vested) consisting of matching contributions made under the CCCHI Plan prior to the Effective Date that were fully vested in accordance with the change of control vesting provisions of Section 6.3(c) of the CCCHI Plan and that were made in the Plan Year of withdrawal or the two preceding Plan Years;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80" w:right="299" w:bottom="1440" w:gutter="0" w:footer="0" w:header="0"/>
        </w:sectPr>
      </w:pPr>
    </w:p>
    <w:bookmarkStart w:id="213" w:name="page214"/>
    <w:bookmarkEnd w:id="213"/>
    <w:p>
      <w:pPr>
        <w:ind w:left="2180" w:hanging="232"/>
        <w:spacing w:after="0"/>
        <w:tabs>
          <w:tab w:leader="none" w:pos="2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nonforfeitable portion of his Prior Company Matching Contribution Account (Unvested);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his Catch-Up Contribution Account;</w:t>
      </w:r>
    </w:p>
    <w:p>
      <w:pPr>
        <w:spacing w:after="0" w:line="171" w:lineRule="exact"/>
        <w:rPr>
          <w:rFonts w:ascii="Arial" w:cs="Arial" w:eastAsia="Arial" w:hAnsi="Arial"/>
          <w:sz w:val="18"/>
          <w:szCs w:val="18"/>
          <w:color w:val="auto"/>
        </w:rPr>
      </w:pPr>
    </w:p>
    <w:p>
      <w:pPr>
        <w:ind w:right="160" w:firstLine="1948"/>
        <w:spacing w:after="0" w:line="268" w:lineRule="auto"/>
        <w:tabs>
          <w:tab w:leader="none" w:pos="217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his Pre-Tax Matched Contribution Account (consisting of all amounts credited as of December 31, 1988 plus the sum of his Pre-Tax Matched Contributions made after December 31, 1988);</w:t>
      </w:r>
    </w:p>
    <w:p>
      <w:pPr>
        <w:spacing w:after="0" w:line="131" w:lineRule="exact"/>
        <w:rPr>
          <w:rFonts w:ascii="Arial" w:cs="Arial" w:eastAsia="Arial" w:hAnsi="Arial"/>
          <w:sz w:val="18"/>
          <w:szCs w:val="18"/>
          <w:color w:val="auto"/>
        </w:rPr>
      </w:pPr>
    </w:p>
    <w:p>
      <w:pPr>
        <w:ind w:firstLine="1948"/>
        <w:spacing w:after="0" w:line="268" w:lineRule="auto"/>
        <w:tabs>
          <w:tab w:leader="none" w:pos="215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his Pre-Tax Unmatched Contribution Account (consisting of all amounts credited as of December 31, 1988 plus the sum of his Pre-Tax Matched Contributions made after December 31, 1988)</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his Roth Catch-Up Contribution Account;</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his Roth Matched Contribution Account; plus</w:t>
      </w:r>
    </w:p>
    <w:p>
      <w:pPr>
        <w:spacing w:after="0" w:line="171" w:lineRule="exact"/>
        <w:rPr>
          <w:rFonts w:ascii="Arial" w:cs="Arial" w:eastAsia="Arial" w:hAnsi="Arial"/>
          <w:sz w:val="18"/>
          <w:szCs w:val="18"/>
          <w:color w:val="auto"/>
        </w:rPr>
      </w:pPr>
    </w:p>
    <w:p>
      <w:pPr>
        <w:ind w:left="2160" w:hanging="212"/>
        <w:spacing w:after="0"/>
        <w:tabs>
          <w:tab w:leader="none" w:pos="2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his Roth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8.2.2. A withdrawal under Section 8.2.1 shall be permitted only if the Committee finds that:</w:t>
      </w:r>
    </w:p>
    <w:p>
      <w:pPr>
        <w:spacing w:after="0" w:line="171" w:lineRule="exact"/>
        <w:rPr>
          <w:sz w:val="20"/>
          <w:szCs w:val="20"/>
          <w:color w:val="auto"/>
        </w:rPr>
      </w:pPr>
    </w:p>
    <w:p>
      <w:pPr>
        <w:ind w:left="2180" w:hanging="232"/>
        <w:spacing w:after="0"/>
        <w:tabs>
          <w:tab w:leader="none" w:pos="21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it is made on account of the Participant’s immediate and heavy financial need (as defined in Section 8.2.3);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it is necessary (as defined in Section 8.2.4) to satisfy such immediate and heavy financial need.</w:t>
      </w:r>
    </w:p>
    <w:p>
      <w:pPr>
        <w:spacing w:after="0" w:line="171" w:lineRule="exact"/>
        <w:rPr>
          <w:sz w:val="20"/>
          <w:szCs w:val="20"/>
          <w:color w:val="auto"/>
        </w:rPr>
      </w:pPr>
    </w:p>
    <w:p>
      <w:pPr>
        <w:ind w:right="580" w:firstLine="1484"/>
        <w:spacing w:after="0" w:line="268" w:lineRule="auto"/>
        <w:rPr>
          <w:sz w:val="20"/>
          <w:szCs w:val="20"/>
          <w:color w:val="auto"/>
        </w:rPr>
      </w:pPr>
      <w:r>
        <w:rPr>
          <w:rFonts w:ascii="Arial" w:cs="Arial" w:eastAsia="Arial" w:hAnsi="Arial"/>
          <w:sz w:val="18"/>
          <w:szCs w:val="18"/>
          <w:color w:val="auto"/>
        </w:rPr>
        <w:t>8.2.3. A withdrawal under Section 8.2.1 will be deemed to be on account of an immediate and heavy financial need if the Participant requests such withdrawal on account of:</w:t>
      </w:r>
    </w:p>
    <w:p>
      <w:pPr>
        <w:spacing w:after="0" w:line="132" w:lineRule="exact"/>
        <w:rPr>
          <w:sz w:val="20"/>
          <w:szCs w:val="20"/>
          <w:color w:val="auto"/>
        </w:rPr>
      </w:pPr>
    </w:p>
    <w:p>
      <w:pPr>
        <w:ind w:right="20" w:firstLine="1948"/>
        <w:spacing w:after="0" w:line="259" w:lineRule="auto"/>
        <w:tabs>
          <w:tab w:leader="none" w:pos="217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expenses for medical care described in section 213(d) of the Code and (i) previously incurred by the Participant, his spouse, any of the Participant’s dependents (as defined in section 152 of the Code), or effective January 1, 2010, the Participant’s primary beneficiary, or (ii) necessary for such individuals to obtain such medical care;</w:t>
      </w:r>
    </w:p>
    <w:p>
      <w:pPr>
        <w:spacing w:after="0" w:line="140" w:lineRule="exact"/>
        <w:rPr>
          <w:rFonts w:ascii="Arial" w:cs="Arial" w:eastAsia="Arial" w:hAnsi="Arial"/>
          <w:sz w:val="18"/>
          <w:szCs w:val="18"/>
          <w:color w:val="auto"/>
        </w:rPr>
      </w:pPr>
    </w:p>
    <w:p>
      <w:pPr>
        <w:ind w:left="2200" w:hanging="252"/>
        <w:spacing w:after="0"/>
        <w:tabs>
          <w:tab w:leader="none" w:pos="22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costs directly related to the purchase (excluding mortgage payments) of a principal residence of the Participant;</w:t>
      </w:r>
    </w:p>
    <w:p>
      <w:pPr>
        <w:spacing w:after="0" w:line="171" w:lineRule="exact"/>
        <w:rPr>
          <w:rFonts w:ascii="Arial" w:cs="Arial" w:eastAsia="Arial" w:hAnsi="Arial"/>
          <w:sz w:val="18"/>
          <w:szCs w:val="18"/>
          <w:color w:val="auto"/>
        </w:rPr>
      </w:pPr>
    </w:p>
    <w:p>
      <w:pPr>
        <w:ind w:right="380" w:firstLine="1948"/>
        <w:spacing w:after="0" w:line="332" w:lineRule="auto"/>
        <w:tabs>
          <w:tab w:leader="none" w:pos="217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payment of tuition and related educational fees for the next 12 months of post-secondary education for the Participant, his spouse, children, dependents (as defined in section 152 of the Code) or effective January 1, 2010, the Participant’s primary beneficiary;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214" w:name="page215"/>
    <w:bookmarkEnd w:id="214"/>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the need to prevent the eviction of the Participant from his principal residence or foreclosure on the mortgage of his principal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residence;</w:t>
      </w:r>
    </w:p>
    <w:p>
      <w:pPr>
        <w:spacing w:after="0" w:line="165" w:lineRule="exact"/>
        <w:rPr>
          <w:sz w:val="20"/>
          <w:szCs w:val="20"/>
          <w:color w:val="auto"/>
        </w:rPr>
      </w:pPr>
    </w:p>
    <w:p>
      <w:pPr>
        <w:ind w:firstLine="1948"/>
        <w:spacing w:after="0" w:line="268" w:lineRule="auto"/>
        <w:tabs>
          <w:tab w:leader="none" w:pos="217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Covered Union Employees (Broadband) only, payment for extensive home repairs or renovations related to fire, natural disaster or other similar unforeseeable event; extraordinary legal expenses; or funeral expenses for members of immediate family; or</w:t>
      </w:r>
    </w:p>
    <w:p>
      <w:pPr>
        <w:spacing w:after="0" w:line="131" w:lineRule="exact"/>
        <w:rPr>
          <w:rFonts w:ascii="Arial" w:cs="Arial" w:eastAsia="Arial" w:hAnsi="Arial"/>
          <w:sz w:val="18"/>
          <w:szCs w:val="18"/>
          <w:color w:val="auto"/>
        </w:rPr>
      </w:pPr>
    </w:p>
    <w:p>
      <w:pPr>
        <w:ind w:right="120" w:firstLine="1948"/>
        <w:spacing w:after="0" w:line="298" w:lineRule="auto"/>
        <w:tabs>
          <w:tab w:leader="none" w:pos="215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notwithstanding Section 8.2.3(e) above, effective June 1, 2006, payments for burial or funeral expenses for the Participant’s deceased parent, spouse, children or dependents (as defined in Code Section 152 without regard to Code Section 152(d)(1)(B)) or effective January 1, 2010, the Participant’s primary beneficiary, and expenses for the repair of damage to a Participant’s principal residence that would qualify for the casualty deduction under Code Section 165 without regard to whether the loss exceeds 10% of the Participant’s adjusted gross income; or</w:t>
      </w:r>
    </w:p>
    <w:p>
      <w:pPr>
        <w:spacing w:after="0" w:line="112" w:lineRule="exact"/>
        <w:rPr>
          <w:rFonts w:ascii="Arial" w:cs="Arial" w:eastAsia="Arial" w:hAnsi="Arial"/>
          <w:sz w:val="16"/>
          <w:szCs w:val="16"/>
          <w:color w:val="auto"/>
        </w:rPr>
      </w:pPr>
    </w:p>
    <w:p>
      <w:pPr>
        <w:ind w:left="2200" w:hanging="252"/>
        <w:spacing w:after="0"/>
        <w:tabs>
          <w:tab w:leader="none" w:pos="2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such other circumstances or events as may be prescribed by the Secretary of the Treasury or his or her delegate.</w:t>
      </w:r>
    </w:p>
    <w:p>
      <w:pPr>
        <w:spacing w:after="0" w:line="171" w:lineRule="exact"/>
        <w:rPr>
          <w:sz w:val="20"/>
          <w:szCs w:val="20"/>
          <w:color w:val="auto"/>
        </w:rPr>
      </w:pPr>
    </w:p>
    <w:p>
      <w:pPr>
        <w:ind w:right="20" w:firstLine="1484"/>
        <w:spacing w:after="0" w:line="268" w:lineRule="auto"/>
        <w:rPr>
          <w:sz w:val="20"/>
          <w:szCs w:val="20"/>
          <w:color w:val="auto"/>
        </w:rPr>
      </w:pPr>
      <w:r>
        <w:rPr>
          <w:rFonts w:ascii="Arial" w:cs="Arial" w:eastAsia="Arial" w:hAnsi="Arial"/>
          <w:sz w:val="18"/>
          <w:szCs w:val="18"/>
          <w:color w:val="auto"/>
        </w:rPr>
        <w:t>Note that for purposes of this Section 8.2.3, “primary beneficiary” means an individual who is named as a beneficiary under the Plan and has an unconditional right to all or a portion of the Participant’s account balance under the Plan upon the Participant’s death.</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8.2.4. A withdrawal under Section 8.2.2(a) shall be deemed to be necessary if:</w:t>
      </w:r>
    </w:p>
    <w:p>
      <w:pPr>
        <w:spacing w:after="0" w:line="171" w:lineRule="exact"/>
        <w:rPr>
          <w:sz w:val="20"/>
          <w:szCs w:val="20"/>
          <w:color w:val="auto"/>
        </w:rPr>
      </w:pPr>
    </w:p>
    <w:p>
      <w:pPr>
        <w:ind w:right="180" w:firstLine="1948"/>
        <w:spacing w:after="0" w:line="332" w:lineRule="auto"/>
        <w:tabs>
          <w:tab w:leader="none" w:pos="217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amount of the withdrawal does not exceed the amount of the Participant’s immediate and heavy financial need, including any amounts necessary to pay any federal, state or local income taxes or penalties reasonably anticipated to result from the withdrawal;</w:t>
      </w:r>
    </w:p>
    <w:p>
      <w:pPr>
        <w:spacing w:after="0" w:line="85" w:lineRule="exact"/>
        <w:rPr>
          <w:rFonts w:ascii="Arial" w:cs="Arial" w:eastAsia="Arial" w:hAnsi="Arial"/>
          <w:sz w:val="16"/>
          <w:szCs w:val="16"/>
          <w:color w:val="auto"/>
        </w:rPr>
      </w:pPr>
    </w:p>
    <w:p>
      <w:pPr>
        <w:ind w:right="60" w:firstLine="1948"/>
        <w:spacing w:after="0" w:line="268" w:lineRule="auto"/>
        <w:tabs>
          <w:tab w:leader="none" w:pos="218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Participant has obtained all currently permissible distributions (other than hardship distributions) and non-taxable loans, if any, under this and all other plans maintained by the Participating Company and all Affiliated Companies; and</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Participant agrees in writing to be bound by the rules of Section 8.2.5.</w:t>
      </w:r>
    </w:p>
    <w:p>
      <w:pPr>
        <w:spacing w:after="0" w:line="171" w:lineRule="exact"/>
        <w:rPr>
          <w:sz w:val="20"/>
          <w:szCs w:val="20"/>
          <w:color w:val="auto"/>
        </w:rPr>
      </w:pPr>
    </w:p>
    <w:p>
      <w:pPr>
        <w:ind w:right="60" w:firstLine="1484"/>
        <w:spacing w:after="0" w:line="254" w:lineRule="auto"/>
        <w:rPr>
          <w:sz w:val="20"/>
          <w:szCs w:val="20"/>
          <w:color w:val="auto"/>
        </w:rPr>
      </w:pPr>
      <w:r>
        <w:rPr>
          <w:rFonts w:ascii="Arial" w:cs="Arial" w:eastAsia="Arial" w:hAnsi="Arial"/>
          <w:sz w:val="18"/>
          <w:szCs w:val="18"/>
          <w:color w:val="auto"/>
        </w:rPr>
        <w:t>8.2.5. If a Participant withdraws any amount from his Pre-Tax Matched Contribution Account, Pre-Tax Unmatched Contribution Account, Catch-Up Contribution Account, Roth Catch-Up Contribution Account, Roth Matched Contribution Account or Roth Unmatched Contribution Account pursuant to Section 8.2.1, or withdraws any elective deferrals under any other qualified retirement plan maintained by the Participating Company or any Affiliated Company, which other plan conditions such withdrawal upon the Participant’s being subject to rules similar to those stated in this Section 8.2.5 and Section 8.2.4, such Participant may not make Pre-Tax Contributions (and, in the case of a Covered Union Employee (Broadband), After-Tax Contributions), Catch-Up Contributions, Roth Contributions or Roth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215" w:name="page216"/>
    <w:bookmarkEnd w:id="215"/>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Catch-Up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or any qualified or non-qualified employee stock purchase plan maintained by the Participating Company or an Affiliated Company for a period of 6 months commencing on the date of the withdrawal (12 months for a Participant who is a Covered Union Employee (Broadband)); </w:t>
      </w:r>
      <w:r>
        <w:rPr>
          <w:rFonts w:ascii="Arial" w:cs="Arial" w:eastAsia="Arial" w:hAnsi="Arial"/>
          <w:sz w:val="18"/>
          <w:szCs w:val="18"/>
          <w:u w:val="single" w:color="auto"/>
          <w:color w:val="auto"/>
        </w:rPr>
        <w:t>provided, however</w:t>
      </w:r>
      <w:r>
        <w:rPr>
          <w:rFonts w:ascii="Arial" w:cs="Arial" w:eastAsia="Arial" w:hAnsi="Arial"/>
          <w:sz w:val="18"/>
          <w:szCs w:val="18"/>
          <w:color w:val="auto"/>
        </w:rPr>
        <w:t>:</w:t>
      </w:r>
    </w:p>
    <w:p>
      <w:pPr>
        <w:spacing w:after="0" w:line="143" w:lineRule="exact"/>
        <w:rPr>
          <w:sz w:val="20"/>
          <w:szCs w:val="20"/>
          <w:color w:val="auto"/>
        </w:rPr>
      </w:pPr>
    </w:p>
    <w:p>
      <w:pPr>
        <w:ind w:firstLine="1948"/>
        <w:spacing w:after="0" w:line="259" w:lineRule="auto"/>
        <w:tabs>
          <w:tab w:leader="none" w:pos="217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Participant who, immediately prior to the Effective Date, was a participant in the CCCHI Plan, was not an “Eligible Union Employee” as defined under the CCCHI Plan, and was serving a twelve-month suspension under the CCCHI Plan in connection with a hardship withdrawal taken in 2002, shall have the suspension period lifted effective September 15, 2003; and</w:t>
      </w:r>
    </w:p>
    <w:p>
      <w:pPr>
        <w:spacing w:after="0" w:line="140" w:lineRule="exact"/>
        <w:rPr>
          <w:rFonts w:ascii="Arial" w:cs="Arial" w:eastAsia="Arial" w:hAnsi="Arial"/>
          <w:sz w:val="18"/>
          <w:szCs w:val="18"/>
          <w:color w:val="auto"/>
        </w:rPr>
      </w:pPr>
    </w:p>
    <w:p>
      <w:pPr>
        <w:ind w:right="40" w:firstLine="1948"/>
        <w:spacing w:after="0" w:line="286" w:lineRule="auto"/>
        <w:tabs>
          <w:tab w:leader="none" w:pos="2189"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 Participant who is a Covered Union Employee (Broadband) for only a portion of a Plan Year and, thereafter, remains an Eligible Employee (other than a Covered Union Employee (Broadband)), shall have the twelve-month suspension period lifted on the latest of (1) September 15, 2003,</w:t>
      </w:r>
    </w:p>
    <w:p>
      <w:pPr>
        <w:ind w:left="260" w:hanging="252"/>
        <w:spacing w:after="0"/>
        <w:tabs>
          <w:tab w:leader="none" w:pos="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completion of a six-month suspension period, or (3) decertification of such Covered Union Employee’s union.</w:t>
      </w:r>
    </w:p>
    <w:p>
      <w:pPr>
        <w:spacing w:after="0" w:line="165" w:lineRule="exact"/>
        <w:rPr>
          <w:sz w:val="20"/>
          <w:szCs w:val="20"/>
          <w:color w:val="auto"/>
        </w:rPr>
      </w:pPr>
    </w:p>
    <w:p>
      <w:pPr>
        <w:ind w:firstLine="1484"/>
        <w:spacing w:after="0" w:line="291" w:lineRule="auto"/>
        <w:rPr>
          <w:sz w:val="20"/>
          <w:szCs w:val="20"/>
          <w:color w:val="auto"/>
        </w:rPr>
      </w:pPr>
      <w:r>
        <w:rPr>
          <w:rFonts w:ascii="Arial" w:cs="Arial" w:eastAsia="Arial" w:hAnsi="Arial"/>
          <w:sz w:val="16"/>
          <w:szCs w:val="16"/>
          <w:color w:val="auto"/>
        </w:rPr>
        <w:t>8.2.6. If a Participant withdraws any elective deferrals under any other qualified retirement plan maintained by the Participating Company or any Affiliated Company, which other plan conditions such withdrawal upon the Participant’s being subject to rules similar to those stated in this Section 8.2, such Participant may not make Pre-Tax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the time period specified in Section 8.2.5.</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Any Eligible Employee whose Pre-Tax Contributions (and, in the case of a Covered Union Employee (Broadband), After-Tax Contributions), Catch-Up Contributions, Roth Contributions and/or Roth Catch-Up Contributions are suspended pursuant to Section 8.2.5 or 8.2.6 will, upon the expiration of the required suspension period, automatically resume such contributions at the contribution rates in effect for such Employee immediately prior to the commencement of the required suspension period.</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Withdrawals On and After Attainment of Age 59</w:t>
      </w:r>
      <w:r>
        <w:rPr>
          <w:rFonts w:ascii="Arial" w:cs="Arial" w:eastAsia="Arial" w:hAnsi="Arial"/>
          <w:sz w:val="16"/>
          <w:szCs w:val="16"/>
          <w:color w:val="auto"/>
        </w:rPr>
        <w:t xml:space="preserve"> </w:t>
      </w:r>
      <w:r>
        <w:rPr>
          <w:rFonts w:ascii="Arial" w:cs="Arial" w:eastAsia="Arial" w:hAnsi="Arial"/>
          <w:sz w:val="10"/>
          <w:szCs w:val="10"/>
          <w:color w:val="auto"/>
        </w:rPr>
        <w:t>1</w:t>
      </w:r>
      <w:r>
        <w:rPr>
          <w:rFonts w:ascii="Arial" w:cs="Arial" w:eastAsia="Arial" w:hAnsi="Arial"/>
          <w:sz w:val="16"/>
          <w:szCs w:val="16"/>
          <w:u w:val="single" w:color="auto"/>
          <w:color w:val="auto"/>
        </w:rPr>
        <w:t>/</w:t>
      </w:r>
      <w:r>
        <w:rPr>
          <w:rFonts w:ascii="Arial" w:cs="Arial" w:eastAsia="Arial" w:hAnsi="Arial"/>
          <w:sz w:val="10"/>
          <w:szCs w:val="10"/>
          <w:u w:val="single" w:color="auto"/>
          <w:color w:val="auto"/>
        </w:rPr>
        <w:t>2</w:t>
      </w:r>
      <w:r>
        <w:rPr>
          <w:rFonts w:ascii="Arial" w:cs="Arial" w:eastAsia="Arial" w:hAnsi="Arial"/>
          <w:sz w:val="16"/>
          <w:szCs w:val="16"/>
          <w:color w:val="auto"/>
        </w:rPr>
        <w:t xml:space="preserve">. Upon his attainment of Age 59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 a Participant who is an Active Participant may withdraw, in accordance with rules prescribed by the Committee and uniformly applied, less amounts previously withdrawn therefrom, by submitting his request to the Committee in accordance with Section 14.9, up to the vested portion in his Account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-354965</wp:posOffset>
            </wp:positionV>
            <wp:extent cx="533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 After-Tax 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8.3.2. After-Tax Unmatched Contribution Account;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216" w:name="page217"/>
    <w:bookmarkEnd w:id="216"/>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8.3.3. After-Tax Rollover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8.3.4. Taxable Rollover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8.3.5. Prior Company Matching Contribution Account (Vested);</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8.3.6. Prior Company Matching Contribution Account (Unvested);</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8.3.7. Pre-Tax 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8.3.8. Pre-Tax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8.3.9. Matching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8.3.10. Broadband Heritage Matching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8.3.11. DC Adder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8.3.12. NBCU Retirement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8.3.13. Catch-Up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8.3.14. Roth 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8.3.15. Roth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8.3.16. Roth Catch-Up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8.3.17. Roth Rollover Account.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HEART Act Distributions</w:t>
      </w:r>
      <w:r>
        <w:rPr>
          <w:rFonts w:ascii="Arial" w:cs="Arial" w:eastAsia="Arial" w:hAnsi="Arial"/>
          <w:sz w:val="18"/>
          <w:szCs w:val="18"/>
          <w:color w:val="auto"/>
        </w:rPr>
        <w:t>. Pursuant to section 414(u)(12)(B) of the Code, an Active Participant who is performing active duty service in the uniformed services (as defined in chapter 43 of title 38, United States Code) for a period of more than 30 days shall, solely for purposes of section 401(k)(2)(B)(i) (I), be treated as having had a severance from employment with the Participating Company and may withdraw, in accordance with rules prescribed by the Committee and uniformly applied, less amounts previously withdrawn therefrom, by submitting his request in accordance with Section 14.9 to the Committee, up to the vested portion in his Account in the following order:</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8.4.1. After-Tax Rollover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8.4.2. Taxable Rollover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8.4.3. Prior Company Matching Contribution Account (Vested);</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8.4.4. Prior Company Matching Contribution Account (Unvested);</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8.4.5. Pre-Tax Matched Contribution Account;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217" w:name="page218"/>
    <w:bookmarkEnd w:id="217"/>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8.4.6. Pre-Tax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8.4.7. Matching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8.4.8. Broadband Heritage Matching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8.4.9. DC Adder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8.4.10. NBCU Retirement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8.4.11. Catch-Up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8.4.12. Roth 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8.4.13. Roth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8.4.14. Roth Catch-Up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8.4.15. Roth Rollover Account.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Amount and Payment of Withdrawals</w:t>
      </w:r>
      <w:r>
        <w:rPr>
          <w:rFonts w:ascii="Arial" w:cs="Arial" w:eastAsia="Arial" w:hAnsi="Arial"/>
          <w:sz w:val="16"/>
          <w:szCs w:val="16"/>
          <w:color w:val="auto"/>
        </w:rPr>
        <w:t>. The amount of any withdrawal will be determined on the basis of the value of the Participant’s Account valued as of the Valuation Date coincident with or immediately preceding the date of the withdrawal. Any withdrawal requested under this Section shall be paid as soon as practicable following the Committee’s determination that the requested withdrawal complies with the terms and conditions set forth in this Section. Withdrawals shall be made in a single sum payment in cash, except that a Participant making a withdrawal pursuant to Section 8.1 or 8.3 may elect to receive all or a portion of the withdrawal in the form of shares of Company Stock and/or Investment Stock to the extent that the portion of the Account that is the subject of the withdrawal is invested in Company Stock and/or Investment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Withdrawals Not Subject to Replacement</w:t>
      </w:r>
      <w:r>
        <w:rPr>
          <w:rFonts w:ascii="Arial" w:cs="Arial" w:eastAsia="Arial" w:hAnsi="Arial"/>
          <w:sz w:val="16"/>
          <w:szCs w:val="16"/>
          <w:color w:val="auto"/>
        </w:rPr>
        <w:t>. A Participant may not replace any portion of his Accounts withdrawn under this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Pledged Amounts</w:t>
      </w:r>
      <w:r>
        <w:rPr>
          <w:rFonts w:ascii="Arial" w:cs="Arial" w:eastAsia="Arial" w:hAnsi="Arial"/>
          <w:sz w:val="16"/>
          <w:szCs w:val="16"/>
          <w:color w:val="auto"/>
        </w:rPr>
        <w:t>. No amount that has been pledged as security for a loan under Article IX may be withdrawn under this Article.</w:t>
      </w:r>
    </w:p>
    <w:p>
      <w:pPr>
        <w:spacing w:after="0" w:line="194"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u w:val="single" w:color="auto"/>
          <w:color w:val="auto"/>
        </w:rPr>
        <w:t>Investment Medium to be Charged with Withdrawal</w:t>
      </w:r>
      <w:r>
        <w:rPr>
          <w:rFonts w:ascii="Arial" w:cs="Arial" w:eastAsia="Arial" w:hAnsi="Arial"/>
          <w:sz w:val="16"/>
          <w:szCs w:val="16"/>
          <w:color w:val="auto"/>
        </w:rPr>
        <w:t>. Any withdrawal by a Participant under this Article shall be charged against the Investment Media in which such Participant’s Accounts are invested in such priority as shall be established by the Committee.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80" w:right="29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LOANS TO PARTICIPANTS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Loan Application</w:t>
      </w:r>
      <w:r>
        <w:rPr>
          <w:rFonts w:ascii="Arial" w:cs="Arial" w:eastAsia="Arial" w:hAnsi="Arial"/>
          <w:sz w:val="18"/>
          <w:szCs w:val="18"/>
          <w:color w:val="auto"/>
        </w:rPr>
        <w:t>. Each Participant who is an Employee of a Participating Company may apply for a loan from the Plan. All applications shall be made to the Committee on forms which it prescribes, and the Committee shall rule upon such applications in a uniform and nondiscriminatory manner in accordance with the rules and guidelines established in this Article.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Loan Approval</w:t>
      </w:r>
      <w:r>
        <w:rPr>
          <w:rFonts w:ascii="Arial" w:cs="Arial" w:eastAsia="Arial" w:hAnsi="Arial"/>
          <w:sz w:val="18"/>
          <w:szCs w:val="18"/>
          <w:color w:val="auto"/>
        </w:rPr>
        <w:t>.</w:t>
      </w:r>
    </w:p>
    <w:p>
      <w:pPr>
        <w:spacing w:after="0" w:line="171" w:lineRule="exact"/>
        <w:rPr>
          <w:sz w:val="20"/>
          <w:szCs w:val="20"/>
          <w:color w:val="auto"/>
        </w:rPr>
      </w:pPr>
    </w:p>
    <w:p>
      <w:pPr>
        <w:ind w:right="440" w:firstLine="1484"/>
        <w:spacing w:after="0" w:line="268" w:lineRule="auto"/>
        <w:rPr>
          <w:sz w:val="20"/>
          <w:szCs w:val="20"/>
          <w:color w:val="auto"/>
        </w:rPr>
      </w:pPr>
      <w:r>
        <w:rPr>
          <w:rFonts w:ascii="Arial" w:cs="Arial" w:eastAsia="Arial" w:hAnsi="Arial"/>
          <w:sz w:val="18"/>
          <w:szCs w:val="18"/>
          <w:color w:val="auto"/>
        </w:rPr>
        <w:t>9.2.1. No application for a loan shall be approved for any Participant unless at least fifteen (15) days have elapsed since the date he has repaid in full any prior loan from the Plan.</w:t>
      </w:r>
    </w:p>
    <w:p>
      <w:pPr>
        <w:spacing w:after="0" w:line="132" w:lineRule="exact"/>
        <w:rPr>
          <w:sz w:val="20"/>
          <w:szCs w:val="20"/>
          <w:color w:val="auto"/>
        </w:rPr>
      </w:pPr>
    </w:p>
    <w:p>
      <w:pPr>
        <w:ind w:right="240" w:firstLine="1484"/>
        <w:spacing w:after="0" w:line="306" w:lineRule="auto"/>
        <w:rPr>
          <w:sz w:val="20"/>
          <w:szCs w:val="20"/>
          <w:color w:val="auto"/>
        </w:rPr>
      </w:pPr>
      <w:r>
        <w:rPr>
          <w:rFonts w:ascii="Arial" w:cs="Arial" w:eastAsia="Arial" w:hAnsi="Arial"/>
          <w:sz w:val="16"/>
          <w:szCs w:val="16"/>
          <w:color w:val="auto"/>
        </w:rPr>
        <w:t>9.2.2. The Committee shall have the right to reject a loan application if the Participant has the present intention to take a personal leave of absence during the period of loan repayment or on the basis of a Participant’s credit worthiness or such other factors as would be considered in a normal commercial setting by an entity in the business of making loans and as the Committee determines necessary to safeguard the Fund.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Amount of Loan</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91" w:lineRule="auto"/>
        <w:rPr>
          <w:sz w:val="20"/>
          <w:szCs w:val="20"/>
          <w:color w:val="auto"/>
        </w:rPr>
      </w:pPr>
      <w:r>
        <w:rPr>
          <w:rFonts w:ascii="Arial" w:cs="Arial" w:eastAsia="Arial" w:hAnsi="Arial"/>
          <w:sz w:val="16"/>
          <w:szCs w:val="16"/>
          <w:color w:val="auto"/>
        </w:rPr>
        <w:t>9.3.1. Generally, a Participant shall not be permitted to have more than one loan outstanding at any time from this Plan; however, individuals who become Participants as a result of a corporate transaction and who have more than one loan transferred from a prior employer’s plan in connection with such transaction, may continue both loans but may not take a new loan from the Plan until all outstanding loans are paid in full. The minimum amount of any loan shall be $500. The amount of any loan must be an even multiple of $100, provided that loans for uneven amounts shall be permitted solely to accommodate loans to former employees of a business acquired by a Participating Company in connection with the commencement of such individual’s eligibility to participate in the Plan, provided that such rule shall be applied on a uniform and nondiscriminatory basis.</w:t>
      </w:r>
    </w:p>
    <w:p>
      <w:pPr>
        <w:spacing w:after="0" w:line="120" w:lineRule="exact"/>
        <w:rPr>
          <w:sz w:val="20"/>
          <w:szCs w:val="20"/>
          <w:color w:val="auto"/>
        </w:rPr>
      </w:pPr>
    </w:p>
    <w:p>
      <w:pPr>
        <w:ind w:right="220" w:firstLine="1484"/>
        <w:spacing w:after="0" w:line="332" w:lineRule="auto"/>
        <w:rPr>
          <w:sz w:val="20"/>
          <w:szCs w:val="20"/>
          <w:color w:val="auto"/>
        </w:rPr>
      </w:pPr>
      <w:r>
        <w:rPr>
          <w:rFonts w:ascii="Arial" w:cs="Arial" w:eastAsia="Arial" w:hAnsi="Arial"/>
          <w:sz w:val="16"/>
          <w:szCs w:val="16"/>
          <w:color w:val="auto"/>
        </w:rPr>
        <w:t>9.3.2. The amount of any loan, when added to the amount of a Participant’s outstanding loans under all other plans qualified under section 401(a) of the Code which are sponsored by the Participating Company or any Affiliated Company shall not exceed the lesser of:</w:t>
      </w:r>
    </w:p>
    <w:p>
      <w:pPr>
        <w:spacing w:after="0" w:line="85" w:lineRule="exact"/>
        <w:rPr>
          <w:sz w:val="20"/>
          <w:szCs w:val="20"/>
          <w:color w:val="auto"/>
        </w:rPr>
      </w:pPr>
    </w:p>
    <w:p>
      <w:pPr>
        <w:ind w:left="2180" w:hanging="232"/>
        <w:spacing w:after="0"/>
        <w:tabs>
          <w:tab w:leader="none" w:pos="2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$50,000, reduced by the excess (if any) of:</w:t>
      </w:r>
    </w:p>
    <w:p>
      <w:pPr>
        <w:spacing w:after="0" w:line="171" w:lineRule="exact"/>
        <w:rPr>
          <w:rFonts w:ascii="Arial" w:cs="Arial" w:eastAsia="Arial" w:hAnsi="Arial"/>
          <w:sz w:val="18"/>
          <w:szCs w:val="18"/>
          <w:color w:val="auto"/>
        </w:rPr>
      </w:pPr>
    </w:p>
    <w:p>
      <w:pPr>
        <w:ind w:right="40" w:firstLine="2404"/>
        <w:spacing w:after="0" w:line="268" w:lineRule="auto"/>
        <w:tabs>
          <w:tab w:leader="none" w:pos="264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Participant’s highest outstanding balance of loans during the one-year period ending on the day before the date on which such loan is made to the Participant, over</w:t>
      </w:r>
    </w:p>
    <w:p>
      <w:pPr>
        <w:spacing w:after="0" w:line="131" w:lineRule="exact"/>
        <w:rPr>
          <w:rFonts w:ascii="Arial" w:cs="Arial" w:eastAsia="Arial" w:hAnsi="Arial"/>
          <w:sz w:val="18"/>
          <w:szCs w:val="18"/>
          <w:color w:val="auto"/>
        </w:rPr>
      </w:pPr>
    </w:p>
    <w:p>
      <w:pPr>
        <w:ind w:left="2660" w:hanging="256"/>
        <w:spacing w:after="0"/>
        <w:tabs>
          <w:tab w:leader="none" w:pos="2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outstanding balance of loans made to the Participant on the date such loan is made to the Participant; or</w:t>
      </w:r>
    </w:p>
    <w:p>
      <w:pPr>
        <w:spacing w:after="0" w:line="171" w:lineRule="exact"/>
        <w:rPr>
          <w:rFonts w:ascii="Arial" w:cs="Arial" w:eastAsia="Arial" w:hAnsi="Arial"/>
          <w:sz w:val="18"/>
          <w:szCs w:val="18"/>
          <w:color w:val="auto"/>
        </w:rPr>
      </w:pPr>
    </w:p>
    <w:p>
      <w:pPr>
        <w:ind w:right="420" w:firstLine="1948"/>
        <w:spacing w:after="0" w:line="268" w:lineRule="auto"/>
        <w:tabs>
          <w:tab w:leader="none" w:pos="218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fifty percent (50%) of the value of the Participant’s nonforfeitable Account, determined as of the Valuation Date immediately preceding the date on which the loan application is received by the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219" w:name="page220"/>
    <w:bookmarkEnd w:id="2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9.4. </w:t>
      </w:r>
      <w:r>
        <w:rPr>
          <w:rFonts w:ascii="Arial" w:cs="Arial" w:eastAsia="Arial" w:hAnsi="Arial"/>
          <w:sz w:val="18"/>
          <w:szCs w:val="18"/>
          <w:u w:val="single" w:color="auto"/>
          <w:color w:val="auto"/>
        </w:rPr>
        <w:t>Terms of Loan</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9.4.1. The interest rate on loans shall be: (a) determined by the Committee, (b) at least commensurate with rates charged for similar loans by entities in the business of making loans, and (c) adjusted from time to time as circumstances warrant. Security for each loan granted pursuant to this Article shall be, to the extent necessary, the currently unpledged portion of the Participant’s Account. In no event shall more than fifty percent (50%) of the Participant’s vested Account as of the date the loan is made be used as security for the loan. In its sole discretion, the Committee may require such additional security as it deems necessary.</w:t>
      </w:r>
    </w:p>
    <w:p>
      <w:pPr>
        <w:spacing w:after="0" w:line="143" w:lineRule="exact"/>
        <w:rPr>
          <w:sz w:val="20"/>
          <w:szCs w:val="20"/>
          <w:color w:val="auto"/>
        </w:rPr>
      </w:pPr>
    </w:p>
    <w:p>
      <w:pPr>
        <w:ind w:right="160" w:firstLine="1484"/>
        <w:spacing w:after="0" w:line="256" w:lineRule="auto"/>
        <w:rPr>
          <w:sz w:val="20"/>
          <w:szCs w:val="20"/>
          <w:color w:val="auto"/>
        </w:rPr>
      </w:pPr>
      <w:r>
        <w:rPr>
          <w:rFonts w:ascii="Arial" w:cs="Arial" w:eastAsia="Arial" w:hAnsi="Arial"/>
          <w:sz w:val="18"/>
          <w:szCs w:val="18"/>
          <w:color w:val="auto"/>
        </w:rPr>
        <w:t>9.4.2. Each loan shall be evidenced by the Participant’s execution of a personal demand note on such form as shall be supplied by the Committee. Each such note shall specify that, to the extent repayment is not demanded sooner, repayment shall be made in installments over a period of not less than 6 nor more than 60 months from the date on which the loan is distributed. All loans from the Plan shall be non-renewable. Each note shall also specify the interest rate as determined by the Committee at the time the loan is approved.</w:t>
      </w:r>
    </w:p>
    <w:p>
      <w:pPr>
        <w:spacing w:after="0" w:line="143" w:lineRule="exact"/>
        <w:rPr>
          <w:sz w:val="20"/>
          <w:szCs w:val="20"/>
          <w:color w:val="auto"/>
        </w:rPr>
      </w:pPr>
    </w:p>
    <w:p>
      <w:pPr>
        <w:ind w:right="60" w:firstLine="1484"/>
        <w:spacing w:after="0" w:line="290" w:lineRule="auto"/>
        <w:rPr>
          <w:sz w:val="20"/>
          <w:szCs w:val="20"/>
          <w:color w:val="auto"/>
        </w:rPr>
      </w:pPr>
      <w:r>
        <w:rPr>
          <w:rFonts w:ascii="Arial" w:cs="Arial" w:eastAsia="Arial" w:hAnsi="Arial"/>
          <w:sz w:val="16"/>
          <w:szCs w:val="16"/>
          <w:color w:val="auto"/>
        </w:rPr>
        <w:t>9.4.3. All loans shall be repaid in approximately equal installments (not less frequently than quarterly) through payroll deductions or in such other manner as the Committee may determine, including, without limitation, coupon repayment in the event the Committee determines that a Participant has incurred a Severance from Service Date or in the event a Participant is on an unpaid leave of absence. In addition, a Participant who is a Covered Union Employee (Broadband) on his Severance from Service Date may repay through coupon repayment following his Severance from Service Date. A Participant may repay the outstanding balance of any loan in one lump sum at any time by notifying the Committee of his intent to do so and by forwarding to the Committee payment in full of the then outstanding balance, plus interest accrued to the date of payment. The amount of principal and interest repaid by a Participant shall be credited to a Participant’s Account as each repayment is made.</w:t>
      </w:r>
    </w:p>
    <w:p>
      <w:pPr>
        <w:spacing w:after="0" w:line="118" w:lineRule="exact"/>
        <w:rPr>
          <w:sz w:val="20"/>
          <w:szCs w:val="20"/>
          <w:color w:val="auto"/>
        </w:rPr>
      </w:pPr>
    </w:p>
    <w:p>
      <w:pPr>
        <w:ind w:right="80" w:firstLine="1484"/>
        <w:spacing w:after="0" w:line="256" w:lineRule="auto"/>
        <w:rPr>
          <w:sz w:val="20"/>
          <w:szCs w:val="20"/>
          <w:color w:val="auto"/>
        </w:rPr>
      </w:pPr>
      <w:r>
        <w:rPr>
          <w:rFonts w:ascii="Arial" w:cs="Arial" w:eastAsia="Arial" w:hAnsi="Arial"/>
          <w:sz w:val="18"/>
          <w:szCs w:val="18"/>
          <w:color w:val="auto"/>
        </w:rPr>
        <w:t xml:space="preserve">9.4.4. Loan repayments shall be suspended under this Plan as permitted under section 414(u) of the Code. In such cases, (1) if the loan is for a period of less than 60 months, the period of repayments shall be extended for the period necessary to permit repayment, or (2) otherwise, the loan shall be re-amortized over its remaining term;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period of repayment for any loan shall not exceed a total of 60 months, unless an extension is permitted in accordance with section 72(p) of the Code and the regulations thereunder.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220" w:name="page221"/>
    <w:bookmarkEnd w:id="220"/>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9.4.5. If, and only if:</w:t>
      </w:r>
    </w:p>
    <w:p>
      <w:pPr>
        <w:spacing w:after="0" w:line="171" w:lineRule="exact"/>
        <w:rPr>
          <w:sz w:val="20"/>
          <w:szCs w:val="20"/>
          <w:color w:val="auto"/>
        </w:rPr>
      </w:pPr>
    </w:p>
    <w:p>
      <w:pPr>
        <w:ind w:left="2180" w:hanging="232"/>
        <w:spacing w:after="0"/>
        <w:tabs>
          <w:tab w:leader="none" w:pos="2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Participant dies;</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Participant (other than a Participant who continues to be a party in interest) has a Severance from Service Date;</w:t>
      </w:r>
    </w:p>
    <w:p>
      <w:pPr>
        <w:spacing w:after="0" w:line="194" w:lineRule="exact"/>
        <w:rPr>
          <w:rFonts w:ascii="Arial" w:cs="Arial" w:eastAsia="Arial" w:hAnsi="Arial"/>
          <w:sz w:val="16"/>
          <w:szCs w:val="16"/>
          <w:color w:val="auto"/>
        </w:rPr>
      </w:pPr>
    </w:p>
    <w:p>
      <w:pPr>
        <w:ind w:right="120" w:firstLine="1948"/>
        <w:spacing w:after="0" w:line="259" w:lineRule="auto"/>
        <w:tabs>
          <w:tab w:leader="none" w:pos="217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Compensation of a Participant who is an Employee is discontinued or decreased below the amount necessary to amortize the loan and such status continues beyond the last day of the calendar quarter following the calendar quarter in which the first required installment payment is due after such Compensation discontinuance or decrease;</w:t>
      </w:r>
    </w:p>
    <w:p>
      <w:pPr>
        <w:spacing w:after="0" w:line="140" w:lineRule="exact"/>
        <w:rPr>
          <w:rFonts w:ascii="Arial" w:cs="Arial" w:eastAsia="Arial" w:hAnsi="Arial"/>
          <w:sz w:val="18"/>
          <w:szCs w:val="18"/>
          <w:color w:val="auto"/>
        </w:rPr>
      </w:pPr>
    </w:p>
    <w:p>
      <w:pPr>
        <w:ind w:left="2200" w:hanging="252"/>
        <w:spacing w:after="0"/>
        <w:tabs>
          <w:tab w:leader="none" w:pos="22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loan is not repaid by the time the note matures including any extensions pursuant to Section 9.4.4;</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Participant attempts to revoke any payroll deduction authorization for repayment of the loan without the consent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Committee;</w:t>
      </w:r>
    </w:p>
    <w:p>
      <w:pPr>
        <w:spacing w:after="0" w:line="164" w:lineRule="exact"/>
        <w:rPr>
          <w:rFonts w:ascii="Arial" w:cs="Arial" w:eastAsia="Arial" w:hAnsi="Arial"/>
          <w:sz w:val="16"/>
          <w:szCs w:val="16"/>
          <w:color w:val="auto"/>
        </w:rPr>
      </w:pPr>
    </w:p>
    <w:p>
      <w:pPr>
        <w:ind w:left="2160" w:hanging="212"/>
        <w:spacing w:after="0"/>
        <w:tabs>
          <w:tab w:leader="none" w:pos="21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Participant fails to pay any installment of the loan when due and the Committee elects to treat such failure as default; or</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other event occurs which the Committee, in its sole discretion, believes may jeopardize the repayment of the loan;</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before a loan is repaid in full, the unpaid balance thereof, with interest due thereon, shall become immediately due and payable. The Participant (or his beneficiary, in the event of the Participant’s death) may satisfy the loan by paying the outstanding balance of the loan within such time as may be specified in the note which period shall not extend more than 30 days from a Severance from Service Date. If the loan and interest are not repaid within the time specified, the Committee shall satisfy the indebtedness from the amount of the Participant’s vested interest in his Account as provided in Section 9.5 before making any payments otherwise due hereunder to the Participant or his beneficiary.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71" w:lineRule="exact"/>
        <w:rPr>
          <w:sz w:val="20"/>
          <w:szCs w:val="20"/>
          <w:color w:val="auto"/>
        </w:rPr>
      </w:pPr>
    </w:p>
    <w:p>
      <w:pPr>
        <w:jc w:val="both"/>
        <w:ind w:right="260" w:firstLine="1484"/>
        <w:spacing w:after="0" w:line="298" w:lineRule="auto"/>
        <w:rPr>
          <w:sz w:val="20"/>
          <w:szCs w:val="20"/>
          <w:color w:val="auto"/>
        </w:rPr>
      </w:pPr>
      <w:r>
        <w:rPr>
          <w:rFonts w:ascii="Arial" w:cs="Arial" w:eastAsia="Arial" w:hAnsi="Arial"/>
          <w:sz w:val="16"/>
          <w:szCs w:val="16"/>
          <w:color w:val="auto"/>
        </w:rPr>
        <w:t>9.5.1. The Committee shall give written notice to the Participant (or his beneficiary in the event of the Participant’s death) of an event of default described in Section 9.4.5(d). If the loan and interest are not paid within the time period specified in the notice, the amount of the Participant’s vested interest in his Account, to the extent such Account is security for the loan, shall be reduced by the amount of the unpaid balance of the loan, with interest due thereon, and the Participant’s indebtedness shall thereupon be discharged to the extent of the reduction.</w:t>
      </w:r>
    </w:p>
    <w:p>
      <w:pPr>
        <w:spacing w:after="0" w:line="113" w:lineRule="exact"/>
        <w:rPr>
          <w:sz w:val="20"/>
          <w:szCs w:val="20"/>
          <w:color w:val="auto"/>
        </w:rPr>
      </w:pPr>
    </w:p>
    <w:p>
      <w:pPr>
        <w:ind w:right="100" w:firstLine="1484"/>
        <w:spacing w:after="0" w:line="255" w:lineRule="auto"/>
        <w:rPr>
          <w:sz w:val="20"/>
          <w:szCs w:val="20"/>
          <w:color w:val="auto"/>
        </w:rPr>
      </w:pPr>
      <w:r>
        <w:rPr>
          <w:rFonts w:ascii="Arial" w:cs="Arial" w:eastAsia="Arial" w:hAnsi="Arial"/>
          <w:sz w:val="18"/>
          <w:szCs w:val="18"/>
          <w:color w:val="auto"/>
        </w:rPr>
        <w:t>9.5.2. In addition, if the value of the Participant’s total vested interest in his Account pledged as security for the loan is insufficient to discharge fully the Participant’s indebtedness, the Participant’s Account shall be used to reduce the Participant’s indebtedness at such time as the Participant is entitled to a distribution under Article V or a withdrawal under Article VIII, and any remaining amounts in his Account shall be used to reduce the Participant’s indebtedness at such time as the Participant has a Severance from Service Date. Such action shall not operate as a waiver of the rights of the Company, the Committee, the Trustee, or the Plan under applicable law.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280" w:right="339" w:bottom="1440" w:gutter="0" w:footer="0" w:header="0"/>
        </w:sectPr>
      </w:pPr>
    </w:p>
    <w:bookmarkStart w:id="221" w:name="page222"/>
    <w:bookmarkEnd w:id="221"/>
    <w:p>
      <w:pPr>
        <w:ind w:right="20" w:firstLine="1484"/>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9.5.3. The Committee also shall be entitled to take any and all other actions necessary and appropriate to foreclose upon any property other than the Participant’s Account pledged as security for the loan or to otherwise enforce collection of the outstanding balance of the loan.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Additional Rules</w:t>
      </w:r>
      <w:r>
        <w:rPr>
          <w:rFonts w:ascii="Arial" w:cs="Arial" w:eastAsia="Arial" w:hAnsi="Arial"/>
          <w:sz w:val="18"/>
          <w:szCs w:val="18"/>
          <w:color w:val="auto"/>
        </w:rPr>
        <w:t>. The Committee may establish additional rules relating to Participant loans under the Plan, which rules shall be applied on a uniform and non-discriminatory basis.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80"/>
          </w:cols>
          <w:pgMar w:left="240" w:top="280" w:right="379" w:bottom="1440" w:gutter="0" w:footer="0" w:header="0"/>
        </w:sectPr>
      </w:pPr>
    </w:p>
    <w:bookmarkStart w:id="222" w:name="page223"/>
    <w:bookmarkEnd w:id="22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ADMINISTRATION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Committee</w:t>
      </w:r>
      <w:r>
        <w:rPr>
          <w:rFonts w:ascii="Arial" w:cs="Arial" w:eastAsia="Arial" w:hAnsi="Arial"/>
          <w:sz w:val="16"/>
          <w:szCs w:val="16"/>
          <w:color w:val="auto"/>
        </w:rPr>
        <w:t>. The Company’s Executive Vice President with supervisory responsibility for the Company’s Human Resources Department (“EVP”) shall appoint at least three (3) persons to serve as the Committee. The EVP may, but is not required to, appoint himself or herself to serve on the Committee and to act as Chairperson of such Committee. The Committee shall be the Administrator and the “named fiduciary” of the Plan, as defined in section 402(a)(2) of ERISA. Each member of the Committee may, but need not be, a director, officer or Employee of a Participating Company and each shall serve until his or her successor is appointed in like manner. Any member of the Committee may resign by delivering his or her written resignation to the EVP prior to the effective date of such resignation. In addition, if a member of the Committee is an Employee at the time of his or her appointment, he or she will automatically cease to be a member of the Committee when his or her employment with a Participating Company terminates. The EVP may remove any member of the Committee by written action of the EVP prior to the effective date of such removal. In the event a member of the Committee dies or is removed (automatically or by the EVP), the EVP shall appoint a successor member if necessary to assure that at least three persons are serving as members of the Committee. Until such time as such successor member’ or members’ appointment is effective, the Committee shall continue to act with full power until the vacancy is filled.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w:t>
      </w:r>
    </w:p>
    <w:p>
      <w:pPr>
        <w:spacing w:after="0" w:line="90" w:lineRule="exact"/>
        <w:rPr>
          <w:sz w:val="20"/>
          <w:szCs w:val="20"/>
          <w:color w:val="auto"/>
        </w:rPr>
      </w:pPr>
    </w:p>
    <w:p>
      <w:pPr>
        <w:jc w:val="both"/>
        <w:ind w:left="920" w:firstLine="420"/>
        <w:spacing w:after="0" w:line="259" w:lineRule="auto"/>
        <w:rPr>
          <w:sz w:val="20"/>
          <w:szCs w:val="20"/>
          <w:color w:val="auto"/>
        </w:rPr>
      </w:pPr>
      <w:r>
        <w:rPr>
          <w:rFonts w:ascii="Arial" w:cs="Arial" w:eastAsia="Arial" w:hAnsi="Arial"/>
          <w:sz w:val="18"/>
          <w:szCs w:val="18"/>
          <w:color w:val="auto"/>
        </w:rPr>
        <w:t>10.2.1. The Committee shall have the general responsibility for the administration of the Plan and for carrying out its provisions. In addition to the duties and powers described elsewhere hereunder, the Committee shall have the discretion and authority to control and manage the operation and administration of the Plan.</w:t>
      </w:r>
    </w:p>
    <w:p>
      <w:pPr>
        <w:spacing w:after="0" w:line="59" w:lineRule="exact"/>
        <w:rPr>
          <w:sz w:val="20"/>
          <w:szCs w:val="20"/>
          <w:color w:val="auto"/>
        </w:rPr>
      </w:pPr>
    </w:p>
    <w:p>
      <w:pPr>
        <w:ind w:left="920" w:right="180" w:firstLine="420"/>
        <w:spacing w:after="0" w:line="268" w:lineRule="auto"/>
        <w:rPr>
          <w:sz w:val="20"/>
          <w:szCs w:val="20"/>
          <w:color w:val="auto"/>
        </w:rPr>
      </w:pPr>
      <w:r>
        <w:rPr>
          <w:rFonts w:ascii="Arial" w:cs="Arial" w:eastAsia="Arial" w:hAnsi="Arial"/>
          <w:sz w:val="18"/>
          <w:szCs w:val="18"/>
          <w:color w:val="auto"/>
        </w:rPr>
        <w:t>10.2.2. The Committee shall have all other duties and powers necessary or desirable to administer the Plan, including, but not limited to, the following:</w:t>
      </w:r>
    </w:p>
    <w:p>
      <w:pPr>
        <w:spacing w:after="0" w:line="132" w:lineRule="exact"/>
        <w:rPr>
          <w:sz w:val="20"/>
          <w:szCs w:val="20"/>
          <w:color w:val="auto"/>
        </w:rPr>
      </w:pPr>
    </w:p>
    <w:p>
      <w:pPr>
        <w:ind w:left="2180" w:hanging="232"/>
        <w:spacing w:after="0"/>
        <w:tabs>
          <w:tab w:leader="none" w:pos="21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communicate the terms of the Plan to Participants and beneficiaries;</w:t>
      </w:r>
    </w:p>
    <w:p>
      <w:pPr>
        <w:spacing w:after="0" w:line="171" w:lineRule="exact"/>
        <w:rPr>
          <w:rFonts w:ascii="Arial" w:cs="Arial" w:eastAsia="Arial" w:hAnsi="Arial"/>
          <w:sz w:val="18"/>
          <w:szCs w:val="18"/>
          <w:color w:val="auto"/>
        </w:rPr>
      </w:pPr>
    </w:p>
    <w:p>
      <w:pPr>
        <w:ind w:right="280" w:firstLine="1948"/>
        <w:spacing w:after="0" w:line="268" w:lineRule="auto"/>
        <w:tabs>
          <w:tab w:leader="none" w:pos="218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including forms and procedures for making elections and contributions under the Plan;</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administration of the Plan;</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keep records related to the Plan, including any other information required by ERISA or the Code;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80" w:right="299" w:bottom="1440" w:gutter="0" w:footer="0" w:header="0"/>
        </w:sectPr>
      </w:pPr>
    </w:p>
    <w:bookmarkStart w:id="223" w:name="page224"/>
    <w:bookmarkEnd w:id="223"/>
    <w:p>
      <w:pPr>
        <w:ind w:right="380" w:firstLine="1948"/>
        <w:spacing w:after="0" w:line="268" w:lineRule="auto"/>
        <w:tabs>
          <w:tab w:leader="none" w:pos="2179"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appoint, discharge and periodically monitor the performance of third party administrators, insurers, service providers, other agents, consultants, accountants and attorneys in the administration of the Plan;</w:t>
      </w:r>
    </w:p>
    <w:p>
      <w:pPr>
        <w:spacing w:after="0" w:line="131" w:lineRule="exact"/>
        <w:rPr>
          <w:rFonts w:ascii="Arial" w:cs="Arial" w:eastAsia="Arial" w:hAnsi="Arial"/>
          <w:sz w:val="18"/>
          <w:szCs w:val="18"/>
          <w:color w:val="auto"/>
        </w:rPr>
      </w:pPr>
    </w:p>
    <w:p>
      <w:pPr>
        <w:ind w:left="2160" w:hanging="212"/>
        <w:spacing w:after="0"/>
        <w:tabs>
          <w:tab w:leader="none" w:pos="21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to determine whether any domestic relations order received by the Plan is a qualified domestic relations order as provided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414(p) of the Code;</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prepare and file any reports or returns with respect to the Plan required by the Code, ERISA or any other law;</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administration of the Plan;</w:t>
      </w:r>
    </w:p>
    <w:p>
      <w:pPr>
        <w:spacing w:after="0" w:line="171" w:lineRule="exact"/>
        <w:rPr>
          <w:rFonts w:ascii="Arial" w:cs="Arial" w:eastAsia="Arial" w:hAnsi="Arial"/>
          <w:sz w:val="18"/>
          <w:szCs w:val="18"/>
          <w:color w:val="auto"/>
        </w:rPr>
      </w:pPr>
    </w:p>
    <w:p>
      <w:pPr>
        <w:ind w:left="2160" w:hanging="212"/>
        <w:spacing w:after="0"/>
        <w:tabs>
          <w:tab w:leader="none" w:pos="21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to issue rules and regulations necessary for the proper conduct and administration of the Plan and to change, alter, or amend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rules and regulations;</w:t>
      </w:r>
    </w:p>
    <w:p>
      <w:pPr>
        <w:spacing w:after="0" w:line="164" w:lineRule="exact"/>
        <w:rPr>
          <w:rFonts w:ascii="Arial" w:cs="Arial" w:eastAsia="Arial" w:hAnsi="Arial"/>
          <w:sz w:val="16"/>
          <w:szCs w:val="16"/>
          <w:color w:val="auto"/>
        </w:rPr>
      </w:pPr>
    </w:p>
    <w:p>
      <w:pPr>
        <w:ind w:firstLine="1948"/>
        <w:spacing w:after="0" w:line="268" w:lineRule="auto"/>
        <w:tabs>
          <w:tab w:leader="none" w:pos="21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determine all questions arising in the administration of the Plan, to the extent the determination is not the responsibility of a third party administrator, insurer or some other entity;</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propose and accept settlements of claims involving the Plan;</w:t>
      </w:r>
    </w:p>
    <w:p>
      <w:pPr>
        <w:spacing w:after="0" w:line="171" w:lineRule="exact"/>
        <w:rPr>
          <w:rFonts w:ascii="Arial" w:cs="Arial" w:eastAsia="Arial" w:hAnsi="Arial"/>
          <w:sz w:val="18"/>
          <w:szCs w:val="18"/>
          <w:color w:val="auto"/>
        </w:rPr>
      </w:pPr>
    </w:p>
    <w:p>
      <w:pPr>
        <w:ind w:left="2160" w:hanging="212"/>
        <w:spacing w:after="0"/>
        <w:tabs>
          <w:tab w:leader="none" w:pos="2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direct the Trustee to pay benefits and Plan expenses properly chargeable to the Plan; and</w:t>
      </w:r>
    </w:p>
    <w:p>
      <w:pPr>
        <w:spacing w:after="0" w:line="171" w:lineRule="exact"/>
        <w:rPr>
          <w:rFonts w:ascii="Arial" w:cs="Arial" w:eastAsia="Arial" w:hAnsi="Arial"/>
          <w:sz w:val="18"/>
          <w:szCs w:val="18"/>
          <w:color w:val="auto"/>
        </w:rPr>
      </w:pPr>
    </w:p>
    <w:p>
      <w:pPr>
        <w:ind w:left="2240" w:hanging="292"/>
        <w:spacing w:after="0"/>
        <w:tabs>
          <w:tab w:leader="none" w:pos="22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such other duties or powers provided in the Plan or necessary to administer the Plan.</w:t>
      </w:r>
    </w:p>
    <w:p>
      <w:pPr>
        <w:spacing w:after="0" w:line="90" w:lineRule="exact"/>
        <w:rPr>
          <w:sz w:val="20"/>
          <w:szCs w:val="20"/>
          <w:color w:val="auto"/>
        </w:rPr>
      </w:pPr>
    </w:p>
    <w:p>
      <w:pPr>
        <w:ind w:left="920" w:right="80" w:firstLine="420"/>
        <w:spacing w:after="0" w:line="268" w:lineRule="auto"/>
        <w:rPr>
          <w:sz w:val="20"/>
          <w:szCs w:val="20"/>
          <w:color w:val="auto"/>
        </w:rPr>
      </w:pPr>
      <w:r>
        <w:rPr>
          <w:rFonts w:ascii="Arial" w:cs="Arial" w:eastAsia="Arial" w:hAnsi="Arial"/>
          <w:sz w:val="18"/>
          <w:szCs w:val="18"/>
          <w:color w:val="auto"/>
        </w:rPr>
        <w:t>10.2.3. The Committee shall have exclusive authority and discretion to manage and control the assets of the Plan, including, but not limited to the following</w:t>
      </w:r>
    </w:p>
    <w:p>
      <w:pPr>
        <w:spacing w:after="0" w:line="132" w:lineRule="exact"/>
        <w:rPr>
          <w:sz w:val="20"/>
          <w:szCs w:val="20"/>
          <w:color w:val="auto"/>
        </w:rPr>
      </w:pPr>
    </w:p>
    <w:p>
      <w:pPr>
        <w:ind w:left="2180" w:hanging="232"/>
        <w:spacing w:after="0"/>
        <w:tabs>
          <w:tab w:leader="none" w:pos="21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establish the Plan’s overall investment policy, including asset allocation, investment policy statement or investment guidelines;</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appoint and remove a Trustee or Trustees with respect to a portion of or all of the assets of the Trust;</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direct such Trustee(s) with respect to the investment and management of the Plan’s assets, including any voting rights for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held by the Trustee;</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direct the Trustee to pay investment-related expenses properly chargeable to the Plan, including Trustee expenses;</w:t>
      </w:r>
    </w:p>
    <w:p>
      <w:pPr>
        <w:spacing w:after="0" w:line="171" w:lineRule="exact"/>
        <w:rPr>
          <w:rFonts w:ascii="Arial" w:cs="Arial" w:eastAsia="Arial" w:hAnsi="Arial"/>
          <w:sz w:val="18"/>
          <w:szCs w:val="18"/>
          <w:color w:val="auto"/>
        </w:rPr>
      </w:pPr>
    </w:p>
    <w:p>
      <w:pPr>
        <w:ind w:right="580" w:firstLine="1948"/>
        <w:spacing w:after="0" w:line="268" w:lineRule="auto"/>
        <w:tabs>
          <w:tab w:leader="none" w:pos="217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enter into a trust agreement with such Trustee(s) on behalf of the Company, and approve any amendments to any such trust agreement, including single-client, common and collective trust arrangements;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224" w:name="page225"/>
    <w:bookmarkEnd w:id="224"/>
    <w:p>
      <w:pPr>
        <w:ind w:right="20" w:firstLine="1948"/>
        <w:spacing w:after="0" w:line="268" w:lineRule="auto"/>
        <w:tabs>
          <w:tab w:leader="none" w:pos="2159"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 into insurance contracts and arrangements, including contracts for participation in single-client or pooled separate accounts to facilitate the investment of plan assets; and</w:t>
      </w:r>
    </w:p>
    <w:p>
      <w:pPr>
        <w:spacing w:after="0" w:line="131" w:lineRule="exact"/>
        <w:rPr>
          <w:rFonts w:ascii="Arial" w:cs="Arial" w:eastAsia="Arial" w:hAnsi="Arial"/>
          <w:sz w:val="18"/>
          <w:szCs w:val="18"/>
          <w:color w:val="auto"/>
        </w:rPr>
      </w:pPr>
    </w:p>
    <w:p>
      <w:pPr>
        <w:ind w:right="80" w:firstLine="1948"/>
        <w:spacing w:after="0" w:line="259" w:lineRule="auto"/>
        <w:tabs>
          <w:tab w:leader="none" w:pos="218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appoint, monitor and remove one or more investment manager(s), as defined in section 3(38) of ERISA, to manage any portion of the Trust or an insurance company single-client or pooled separate account, including the exercise of any voting rights of any securities managed by the investment manager.</w:t>
      </w:r>
    </w:p>
    <w:p>
      <w:pPr>
        <w:spacing w:after="0" w:line="59" w:lineRule="exact"/>
        <w:rPr>
          <w:sz w:val="20"/>
          <w:szCs w:val="20"/>
          <w:color w:val="auto"/>
        </w:rPr>
      </w:pPr>
    </w:p>
    <w:p>
      <w:pPr>
        <w:ind w:left="920" w:firstLine="420"/>
        <w:spacing w:after="0" w:line="298" w:lineRule="auto"/>
        <w:rPr>
          <w:sz w:val="20"/>
          <w:szCs w:val="20"/>
          <w:color w:val="auto"/>
        </w:rPr>
      </w:pPr>
      <w:r>
        <w:rPr>
          <w:rFonts w:ascii="Arial" w:cs="Arial" w:eastAsia="Arial" w:hAnsi="Arial"/>
          <w:sz w:val="16"/>
          <w:szCs w:val="16"/>
          <w:color w:val="auto"/>
        </w:rPr>
        <w:t>10.2.4. The Committee shall have complete discretion to interpret and construe the provisions of the Plan, make findings of fact, correct errors, and supply omissions. All decisions and interpretations of the Committee made pursuant to the Plan shall be final, conclusive and binding on all persons and may not be overturned unless found by a court to be arbitrary and capricious. The Committee shall have the powers necessary or desirable to carry out these responsibilities, including, but not limited to, the following:</w:t>
      </w:r>
    </w:p>
    <w:p>
      <w:pPr>
        <w:spacing w:after="0" w:line="113" w:lineRule="exact"/>
        <w:rPr>
          <w:sz w:val="20"/>
          <w:szCs w:val="20"/>
          <w:color w:val="auto"/>
        </w:rPr>
      </w:pPr>
    </w:p>
    <w:p>
      <w:pPr>
        <w:ind w:right="360" w:firstLine="1948"/>
        <w:spacing w:after="0" w:line="268" w:lineRule="auto"/>
        <w:tabs>
          <w:tab w:leader="none" w:pos="217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filing claims for benefits under the Plan;</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determination of benefits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payable under the Plan;</w:t>
      </w:r>
    </w:p>
    <w:p>
      <w:pPr>
        <w:spacing w:after="0" w:line="164" w:lineRule="exact"/>
        <w:rPr>
          <w:rFonts w:ascii="Arial" w:cs="Arial" w:eastAsia="Arial" w:hAnsi="Arial"/>
          <w:sz w:val="16"/>
          <w:szCs w:val="16"/>
          <w:color w:val="auto"/>
        </w:rPr>
      </w:pPr>
    </w:p>
    <w:p>
      <w:pPr>
        <w:ind w:left="2180" w:hanging="232"/>
        <w:spacing w:after="0"/>
        <w:tabs>
          <w:tab w:leader="none" w:pos="2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keep records related to claims for benefits filed and paid under the Plan;</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determine and enforce any limits on benefit elections hereunder;</w:t>
      </w:r>
    </w:p>
    <w:p>
      <w:pPr>
        <w:spacing w:after="0" w:line="171" w:lineRule="exact"/>
        <w:rPr>
          <w:rFonts w:ascii="Arial" w:cs="Arial" w:eastAsia="Arial" w:hAnsi="Arial"/>
          <w:sz w:val="18"/>
          <w:szCs w:val="18"/>
          <w:color w:val="auto"/>
        </w:rPr>
      </w:pPr>
    </w:p>
    <w:p>
      <w:pPr>
        <w:jc w:val="both"/>
        <w:ind w:right="380" w:firstLine="1948"/>
        <w:spacing w:after="0" w:line="256" w:lineRule="auto"/>
        <w:tabs>
          <w:tab w:leader="none" w:pos="217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payment or nonpayment of benefits under the Plan, specifically, and without limitation, to recover erroneous overpayments made by the Plan to a Participant or beneficiary, in whatever manner the Committee deems appropriate, including suspensions or recoupment of, or offsets against, future payments, including benefit payments or wages, due that Participant, dependent or beneficiary;</w:t>
      </w:r>
    </w:p>
    <w:p>
      <w:pPr>
        <w:spacing w:after="0" w:line="143" w:lineRule="exact"/>
        <w:rPr>
          <w:rFonts w:ascii="Arial" w:cs="Arial" w:eastAsia="Arial" w:hAnsi="Arial"/>
          <w:sz w:val="18"/>
          <w:szCs w:val="18"/>
          <w:color w:val="auto"/>
        </w:rPr>
      </w:pPr>
    </w:p>
    <w:p>
      <w:pPr>
        <w:ind w:right="280" w:firstLine="1948"/>
        <w:spacing w:after="0" w:line="268" w:lineRule="auto"/>
        <w:tabs>
          <w:tab w:leader="none" w:pos="215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determine questions relating to coverage and participation under the Plan and the rights of Participants or beneficiaries to the extent the determination is not the responsibility of a third party administrator, insurer or some other entity;</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propose and accept settlements and offsets of claims, overpayments and other disputes involving claims for benefits under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4" w:lineRule="exact"/>
        <w:rPr>
          <w:rFonts w:ascii="Arial" w:cs="Arial" w:eastAsia="Arial" w:hAnsi="Arial"/>
          <w:sz w:val="16"/>
          <w:szCs w:val="16"/>
          <w:color w:val="auto"/>
        </w:rPr>
      </w:pPr>
    </w:p>
    <w:p>
      <w:pPr>
        <w:ind w:right="240" w:firstLine="1948"/>
        <w:spacing w:after="0" w:line="268" w:lineRule="auto"/>
        <w:tabs>
          <w:tab w:leader="none" w:pos="218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compute the amount and kind of benefits payable to Participants and beneficiaries, to the extent such determination is not the responsibility of a third party administrator, insurer, or some other entity; and</w:t>
      </w:r>
    </w:p>
    <w:p>
      <w:pPr>
        <w:spacing w:after="0" w:line="131" w:lineRule="exact"/>
        <w:rPr>
          <w:rFonts w:ascii="Arial" w:cs="Arial" w:eastAsia="Arial" w:hAnsi="Arial"/>
          <w:sz w:val="18"/>
          <w:szCs w:val="18"/>
          <w:color w:val="auto"/>
        </w:rPr>
      </w:pPr>
    </w:p>
    <w:p>
      <w:pPr>
        <w:ind w:left="5560" w:right="240" w:hanging="3612"/>
        <w:spacing w:after="0" w:line="440" w:lineRule="auto"/>
        <w:tabs>
          <w:tab w:leader="none" w:pos="21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direct the Trustee to pay benefits and any Plan expenses properly chargeable to the Plan that are related to claims for benefits. -55-</w:t>
      </w:r>
    </w:p>
    <w:p>
      <w:pPr>
        <w:sectPr>
          <w:pgSz w:w="11900" w:h="16838" w:orient="portrait"/>
          <w:cols w:equalWidth="0" w:num="1">
            <w:col w:w="11400"/>
          </w:cols>
          <w:pgMar w:left="240" w:top="280" w:right="259" w:bottom="1440" w:gutter="0" w:footer="0" w:header="0"/>
        </w:sectPr>
      </w:pPr>
    </w:p>
    <w:bookmarkStart w:id="225" w:name="page226"/>
    <w:bookmarkEnd w:id="225"/>
    <w:p>
      <w:pPr>
        <w:ind w:left="460" w:right="200" w:firstLine="4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10.2.5. The Committee shall be deemed to have delegated its responsibilities for determining benefits and eligibility for benefits to a third party administrator, insurer or other fiduciary where such person has been appointed by the Committee to make such determinations. In such case, such other person shall have the duties and powers as the Committee as set forth above, including the complete discretion to interpret and construe the provisions of the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Functioning of Committee</w:t>
      </w:r>
      <w:r>
        <w:rPr>
          <w:rFonts w:ascii="Arial" w:cs="Arial" w:eastAsia="Arial" w:hAnsi="Arial"/>
          <w:sz w:val="18"/>
          <w:szCs w:val="18"/>
          <w:color w:val="auto"/>
        </w:rPr>
        <w:t>.</w:t>
      </w:r>
    </w:p>
    <w:p>
      <w:pPr>
        <w:spacing w:after="0" w:line="90" w:lineRule="exact"/>
        <w:rPr>
          <w:sz w:val="20"/>
          <w:szCs w:val="20"/>
          <w:color w:val="auto"/>
        </w:rPr>
      </w:pPr>
    </w:p>
    <w:p>
      <w:pPr>
        <w:ind w:left="460" w:right="460" w:firstLine="420"/>
        <w:spacing w:after="0" w:line="332" w:lineRule="auto"/>
        <w:rPr>
          <w:sz w:val="20"/>
          <w:szCs w:val="20"/>
          <w:color w:val="auto"/>
        </w:rPr>
      </w:pPr>
      <w:r>
        <w:rPr>
          <w:rFonts w:ascii="Arial" w:cs="Arial" w:eastAsia="Arial" w:hAnsi="Arial"/>
          <w:sz w:val="16"/>
          <w:szCs w:val="16"/>
          <w:color w:val="auto"/>
        </w:rPr>
        <w:t>10.3.1. The Committee shall meet on a periodic, as-needed basis and shall enact such rules and regulations as it may deem necessary and proper to carry out its responsibilities. The Committee shall periodically report to the EVP concerning the discharge of its responsibilities.</w:t>
      </w:r>
    </w:p>
    <w:p>
      <w:pPr>
        <w:spacing w:after="0" w:line="4" w:lineRule="exact"/>
        <w:rPr>
          <w:sz w:val="20"/>
          <w:szCs w:val="20"/>
          <w:color w:val="auto"/>
        </w:rPr>
      </w:pPr>
    </w:p>
    <w:p>
      <w:pPr>
        <w:ind w:left="460" w:right="20" w:firstLine="420"/>
        <w:spacing w:after="0" w:line="289" w:lineRule="auto"/>
        <w:rPr>
          <w:sz w:val="20"/>
          <w:szCs w:val="20"/>
          <w:color w:val="auto"/>
        </w:rPr>
      </w:pPr>
      <w:r>
        <w:rPr>
          <w:rFonts w:ascii="Arial" w:cs="Arial" w:eastAsia="Arial" w:hAnsi="Arial"/>
          <w:sz w:val="16"/>
          <w:szCs w:val="16"/>
          <w:color w:val="auto"/>
        </w:rPr>
        <w:t>10.3.2. The EVP shall designate one member, which may be the EVP, to be the Chairperson. The Chairperson shall be responsible for conducting Committee meetings. The Committee will keep regular records of all meetings and decisions. Any act which the Plan authorizes or requires the Committee to do may be done by a vote of those persons serving as members of the Committee at a meeting at which a quorum is present or recorded in writing without a meeting. A quorum for the transaction of business at any meeting of the Committee shall consist of a majority of the members of the Committee then in office. Actions at a meeting of the Committee at which a quorum is present shall be taken by a majority of those members in attendance. The Committee may act in writing without a meeting provided such action has the written concurrence of a majority of the members of the Committee then serving. It shall have the same effect for all purposes as if assented to by all of the members in office at that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Allocation and Delegation of Duties</w:t>
      </w:r>
      <w:r>
        <w:rPr>
          <w:rFonts w:ascii="Arial" w:cs="Arial" w:eastAsia="Arial" w:hAnsi="Arial"/>
          <w:sz w:val="18"/>
          <w:szCs w:val="18"/>
          <w:color w:val="auto"/>
        </w:rPr>
        <w:t>. The Committee shall have the authority to:</w:t>
      </w:r>
    </w:p>
    <w:p>
      <w:pPr>
        <w:spacing w:after="0" w:line="90" w:lineRule="exact"/>
        <w:rPr>
          <w:sz w:val="20"/>
          <w:szCs w:val="20"/>
          <w:color w:val="auto"/>
        </w:rPr>
      </w:pPr>
    </w:p>
    <w:p>
      <w:pPr>
        <w:ind w:left="460" w:firstLine="420"/>
        <w:spacing w:after="0" w:line="291" w:lineRule="auto"/>
        <w:rPr>
          <w:sz w:val="20"/>
          <w:szCs w:val="20"/>
          <w:color w:val="auto"/>
        </w:rPr>
      </w:pPr>
      <w:r>
        <w:rPr>
          <w:rFonts w:ascii="Arial" w:cs="Arial" w:eastAsia="Arial" w:hAnsi="Arial"/>
          <w:sz w:val="16"/>
          <w:szCs w:val="16"/>
          <w:color w:val="auto"/>
        </w:rPr>
        <w:t>10.4.1. allocate, from time-to-time, by a written instrument filed in its records, all or any part of its responsibilities under the Plan to one or more of its members, including a subcommittee, as may be deemed advisable, and in the same manner to revoke such allocation of responsibilities. In the exercise of such allocated responsibilities, any action of the member or subcommittee to whom responsibilities are allocated shall have the same force and effect for all purposes hereunder as if such action had been taken by the Committee. The Committee shall not be liable for any acts or omissions of such member or subcommittee. The member or subcommittee to whom responsibilities have been allocated shall periodically report to the Committee concerning the discharge of the allocated responsibilities.</w:t>
      </w:r>
    </w:p>
    <w:p>
      <w:pPr>
        <w:spacing w:after="0" w:line="39" w:lineRule="exact"/>
        <w:rPr>
          <w:sz w:val="20"/>
          <w:szCs w:val="20"/>
          <w:color w:val="auto"/>
        </w:rPr>
      </w:pPr>
    </w:p>
    <w:p>
      <w:pPr>
        <w:ind w:left="460" w:right="300" w:firstLine="420"/>
        <w:spacing w:after="0" w:line="259" w:lineRule="auto"/>
        <w:rPr>
          <w:sz w:val="20"/>
          <w:szCs w:val="20"/>
          <w:color w:val="auto"/>
        </w:rPr>
      </w:pPr>
      <w:r>
        <w:rPr>
          <w:rFonts w:ascii="Arial" w:cs="Arial" w:eastAsia="Arial" w:hAnsi="Arial"/>
          <w:sz w:val="18"/>
          <w:szCs w:val="18"/>
          <w:color w:val="auto"/>
        </w:rPr>
        <w:t>10.4.2. delegate, from time-to-time, by a written instrument filed in its records, all or any part of its responsibilities under the Plan to such person or persons as the Committee may deem advisable (and may authorize such person to delegate such responsibilities to such other person or persons as the Committee shall authorize) and in the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700" w:top="280" w:right="239" w:bottom="1440" w:gutter="0" w:footer="0" w:header="0"/>
        </w:sectPr>
      </w:pPr>
    </w:p>
    <w:bookmarkStart w:id="226" w:name="page227"/>
    <w:bookmarkEnd w:id="226"/>
    <w:p>
      <w:pPr>
        <w:ind w:left="9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same manner to revoke any such delegation of responsibilities. Any action of the delegate in the exercise of such delegated responsibilities shall have the same force and effect for all purposes hereunder as if such action had been taken by the Committee. The Committee shall not be liable for any acts or omissions of any such delegate. The delegate shall periodically report to Committee concerning the discharge of the delegated responsibilities.</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Plan Expenses</w:t>
      </w:r>
      <w:r>
        <w:rPr>
          <w:rFonts w:ascii="Arial" w:cs="Arial" w:eastAsia="Arial" w:hAnsi="Arial"/>
          <w:sz w:val="18"/>
          <w:szCs w:val="18"/>
          <w:color w:val="auto"/>
        </w:rPr>
        <w:t>. All fees and expenses incurred in connection with the operation and administration of the Plan, including, but not limited to, Committee, legal, accounting, actuarial, investment, Trustee, management, and administrative fees and expenses may be paid out of the Trust or any other Plan asset to the extent that it is legally permissible for these fees and expenses to be so paid. A Participating Company may, but is not required, to pay such fees and expenses directly. A Participating Company may also advance amounts properly payable by the Plan or Trust and then obtain reimbursement from the Plan or Trust for these advances.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Information to be Supplied by a Participating Company</w:t>
      </w:r>
      <w:r>
        <w:rPr>
          <w:rFonts w:ascii="Arial" w:cs="Arial" w:eastAsia="Arial" w:hAnsi="Arial"/>
          <w:sz w:val="18"/>
          <w:szCs w:val="18"/>
          <w:color w:val="auto"/>
        </w:rPr>
        <w:t>. Each Participating Company shall provide the Committee or its delegates with such information as they shall from time-to-time need or reasonably request in the discharge of its duties. The Committee may rely conclusively on the information provided.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171" w:lineRule="exact"/>
        <w:rPr>
          <w:sz w:val="20"/>
          <w:szCs w:val="20"/>
          <w:color w:val="auto"/>
        </w:rPr>
      </w:pPr>
    </w:p>
    <w:p>
      <w:pPr>
        <w:ind w:right="420" w:firstLine="1484"/>
        <w:spacing w:after="0" w:line="268" w:lineRule="auto"/>
        <w:rPr>
          <w:sz w:val="20"/>
          <w:szCs w:val="20"/>
          <w:color w:val="auto"/>
        </w:rPr>
      </w:pPr>
      <w:r>
        <w:rPr>
          <w:rFonts w:ascii="Arial" w:cs="Arial" w:eastAsia="Arial" w:hAnsi="Arial"/>
          <w:sz w:val="18"/>
          <w:szCs w:val="18"/>
          <w:color w:val="auto"/>
        </w:rPr>
        <w:t>10.7.1. If the Committee denies, in whole or in part, a claim for benefits by a Participant or his beneficiary, the Committee shall furnish notice of the denial to the claimant, setting forth:</w:t>
      </w:r>
    </w:p>
    <w:p>
      <w:pPr>
        <w:spacing w:after="0" w:line="132" w:lineRule="exact"/>
        <w:rPr>
          <w:sz w:val="20"/>
          <w:szCs w:val="20"/>
          <w:color w:val="auto"/>
        </w:rPr>
      </w:pPr>
    </w:p>
    <w:p>
      <w:pPr>
        <w:ind w:left="2180" w:hanging="232"/>
        <w:spacing w:after="0"/>
        <w:tabs>
          <w:tab w:leader="none" w:pos="2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specific reference to the pertinent Plan provisions on which the denial is based;</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description of any additional information necessary for the claimant to perfect the claim and an explanation of why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information is necessary; and</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if the claimant wishes to submit his claim for review.</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notice shall be forwarded to the claimant within 90 days of the Committee’s receipt of the claim; provided, however, that in special circumstances the Committee may extend the response period for up to an additional 90 days, in which event it shall notify the claimant in writing of the extension, and shall specify the reason or reasons for the extension.</w:t>
      </w:r>
    </w:p>
    <w:p>
      <w:pPr>
        <w:spacing w:after="0" w:line="140" w:lineRule="exact"/>
        <w:rPr>
          <w:sz w:val="20"/>
          <w:szCs w:val="20"/>
          <w:color w:val="auto"/>
        </w:rPr>
      </w:pPr>
    </w:p>
    <w:p>
      <w:pPr>
        <w:ind w:right="80" w:firstLine="1484"/>
        <w:spacing w:after="0" w:line="256" w:lineRule="auto"/>
        <w:rPr>
          <w:sz w:val="20"/>
          <w:szCs w:val="20"/>
          <w:color w:val="auto"/>
        </w:rPr>
      </w:pPr>
      <w:r>
        <w:rPr>
          <w:rFonts w:ascii="Arial" w:cs="Arial" w:eastAsia="Arial" w:hAnsi="Arial"/>
          <w:sz w:val="18"/>
          <w:szCs w:val="18"/>
          <w:color w:val="auto"/>
        </w:rPr>
        <w:t>10.7.2. Within 60 days of receipt of a notice of claim denial, a claimant or his duly authorized representative may petition the Committee in writing for a full and fair review of the denial. The claimant or his duly authorized representative shall have the opportunity to review pertinent documents and to submit issues and comments in writing to the Committee. The Committee shall review the denial and shall communicate its decision and the reasons therefor to the claimant in writing within 60 days of receipt of the petition; provided,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227" w:name="page228"/>
    <w:bookmarkEnd w:id="22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however, that in special circumstances the Committee may extend the response period for up to an additional 60 days, in which event it shall notify the claimant in writing prior to the commencement of the extension. The appeals procedure set forth in this Section 10.7 shall be the exclusive means for contesting a decision denying benefits under the Plan.</w:t>
      </w:r>
    </w:p>
    <w:p>
      <w:pPr>
        <w:spacing w:after="0" w:line="140" w:lineRule="exact"/>
        <w:rPr>
          <w:sz w:val="20"/>
          <w:szCs w:val="20"/>
          <w:color w:val="auto"/>
        </w:rPr>
      </w:pPr>
    </w:p>
    <w:p>
      <w:pPr>
        <w:ind w:right="80" w:firstLine="1484"/>
        <w:spacing w:after="0" w:line="294" w:lineRule="auto"/>
        <w:rPr>
          <w:sz w:val="20"/>
          <w:szCs w:val="20"/>
          <w:color w:val="auto"/>
        </w:rPr>
      </w:pPr>
      <w:r>
        <w:rPr>
          <w:rFonts w:ascii="Arial" w:cs="Arial" w:eastAsia="Arial" w:hAnsi="Arial"/>
          <w:sz w:val="16"/>
          <w:szCs w:val="16"/>
          <w:color w:val="auto"/>
        </w:rPr>
        <w:t xml:space="preserve">10.7.3. </w:t>
      </w:r>
      <w:r>
        <w:rPr>
          <w:rFonts w:ascii="Arial" w:cs="Arial" w:eastAsia="Arial" w:hAnsi="Arial"/>
          <w:sz w:val="16"/>
          <w:szCs w:val="16"/>
          <w:u w:val="single" w:color="auto"/>
          <w:color w:val="auto"/>
        </w:rPr>
        <w:t>Exhaustion and Limitations Period</w:t>
      </w:r>
      <w:r>
        <w:rPr>
          <w:rFonts w:ascii="Arial" w:cs="Arial" w:eastAsia="Arial" w:hAnsi="Arial"/>
          <w:sz w:val="16"/>
          <w:szCs w:val="16"/>
          <w:color w:val="auto"/>
        </w:rPr>
        <w:t>. Claimants must exhaust the procedures described in Section 10.7 before taking action in any other forum regarding a claim for benefits under the Plan. Any suit or legal action initiated by a claimant under the Plan must be brought by the claimant no later than one (1) year following a final decision on the claim for benefits under these claims procedures. The one (1)-year statute of limitations on suits for benefits shall apply in any forum where a claimant initiates such suit or legal action. If a civil action is not filed within this period, the claimant’s benefit claim will be deemed permanently waived and abandoned, and the claimant will be precluded from reasserting it.</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member (or former member) of the Committee, and any other person who is an Employee or director of a Participating Company or an Affiliated Company (or a former employee or director of a Participating Company or an Affiliated Company) shall be indemnified and held harmless by the Company against and with respect to all damages, losses, obligations, liabilities, liens, deficiencies, costs and expenses, including without limitation, reasonable attorney’s fees and other costs incident to any suit, action, investigation, claim or proceedings to which he may be a party by reason of his performance of any functions and duties under the Plan, except in relation to matters as to which he shall be held liable for an act of gross negligence or willful misconduct in the performance of his duties. The foregoing right to indemnification shall be in addition to such other rights as the Committee member (or former member) or other person may enjoy as a matter of law or by reason of insurance coverage of any kind. Rights granted hereunder shall be in addition to and not in lieu of any rights to indemnification to which the Committee member (or former member) or other person may be entitled pursuant to the by-laws of the Participating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228" w:name="page229"/>
    <w:bookmarkEnd w:id="228"/>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THE FUND</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Designation of Trustee</w:t>
      </w:r>
      <w:r>
        <w:rPr>
          <w:rFonts w:ascii="Arial" w:cs="Arial" w:eastAsia="Arial" w:hAnsi="Arial"/>
          <w:sz w:val="18"/>
          <w:szCs w:val="18"/>
          <w:color w:val="auto"/>
        </w:rPr>
        <w:t>. The Committee shall name and designate a Trustee and shall enter into a Trust Agreement. The Committee shall have the power to amend the Trust Agreement, remove the Trustee, and designate a successor Trustee, as provided in the Trust Agreement. All of the assets of the Plan shall be held by the Trustee for use in accordance with the Plan.</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Exclusive Benefit</w:t>
      </w:r>
      <w:r>
        <w:rPr>
          <w:rFonts w:ascii="Arial" w:cs="Arial" w:eastAsia="Arial" w:hAnsi="Arial"/>
          <w:sz w:val="18"/>
          <w:szCs w:val="18"/>
          <w:color w:val="auto"/>
        </w:rPr>
        <w:t>. Prior to the satisfaction of all liabilities under the Plan in the event of termination of the Plan, no part of the corpus or income of the Fund shall be used for or diverted to purposes other than for the exclusive benefit of Participants and their beneficiaries except as expressly provided in this Plan and in the Trust Agreement.</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assets or income of the Fund, except to the extent expressly provided in this Plan and in the Trust Agreement.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Trustee</w:t>
      </w:r>
      <w:r>
        <w:rPr>
          <w:rFonts w:ascii="Arial" w:cs="Arial" w:eastAsia="Arial" w:hAnsi="Arial"/>
          <w:sz w:val="18"/>
          <w:szCs w:val="18"/>
          <w:color w:val="auto"/>
        </w:rPr>
        <w:t>. The Trustee shall be the named fiduciary with respect to management and control of Plan assets held by it and shall have exclusive and sole responsibility for the custody and investment thereof in accordance with the Trust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171" w:lineRule="exact"/>
        <w:rPr>
          <w:sz w:val="20"/>
          <w:szCs w:val="20"/>
          <w:color w:val="auto"/>
        </w:rPr>
      </w:pPr>
    </w:p>
    <w:p>
      <w:pPr>
        <w:ind w:right="120" w:firstLine="1484"/>
        <w:spacing w:after="0" w:line="298" w:lineRule="auto"/>
        <w:rPr>
          <w:sz w:val="20"/>
          <w:szCs w:val="20"/>
          <w:color w:val="auto"/>
        </w:rPr>
      </w:pPr>
      <w:r>
        <w:rPr>
          <w:rFonts w:ascii="Arial" w:cs="Arial" w:eastAsia="Arial" w:hAnsi="Arial"/>
          <w:sz w:val="16"/>
          <w:szCs w:val="16"/>
          <w:color w:val="auto"/>
        </w:rPr>
        <w:t>11.5.1. Except as provided in Section 11.5.5, the Trustee shall invest all contributions that are paid to it and income thereon in such Investment Media as each Participant may select in accordance with this Section. The Investment Media made available to Participants shall include Investment Media solely invested in Company Stock (except to the extent that cash or a cash equivalent is necessary to provide liquidity to comply with Participant investment direction). Such investments acquired in the manner prescribed by the Plan shall be held by or for the Trustee.</w:t>
      </w:r>
    </w:p>
    <w:p>
      <w:pPr>
        <w:spacing w:after="0" w:line="113"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color w:val="auto"/>
        </w:rPr>
        <w:t>11.5.2. Except as provided in Sections 11.5.5 through 11.5.7, a Participant shall select one or more of the Investment Media in which his Accounts shall be invested, and the percentage thereof that shall be invested in each Investment Medium selected. In the event a Participant fails to make an election pursuant to this Section, amounts allocated to his Account shall be invested in such Investment Medium or Investment Media as determined by the Committee. In the event a Participant fails to make an election pursuant to this Section with respect to amounts allocated to his Account pursuant to his automatic enrollment in the Plan, such amounts allocated to his Account shall be invested in the Investment Media as determined by the Committee. A Participant may amend such selection by prior notice to the Committee, effective as of such dates determined by the Committee, by giving prior notice to the Committee. Such amendments will be subject to the other requirements which may be imposed by the Committee or the applicable Investment Medium.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80" w:right="279" w:bottom="1440" w:gutter="0" w:footer="0" w:header="0"/>
        </w:sectPr>
      </w:pPr>
    </w:p>
    <w:bookmarkStart w:id="229" w:name="page230"/>
    <w:bookmarkEnd w:id="229"/>
    <w:p>
      <w:pPr>
        <w:ind w:right="280"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11.5.3. Subject to Section 11.5.7, a Participant may transfer, effective as of such dates determined by the Committee, such portion of the value of his interest in any Investment Medium to another Investment Medium, as may be permitted by the Committee.</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11.5.4. The amounts contributed by all Participants to each Investment Medium shall be commingled for investment purposes.</w:t>
      </w:r>
    </w:p>
    <w:p>
      <w:pPr>
        <w:spacing w:after="0" w:line="194" w:lineRule="exact"/>
        <w:rPr>
          <w:sz w:val="20"/>
          <w:szCs w:val="20"/>
          <w:color w:val="auto"/>
        </w:rPr>
      </w:pPr>
    </w:p>
    <w:p>
      <w:pPr>
        <w:ind w:right="280" w:firstLine="1484"/>
        <w:spacing w:after="0" w:line="268" w:lineRule="auto"/>
        <w:rPr>
          <w:sz w:val="20"/>
          <w:szCs w:val="20"/>
          <w:color w:val="auto"/>
        </w:rPr>
      </w:pPr>
      <w:r>
        <w:rPr>
          <w:rFonts w:ascii="Arial" w:cs="Arial" w:eastAsia="Arial" w:hAnsi="Arial"/>
          <w:sz w:val="18"/>
          <w:szCs w:val="18"/>
          <w:color w:val="auto"/>
        </w:rPr>
        <w:t>11.5.5. The Trustee may hold assets of the Fund and make distributions therefrom in the form of cash without liability for interest, if for administrative purposes it becomes necessary or practical to do so.</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11.5.6. The Committee may limit the right of a Participant (a) to increase or decrease his contribution to a particular Investment Medium,</w:t>
      </w:r>
    </w:p>
    <w:p>
      <w:pPr>
        <w:spacing w:after="0" w:line="38" w:lineRule="exact"/>
        <w:rPr>
          <w:sz w:val="20"/>
          <w:szCs w:val="20"/>
          <w:color w:val="auto"/>
        </w:rPr>
      </w:pPr>
    </w:p>
    <w:p>
      <w:pPr>
        <w:jc w:val="both"/>
        <w:ind w:firstLine="8"/>
        <w:spacing w:after="0" w:line="255" w:lineRule="auto"/>
        <w:tabs>
          <w:tab w:leader="none" w:pos="24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transfer amounts to or from a particular Investment Medium, or (c) to transfer amounts between particular Investment Media, if such limitation is required under the terms establishing an Investment Medium or to facilitate the merger of any other plan with and into this Plan, or the transfer or rollover of benefits into this Plan.</w:t>
      </w:r>
    </w:p>
    <w:p>
      <w:pPr>
        <w:spacing w:after="0" w:line="144" w:lineRule="exact"/>
        <w:rPr>
          <w:sz w:val="20"/>
          <w:szCs w:val="20"/>
          <w:color w:val="auto"/>
        </w:rPr>
      </w:pPr>
    </w:p>
    <w:p>
      <w:pPr>
        <w:jc w:val="both"/>
        <w:ind w:right="100" w:firstLine="1484"/>
        <w:spacing w:after="0" w:line="294" w:lineRule="auto"/>
        <w:rPr>
          <w:sz w:val="20"/>
          <w:szCs w:val="20"/>
          <w:color w:val="auto"/>
        </w:rPr>
      </w:pPr>
      <w:r>
        <w:rPr>
          <w:rFonts w:ascii="Arial" w:cs="Arial" w:eastAsia="Arial" w:hAnsi="Arial"/>
          <w:sz w:val="16"/>
          <w:szCs w:val="16"/>
          <w:color w:val="auto"/>
        </w:rPr>
        <w:t>11.5.7. Prior to the AT&amp;T Broadband Transaction, individuals who were Participants in the Plan prior to the Effective Date could elect to invest all or a portion of their Accounts in Investment Stock. Effective after the AT&amp;T Broadband Transaction, Investment Stock is no longer available for new investments, and, except as provided in this Article, Participants may invest in Company Stock instead. Subject to Sections 11.5.5 and 11.5.6, all or a portion of the value of a Participant’s interest in Investment Stock may be transferred to a different Investment Medium, including Company Stock, at the election of such Participant; however, a Participant may not transfer a portion of the value of his interest in any Investment Medium to Investment Stock.</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280" w:right="339" w:bottom="1440" w:gutter="0" w:footer="0" w:header="0"/>
        </w:sectPr>
      </w:pPr>
    </w:p>
    <w:bookmarkStart w:id="230" w:name="page231"/>
    <w:bookmarkEnd w:id="230"/>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AMENDMENT OR TERMINATION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Power of Amendment and Termination</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306" w:lineRule="auto"/>
        <w:rPr>
          <w:sz w:val="20"/>
          <w:szCs w:val="20"/>
          <w:color w:val="auto"/>
        </w:rPr>
      </w:pPr>
      <w:r>
        <w:rPr>
          <w:rFonts w:ascii="Arial" w:cs="Arial" w:eastAsia="Arial" w:hAnsi="Arial"/>
          <w:sz w:val="16"/>
          <w:szCs w:val="16"/>
          <w:color w:val="auto"/>
        </w:rPr>
        <w:t>12.1.1. It is the intention of each Participating Company that this Plan will be permanent. However, each Participating Company reserves the right to terminate its participation in this Plan at any time by action of its board of directors or other governing body. Furthermore, the Company reserves the power to amend or terminate the Plan at any time and to any extent by action of the Board of Directors.</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12.1.2. In addition,</w:t>
      </w:r>
    </w:p>
    <w:p>
      <w:pPr>
        <w:spacing w:after="0" w:line="171" w:lineRule="exact"/>
        <w:rPr>
          <w:sz w:val="20"/>
          <w:szCs w:val="20"/>
          <w:color w:val="auto"/>
        </w:rPr>
      </w:pPr>
    </w:p>
    <w:p>
      <w:pPr>
        <w:ind w:left="2180" w:hanging="232"/>
        <w:spacing w:after="0"/>
        <w:tabs>
          <w:tab w:leader="none" w:pos="2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Compensation Committee of the Board of Directors may approve any amendment to the Plan;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EVP may approve any amendment to the Plan:</w:t>
      </w:r>
    </w:p>
    <w:p>
      <w:pPr>
        <w:spacing w:after="0" w:line="171" w:lineRule="exact"/>
        <w:rPr>
          <w:rFonts w:ascii="Arial" w:cs="Arial" w:eastAsia="Arial" w:hAnsi="Arial"/>
          <w:sz w:val="18"/>
          <w:szCs w:val="18"/>
          <w:color w:val="auto"/>
        </w:rPr>
      </w:pPr>
    </w:p>
    <w:p>
      <w:pPr>
        <w:ind w:right="160" w:firstLine="2404"/>
        <w:spacing w:after="0" w:line="268" w:lineRule="auto"/>
        <w:tabs>
          <w:tab w:leader="none" w:pos="260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that is required by law or necessary or appropriate to maintain the Plan as a plan meeting the requirements of Code section 401(a), retroactively if necessary or appropriate;</w:t>
      </w:r>
    </w:p>
    <w:p>
      <w:pPr>
        <w:spacing w:after="0" w:line="131" w:lineRule="exact"/>
        <w:rPr>
          <w:rFonts w:ascii="Arial" w:cs="Arial" w:eastAsia="Arial" w:hAnsi="Arial"/>
          <w:sz w:val="18"/>
          <w:szCs w:val="18"/>
          <w:color w:val="auto"/>
        </w:rPr>
      </w:pPr>
    </w:p>
    <w:p>
      <w:pPr>
        <w:ind w:left="2660" w:hanging="256"/>
        <w:spacing w:after="0"/>
        <w:tabs>
          <w:tab w:leader="none" w:pos="2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that is necessary to make clarifying changes or to correct a drafting error;</w:t>
      </w:r>
    </w:p>
    <w:p>
      <w:pPr>
        <w:spacing w:after="0" w:line="171" w:lineRule="exact"/>
        <w:rPr>
          <w:rFonts w:ascii="Arial" w:cs="Arial" w:eastAsia="Arial" w:hAnsi="Arial"/>
          <w:sz w:val="18"/>
          <w:szCs w:val="18"/>
          <w:color w:val="auto"/>
        </w:rPr>
      </w:pPr>
    </w:p>
    <w:p>
      <w:pPr>
        <w:ind w:right="40" w:firstLine="2404"/>
        <w:spacing w:after="0" w:line="259" w:lineRule="auto"/>
        <w:tabs>
          <w:tab w:leader="none" w:pos="270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designate as a Participating Company, any organization subject to the adoption of the Plan by action of such organization’s board of directors or other governing body, provided that as a result of such designation, the number of individuals reasonably expected to become eligible to participate in the Plan does not exceed 1,000;</w:t>
      </w:r>
    </w:p>
    <w:p>
      <w:pPr>
        <w:spacing w:after="0" w:line="140" w:lineRule="exact"/>
        <w:rPr>
          <w:rFonts w:ascii="Arial" w:cs="Arial" w:eastAsia="Arial" w:hAnsi="Arial"/>
          <w:sz w:val="18"/>
          <w:szCs w:val="18"/>
          <w:color w:val="auto"/>
        </w:rPr>
      </w:pPr>
    </w:p>
    <w:p>
      <w:pPr>
        <w:ind w:right="180" w:firstLine="2404"/>
        <w:spacing w:after="0" w:line="259" w:lineRule="auto"/>
        <w:tabs>
          <w:tab w:leader="none" w:pos="269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exclude from status as a Participating Company any subsidiary of the Company which is eligible to file a consolidated federal income tax return with the Company, provided that as a result of such exclusion, the number of individuals reasonably expected to be excluded from eligibility to participate in the Plan does not exceed 1,000; or</w:t>
      </w:r>
    </w:p>
    <w:p>
      <w:pPr>
        <w:spacing w:after="0" w:line="140" w:lineRule="exact"/>
        <w:rPr>
          <w:rFonts w:ascii="Arial" w:cs="Arial" w:eastAsia="Arial" w:hAnsi="Arial"/>
          <w:sz w:val="18"/>
          <w:szCs w:val="18"/>
          <w:color w:val="auto"/>
        </w:rPr>
      </w:pPr>
    </w:p>
    <w:p>
      <w:pPr>
        <w:ind w:left="2660" w:hanging="256"/>
        <w:spacing w:after="0"/>
        <w:tabs>
          <w:tab w:leader="none" w:pos="266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that is not expected to increase the costs of the Plan by more than $10 million annually based on a reasonable actuarial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estimate.</w:t>
      </w:r>
    </w:p>
    <w:p>
      <w:pPr>
        <w:spacing w:after="0" w:line="165" w:lineRule="exact"/>
        <w:rPr>
          <w:sz w:val="20"/>
          <w:szCs w:val="20"/>
          <w:color w:val="auto"/>
        </w:rPr>
      </w:pPr>
    </w:p>
    <w:p>
      <w:pPr>
        <w:ind w:right="180" w:firstLine="1484"/>
        <w:spacing w:after="0" w:line="306" w:lineRule="auto"/>
        <w:rPr>
          <w:sz w:val="20"/>
          <w:szCs w:val="20"/>
          <w:color w:val="auto"/>
        </w:rPr>
      </w:pPr>
      <w:r>
        <w:rPr>
          <w:rFonts w:ascii="Arial" w:cs="Arial" w:eastAsia="Arial" w:hAnsi="Arial"/>
          <w:sz w:val="16"/>
          <w:szCs w:val="16"/>
          <w:color w:val="auto"/>
        </w:rPr>
        <w:t>12.1.3 Any amendment or termination of the Plan shall become effective as of the date designated by the Board of Directors, the Compensation Committee of the Board of Directors or EVP; provided however, that an amendment to the Plan shall not be effective to the extent that it has the effect of decreasing a Participant’s accrued benefit under section 411(d)(6) of the Code. Except as expressly provided elsewhere in the Plan, prior to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80" w:right="279" w:bottom="1440" w:gutter="0" w:footer="0" w:header="0"/>
        </w:sectPr>
      </w:pPr>
    </w:p>
    <w:bookmarkStart w:id="231" w:name="page232"/>
    <w:bookmarkEnd w:id="23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satisfaction of all liabilities with respect to the benefits provided under this Plan, no amendment or termination shall cause any part of the monies contributed hereunder to revert to the Participating Companies or to be diverted to any purpose other than for the exclusive benefit of Participants and their beneficiaries. Upon termination or partial termination of the Plan, or upon complete discontinuance of contributions, the rights of all affected persons to benefits accrued to the date of such termination shall be nonforfeitable. Upon termination of the plan without establishment or maintenance of another defined contribution plan (other than an employee stock ownership plan as defined in section 4975(e)(7) of the Code or a simplified employee pension plan as defined in Section 408(k) of the Code), Accounts shall be distributed in accordance with applicable law.</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Section 12.2. </w:t>
      </w:r>
      <w:r>
        <w:rPr>
          <w:rFonts w:ascii="Arial" w:cs="Arial" w:eastAsia="Arial" w:hAnsi="Arial"/>
          <w:sz w:val="15"/>
          <w:szCs w:val="15"/>
          <w:u w:val="single" w:color="auto"/>
          <w:color w:val="auto"/>
        </w:rPr>
        <w:t>Merger</w:t>
      </w:r>
      <w:r>
        <w:rPr>
          <w:rFonts w:ascii="Arial" w:cs="Arial" w:eastAsia="Arial" w:hAnsi="Arial"/>
          <w:sz w:val="15"/>
          <w:szCs w:val="15"/>
          <w:color w:val="auto"/>
        </w:rPr>
        <w:t>. The Plan shall not be merged with or consolidated with, nor shall its assets be transferred to, any other qualified retirement plan unless each Participant would receive a benefit after such merger, consolidation, or transfer (assuming the Plan then terminated) which is of actuarial value equal to or greater than the benefit he would have received from his Account if the Plan had been terminated on the day before such merger, consolidation, or transfer.</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20"/>
          </w:cols>
          <w:pgMar w:left="240" w:top="280" w:right="339" w:bottom="1440" w:gutter="0" w:footer="0" w:header="0"/>
        </w:sectPr>
      </w:pPr>
    </w:p>
    <w:bookmarkStart w:id="232" w:name="page233"/>
    <w:bookmarkEnd w:id="23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XIII</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TOP-HEAVY PROVISIONS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General</w:t>
      </w:r>
      <w:r>
        <w:rPr>
          <w:rFonts w:ascii="Arial" w:cs="Arial" w:eastAsia="Arial" w:hAnsi="Arial"/>
          <w:sz w:val="18"/>
          <w:szCs w:val="18"/>
          <w:color w:val="auto"/>
        </w:rPr>
        <w:t>. The following provisions shall apply automatically to the Plan and shall supersede any contrary provisions for each Plan Year in which the Plan is a Top-Heavy Plan (as defined below). It is intended that this Article shall be construed in accordance with the provisions of section 416 of the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supplement those set forth in Article I of the Plan:</w:t>
      </w:r>
    </w:p>
    <w:p>
      <w:pPr>
        <w:spacing w:after="0" w:line="171" w:lineRule="exact"/>
        <w:rPr>
          <w:sz w:val="20"/>
          <w:szCs w:val="20"/>
          <w:color w:val="auto"/>
        </w:rPr>
      </w:pPr>
    </w:p>
    <w:p>
      <w:pPr>
        <w:ind w:right="220" w:firstLine="1484"/>
        <w:spacing w:after="0" w:line="332" w:lineRule="auto"/>
        <w:rPr>
          <w:sz w:val="20"/>
          <w:szCs w:val="20"/>
          <w:color w:val="auto"/>
        </w:rPr>
      </w:pPr>
      <w:r>
        <w:rPr>
          <w:rFonts w:ascii="Arial" w:cs="Arial" w:eastAsia="Arial" w:hAnsi="Arial"/>
          <w:sz w:val="16"/>
          <w:szCs w:val="16"/>
          <w:color w:val="auto"/>
        </w:rPr>
        <w:t>13.2.1. “</w:t>
      </w:r>
      <w:r>
        <w:rPr>
          <w:rFonts w:ascii="Arial" w:cs="Arial" w:eastAsia="Arial" w:hAnsi="Arial"/>
          <w:sz w:val="16"/>
          <w:szCs w:val="16"/>
          <w:u w:val="single" w:color="auto"/>
          <w:color w:val="auto"/>
        </w:rPr>
        <w:t>Aggregation Group</w:t>
      </w:r>
      <w:r>
        <w:rPr>
          <w:rFonts w:ascii="Arial" w:cs="Arial" w:eastAsia="Arial" w:hAnsi="Arial"/>
          <w:sz w:val="16"/>
          <w:szCs w:val="16"/>
          <w:color w:val="auto"/>
        </w:rPr>
        <w:t>” means this plan and each other qualified retirement plan (including a frozen plan or a plan which has been terminated during the 60-month period ending on the Determination Date) of a Participating Company or an Affiliated Company:</w:t>
      </w:r>
    </w:p>
    <w:p>
      <w:pPr>
        <w:spacing w:after="0" w:line="85" w:lineRule="exact"/>
        <w:rPr>
          <w:sz w:val="20"/>
          <w:szCs w:val="20"/>
          <w:color w:val="auto"/>
        </w:rPr>
      </w:pPr>
    </w:p>
    <w:p>
      <w:pPr>
        <w:ind w:left="2180" w:hanging="232"/>
        <w:spacing w:after="0"/>
        <w:tabs>
          <w:tab w:leader="none" w:pos="2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which a Key Employee is a participant; or</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which enables any plan in which a Key Employee participates to meet the requirements of sections 401(a)(4) or 410 of the Code;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65" w:lineRule="exact"/>
        <w:rPr>
          <w:sz w:val="20"/>
          <w:szCs w:val="20"/>
          <w:color w:val="auto"/>
        </w:rPr>
      </w:pPr>
    </w:p>
    <w:p>
      <w:pPr>
        <w:ind w:right="40" w:firstLine="1948"/>
        <w:spacing w:after="0" w:line="332" w:lineRule="auto"/>
        <w:tabs>
          <w:tab w:leader="none" w:pos="217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without the inclusion of which, the plans in the Aggregation Group would be Top-Heavy Plans, but, with the inclusion of which, the plans in the Aggregation Group are not Top-Heavy Plans and, taken together, meet the requirements of sections 401(a)(4) and 410 of the Code.</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13.2.2. “</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for any Plan Year, the last day of the preceding Plan Year.</w:t>
      </w:r>
    </w:p>
    <w:p>
      <w:pPr>
        <w:spacing w:after="0" w:line="171" w:lineRule="exact"/>
        <w:rPr>
          <w:sz w:val="20"/>
          <w:szCs w:val="20"/>
          <w:color w:val="auto"/>
        </w:rPr>
      </w:pPr>
    </w:p>
    <w:p>
      <w:pPr>
        <w:ind w:right="160" w:firstLine="1484"/>
        <w:spacing w:after="0" w:line="254" w:lineRule="auto"/>
        <w:rPr>
          <w:sz w:val="20"/>
          <w:szCs w:val="20"/>
          <w:color w:val="auto"/>
        </w:rPr>
      </w:pPr>
      <w:r>
        <w:rPr>
          <w:rFonts w:ascii="Arial" w:cs="Arial" w:eastAsia="Arial" w:hAnsi="Arial"/>
          <w:sz w:val="18"/>
          <w:szCs w:val="18"/>
          <w:color w:val="auto"/>
        </w:rPr>
        <w:t>13.2.3. “</w:t>
      </w:r>
      <w:r>
        <w:rPr>
          <w:rFonts w:ascii="Arial" w:cs="Arial" w:eastAsia="Arial" w:hAnsi="Arial"/>
          <w:sz w:val="18"/>
          <w:szCs w:val="18"/>
          <w:u w:val="single" w:color="auto"/>
          <w:color w:val="auto"/>
        </w:rPr>
        <w:t>Key Employee</w:t>
      </w:r>
      <w:r>
        <w:rPr>
          <w:rFonts w:ascii="Arial" w:cs="Arial" w:eastAsia="Arial" w:hAnsi="Arial"/>
          <w:sz w:val="18"/>
          <w:szCs w:val="18"/>
          <w:color w:val="auto"/>
        </w:rPr>
        <w:t>” means any Employee or former Employee (including any deceased Employee) who at any time during the Plan Year that includes the Determination Date was an officer of a Participating Company having Compensation for a Plan Year greater than $165,000 (as adjusted under section 415(i)(1) of the Code), a 5% owner of a Participating Company, or a 1% owner of a Participating Company having Compensation in excess of $150,000. For this purpose, Compensation means compensation within the meaning of section 415(c)(3) of the Code. The determination of who is a key employee will be made in accordance with section 416(i)(1) of the Code and the applicable regulations and other guidance of general applicability issued thereunder.</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240" w:top="280" w:right="399" w:bottom="1440" w:gutter="0" w:footer="0" w:header="0"/>
        </w:sectPr>
      </w:pPr>
    </w:p>
    <w:bookmarkStart w:id="233" w:name="page234"/>
    <w:bookmarkEnd w:id="233"/>
    <w:p>
      <w:pPr>
        <w:ind w:right="380" w:firstLine="1484"/>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13.2.4. “</w:t>
      </w:r>
      <w:r>
        <w:rPr>
          <w:rFonts w:ascii="Arial" w:cs="Arial" w:eastAsia="Arial" w:hAnsi="Arial"/>
          <w:sz w:val="16"/>
          <w:szCs w:val="16"/>
          <w:u w:val="single" w:color="auto"/>
          <w:color w:val="auto"/>
        </w:rPr>
        <w:t>Key Employee Ratio</w:t>
      </w:r>
      <w:r>
        <w:rPr>
          <w:rFonts w:ascii="Arial" w:cs="Arial" w:eastAsia="Arial" w:hAnsi="Arial"/>
          <w:sz w:val="16"/>
          <w:szCs w:val="16"/>
          <w:color w:val="auto"/>
        </w:rPr>
        <w:t>” means, for any Determination Date, the ratio of the amount described in Section 13.2.4(a) to the amount described in Section 13.2.4(b), after deducting from each such amount any portion thereof described in Section 13.2.4(c), where:</w:t>
      </w:r>
    </w:p>
    <w:p>
      <w:pPr>
        <w:spacing w:after="0" w:line="85" w:lineRule="exact"/>
        <w:rPr>
          <w:sz w:val="20"/>
          <w:szCs w:val="20"/>
          <w:color w:val="auto"/>
        </w:rPr>
      </w:pPr>
    </w:p>
    <w:p>
      <w:pPr>
        <w:ind w:left="2180" w:hanging="232"/>
        <w:spacing w:after="0"/>
        <w:tabs>
          <w:tab w:leader="none" w:pos="2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present value of all accrued benefits of Key Employees under all qualified defined benefit plans included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Aggregation Group;</w:t>
      </w:r>
    </w:p>
    <w:p>
      <w:pPr>
        <w:spacing w:after="0" w:line="16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(2) the balances in all of the accounts of Key Employees under all qualified defined contribution plans included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Aggregation Group; and</w:t>
      </w:r>
    </w:p>
    <w:p>
      <w:pPr>
        <w:spacing w:after="0" w:line="165" w:lineRule="exact"/>
        <w:rPr>
          <w:sz w:val="20"/>
          <w:szCs w:val="20"/>
          <w:color w:val="auto"/>
        </w:rPr>
      </w:pPr>
    </w:p>
    <w:p>
      <w:pPr>
        <w:ind w:right="200" w:firstLine="2404"/>
        <w:spacing w:after="0" w:line="306" w:lineRule="auto"/>
        <w:tabs>
          <w:tab w:leader="none" w:pos="2645"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amounts distributed from all plans in such Aggregation Group to or on behalf of any Key Employee during the 1-year period (5-year period for distributions made for a reason other than incurring a Severance from Service Date, death or Total Disability) ending on the Determination Date, except any benefit paid on account of death to the extent it exceeds the accrued benefits or account balances immediately prior to death;</w:t>
      </w:r>
    </w:p>
    <w:p>
      <w:pPr>
        <w:spacing w:after="0" w:line="106" w:lineRule="exact"/>
        <w:rPr>
          <w:rFonts w:ascii="Arial" w:cs="Arial" w:eastAsia="Arial" w:hAnsi="Arial"/>
          <w:sz w:val="16"/>
          <w:szCs w:val="16"/>
          <w:color w:val="auto"/>
        </w:rPr>
      </w:pPr>
    </w:p>
    <w:p>
      <w:pPr>
        <w:ind w:left="2200" w:hanging="252"/>
        <w:spacing w:after="0"/>
        <w:tabs>
          <w:tab w:leader="none" w:pos="2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present value of all accrued benefits of all participants under all qualified defined benefit plans included in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Aggregation Group;</w:t>
      </w:r>
    </w:p>
    <w:p>
      <w:pPr>
        <w:spacing w:after="0" w:line="164" w:lineRule="exact"/>
        <w:rPr>
          <w:rFonts w:ascii="Arial" w:cs="Arial" w:eastAsia="Arial" w:hAnsi="Arial"/>
          <w:sz w:val="16"/>
          <w:szCs w:val="16"/>
          <w:color w:val="auto"/>
        </w:rPr>
      </w:pPr>
    </w:p>
    <w:p>
      <w:pPr>
        <w:ind w:left="2660" w:hanging="256"/>
        <w:spacing w:after="0"/>
        <w:tabs>
          <w:tab w:leader="none" w:pos="266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balances in all of the accounts of all participants under all qualified defined contribution plans included in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Aggregation Group; and</w:t>
      </w:r>
    </w:p>
    <w:p>
      <w:pPr>
        <w:spacing w:after="0" w:line="164" w:lineRule="exact"/>
        <w:rPr>
          <w:rFonts w:ascii="Arial" w:cs="Arial" w:eastAsia="Arial" w:hAnsi="Arial"/>
          <w:sz w:val="16"/>
          <w:szCs w:val="16"/>
          <w:color w:val="auto"/>
        </w:rPr>
      </w:pPr>
    </w:p>
    <w:p>
      <w:pPr>
        <w:ind w:firstLine="2404"/>
        <w:spacing w:after="0" w:line="259" w:lineRule="auto"/>
        <w:tabs>
          <w:tab w:leader="none" w:pos="264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amounts distributed from all plans in such Aggregation Group to or on behalf of any participant during the 1-year period (5-year period for distributions made for a reason other than incurring a Severance from Service Date, death or Total Disability) ending on the Determination Date; and</w:t>
      </w:r>
    </w:p>
    <w:p>
      <w:pPr>
        <w:spacing w:after="0" w:line="140" w:lineRule="exact"/>
        <w:rPr>
          <w:rFonts w:ascii="Arial" w:cs="Arial" w:eastAsia="Arial" w:hAnsi="Arial"/>
          <w:sz w:val="18"/>
          <w:szCs w:val="18"/>
          <w:color w:val="auto"/>
        </w:rPr>
      </w:pPr>
    </w:p>
    <w:p>
      <w:pPr>
        <w:ind w:left="2180" w:hanging="232"/>
        <w:spacing w:after="0"/>
        <w:tabs>
          <w:tab w:leader="none" w:pos="21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171" w:lineRule="exact"/>
        <w:rPr>
          <w:rFonts w:ascii="Arial" w:cs="Arial" w:eastAsia="Arial" w:hAnsi="Arial"/>
          <w:sz w:val="18"/>
          <w:szCs w:val="18"/>
          <w:color w:val="auto"/>
        </w:rPr>
      </w:pPr>
    </w:p>
    <w:p>
      <w:pPr>
        <w:ind w:right="500" w:firstLine="2404"/>
        <w:spacing w:after="0" w:line="268" w:lineRule="auto"/>
        <w:tabs>
          <w:tab w:leader="none" w:pos="264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rollover contributions (or fund to fund transfers) to the Plan by an Employee after December 31, 1983 from a plan sponsored by an employer which is not a Participating Company or an Affiliated Company;</w:t>
      </w:r>
    </w:p>
    <w:p>
      <w:pPr>
        <w:spacing w:after="0" w:line="131" w:lineRule="exact"/>
        <w:rPr>
          <w:rFonts w:ascii="Arial" w:cs="Arial" w:eastAsia="Arial" w:hAnsi="Arial"/>
          <w:sz w:val="18"/>
          <w:szCs w:val="18"/>
          <w:color w:val="auto"/>
        </w:rPr>
      </w:pPr>
    </w:p>
    <w:p>
      <w:pPr>
        <w:ind w:right="100" w:firstLine="2404"/>
        <w:spacing w:after="0" w:line="268" w:lineRule="auto"/>
        <w:tabs>
          <w:tab w:leader="none" w:pos="264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is a Non-Key Employee as to the Plan Year of reference but who was a Key Employee as to any earlier Plan Year; and</w:t>
      </w:r>
    </w:p>
    <w:p>
      <w:pPr>
        <w:spacing w:after="0" w:line="131" w:lineRule="exact"/>
        <w:rPr>
          <w:rFonts w:ascii="Arial" w:cs="Arial" w:eastAsia="Arial" w:hAnsi="Arial"/>
          <w:sz w:val="18"/>
          <w:szCs w:val="18"/>
          <w:color w:val="auto"/>
        </w:rPr>
      </w:pPr>
    </w:p>
    <w:p>
      <w:pPr>
        <w:ind w:right="400" w:firstLine="2404"/>
        <w:spacing w:after="0" w:line="268" w:lineRule="auto"/>
        <w:tabs>
          <w:tab w:leader="none" w:pos="264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has not performed any services for any Participating Company during the 1-year period ending on the Determination Date.</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present value of accrued benefits under any defined benefit plan shall be determined under the method used for accrual purposes for all plans maintained by all Participating Companies and Affiliated Companies if a single method is used by all such plans, or, otherwise, the slowest accrual method permitted under section 411(b)(1)(C) of the Code.</w:t>
      </w:r>
    </w:p>
    <w:p>
      <w:pPr>
        <w:spacing w:after="0" w:line="14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purposes of Sections 13.2.4(a)(3) and (b)(3), distributions under a terminated plan which, had it not been terminated, would have been aggregated with the Plan under section 416(g)(2)(A)(i) of the Code shall also be included. The accrued benefits and accounts of any individual who has not performed services for a Participating Company during the 1-year period ending on the Determination Date shall not be taken into account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234" w:name="page235"/>
    <w:bookmarkEnd w:id="234"/>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13.2.5. “</w:t>
      </w:r>
      <w:r>
        <w:rPr>
          <w:rFonts w:ascii="Arial" w:cs="Arial" w:eastAsia="Arial" w:hAnsi="Arial"/>
          <w:sz w:val="18"/>
          <w:szCs w:val="18"/>
          <w:u w:val="single" w:color="auto"/>
          <w:color w:val="auto"/>
        </w:rPr>
        <w:t>Non-Key Employee</w:t>
      </w:r>
      <w:r>
        <w:rPr>
          <w:rFonts w:ascii="Arial" w:cs="Arial" w:eastAsia="Arial" w:hAnsi="Arial"/>
          <w:sz w:val="18"/>
          <w:szCs w:val="18"/>
          <w:color w:val="auto"/>
        </w:rPr>
        <w:t>” means, for any Plan Year:</w:t>
      </w:r>
    </w:p>
    <w:p>
      <w:pPr>
        <w:spacing w:after="0" w:line="171" w:lineRule="exact"/>
        <w:rPr>
          <w:sz w:val="20"/>
          <w:szCs w:val="20"/>
          <w:color w:val="auto"/>
        </w:rPr>
      </w:pPr>
    </w:p>
    <w:p>
      <w:pPr>
        <w:ind w:left="2180" w:hanging="232"/>
        <w:spacing w:after="0"/>
        <w:tabs>
          <w:tab w:leader="none" w:pos="2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 Employee or former Employee who is not a Key Employee with respect to such Plan Year; or</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beneficiary of an individual described in Section 13.2.5(a).</w:t>
      </w:r>
    </w:p>
    <w:p>
      <w:pPr>
        <w:spacing w:after="0" w:line="171" w:lineRule="exact"/>
        <w:rPr>
          <w:sz w:val="20"/>
          <w:szCs w:val="20"/>
          <w:color w:val="auto"/>
        </w:rPr>
      </w:pPr>
    </w:p>
    <w:p>
      <w:pPr>
        <w:ind w:right="260" w:firstLine="1484"/>
        <w:spacing w:after="0" w:line="268" w:lineRule="auto"/>
        <w:rPr>
          <w:sz w:val="20"/>
          <w:szCs w:val="20"/>
          <w:color w:val="auto"/>
        </w:rPr>
      </w:pPr>
      <w:r>
        <w:rPr>
          <w:rFonts w:ascii="Arial" w:cs="Arial" w:eastAsia="Arial" w:hAnsi="Arial"/>
          <w:sz w:val="18"/>
          <w:szCs w:val="18"/>
          <w:color w:val="auto"/>
        </w:rPr>
        <w:t>13.2.6. “</w:t>
      </w:r>
      <w:r>
        <w:rPr>
          <w:rFonts w:ascii="Arial" w:cs="Arial" w:eastAsia="Arial" w:hAnsi="Arial"/>
          <w:sz w:val="18"/>
          <w:szCs w:val="18"/>
          <w:u w:val="single" w:color="auto"/>
          <w:color w:val="auto"/>
        </w:rPr>
        <w:t>Super 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ninety percent (90%).</w:t>
      </w:r>
    </w:p>
    <w:p>
      <w:pPr>
        <w:spacing w:after="0" w:line="132"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13.2.7. “</w:t>
      </w:r>
      <w:r>
        <w:rPr>
          <w:rFonts w:ascii="Arial" w:cs="Arial" w:eastAsia="Arial" w:hAnsi="Arial"/>
          <w:sz w:val="18"/>
          <w:szCs w:val="18"/>
          <w:u w:val="single" w:color="auto"/>
          <w:color w:val="auto"/>
        </w:rPr>
        <w:t>Top-Heavy Compensation</w:t>
      </w:r>
      <w:r>
        <w:rPr>
          <w:rFonts w:ascii="Arial" w:cs="Arial" w:eastAsia="Arial" w:hAnsi="Arial"/>
          <w:sz w:val="18"/>
          <w:szCs w:val="18"/>
          <w:color w:val="auto"/>
        </w:rPr>
        <w:t>” means, for any Participant for any Plan Year, the average of his annual Compensation over the period of five consecutive Plan Years (or, if shorter, the longest period of consecutive Plan Years during which the Participant was in the employ of any Participating Company) yielding the highest average, disregarding:</w:t>
      </w:r>
    </w:p>
    <w:p>
      <w:pPr>
        <w:spacing w:after="0" w:line="140" w:lineRule="exact"/>
        <w:rPr>
          <w:sz w:val="20"/>
          <w:szCs w:val="20"/>
          <w:color w:val="auto"/>
        </w:rPr>
      </w:pPr>
    </w:p>
    <w:p>
      <w:pPr>
        <w:ind w:left="2180" w:hanging="232"/>
        <w:spacing w:after="0"/>
        <w:tabs>
          <w:tab w:leader="none" w:pos="2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Compensation for Plan Years ending prior to January 1, 1984;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Compensation for Plan Years after the close of the last Plan Year in which the Plan was a Top-Heavy Plan.</w:t>
      </w:r>
    </w:p>
    <w:p>
      <w:pPr>
        <w:spacing w:after="0" w:line="171" w:lineRule="exact"/>
        <w:rPr>
          <w:sz w:val="20"/>
          <w:szCs w:val="20"/>
          <w:color w:val="auto"/>
        </w:rPr>
      </w:pPr>
    </w:p>
    <w:p>
      <w:pPr>
        <w:ind w:right="720" w:firstLine="1484"/>
        <w:spacing w:after="0" w:line="268" w:lineRule="auto"/>
        <w:rPr>
          <w:sz w:val="20"/>
          <w:szCs w:val="20"/>
          <w:color w:val="auto"/>
        </w:rPr>
      </w:pPr>
      <w:r>
        <w:rPr>
          <w:rFonts w:ascii="Arial" w:cs="Arial" w:eastAsia="Arial" w:hAnsi="Arial"/>
          <w:sz w:val="18"/>
          <w:szCs w:val="18"/>
          <w:color w:val="auto"/>
        </w:rPr>
        <w:t>13.2.8. “</w:t>
      </w:r>
      <w:r>
        <w:rPr>
          <w:rFonts w:ascii="Arial" w:cs="Arial" w:eastAsia="Arial" w:hAnsi="Arial"/>
          <w:sz w:val="18"/>
          <w:szCs w:val="18"/>
          <w:u w:val="single" w:color="auto"/>
          <w:color w:val="auto"/>
        </w:rPr>
        <w:t>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sixty percent (60%).</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13.2.9. “</w:t>
      </w:r>
      <w:r>
        <w:rPr>
          <w:rFonts w:ascii="Arial" w:cs="Arial" w:eastAsia="Arial" w:hAnsi="Arial"/>
          <w:sz w:val="16"/>
          <w:szCs w:val="16"/>
          <w:u w:val="single" w:color="auto"/>
          <w:color w:val="auto"/>
        </w:rPr>
        <w:t>Year of Top-Heavy Service</w:t>
      </w:r>
      <w:r>
        <w:rPr>
          <w:rFonts w:ascii="Arial" w:cs="Arial" w:eastAsia="Arial" w:hAnsi="Arial"/>
          <w:sz w:val="16"/>
          <w:szCs w:val="16"/>
          <w:color w:val="auto"/>
        </w:rPr>
        <w:t>” means, for any Participant, a Plan Year in which he completes 1,000 or more Hours of Service,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excluding:</w:t>
      </w:r>
    </w:p>
    <w:p>
      <w:pPr>
        <w:spacing w:after="0" w:line="165" w:lineRule="exact"/>
        <w:rPr>
          <w:sz w:val="20"/>
          <w:szCs w:val="20"/>
          <w:color w:val="auto"/>
        </w:rPr>
      </w:pPr>
    </w:p>
    <w:p>
      <w:pPr>
        <w:ind w:left="2180" w:hanging="232"/>
        <w:spacing w:after="0"/>
        <w:tabs>
          <w:tab w:leader="none" w:pos="2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Plan Years commencing prior to January 1, 1984;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Plan Years in which the Plan is not a Top-Heavy Plan.</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Minimum Contribution for Non-Key Employees</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91" w:lineRule="auto"/>
        <w:rPr>
          <w:sz w:val="20"/>
          <w:szCs w:val="20"/>
          <w:color w:val="auto"/>
        </w:rPr>
      </w:pPr>
      <w:r>
        <w:rPr>
          <w:rFonts w:ascii="Arial" w:cs="Arial" w:eastAsia="Arial" w:hAnsi="Arial"/>
          <w:sz w:val="16"/>
          <w:szCs w:val="16"/>
          <w:color w:val="auto"/>
        </w:rPr>
        <w:t>13.3.1. In each Plan Year in which the Plan is a Top-Heavy Plan, each Eligible Employee who is a Non-Key Employee (except an Eligible Employee who is a Non-Key Employee as to the Plan Year of reference but who was a Key Employee as to any earlier Plan Year) and who is an Employee on the last day of such Plan Year will receive a total minimum Participating Company or Affiliated Company contribution (including forfeitures) under all plans described in Sections 13.2.1(a) and (b) of not less than three percent (3%) of the Eligible Employee’s Compensation for the Plan Year. Elective deferrals to such plans shall not be used to meet the minimum contribution requirements. However, employer matching contributions under the Plan shall be taken into account for purposes of satisfying the minimum contribution requirements of section 416(c)(2) of the Code and the Plan. Employer matching</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80" w:right="279" w:bottom="1440" w:gutter="0" w:footer="0" w:header="0"/>
        </w:sectPr>
      </w:pPr>
    </w:p>
    <w:bookmarkStart w:id="235" w:name="page236"/>
    <w:bookmarkEnd w:id="235"/>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contributions that are used to satisfy the minimum contribution requirements shall be treated as matching contributions for purposes of the actual contribution percentage test and other requirements of section 401(m) of the Code.</w:t>
      </w:r>
    </w:p>
    <w:p>
      <w:pPr>
        <w:spacing w:after="0" w:line="132" w:lineRule="exact"/>
        <w:rPr>
          <w:sz w:val="20"/>
          <w:szCs w:val="20"/>
          <w:color w:val="auto"/>
        </w:rPr>
      </w:pPr>
    </w:p>
    <w:p>
      <w:pPr>
        <w:ind w:right="60" w:firstLine="1484"/>
        <w:spacing w:after="0" w:line="254" w:lineRule="auto"/>
        <w:rPr>
          <w:sz w:val="20"/>
          <w:szCs w:val="20"/>
          <w:color w:val="auto"/>
        </w:rPr>
      </w:pPr>
      <w:r>
        <w:rPr>
          <w:rFonts w:ascii="Arial" w:cs="Arial" w:eastAsia="Arial" w:hAnsi="Arial"/>
          <w:sz w:val="18"/>
          <w:szCs w:val="18"/>
          <w:color w:val="auto"/>
        </w:rPr>
        <w:t>13.3.2. The percentage set forth in Section 13.3.1 shall be reduced to the percentage at which contributions, including forfeitures, are made (or are required to be made) for a Plan Year for the Key Employee for whom such percentage is the highest for that Plan Year. This percentage shall be determined for each Key Employee by dividing the contribution for such Key Employee by his Compensation for the Plan Year. All defined contribution plans required to be included in an Aggregation Group shall be treated as one plan for the purpose; however, this Section shall not apply to any plan which is required to be included in the Aggregation Group if such plan enables a defined benefit plan in the group to meet the requirements of section 401(a)(4) or section 410 of the Code.</w:t>
      </w:r>
    </w:p>
    <w:p>
      <w:pPr>
        <w:spacing w:after="0" w:line="144" w:lineRule="exact"/>
        <w:rPr>
          <w:sz w:val="20"/>
          <w:szCs w:val="20"/>
          <w:color w:val="auto"/>
        </w:rPr>
      </w:pPr>
    </w:p>
    <w:p>
      <w:pPr>
        <w:ind w:firstLine="1484"/>
        <w:spacing w:after="0" w:line="298" w:lineRule="auto"/>
        <w:rPr>
          <w:sz w:val="20"/>
          <w:szCs w:val="20"/>
          <w:color w:val="auto"/>
        </w:rPr>
      </w:pPr>
      <w:r>
        <w:rPr>
          <w:rFonts w:ascii="Arial" w:cs="Arial" w:eastAsia="Arial" w:hAnsi="Arial"/>
          <w:sz w:val="16"/>
          <w:szCs w:val="16"/>
          <w:color w:val="auto"/>
        </w:rPr>
        <w:t>13.3.3. If a Non-Key Employee described in Section 13.3.1 participates in both a defined benefit plan and a defined contribution plan described in Sections 13.2.1(a) and (b), the Participating Company is not required to provide such Employee with both the minimum benefit under the defined benefit plan and the minimum contribution. In such event, the Non-Key Employee shall not receive the minimum contribution described in this Section if he has the minimum benefit required by section 416 of the Code under the defined benefit Top-Heavy Plan.</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Social Security</w:t>
      </w:r>
      <w:r>
        <w:rPr>
          <w:rFonts w:ascii="Arial" w:cs="Arial" w:eastAsia="Arial" w:hAnsi="Arial"/>
          <w:sz w:val="18"/>
          <w:szCs w:val="18"/>
          <w:color w:val="auto"/>
        </w:rPr>
        <w:t>. The Plan, for each Plan Year in which it is a Top-Heavy Plan, must meet the requirements of this Article without regard to any Social Security or similar contributions or benefits.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240" w:top="280" w:right="359" w:bottom="1440" w:gutter="0" w:footer="0" w:header="0"/>
        </w:sectPr>
      </w:pPr>
    </w:p>
    <w:bookmarkStart w:id="236" w:name="page237"/>
    <w:bookmarkEnd w:id="23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GENERAL PROVISIONS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Neither the action of the Company in establishing the Plan, nor of any Participating Company in adopting the Plan, nor any provisions of the Plan, nor any action taken by the Company, any Participating Company or the Committee shall be construed as giving to any Employee the right to be retained in the employ of the Company or any Participating Company, or any right to payment except to the extent of the benefits provided in the Plan to be paid from the Fund.</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14.2. </w:t>
      </w:r>
      <w:r>
        <w:rPr>
          <w:rFonts w:ascii="Arial" w:cs="Arial" w:eastAsia="Arial" w:hAnsi="Arial"/>
          <w:sz w:val="16"/>
          <w:szCs w:val="16"/>
          <w:u w:val="single" w:color="auto"/>
          <w:color w:val="auto"/>
        </w:rPr>
        <w:t>Governing Law</w:t>
      </w:r>
      <w:r>
        <w:rPr>
          <w:rFonts w:ascii="Arial" w:cs="Arial" w:eastAsia="Arial" w:hAnsi="Arial"/>
          <w:sz w:val="16"/>
          <w:szCs w:val="16"/>
          <w:color w:val="auto"/>
        </w:rPr>
        <w:t>. Except to the extent superseded by ERISA, all questions pertaining to the validity, construction, and operation of the Plan shall be determined in accordance with the laws of the Commonwealth of Pennsylvania, without regard to its conflicts of law doctrine.</w:t>
      </w:r>
    </w:p>
    <w:p>
      <w:pPr>
        <w:spacing w:after="0" w:line="85"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 xml:space="preserve">Section 14.3.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provisions determined to be void.</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principal or income of the Fund, except as and to the extent expressly provided in this Plan and in the Trust Agreement.</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Section 14.5. </w:t>
      </w:r>
      <w:r>
        <w:rPr>
          <w:rFonts w:ascii="Arial" w:cs="Arial" w:eastAsia="Arial" w:hAnsi="Arial"/>
          <w:sz w:val="16"/>
          <w:szCs w:val="16"/>
          <w:u w:val="single" w:color="auto"/>
          <w:color w:val="auto"/>
        </w:rPr>
        <w:t>Spendthrift Clause</w:t>
      </w:r>
      <w:r>
        <w:rPr>
          <w:rFonts w:ascii="Arial" w:cs="Arial" w:eastAsia="Arial" w:hAnsi="Arial"/>
          <w:sz w:val="16"/>
          <w:szCs w:val="16"/>
          <w:color w:val="auto"/>
        </w:rPr>
        <w:t>. No benefit payable at any time under this Plan and no interest or expectancy herein shall be anticipated, assigned, or alienated by any Participant or beneficiary, or subject to attachment, garnishment, levy, execution, or other legal or equitable process, except for (1) a Federal tax levy made pursuant to section 6331 of the Code and (2) any benefit payable pursuant to a qualified domestic relations order. Any attempt to alienate or assign a benefit hereunder, whether currently or hereafter payable, shall be void. The Committee shall review any domestic relations order to determine whether it is qualified within the meaning of section 414(p) of the Code. An order shall not be qualified unless it complies with all applicable provisions of the Plan concerning mode of payment and manner of elections. Notwithstanding the preceding sentence and any restrictions on timing of distributions and withdrawals under the Plan, an order may provide for distribution at any time permitted under section 414(p)(10) of the Code.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14.6. </w:t>
      </w:r>
      <w:r>
        <w:rPr>
          <w:rFonts w:ascii="Arial" w:cs="Arial" w:eastAsia="Arial" w:hAnsi="Arial"/>
          <w:sz w:val="16"/>
          <w:szCs w:val="16"/>
          <w:u w:val="single" w:color="auto"/>
          <w:color w:val="auto"/>
        </w:rPr>
        <w:t>Incapacity</w:t>
      </w:r>
      <w:r>
        <w:rPr>
          <w:rFonts w:ascii="Arial" w:cs="Arial" w:eastAsia="Arial" w:hAnsi="Arial"/>
          <w:sz w:val="16"/>
          <w:szCs w:val="16"/>
          <w:color w:val="auto"/>
        </w:rPr>
        <w:t>. If the Committee deems any Participant who is entitled to receive payments hereunder incapable of receiving or disbursing the same by reason of age, illness, infirmity, or incapacity of any kind, the Committee may direct the Trustee to apply such payments directly for the comfort, support, and maintenance of such Participant, or to pay the same to any responsible person caring for the Participant who is determined by the Committee to be qualified to receive and disburse such payments for the Participant’s benefit; and the receipt of such person shall be a complete acquittance for the payment of the benefit. Payments pursuant to this Section shall be complete discharge to the extent thereof of any and all liability of the Participating Companies, the Committee, the Administrator, the Trustee, and the Fund.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237" w:name="page238"/>
    <w:bookmarkEnd w:id="237"/>
    <w:p>
      <w:pPr>
        <w:ind w:right="6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14.7. </w:t>
      </w:r>
      <w:r>
        <w:rPr>
          <w:rFonts w:ascii="Arial" w:cs="Arial" w:eastAsia="Arial" w:hAnsi="Arial"/>
          <w:sz w:val="18"/>
          <w:szCs w:val="18"/>
          <w:u w:val="single" w:color="auto"/>
          <w:color w:val="auto"/>
        </w:rPr>
        <w:t>Withholding</w:t>
      </w:r>
      <w:r>
        <w:rPr>
          <w:rFonts w:ascii="Arial" w:cs="Arial" w:eastAsia="Arial" w:hAnsi="Arial"/>
          <w:sz w:val="18"/>
          <w:szCs w:val="18"/>
          <w:color w:val="auto"/>
        </w:rPr>
        <w:t>. The Committee and the Trustee shall have the right to withhold any and all state, local, and Federal taxes which may be withheld in accordance with applicable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u w:val="single" w:color="auto"/>
          <w:color w:val="auto"/>
        </w:rPr>
        <w:t>Missing Persons/Uncashed Checks</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89" w:lineRule="auto"/>
        <w:rPr>
          <w:sz w:val="20"/>
          <w:szCs w:val="20"/>
          <w:color w:val="auto"/>
        </w:rPr>
      </w:pPr>
      <w:r>
        <w:rPr>
          <w:rFonts w:ascii="Arial" w:cs="Arial" w:eastAsia="Arial" w:hAnsi="Arial"/>
          <w:sz w:val="16"/>
          <w:szCs w:val="16"/>
          <w:color w:val="auto"/>
        </w:rPr>
        <w:t xml:space="preserve">14.8.1. </w:t>
      </w:r>
      <w:r>
        <w:rPr>
          <w:rFonts w:ascii="Arial" w:cs="Arial" w:eastAsia="Arial" w:hAnsi="Arial"/>
          <w:sz w:val="16"/>
          <w:szCs w:val="16"/>
          <w:u w:val="single" w:color="auto"/>
          <w:color w:val="auto"/>
        </w:rPr>
        <w:t>Missing Persons</w:t>
      </w:r>
      <w:r>
        <w:rPr>
          <w:rFonts w:ascii="Arial" w:cs="Arial" w:eastAsia="Arial" w:hAnsi="Arial"/>
          <w:sz w:val="16"/>
          <w:szCs w:val="16"/>
          <w:color w:val="auto"/>
        </w:rPr>
        <w:t>. Neither the Trustee nor any Participating Company shall be obliged to search for or ascertain the whereabouts of any individual entitled to benefits under the Plan. Any individual entitled to benefits under the Plan who does not file a timely claim for his benefits will be allowed to file a claim at any later date, and payment of his benefits will commence after that later date, except that, in the event the Participating Company is satisfied that a Participant has no spouse or that a Participant’s spouse cannot be located (as described in Section 5.11), and the Participant is in fact married or the spouse is later located, whichever is applicable, such spouse shall not be deemed an individual entitled to benefits under the Plan. In the event that a Participant or beneficiary does not claim his benefits by the applicable required beginning date in accordance with section 401(a)(9) of the Code and the regulations thereunder, the Plan shall forfeit the Account. If and when a claim for benefits is made after such forfeiture, the Account balance as of the date of forfeiture shall be subject to reinstatement.</w:t>
      </w:r>
    </w:p>
    <w:p>
      <w:pPr>
        <w:spacing w:after="0" w:line="118" w:lineRule="exact"/>
        <w:rPr>
          <w:sz w:val="20"/>
          <w:szCs w:val="20"/>
          <w:color w:val="auto"/>
        </w:rPr>
      </w:pPr>
    </w:p>
    <w:p>
      <w:pPr>
        <w:ind w:firstLine="1484"/>
        <w:spacing w:after="0" w:line="291" w:lineRule="auto"/>
        <w:rPr>
          <w:sz w:val="20"/>
          <w:szCs w:val="20"/>
          <w:color w:val="auto"/>
        </w:rPr>
      </w:pPr>
      <w:r>
        <w:rPr>
          <w:rFonts w:ascii="Arial" w:cs="Arial" w:eastAsia="Arial" w:hAnsi="Arial"/>
          <w:sz w:val="16"/>
          <w:szCs w:val="16"/>
          <w:color w:val="auto"/>
        </w:rPr>
        <w:t xml:space="preserve">14.8.2. </w:t>
      </w:r>
      <w:r>
        <w:rPr>
          <w:rFonts w:ascii="Arial" w:cs="Arial" w:eastAsia="Arial" w:hAnsi="Arial"/>
          <w:sz w:val="16"/>
          <w:szCs w:val="16"/>
          <w:u w:val="single" w:color="auto"/>
          <w:color w:val="auto"/>
        </w:rPr>
        <w:t>Uncashed Checks</w:t>
      </w:r>
      <w:r>
        <w:rPr>
          <w:rFonts w:ascii="Arial" w:cs="Arial" w:eastAsia="Arial" w:hAnsi="Arial"/>
          <w:sz w:val="16"/>
          <w:szCs w:val="16"/>
          <w:color w:val="auto"/>
        </w:rPr>
        <w:t>. If a Participant requests payment of his benefits or if the Participant is automatically cashed out pursuant to Section 5.6.1, and such Participant does not cash the distribution check, the distribution amount will be reinstated under the Plan and invested in the Plan’s default investment alternative, subject to the following: (a) if the distribution was not subject to withholding because it was intended to be a direct rollover, or if the distribution was subject to withholding and the reinstatement occurs within the same Plan Year as the initial check issuance, the distribution amount will be reinstated in the same Accounts as immediately preceding the distribution; (b) if the distribution was subject to withholding and the reinstatement occurs after the close of the Plan Year in which the initial check issuance occurred, the distribution amount will be reinstated as an amount in the After-Tax Rollover Account.</w:t>
      </w:r>
    </w:p>
    <w:p>
      <w:pPr>
        <w:spacing w:after="0" w:line="12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 xml:space="preserve">Section 14.9. </w:t>
      </w:r>
      <w:r>
        <w:rPr>
          <w:rFonts w:ascii="Arial" w:cs="Arial" w:eastAsia="Arial" w:hAnsi="Arial"/>
          <w:sz w:val="16"/>
          <w:szCs w:val="16"/>
          <w:u w:val="single" w:color="auto"/>
          <w:color w:val="auto"/>
        </w:rPr>
        <w:t>Notice</w:t>
      </w:r>
      <w:r>
        <w:rPr>
          <w:rFonts w:ascii="Arial" w:cs="Arial" w:eastAsia="Arial" w:hAnsi="Arial"/>
          <w:sz w:val="16"/>
          <w:szCs w:val="16"/>
          <w:color w:val="auto"/>
        </w:rPr>
        <w:t>. Notices required to be given by Participants pursuant to the terms of the Plan must be in writing; provided, however, that the Company may approve, in lieu of written notice, alternative methods of notice, including electronic modes of communication.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238" w:name="page239"/>
    <w:bookmarkEnd w:id="238"/>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XV</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ADDITIONAL SERVICE CREDIT FOR FORMER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EMPLOYEES OF CERTAIN ACQUIRED BUSINESSES</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u w:val="single" w:color="auto"/>
          <w:color w:val="auto"/>
        </w:rPr>
        <w:t>Additional Service Credit</w:t>
      </w:r>
      <w:r>
        <w:rPr>
          <w:rFonts w:ascii="Arial" w:cs="Arial" w:eastAsia="Arial" w:hAnsi="Arial"/>
          <w:sz w:val="16"/>
          <w:szCs w:val="16"/>
          <w:color w:val="auto"/>
        </w:rPr>
        <w:t>. Notwithstanding any provision of the Plan to the contrary, each Employee who is described in Section 15.3 shall, for the purpose of determining his eligibility to participate in the Plan under Article II, and his vested status under Article VI, receive credit for his period of employment with a Listed Employer, as if such Listed Employer had been a Participating Company during such period of employment.</w:t>
      </w:r>
    </w:p>
    <w:p>
      <w:pPr>
        <w:spacing w:after="0" w:line="10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Section 15.2. </w:t>
      </w:r>
      <w:r>
        <w:rPr>
          <w:rFonts w:ascii="Arial" w:cs="Arial" w:eastAsia="Arial" w:hAnsi="Arial"/>
          <w:sz w:val="16"/>
          <w:szCs w:val="16"/>
          <w:u w:val="single" w:color="auto"/>
          <w:color w:val="auto"/>
        </w:rPr>
        <w:t>Listed Employer</w:t>
      </w:r>
      <w:r>
        <w:rPr>
          <w:rFonts w:ascii="Arial" w:cs="Arial" w:eastAsia="Arial" w:hAnsi="Arial"/>
          <w:sz w:val="16"/>
          <w:szCs w:val="16"/>
          <w:color w:val="auto"/>
        </w:rPr>
        <w:t>. For purposes of this Article XV, a Listed Employer is an entity, with respect to which all or a portion of its stock and/or assets are purchased by an Affiliated Company, which is designated by the Board or its authorized delegate as a Listed Employer.</w:t>
      </w:r>
    </w:p>
    <w:p>
      <w:pPr>
        <w:spacing w:after="0" w:line="8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Section 15.3. </w:t>
      </w:r>
      <w:r>
        <w:rPr>
          <w:rFonts w:ascii="Arial" w:cs="Arial" w:eastAsia="Arial" w:hAnsi="Arial"/>
          <w:sz w:val="18"/>
          <w:szCs w:val="18"/>
          <w:u w:val="single" w:color="auto"/>
          <w:color w:val="auto"/>
        </w:rPr>
        <w:t>Applicability</w:t>
      </w:r>
      <w:r>
        <w:rPr>
          <w:rFonts w:ascii="Arial" w:cs="Arial" w:eastAsia="Arial" w:hAnsi="Arial"/>
          <w:sz w:val="18"/>
          <w:szCs w:val="18"/>
          <w:color w:val="auto"/>
        </w:rPr>
        <w:t>. This Article shall apply to any individual who becomes an employee of a Participating Company directly from a Listed Employer. Notwithstanding anything herein to the contrary, this Article XV shall apply to any individual who becomes an employee of a Participating Company directly from Susquehanna Cable Co. (“Susquehanna”) or any of the Selling Subsidiaries as defined in the Asset Purchase Agreement between Susquehanna and Comcast Corporation dated October 31, 2005 (the “Susquehanna APA”), during the period beginning on February 20, 2006 and ending on the date immediately following the date on which the transaction contemplated under the Susquehanna APA becomes effective (or December 31, 2006, if such transaction is not completed by that date).</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(i) Adelphia Communications Corporation (“Adelphia”) only for the one year period following the date on which the transaction contemplated under the Asset Purchase Agreement between Adelphia and Comcast Corporation dated April 20, 2005 (the “Adelphia Transaction”) is completed and (ii) Time Warner NY Cable LLC (“Time Warner”) as of the date the transaction contemplated under the Asset Purchase Agreement between Time Warner and Adelphia dated April 20, 2005 (the “Time Warner Transaction”) is completed.</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Time Warner Houston as of January 1, 2007 pursuant to the Employment Matters Agreement by and among Texas and Kansas City Cable Partners, LLP, Time Warner Entertainment-Advance/Newhouse Partnership, TWE-A/N Texas Cable Partners General Partners LLC, TCI Texas Cable Holdings LLC, TCI Texas Cable, LLC, Comcast TCP Holdings, Inc. and Comcast TCP Holdings, LLC. Notwithstanding anything herein to the contrary, this Article XV shall not apply for the period August 1, 2006 through December 17, 2006 to any individual who becomes an employee of a Participating Company directly from thePlatform for Media, Inc.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239" w:name="page240"/>
    <w:bookmarkEnd w:id="23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15.4. </w:t>
      </w:r>
      <w:r>
        <w:rPr>
          <w:rFonts w:ascii="Arial" w:cs="Arial" w:eastAsia="Arial" w:hAnsi="Arial"/>
          <w:sz w:val="18"/>
          <w:szCs w:val="18"/>
          <w:u w:val="single" w:color="auto"/>
          <w:color w:val="auto"/>
        </w:rPr>
        <w:t>Limitation</w:t>
      </w:r>
      <w:r>
        <w:rPr>
          <w:rFonts w:ascii="Arial" w:cs="Arial" w:eastAsia="Arial" w:hAnsi="Arial"/>
          <w:sz w:val="18"/>
          <w:szCs w:val="18"/>
          <w:color w:val="auto"/>
        </w:rPr>
        <w:t>. Notwithstanding any provision of this Article to the contrary, the application of this Article shall not cause any Employee to become a Participant in the Plan prior to the effective date of an entity being designated as a Listed Employer with which he was employed, unless he would have become a Participant at an earlier date without regard to this Article.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80" w:right="27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SPORTS NETWORK (PHILADELPHIA) L.P.</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u w:val="single" w:color="auto"/>
          <w:color w:val="auto"/>
        </w:rPr>
        <w:t>General</w:t>
      </w:r>
      <w:r>
        <w:rPr>
          <w:rFonts w:ascii="Arial" w:cs="Arial" w:eastAsia="Arial" w:hAnsi="Arial"/>
          <w:sz w:val="18"/>
          <w:szCs w:val="18"/>
          <w:color w:val="auto"/>
        </w:rPr>
        <w:t>. Comcast Sports Network (Philadelphia) L.P., a Pennsylvania limited partnership (formerly known as Philadelphia Sports Media LP) (“CSN”) and each of its subsidiaries that are members of the controlled group of trades or businesses that includes CSN, became a Participating Company hereunder, effective July 1, 2001.</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16.2. </w:t>
      </w:r>
      <w:r>
        <w:rPr>
          <w:rFonts w:ascii="Arial" w:cs="Arial" w:eastAsia="Arial" w:hAnsi="Arial"/>
          <w:sz w:val="16"/>
          <w:szCs w:val="16"/>
          <w:u w:val="single" w:color="auto"/>
          <w:color w:val="auto"/>
        </w:rPr>
        <w:t>Eligibility and Vesting Service</w:t>
      </w:r>
      <w:r>
        <w:rPr>
          <w:rFonts w:ascii="Arial" w:cs="Arial" w:eastAsia="Arial" w:hAnsi="Arial"/>
          <w:sz w:val="16"/>
          <w:szCs w:val="16"/>
          <w:color w:val="auto"/>
        </w:rPr>
        <w:t>. For purposes of determining a Covered Employee’s eligibility to participate and his vested status under the Plan, a Covered Employee’s period of employment with CSN before July 1, 2001 shall be counted as part of his Period of Service under this Plan.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 Notwithstanding any provision of Article II to the contrary:</w:t>
      </w:r>
    </w:p>
    <w:p>
      <w:pPr>
        <w:spacing w:after="0" w:line="171" w:lineRule="exact"/>
        <w:rPr>
          <w:sz w:val="20"/>
          <w:szCs w:val="20"/>
          <w:color w:val="auto"/>
        </w:rPr>
      </w:pPr>
    </w:p>
    <w:p>
      <w:pPr>
        <w:ind w:right="420" w:firstLine="1484"/>
        <w:spacing w:after="0" w:line="268" w:lineRule="auto"/>
        <w:rPr>
          <w:sz w:val="20"/>
          <w:szCs w:val="20"/>
          <w:color w:val="auto"/>
        </w:rPr>
      </w:pPr>
      <w:r>
        <w:rPr>
          <w:rFonts w:ascii="Arial" w:cs="Arial" w:eastAsia="Arial" w:hAnsi="Arial"/>
          <w:sz w:val="18"/>
          <w:szCs w:val="18"/>
          <w:color w:val="auto"/>
        </w:rPr>
        <w:t>16.3.1. Each Covered Employee of CSN who was eligible to participate in the Comcast-Spectacor 401(k) Plan as of June 30, 2001 was eligible to participate in the Plan as of July 1, 2001.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16.3.2. Each other CSN Covered Employee shall be eligible to participate in accordance with the provision of Article II.</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u w:val="single" w:color="auto"/>
          <w:color w:val="auto"/>
        </w:rPr>
        <w:t>Separate Testing</w:t>
      </w:r>
      <w:r>
        <w:rPr>
          <w:rFonts w:ascii="Arial" w:cs="Arial" w:eastAsia="Arial" w:hAnsi="Arial"/>
          <w:sz w:val="18"/>
          <w:szCs w:val="18"/>
          <w:color w:val="auto"/>
        </w:rPr>
        <w:t>. The portion of the Plan that benefits employees of CSN and all entities which are Affiliated Companies with respect to CSN shall be treated, to the extent required by law, as a separate part of a multiple employer plan, unless and until CSN and its Affiliated Companies become members of the controlled group of employers (within the meaning of section 414(b) of section 414(c) of the Code) that includes the Company. For purposes of the Plan and this Article XVI, an individual shall be treated as an employee of CSN or its Affiliated Companies if such employee is listed as an employee of CSN or its Affiliated Companies as of the last day of a Plan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241" w:name="page242"/>
    <w:bookmarkEnd w:id="241"/>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as of the 29th of August, 2012</w:t>
      </w:r>
    </w:p>
    <w:p>
      <w:pPr>
        <w:spacing w:after="0" w:line="26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6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10795</wp:posOffset>
            </wp:positionV>
            <wp:extent cx="23412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32" w:lineRule="exact"/>
        <w:rPr>
          <w:sz w:val="20"/>
          <w:szCs w:val="20"/>
          <w:color w:val="auto"/>
        </w:rPr>
      </w:pPr>
    </w:p>
    <w:p>
      <w:pPr>
        <w:ind w:left="5660"/>
        <w:spacing w:after="0"/>
        <w:tabs>
          <w:tab w:leader="none" w:pos="65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10795</wp:posOffset>
            </wp:positionV>
            <wp:extent cx="23412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9019"/>
          </w:cols>
          <w:pgMar w:left="1440" w:top="280" w:right="1440"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MINIMUM DISTRIBUTION REQUIREMENTS</w:t>
      </w:r>
    </w:p>
    <w:p>
      <w:pPr>
        <w:spacing w:after="0" w:line="165" w:lineRule="exact"/>
        <w:rPr>
          <w:sz w:val="20"/>
          <w:szCs w:val="20"/>
          <w:color w:val="auto"/>
        </w:rPr>
      </w:pPr>
    </w:p>
    <w:p>
      <w:pPr>
        <w:ind w:left="1040" w:hanging="179"/>
        <w:spacing w:after="0"/>
        <w:tabs>
          <w:tab w:leader="none" w:pos="10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General Rules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180" w:firstLine="1492"/>
        <w:spacing w:after="0" w:line="268" w:lineRule="auto"/>
        <w:tabs>
          <w:tab w:leader="none" w:pos="1711"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provisions of this Schedule A will apply for purposes of determining required minimum distributions for calendar years beginning on or after January 1, 2003.</w:t>
      </w:r>
    </w:p>
    <w:p>
      <w:pPr>
        <w:spacing w:after="0" w:line="131" w:lineRule="exact"/>
        <w:rPr>
          <w:rFonts w:ascii="Arial" w:cs="Arial" w:eastAsia="Arial" w:hAnsi="Arial"/>
          <w:sz w:val="18"/>
          <w:szCs w:val="18"/>
          <w:color w:val="auto"/>
        </w:rPr>
      </w:pPr>
    </w:p>
    <w:p>
      <w:pPr>
        <w:ind w:left="1700" w:hanging="268"/>
        <w:spacing w:after="0"/>
        <w:tabs>
          <w:tab w:leader="none" w:pos="1700"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Precedence</w:t>
      </w:r>
      <w:r>
        <w:rPr>
          <w:rFonts w:ascii="Arial" w:cs="Arial" w:eastAsia="Arial" w:hAnsi="Arial"/>
          <w:sz w:val="18"/>
          <w:szCs w:val="18"/>
          <w:color w:val="auto"/>
        </w:rPr>
        <w:t>. The requirements of this Schedule A will take precedence over any inconsistent provisions of the Plan.</w:t>
      </w:r>
    </w:p>
    <w:p>
      <w:pPr>
        <w:spacing w:after="0" w:line="171" w:lineRule="exact"/>
        <w:rPr>
          <w:rFonts w:ascii="Arial" w:cs="Arial" w:eastAsia="Arial" w:hAnsi="Arial"/>
          <w:sz w:val="18"/>
          <w:szCs w:val="18"/>
          <w:color w:val="auto"/>
        </w:rPr>
      </w:pPr>
    </w:p>
    <w:p>
      <w:pPr>
        <w:ind w:left="-60" w:right="240" w:firstLine="1492"/>
        <w:spacing w:after="0" w:line="268" w:lineRule="auto"/>
        <w:tabs>
          <w:tab w:leader="none" w:pos="1701"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Requirements of Treasury Regulations Incorporated</w:t>
      </w:r>
      <w:r>
        <w:rPr>
          <w:rFonts w:ascii="Arial" w:cs="Arial" w:eastAsia="Arial" w:hAnsi="Arial"/>
          <w:sz w:val="18"/>
          <w:szCs w:val="18"/>
          <w:color w:val="auto"/>
        </w:rPr>
        <w:t>. All distributions required under this Schedule A will be determined and made in accordance with the Treasury Regulations under section 401(a)(9) of the Code.</w:t>
      </w:r>
    </w:p>
    <w:p>
      <w:pPr>
        <w:spacing w:after="0" w:line="131" w:lineRule="exact"/>
        <w:rPr>
          <w:rFonts w:ascii="Arial" w:cs="Arial" w:eastAsia="Arial" w:hAnsi="Arial"/>
          <w:sz w:val="18"/>
          <w:szCs w:val="18"/>
          <w:color w:val="auto"/>
        </w:rPr>
      </w:pPr>
    </w:p>
    <w:p>
      <w:pPr>
        <w:ind w:left="-60" w:right="200" w:firstLine="1492"/>
        <w:spacing w:after="0" w:line="259" w:lineRule="auto"/>
        <w:tabs>
          <w:tab w:leader="none" w:pos="1711"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TEFRA Section 242(b)(2) Elections</w:t>
      </w:r>
      <w:r>
        <w:rPr>
          <w:rFonts w:ascii="Arial" w:cs="Arial" w:eastAsia="Arial" w:hAnsi="Arial"/>
          <w:sz w:val="18"/>
          <w:szCs w:val="18"/>
          <w:color w:val="auto"/>
        </w:rPr>
        <w:t>. Notwithstanding the other provisions of this Schedule A, distributions may be made under a designation made before January 1, 1984, in accordance with section 242(b)(2) of the Tax Equity and Fiscal Responsibility Act (TEFRA) and the provisions of the Plan that relate to section 242(b)(2) of TEFRA.</w:t>
      </w:r>
    </w:p>
    <w:p>
      <w:pPr>
        <w:spacing w:after="0" w:line="140" w:lineRule="exact"/>
        <w:rPr>
          <w:rFonts w:ascii="Arial" w:cs="Arial" w:eastAsia="Arial" w:hAnsi="Arial"/>
          <w:sz w:val="18"/>
          <w:szCs w:val="18"/>
          <w:color w:val="auto"/>
        </w:rPr>
      </w:pPr>
    </w:p>
    <w:p>
      <w:pPr>
        <w:ind w:left="1040" w:hanging="179"/>
        <w:spacing w:after="0"/>
        <w:tabs>
          <w:tab w:leader="none" w:pos="10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Time and Manner of Distribution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140" w:firstLine="1492"/>
        <w:spacing w:after="0" w:line="268" w:lineRule="auto"/>
        <w:tabs>
          <w:tab w:leader="none" w:pos="1711"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Participant’s entire interest will be distributed, or begin to be distributed, to the Participant no later than the Participant’s Required Beginning Date.</w:t>
      </w:r>
    </w:p>
    <w:p>
      <w:pPr>
        <w:spacing w:after="0" w:line="131" w:lineRule="exact"/>
        <w:rPr>
          <w:rFonts w:ascii="Arial" w:cs="Arial" w:eastAsia="Arial" w:hAnsi="Arial"/>
          <w:sz w:val="18"/>
          <w:szCs w:val="18"/>
          <w:color w:val="auto"/>
        </w:rPr>
      </w:pPr>
    </w:p>
    <w:p>
      <w:pPr>
        <w:ind w:left="-60" w:right="60" w:firstLine="1492"/>
        <w:spacing w:after="0" w:line="268" w:lineRule="auto"/>
        <w:tabs>
          <w:tab w:leader="none" w:pos="1701"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Death of Participant Before Distributions Begin</w:t>
      </w:r>
      <w:r>
        <w:rPr>
          <w:rFonts w:ascii="Arial" w:cs="Arial" w:eastAsia="Arial" w:hAnsi="Arial"/>
          <w:sz w:val="18"/>
          <w:szCs w:val="18"/>
          <w:color w:val="auto"/>
        </w:rPr>
        <w:t>. If the Participant dies before distributions begin, the Participant’s entire interest will be distributed, or begin to be distributed, no later than as follows:</w:t>
      </w:r>
    </w:p>
    <w:p>
      <w:pPr>
        <w:spacing w:after="0" w:line="131" w:lineRule="exact"/>
        <w:rPr>
          <w:rFonts w:ascii="Arial" w:cs="Arial" w:eastAsia="Arial" w:hAnsi="Arial"/>
          <w:sz w:val="18"/>
          <w:szCs w:val="18"/>
          <w:color w:val="auto"/>
        </w:rPr>
      </w:pPr>
    </w:p>
    <w:p>
      <w:pPr>
        <w:ind w:left="-60" w:firstLine="1948"/>
        <w:spacing w:after="0" w:line="259" w:lineRule="auto"/>
        <w:tabs>
          <w:tab w:leader="none" w:pos="2129" w:val="left"/>
        </w:tabs>
        <w:numPr>
          <w:ilvl w:val="2"/>
          <w:numId w:val="150"/>
        </w:numPr>
        <w:rPr>
          <w:rFonts w:ascii="Arial" w:cs="Arial" w:eastAsia="Arial" w:hAnsi="Arial"/>
          <w:sz w:val="18"/>
          <w:szCs w:val="18"/>
          <w:color w:val="auto"/>
        </w:rPr>
      </w:pPr>
      <w:r>
        <w:rPr>
          <w:rFonts w:ascii="Arial" w:cs="Arial" w:eastAsia="Arial" w:hAnsi="Arial"/>
          <w:sz w:val="18"/>
          <w:szCs w:val="18"/>
          <w:color w:val="auto"/>
        </w:rPr>
        <w:t xml:space="preserve">If the Participant’s surviving spouse is the Participant’s sole Designated Beneficiary, then distributions to the surviving spouse will begin by December 31 of the calendar year immediately following the calendar year in which the Participant died, or by December 31 of the calendar year in which the Participant would have attained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if later.</w:t>
      </w:r>
    </w:p>
    <w:p>
      <w:pPr>
        <w:spacing w:after="0" w:line="140" w:lineRule="exact"/>
        <w:rPr>
          <w:rFonts w:ascii="Arial" w:cs="Arial" w:eastAsia="Arial" w:hAnsi="Arial"/>
          <w:sz w:val="18"/>
          <w:szCs w:val="18"/>
          <w:color w:val="auto"/>
        </w:rPr>
      </w:pPr>
    </w:p>
    <w:p>
      <w:pPr>
        <w:ind w:left="-60" w:right="220" w:firstLine="1948"/>
        <w:spacing w:after="0" w:line="306" w:lineRule="auto"/>
        <w:tabs>
          <w:tab w:leader="none" w:pos="2129" w:val="left"/>
        </w:tabs>
        <w:numPr>
          <w:ilvl w:val="2"/>
          <w:numId w:val="150"/>
        </w:numPr>
        <w:rPr>
          <w:rFonts w:ascii="Arial" w:cs="Arial" w:eastAsia="Arial" w:hAnsi="Arial"/>
          <w:sz w:val="16"/>
          <w:szCs w:val="16"/>
          <w:color w:val="auto"/>
        </w:rPr>
      </w:pPr>
      <w:r>
        <w:rPr>
          <w:rFonts w:ascii="Arial" w:cs="Arial" w:eastAsia="Arial" w:hAnsi="Arial"/>
          <w:sz w:val="16"/>
          <w:szCs w:val="16"/>
          <w:color w:val="auto"/>
        </w:rPr>
        <w:t>If the Participant’s surviving spouse is not the Participant’s sole Designated Beneficiary, then (a) distributions to the Designated Beneficiary will begin by December 31 of the calendar year immediately following the calendar year in which the Participant died or (b) the Designated Beneficiary’s entire interest shall be distributed by December 31 of the calendar year containing the fifth anniversary of the Participant’s death.</w:t>
      </w:r>
    </w:p>
    <w:p>
      <w:pPr>
        <w:spacing w:after="0" w:line="106" w:lineRule="exact"/>
        <w:rPr>
          <w:rFonts w:ascii="Arial" w:cs="Arial" w:eastAsia="Arial" w:hAnsi="Arial"/>
          <w:sz w:val="16"/>
          <w:szCs w:val="16"/>
          <w:color w:val="auto"/>
        </w:rPr>
      </w:pPr>
    </w:p>
    <w:p>
      <w:pPr>
        <w:ind w:left="-60" w:right="60" w:firstLine="1948"/>
        <w:spacing w:after="0" w:line="332" w:lineRule="auto"/>
        <w:tabs>
          <w:tab w:leader="none" w:pos="2129" w:val="left"/>
        </w:tabs>
        <w:numPr>
          <w:ilvl w:val="2"/>
          <w:numId w:val="150"/>
        </w:numPr>
        <w:rPr>
          <w:rFonts w:ascii="Arial" w:cs="Arial" w:eastAsia="Arial" w:hAnsi="Arial"/>
          <w:sz w:val="16"/>
          <w:szCs w:val="16"/>
          <w:color w:val="auto"/>
        </w:rPr>
      </w:pPr>
      <w:r>
        <w:rPr>
          <w:rFonts w:ascii="Arial" w:cs="Arial" w:eastAsia="Arial" w:hAnsi="Arial"/>
          <w:sz w:val="16"/>
          <w:szCs w:val="16"/>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85" w:lineRule="exact"/>
        <w:rPr>
          <w:rFonts w:ascii="Arial" w:cs="Arial" w:eastAsia="Arial" w:hAnsi="Arial"/>
          <w:sz w:val="16"/>
          <w:szCs w:val="16"/>
          <w:color w:val="auto"/>
        </w:rPr>
      </w:pPr>
    </w:p>
    <w:p>
      <w:pPr>
        <w:ind w:left="-60" w:right="340" w:firstLine="1948"/>
        <w:spacing w:after="0" w:line="259" w:lineRule="auto"/>
        <w:tabs>
          <w:tab w:leader="none" w:pos="2129" w:val="left"/>
        </w:tabs>
        <w:numPr>
          <w:ilvl w:val="2"/>
          <w:numId w:val="150"/>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and the surviving spouse dies after the Participant but before distributions to the surviving spouse begin, this Section 2(B), other than Section 2(B)(1), will apply as if the surviving spouse were the Participant.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20"/>
          </w:cols>
          <w:pgMar w:left="300" w:top="280" w:right="279" w:bottom="1440" w:gutter="0" w:footer="0" w:header="0"/>
        </w:sectPr>
      </w:pPr>
    </w:p>
    <w:bookmarkStart w:id="243" w:name="page244"/>
    <w:bookmarkEnd w:id="243"/>
    <w:p>
      <w:pPr>
        <w:ind w:right="180" w:firstLine="913"/>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Section 2(B) and Section 4, unless Section 2(B)(4) applies, distributions are considered to begin on the Participant’s Required Beginning Date. If Section 2(B)(4)applies, distributions are considered to begin on the date distributions are required to begin to the surviving spouse under Section 2(B)(1).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2(B)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the date distributions are considered to begin is the date distributions actually commence.</w:t>
      </w:r>
    </w:p>
    <w:p>
      <w:pPr>
        <w:spacing w:after="0" w:line="165" w:lineRule="exact"/>
        <w:rPr>
          <w:sz w:val="20"/>
          <w:szCs w:val="20"/>
          <w:color w:val="auto"/>
        </w:rPr>
      </w:pPr>
    </w:p>
    <w:p>
      <w:pPr>
        <w:jc w:val="both"/>
        <w:ind w:right="60" w:firstLine="1492"/>
        <w:spacing w:after="0" w:line="298" w:lineRule="auto"/>
        <w:tabs>
          <w:tab w:leader="none" w:pos="1761"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Forms of Distribution</w:t>
      </w:r>
      <w:r>
        <w:rPr>
          <w:rFonts w:ascii="Arial" w:cs="Arial" w:eastAsia="Arial" w:hAnsi="Arial"/>
          <w:sz w:val="16"/>
          <w:szCs w:val="16"/>
          <w:color w:val="auto"/>
        </w:rPr>
        <w:t>. Unless the Participant’s interest is distributed in the form of an annuity purchased from an insurance company or in a single sum on or before the Required Beginning Date, as of the first Distribution Calendar Year distributions will be made in accordance with Sections 3 and 4 of this Schedule A. If the Participant’s interest is distributed in the form of an annuity purchased from an insurance company, distributions thereunder will be made in accordance with the requirements of section 401(a)(9) of the Code and the Treasury Regulations.</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During Participant’s Lifetime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500" w:firstLine="1492"/>
        <w:spacing w:after="0" w:line="268" w:lineRule="auto"/>
        <w:tabs>
          <w:tab w:leader="none" w:pos="1771"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Amount of Required Minimum Distribution For Each Distribution Calendar Year</w:t>
      </w:r>
      <w:r>
        <w:rPr>
          <w:rFonts w:ascii="Arial" w:cs="Arial" w:eastAsia="Arial" w:hAnsi="Arial"/>
          <w:sz w:val="18"/>
          <w:szCs w:val="18"/>
          <w:color w:val="auto"/>
        </w:rPr>
        <w:t>. During the Participant’s lifetime, the minimum amount that will be distributed for each Distribution Calendar Year is the lesser of:</w:t>
      </w:r>
    </w:p>
    <w:p>
      <w:pPr>
        <w:spacing w:after="0" w:line="131" w:lineRule="exact"/>
        <w:rPr>
          <w:rFonts w:ascii="Arial" w:cs="Arial" w:eastAsia="Arial" w:hAnsi="Arial"/>
          <w:sz w:val="18"/>
          <w:szCs w:val="18"/>
          <w:color w:val="auto"/>
        </w:rPr>
      </w:pPr>
    </w:p>
    <w:p>
      <w:pPr>
        <w:ind w:right="200" w:firstLine="1948"/>
        <w:spacing w:after="0" w:line="332" w:lineRule="auto"/>
        <w:tabs>
          <w:tab w:leader="none" w:pos="2189" w:val="left"/>
        </w:tabs>
        <w:numPr>
          <w:ilvl w:val="2"/>
          <w:numId w:val="152"/>
        </w:numPr>
        <w:rPr>
          <w:rFonts w:ascii="Arial" w:cs="Arial" w:eastAsia="Arial" w:hAnsi="Arial"/>
          <w:sz w:val="16"/>
          <w:szCs w:val="16"/>
          <w:color w:val="auto"/>
        </w:rPr>
      </w:pPr>
      <w:r>
        <w:rPr>
          <w:rFonts w:ascii="Arial" w:cs="Arial" w:eastAsia="Arial" w:hAnsi="Arial"/>
          <w:sz w:val="16"/>
          <w:szCs w:val="16"/>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85" w:lineRule="exact"/>
        <w:rPr>
          <w:rFonts w:ascii="Arial" w:cs="Arial" w:eastAsia="Arial" w:hAnsi="Arial"/>
          <w:sz w:val="16"/>
          <w:szCs w:val="16"/>
          <w:color w:val="auto"/>
        </w:rPr>
      </w:pPr>
    </w:p>
    <w:p>
      <w:pPr>
        <w:ind w:firstLine="1948"/>
        <w:spacing w:after="0" w:line="306" w:lineRule="auto"/>
        <w:tabs>
          <w:tab w:leader="none" w:pos="2189" w:val="left"/>
        </w:tabs>
        <w:numPr>
          <w:ilvl w:val="2"/>
          <w:numId w:val="152"/>
        </w:numPr>
        <w:rPr>
          <w:rFonts w:ascii="Arial" w:cs="Arial" w:eastAsia="Arial" w:hAnsi="Arial"/>
          <w:sz w:val="16"/>
          <w:szCs w:val="16"/>
          <w:color w:val="auto"/>
        </w:rPr>
      </w:pPr>
      <w:r>
        <w:rPr>
          <w:rFonts w:ascii="Arial" w:cs="Arial" w:eastAsia="Arial" w:hAnsi="Arial"/>
          <w:sz w:val="16"/>
          <w:szCs w:val="16"/>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106" w:lineRule="exact"/>
        <w:rPr>
          <w:rFonts w:ascii="Arial" w:cs="Arial" w:eastAsia="Arial" w:hAnsi="Arial"/>
          <w:sz w:val="16"/>
          <w:szCs w:val="16"/>
          <w:color w:val="auto"/>
        </w:rPr>
      </w:pPr>
    </w:p>
    <w:p>
      <w:pPr>
        <w:jc w:val="both"/>
        <w:ind w:right="420" w:firstLine="1492"/>
        <w:spacing w:after="0" w:line="259" w:lineRule="auto"/>
        <w:tabs>
          <w:tab w:leader="none" w:pos="1761"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Lifetime Required Minimum Distributions Continue Through Year of Participant’s Death</w:t>
      </w:r>
      <w:r>
        <w:rPr>
          <w:rFonts w:ascii="Arial" w:cs="Arial" w:eastAsia="Arial" w:hAnsi="Arial"/>
          <w:sz w:val="18"/>
          <w:szCs w:val="18"/>
          <w:color w:val="auto"/>
        </w:rPr>
        <w:t>. Required minimum distributions will be determined under this Section 3 beginning with the first Distribution Calendar Year and up to and including the Distribution Calendar Year that includes the Participant’s date of death.</w:t>
      </w:r>
    </w:p>
    <w:p>
      <w:pPr>
        <w:spacing w:after="0" w:line="140" w:lineRule="exact"/>
        <w:rPr>
          <w:rFonts w:ascii="Arial" w:cs="Arial" w:eastAsia="Arial" w:hAnsi="Arial"/>
          <w:sz w:val="18"/>
          <w:szCs w:val="18"/>
          <w:color w:val="auto"/>
        </w:rPr>
      </w:pPr>
    </w:p>
    <w:p>
      <w:pPr>
        <w:ind w:left="1100" w:hanging="179"/>
        <w:spacing w:after="0"/>
        <w:tabs>
          <w:tab w:leader="none" w:pos="11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After Participant’s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Death On or After Date Distributions Begin</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80" w:right="279" w:bottom="1440" w:gutter="0" w:footer="0" w:header="0"/>
        </w:sectPr>
      </w:pPr>
    </w:p>
    <w:bookmarkStart w:id="244" w:name="page245"/>
    <w:bookmarkEnd w:id="244"/>
    <w:p>
      <w:pPr>
        <w:ind w:right="60" w:firstLine="1948"/>
        <w:spacing w:after="0" w:line="256" w:lineRule="auto"/>
        <w:tabs>
          <w:tab w:leader="none" w:pos="2189"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Survived by Designated Beneficiary</w:t>
      </w:r>
      <w:r>
        <w:rPr>
          <w:rFonts w:ascii="Arial" w:cs="Arial" w:eastAsia="Arial" w:hAnsi="Arial"/>
          <w:sz w:val="18"/>
          <w:szCs w:val="18"/>
          <w:color w:val="auto"/>
        </w:rPr>
        <w:t>. If the Participant dies on or after the date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43" w:lineRule="exact"/>
        <w:rPr>
          <w:rFonts w:ascii="Arial" w:cs="Arial" w:eastAsia="Arial" w:hAnsi="Arial"/>
          <w:sz w:val="18"/>
          <w:szCs w:val="18"/>
          <w:color w:val="auto"/>
        </w:rPr>
      </w:pPr>
    </w:p>
    <w:p>
      <w:pPr>
        <w:ind w:left="2640" w:hanging="236"/>
        <w:spacing w:after="0"/>
        <w:tabs>
          <w:tab w:leader="none" w:pos="2640" w:val="left"/>
        </w:tabs>
        <w:numPr>
          <w:ilvl w:val="2"/>
          <w:numId w:val="153"/>
        </w:numPr>
        <w:rPr>
          <w:rFonts w:ascii="Arial" w:cs="Arial" w:eastAsia="Arial" w:hAnsi="Arial"/>
          <w:sz w:val="16"/>
          <w:szCs w:val="16"/>
          <w:color w:val="auto"/>
        </w:rPr>
      </w:pPr>
      <w:r>
        <w:rPr>
          <w:rFonts w:ascii="Arial" w:cs="Arial" w:eastAsia="Arial" w:hAnsi="Arial"/>
          <w:sz w:val="16"/>
          <w:szCs w:val="16"/>
          <w:color w:val="auto"/>
        </w:rPr>
        <w:t>The Participant’s remaining Life Expectancy is calculated using the Age of the Participant in the year of death, reduced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one for each subsequent year.</w:t>
      </w:r>
    </w:p>
    <w:p>
      <w:pPr>
        <w:spacing w:after="0" w:line="164" w:lineRule="exact"/>
        <w:rPr>
          <w:rFonts w:ascii="Arial" w:cs="Arial" w:eastAsia="Arial" w:hAnsi="Arial"/>
          <w:sz w:val="16"/>
          <w:szCs w:val="16"/>
          <w:color w:val="auto"/>
        </w:rPr>
      </w:pPr>
    </w:p>
    <w:p>
      <w:pPr>
        <w:ind w:right="180" w:firstLine="2404"/>
        <w:spacing w:after="0" w:line="255" w:lineRule="auto"/>
        <w:tabs>
          <w:tab w:leader="none" w:pos="2645" w:val="left"/>
        </w:tabs>
        <w:numPr>
          <w:ilvl w:val="2"/>
          <w:numId w:val="153"/>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42" w:lineRule="exact"/>
        <w:rPr>
          <w:rFonts w:ascii="Arial" w:cs="Arial" w:eastAsia="Arial" w:hAnsi="Arial"/>
          <w:sz w:val="18"/>
          <w:szCs w:val="18"/>
          <w:color w:val="auto"/>
        </w:rPr>
      </w:pPr>
    </w:p>
    <w:p>
      <w:pPr>
        <w:ind w:right="40" w:firstLine="2975"/>
        <w:spacing w:after="0" w:line="259" w:lineRule="auto"/>
        <w:tabs>
          <w:tab w:leader="none" w:pos="3206" w:val="left"/>
        </w:tabs>
        <w:numPr>
          <w:ilvl w:val="3"/>
          <w:numId w:val="153"/>
        </w:numPr>
        <w:rPr>
          <w:rFonts w:ascii="Arial" w:cs="Arial" w:eastAsia="Arial" w:hAnsi="Arial"/>
          <w:sz w:val="18"/>
          <w:szCs w:val="18"/>
          <w:color w:val="auto"/>
        </w:rPr>
      </w:pPr>
      <w:r>
        <w:rPr>
          <w:rFonts w:ascii="Arial" w:cs="Arial" w:eastAsia="Arial" w:hAnsi="Arial"/>
          <w:sz w:val="18"/>
          <w:szCs w:val="18"/>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140" w:lineRule="exact"/>
        <w:rPr>
          <w:rFonts w:ascii="Arial" w:cs="Arial" w:eastAsia="Arial" w:hAnsi="Arial"/>
          <w:sz w:val="18"/>
          <w:szCs w:val="18"/>
          <w:color w:val="auto"/>
        </w:rPr>
      </w:pPr>
    </w:p>
    <w:p>
      <w:pPr>
        <w:ind w:right="40" w:firstLine="1948"/>
        <w:spacing w:after="0" w:line="298" w:lineRule="auto"/>
        <w:tabs>
          <w:tab w:leader="none" w:pos="2189"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No Designated Beneficiary</w:t>
      </w:r>
      <w:r>
        <w:rPr>
          <w:rFonts w:ascii="Arial" w:cs="Arial" w:eastAsia="Arial" w:hAnsi="Arial"/>
          <w:sz w:val="16"/>
          <w:szCs w:val="16"/>
          <w:color w:val="auto"/>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12" w:lineRule="exact"/>
        <w:rPr>
          <w:rFonts w:ascii="Arial" w:cs="Arial" w:eastAsia="Arial" w:hAnsi="Arial"/>
          <w:sz w:val="16"/>
          <w:szCs w:val="16"/>
          <w:color w:val="auto"/>
        </w:rPr>
      </w:pPr>
    </w:p>
    <w:p>
      <w:pPr>
        <w:ind w:left="1760" w:hanging="268"/>
        <w:spacing w:after="0"/>
        <w:tabs>
          <w:tab w:leader="none" w:pos="17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Death Before Date Distributions Begin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948"/>
        <w:spacing w:after="0" w:line="335" w:lineRule="auto"/>
        <w:tabs>
          <w:tab w:leader="none" w:pos="2189" w:val="left"/>
        </w:tabs>
        <w:numPr>
          <w:ilvl w:val="1"/>
          <w:numId w:val="154"/>
        </w:numPr>
        <w:rPr>
          <w:rFonts w:ascii="Arial" w:cs="Arial" w:eastAsia="Arial" w:hAnsi="Arial"/>
          <w:sz w:val="15"/>
          <w:szCs w:val="15"/>
          <w:color w:val="auto"/>
        </w:rPr>
      </w:pPr>
      <w:r>
        <w:rPr>
          <w:rFonts w:ascii="Arial" w:cs="Arial" w:eastAsia="Arial" w:hAnsi="Arial"/>
          <w:sz w:val="15"/>
          <w:szCs w:val="15"/>
          <w:u w:val="single" w:color="auto"/>
          <w:color w:val="auto"/>
        </w:rPr>
        <w:t>Participant Survived by Designated Beneficiary</w:t>
      </w:r>
      <w:r>
        <w:rPr>
          <w:rFonts w:ascii="Arial" w:cs="Arial" w:eastAsia="Arial" w:hAnsi="Arial"/>
          <w:sz w:val="15"/>
          <w:szCs w:val="15"/>
          <w:color w:val="auto"/>
        </w:rPr>
        <w:t>. If the Participant dies before the date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4(A).</w:t>
      </w:r>
    </w:p>
    <w:p>
      <w:pPr>
        <w:spacing w:after="0" w:line="88" w:lineRule="exact"/>
        <w:rPr>
          <w:rFonts w:ascii="Arial" w:cs="Arial" w:eastAsia="Arial" w:hAnsi="Arial"/>
          <w:sz w:val="15"/>
          <w:szCs w:val="15"/>
          <w:color w:val="auto"/>
        </w:rPr>
      </w:pPr>
    </w:p>
    <w:p>
      <w:pPr>
        <w:ind w:right="120" w:firstLine="1948"/>
        <w:spacing w:after="0" w:line="259" w:lineRule="auto"/>
        <w:tabs>
          <w:tab w:leader="none" w:pos="2189"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No Designated Beneficiary</w:t>
      </w:r>
      <w:r>
        <w:rPr>
          <w:rFonts w:ascii="Arial" w:cs="Arial" w:eastAsia="Arial" w:hAnsi="Arial"/>
          <w:sz w:val="18"/>
          <w:szCs w:val="18"/>
          <w:color w:val="auto"/>
        </w:rPr>
        <w:t>. If the Participant dies before the date distributions begin and there is no Designated Beneficiary as of September 30 of the year following the year of the Participant’s death, distribution of the Participant’s entire interest will be completed by December 31 of the calendar year containing the fifth anniversary of the Participant’s death.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245" w:name="page246"/>
    <w:bookmarkEnd w:id="245"/>
    <w:p>
      <w:pPr>
        <w:ind w:right="60" w:firstLine="1948"/>
        <w:spacing w:after="0" w:line="306" w:lineRule="auto"/>
        <w:tabs>
          <w:tab w:leader="none" w:pos="2189" w:val="left"/>
        </w:tabs>
        <w:numPr>
          <w:ilvl w:val="2"/>
          <w:numId w:val="1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Death of Surviving Spouse Before Distributions to Surviving Spouse Are Required to Begin</w:t>
      </w:r>
      <w:r>
        <w:rPr>
          <w:rFonts w:ascii="Arial" w:cs="Arial" w:eastAsia="Arial" w:hAnsi="Arial"/>
          <w:sz w:val="16"/>
          <w:szCs w:val="16"/>
          <w:color w:val="auto"/>
        </w:rPr>
        <w:t>. If the Participant dies before the date distributions begin, the Participant’s surviving spouse is the Participant’s sole Designated Beneficiary, and the surviving spouse dies before distributions are required to begin to the surviving spouse under Section 2(B)(1), this Section 4(B) will apply as if the surviving spouse were the Participant.</w:t>
      </w:r>
    </w:p>
    <w:p>
      <w:pPr>
        <w:spacing w:after="0" w:line="106" w:lineRule="exact"/>
        <w:rPr>
          <w:rFonts w:ascii="Arial" w:cs="Arial" w:eastAsia="Arial" w:hAnsi="Arial"/>
          <w:sz w:val="16"/>
          <w:szCs w:val="16"/>
          <w:color w:val="auto"/>
        </w:rPr>
      </w:pPr>
    </w:p>
    <w:p>
      <w:pPr>
        <w:ind w:left="1100" w:hanging="179"/>
        <w:spacing w:after="0"/>
        <w:tabs>
          <w:tab w:leader="none" w:pos="11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Schedule, the following definitions are used.</w:t>
      </w:r>
    </w:p>
    <w:p>
      <w:pPr>
        <w:spacing w:after="0" w:line="171" w:lineRule="exact"/>
        <w:rPr>
          <w:rFonts w:ascii="Arial" w:cs="Arial" w:eastAsia="Arial" w:hAnsi="Arial"/>
          <w:sz w:val="18"/>
          <w:szCs w:val="18"/>
          <w:color w:val="auto"/>
        </w:rPr>
      </w:pPr>
    </w:p>
    <w:p>
      <w:pPr>
        <w:ind w:right="360" w:firstLine="1492"/>
        <w:spacing w:after="0" w:line="294" w:lineRule="auto"/>
        <w:tabs>
          <w:tab w:leader="none" w:pos="1771"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Account Balance</w:t>
      </w:r>
      <w:r>
        <w:rPr>
          <w:rFonts w:ascii="Arial" w:cs="Arial" w:eastAsia="Arial" w:hAnsi="Arial"/>
          <w:sz w:val="16"/>
          <w:szCs w:val="16"/>
          <w:color w:val="auto"/>
        </w:rPr>
        <w:t>.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115" w:lineRule="exact"/>
        <w:rPr>
          <w:rFonts w:ascii="Arial" w:cs="Arial" w:eastAsia="Arial" w:hAnsi="Arial"/>
          <w:sz w:val="16"/>
          <w:szCs w:val="16"/>
          <w:color w:val="auto"/>
        </w:rPr>
      </w:pPr>
    </w:p>
    <w:p>
      <w:pPr>
        <w:ind w:right="440" w:firstLine="1492"/>
        <w:spacing w:after="0" w:line="268" w:lineRule="auto"/>
        <w:tabs>
          <w:tab w:leader="none" w:pos="1761"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Designated Beneficiary</w:t>
      </w:r>
      <w:r>
        <w:rPr>
          <w:rFonts w:ascii="Arial" w:cs="Arial" w:eastAsia="Arial" w:hAnsi="Arial"/>
          <w:sz w:val="18"/>
          <w:szCs w:val="18"/>
          <w:color w:val="auto"/>
        </w:rPr>
        <w:t>. The individual who is designated as the beneficiary under the Plan and is the designated beneficiary under section 401(a)(9) of the Code and section 1.401(a)(9)-1, Q&amp;A-4, of the Treasury Regulations.</w:t>
      </w:r>
    </w:p>
    <w:p>
      <w:pPr>
        <w:spacing w:after="0" w:line="131" w:lineRule="exact"/>
        <w:rPr>
          <w:rFonts w:ascii="Arial" w:cs="Arial" w:eastAsia="Arial" w:hAnsi="Arial"/>
          <w:sz w:val="18"/>
          <w:szCs w:val="18"/>
          <w:color w:val="auto"/>
        </w:rPr>
      </w:pPr>
    </w:p>
    <w:p>
      <w:pPr>
        <w:ind w:firstLine="1492"/>
        <w:spacing w:after="0" w:line="253" w:lineRule="auto"/>
        <w:tabs>
          <w:tab w:leader="none" w:pos="1761"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Distribution Calendar Year</w:t>
      </w:r>
      <w:r>
        <w:rPr>
          <w:rFonts w:ascii="Arial" w:cs="Arial" w:eastAsia="Arial" w:hAnsi="Arial"/>
          <w:sz w:val="18"/>
          <w:szCs w:val="18"/>
          <w:color w:val="auto"/>
        </w:rPr>
        <w:t>.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2(B).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47" w:lineRule="exact"/>
        <w:rPr>
          <w:rFonts w:ascii="Arial" w:cs="Arial" w:eastAsia="Arial" w:hAnsi="Arial"/>
          <w:sz w:val="18"/>
          <w:szCs w:val="18"/>
          <w:color w:val="auto"/>
        </w:rPr>
      </w:pPr>
    </w:p>
    <w:p>
      <w:pPr>
        <w:ind w:left="1780" w:hanging="288"/>
        <w:spacing w:after="0"/>
        <w:tabs>
          <w:tab w:leader="none" w:pos="1780"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Life Expectancy</w:t>
      </w:r>
      <w:r>
        <w:rPr>
          <w:rFonts w:ascii="Arial" w:cs="Arial" w:eastAsia="Arial" w:hAnsi="Arial"/>
          <w:sz w:val="16"/>
          <w:szCs w:val="16"/>
          <w:color w:val="auto"/>
        </w:rPr>
        <w:t>. Life expectancy as computed by use of the Single Life Table in section 1.401(a)(9)-9 of the Treasury Regulations.</w:t>
      </w:r>
    </w:p>
    <w:p>
      <w:pPr>
        <w:spacing w:after="0" w:line="194" w:lineRule="exact"/>
        <w:rPr>
          <w:rFonts w:ascii="Arial" w:cs="Arial" w:eastAsia="Arial" w:hAnsi="Arial"/>
          <w:sz w:val="16"/>
          <w:szCs w:val="16"/>
          <w:color w:val="auto"/>
        </w:rPr>
      </w:pPr>
    </w:p>
    <w:p>
      <w:pPr>
        <w:ind w:right="40" w:firstLine="1492"/>
        <w:spacing w:after="0" w:line="268" w:lineRule="auto"/>
        <w:tabs>
          <w:tab w:leader="none" w:pos="1752"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date by which the distribution of a Participant’s nonforfeitable interest in his Account must commence, as specified in Article I of the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246" w:name="page247"/>
    <w:bookmarkEnd w:id="2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PARTICIPATING COMPANIES/LISTED EMPLOYERS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Name of Entity</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Participating Company</w:t>
            </w:r>
          </w:p>
        </w:tc>
        <w:tc>
          <w:tcPr>
            <w:tcW w:w="1680" w:type="dxa"/>
            <w:vAlign w:val="bottom"/>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Listed Employer</w:t>
            </w:r>
          </w:p>
        </w:tc>
        <w:tc>
          <w:tcPr>
            <w:tcW w:w="194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Effective Date</w:t>
            </w:r>
          </w:p>
        </w:tc>
        <w:tc>
          <w:tcPr>
            <w:tcW w:w="880" w:type="dxa"/>
            <w:vAlign w:val="bottom"/>
          </w:tcPr>
          <w:p>
            <w:pPr>
              <w:spacing w:after="0"/>
              <w:rPr>
                <w:sz w:val="14"/>
                <w:szCs w:val="14"/>
                <w:color w:val="auto"/>
              </w:rPr>
            </w:pPr>
          </w:p>
        </w:tc>
      </w:tr>
      <w:tr>
        <w:trPr>
          <w:trHeight w:val="316"/>
        </w:trPr>
        <w:tc>
          <w:tcPr>
            <w:tcW w:w="2640" w:type="dxa"/>
            <w:vAlign w:val="bottom"/>
            <w:gridSpan w:val="4"/>
          </w:tcPr>
          <w:p>
            <w:pPr>
              <w:spacing w:after="0"/>
              <w:rPr>
                <w:sz w:val="20"/>
                <w:szCs w:val="20"/>
                <w:color w:val="auto"/>
              </w:rPr>
            </w:pPr>
            <w:r>
              <w:rPr>
                <w:rFonts w:ascii="Arial" w:cs="Arial" w:eastAsia="Arial" w:hAnsi="Arial"/>
                <w:sz w:val="18"/>
                <w:szCs w:val="18"/>
                <w:color w:val="auto"/>
              </w:rPr>
              <w:t>Ad Sales Acquisitions</w:t>
            </w: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760"/>
              <w:spacing w:after="0"/>
              <w:rPr>
                <w:sz w:val="20"/>
                <w:szCs w:val="20"/>
                <w:color w:val="auto"/>
              </w:rPr>
            </w:pPr>
            <w:r>
              <w:rPr>
                <w:rFonts w:ascii="Arial" w:cs="Arial" w:eastAsia="Arial" w:hAnsi="Arial"/>
                <w:sz w:val="18"/>
                <w:szCs w:val="18"/>
                <w:color w:val="auto"/>
              </w:rPr>
              <w:t>YES</w:t>
            </w: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rPr>
              <w:t>December 29, 2003</w:t>
            </w:r>
          </w:p>
        </w:tc>
      </w:tr>
      <w:tr>
        <w:trPr>
          <w:trHeight w:val="37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TeleMedia</w:t>
            </w: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Charter Communications</w:t>
            </w: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Mediacom</w:t>
            </w: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3"/>
          </w:tcPr>
          <w:p>
            <w:pPr>
              <w:ind w:left="100"/>
              <w:spacing w:after="0"/>
              <w:rPr>
                <w:sz w:val="20"/>
                <w:szCs w:val="20"/>
                <w:color w:val="auto"/>
              </w:rPr>
            </w:pPr>
            <w:r>
              <w:rPr>
                <w:rFonts w:ascii="Arial" w:cs="Arial" w:eastAsia="Arial" w:hAnsi="Arial"/>
                <w:sz w:val="18"/>
                <w:szCs w:val="18"/>
                <w:color w:val="auto"/>
              </w:rPr>
              <w:t>Cox Communications</w:t>
            </w: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8"/>
        </w:trPr>
        <w:tc>
          <w:tcPr>
            <w:tcW w:w="2640" w:type="dxa"/>
            <w:vAlign w:val="bottom"/>
            <w:gridSpan w:val="4"/>
          </w:tcPr>
          <w:p>
            <w:pPr>
              <w:spacing w:after="0"/>
              <w:rPr>
                <w:sz w:val="20"/>
                <w:szCs w:val="20"/>
                <w:color w:val="auto"/>
              </w:rPr>
            </w:pPr>
            <w:r>
              <w:rPr>
                <w:rFonts w:ascii="Arial" w:cs="Arial" w:eastAsia="Arial" w:hAnsi="Arial"/>
                <w:sz w:val="18"/>
                <w:szCs w:val="18"/>
                <w:color w:val="auto"/>
              </w:rPr>
              <w:t>Gemstar TV Guide</w:t>
            </w: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760"/>
              <w:spacing w:after="0"/>
              <w:rPr>
                <w:sz w:val="20"/>
                <w:szCs w:val="20"/>
                <w:color w:val="auto"/>
              </w:rPr>
            </w:pPr>
            <w:r>
              <w:rPr>
                <w:rFonts w:ascii="Arial" w:cs="Arial" w:eastAsia="Arial" w:hAnsi="Arial"/>
                <w:sz w:val="18"/>
                <w:szCs w:val="18"/>
                <w:color w:val="auto"/>
              </w:rPr>
              <w:t>YES</w:t>
            </w: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rPr>
              <w:t>April 1, 2004</w:t>
            </w:r>
          </w:p>
        </w:tc>
      </w:tr>
      <w:tr>
        <w:trPr>
          <w:trHeight w:val="318"/>
        </w:trPr>
        <w:tc>
          <w:tcPr>
            <w:tcW w:w="2640" w:type="dxa"/>
            <w:vAlign w:val="bottom"/>
            <w:gridSpan w:val="4"/>
          </w:tcPr>
          <w:p>
            <w:pPr>
              <w:spacing w:after="0"/>
              <w:rPr>
                <w:sz w:val="20"/>
                <w:szCs w:val="20"/>
                <w:color w:val="auto"/>
              </w:rPr>
            </w:pPr>
            <w:r>
              <w:rPr>
                <w:rFonts w:ascii="Arial" w:cs="Arial" w:eastAsia="Arial" w:hAnsi="Arial"/>
                <w:sz w:val="18"/>
                <w:szCs w:val="18"/>
                <w:color w:val="auto"/>
              </w:rPr>
              <w:t>US Cable Coastal of Texas LP</w:t>
            </w: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760"/>
              <w:spacing w:after="0"/>
              <w:rPr>
                <w:sz w:val="20"/>
                <w:szCs w:val="20"/>
                <w:color w:val="auto"/>
              </w:rPr>
            </w:pPr>
            <w:r>
              <w:rPr>
                <w:rFonts w:ascii="Arial" w:cs="Arial" w:eastAsia="Arial" w:hAnsi="Arial"/>
                <w:sz w:val="18"/>
                <w:szCs w:val="18"/>
                <w:color w:val="auto"/>
              </w:rPr>
              <w:t>YES</w:t>
            </w: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rPr>
              <w:t>May 1, 2004</w:t>
            </w:r>
          </w:p>
        </w:tc>
      </w:tr>
      <w:tr>
        <w:trPr>
          <w:trHeight w:val="216"/>
        </w:trPr>
        <w:tc>
          <w:tcPr>
            <w:tcW w:w="2640" w:type="dxa"/>
            <w:vAlign w:val="bottom"/>
            <w:gridSpan w:val="4"/>
          </w:tcPr>
          <w:p>
            <w:pPr>
              <w:spacing w:after="0"/>
              <w:rPr>
                <w:sz w:val="20"/>
                <w:szCs w:val="20"/>
                <w:color w:val="auto"/>
              </w:rPr>
            </w:pPr>
            <w:r>
              <w:rPr>
                <w:rFonts w:ascii="Arial" w:cs="Arial" w:eastAsia="Arial" w:hAnsi="Arial"/>
                <w:sz w:val="18"/>
                <w:szCs w:val="18"/>
                <w:color w:val="auto"/>
              </w:rPr>
              <w:t>(Georgia and South Carolina</w:t>
            </w: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2640" w:type="dxa"/>
            <w:vAlign w:val="bottom"/>
            <w:gridSpan w:val="4"/>
          </w:tcPr>
          <w:p>
            <w:pPr>
              <w:spacing w:after="0"/>
              <w:rPr>
                <w:sz w:val="20"/>
                <w:szCs w:val="20"/>
                <w:color w:val="auto"/>
              </w:rPr>
            </w:pPr>
            <w:r>
              <w:rPr>
                <w:rFonts w:ascii="Arial" w:cs="Arial" w:eastAsia="Arial" w:hAnsi="Arial"/>
                <w:sz w:val="18"/>
                <w:szCs w:val="18"/>
                <w:color w:val="auto"/>
              </w:rPr>
              <w:t>properties only)</w:t>
            </w: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18"/>
        </w:trPr>
        <w:tc>
          <w:tcPr>
            <w:tcW w:w="2640" w:type="dxa"/>
            <w:vAlign w:val="bottom"/>
            <w:gridSpan w:val="4"/>
          </w:tcPr>
          <w:p>
            <w:pPr>
              <w:spacing w:after="0"/>
              <w:rPr>
                <w:sz w:val="20"/>
                <w:szCs w:val="20"/>
                <w:color w:val="auto"/>
              </w:rPr>
            </w:pPr>
            <w:r>
              <w:rPr>
                <w:rFonts w:ascii="Arial" w:cs="Arial" w:eastAsia="Arial" w:hAnsi="Arial"/>
                <w:sz w:val="18"/>
                <w:szCs w:val="18"/>
                <w:color w:val="auto"/>
              </w:rPr>
              <w:t>Tech TV, Inc. (formerly Tech TV</w:t>
            </w: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NO</w:t>
            </w:r>
          </w:p>
        </w:tc>
        <w:tc>
          <w:tcPr>
            <w:tcW w:w="2700" w:type="dxa"/>
            <w:vAlign w:val="bottom"/>
            <w:gridSpan w:val="2"/>
          </w:tcPr>
          <w:p>
            <w:pPr>
              <w:ind w:left="760"/>
              <w:spacing w:after="0"/>
              <w:rPr>
                <w:sz w:val="20"/>
                <w:szCs w:val="20"/>
                <w:color w:val="auto"/>
              </w:rPr>
            </w:pPr>
            <w:r>
              <w:rPr>
                <w:rFonts w:ascii="Arial" w:cs="Arial" w:eastAsia="Arial" w:hAnsi="Arial"/>
                <w:sz w:val="18"/>
                <w:szCs w:val="18"/>
                <w:color w:val="auto"/>
              </w:rPr>
              <w:t>YES</w:t>
            </w: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rPr>
              <w:t>May 10, 2004</w:t>
            </w:r>
          </w:p>
        </w:tc>
      </w:tr>
      <w:tr>
        <w:trPr>
          <w:trHeight w:val="222"/>
        </w:trPr>
        <w:tc>
          <w:tcPr>
            <w:tcW w:w="2640" w:type="dxa"/>
            <w:vAlign w:val="bottom"/>
            <w:gridSpan w:val="4"/>
          </w:tcPr>
          <w:p>
            <w:pPr>
              <w:spacing w:after="0"/>
              <w:rPr>
                <w:sz w:val="20"/>
                <w:szCs w:val="20"/>
                <w:color w:val="auto"/>
              </w:rPr>
            </w:pPr>
            <w:r>
              <w:rPr>
                <w:rFonts w:ascii="Arial" w:cs="Arial" w:eastAsia="Arial" w:hAnsi="Arial"/>
                <w:sz w:val="18"/>
                <w:szCs w:val="18"/>
                <w:color w:val="auto"/>
              </w:rPr>
              <w:t>LLC)</w:t>
            </w: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24"/>
        </w:trPr>
        <w:tc>
          <w:tcPr>
            <w:tcW w:w="2640" w:type="dxa"/>
            <w:vAlign w:val="bottom"/>
            <w:gridSpan w:val="4"/>
          </w:tcPr>
          <w:p>
            <w:pPr>
              <w:spacing w:after="0"/>
              <w:rPr>
                <w:sz w:val="20"/>
                <w:szCs w:val="20"/>
                <w:color w:val="auto"/>
              </w:rPr>
            </w:pPr>
            <w:r>
              <w:rPr>
                <w:rFonts w:ascii="Arial" w:cs="Arial" w:eastAsia="Arial" w:hAnsi="Arial"/>
                <w:sz w:val="18"/>
                <w:szCs w:val="18"/>
                <w:color w:val="auto"/>
              </w:rPr>
              <w:t>Insight Communications</w:t>
            </w: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760"/>
              <w:spacing w:after="0"/>
              <w:rPr>
                <w:sz w:val="20"/>
                <w:szCs w:val="20"/>
                <w:color w:val="auto"/>
              </w:rPr>
            </w:pPr>
            <w:r>
              <w:rPr>
                <w:rFonts w:ascii="Arial" w:cs="Arial" w:eastAsia="Arial" w:hAnsi="Arial"/>
                <w:sz w:val="18"/>
                <w:szCs w:val="18"/>
                <w:color w:val="auto"/>
              </w:rPr>
              <w:t>YES</w:t>
            </w: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rPr>
              <w:t>August 1, 2004</w:t>
            </w:r>
          </w:p>
        </w:tc>
      </w:tr>
      <w:tr>
        <w:trPr>
          <w:trHeight w:val="324"/>
        </w:trPr>
        <w:tc>
          <w:tcPr>
            <w:tcW w:w="2640" w:type="dxa"/>
            <w:vAlign w:val="bottom"/>
            <w:gridSpan w:val="4"/>
          </w:tcPr>
          <w:p>
            <w:pPr>
              <w:spacing w:after="0"/>
              <w:rPr>
                <w:sz w:val="20"/>
                <w:szCs w:val="20"/>
                <w:color w:val="auto"/>
              </w:rPr>
            </w:pPr>
            <w:r>
              <w:rPr>
                <w:rFonts w:ascii="Arial" w:cs="Arial" w:eastAsia="Arial" w:hAnsi="Arial"/>
                <w:sz w:val="18"/>
                <w:szCs w:val="18"/>
                <w:color w:val="auto"/>
              </w:rPr>
              <w:t>The International Channel</w:t>
            </w: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760"/>
              <w:spacing w:after="0"/>
              <w:rPr>
                <w:sz w:val="20"/>
                <w:szCs w:val="20"/>
                <w:color w:val="auto"/>
              </w:rPr>
            </w:pPr>
            <w:r>
              <w:rPr>
                <w:rFonts w:ascii="Arial" w:cs="Arial" w:eastAsia="Arial" w:hAnsi="Arial"/>
                <w:sz w:val="18"/>
                <w:szCs w:val="18"/>
                <w:color w:val="auto"/>
              </w:rPr>
              <w:t>YES</w:t>
            </w: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rPr>
              <w:t>August 1, 2004</w:t>
            </w:r>
          </w:p>
        </w:tc>
      </w:tr>
      <w:tr>
        <w:trPr>
          <w:trHeight w:val="324"/>
        </w:trPr>
        <w:tc>
          <w:tcPr>
            <w:tcW w:w="2640" w:type="dxa"/>
            <w:vAlign w:val="bottom"/>
            <w:gridSpan w:val="4"/>
          </w:tcPr>
          <w:p>
            <w:pPr>
              <w:spacing w:after="0"/>
              <w:rPr>
                <w:sz w:val="20"/>
                <w:szCs w:val="20"/>
                <w:color w:val="auto"/>
              </w:rPr>
            </w:pPr>
            <w:r>
              <w:rPr>
                <w:rFonts w:ascii="Arial" w:cs="Arial" w:eastAsia="Arial" w:hAnsi="Arial"/>
                <w:sz w:val="18"/>
                <w:szCs w:val="18"/>
                <w:color w:val="auto"/>
              </w:rPr>
              <w:t>Target TV</w:t>
            </w: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760"/>
              <w:spacing w:after="0"/>
              <w:rPr>
                <w:sz w:val="20"/>
                <w:szCs w:val="20"/>
                <w:color w:val="auto"/>
              </w:rPr>
            </w:pPr>
            <w:r>
              <w:rPr>
                <w:rFonts w:ascii="Arial" w:cs="Arial" w:eastAsia="Arial" w:hAnsi="Arial"/>
                <w:sz w:val="18"/>
                <w:szCs w:val="18"/>
                <w:color w:val="auto"/>
              </w:rPr>
              <w:t>YES</w:t>
            </w: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rPr>
              <w:t>January 1, 2005</w:t>
            </w:r>
          </w:p>
        </w:tc>
      </w:tr>
      <w:tr>
        <w:trPr>
          <w:trHeight w:val="324"/>
        </w:trPr>
        <w:tc>
          <w:tcPr>
            <w:tcW w:w="2640" w:type="dxa"/>
            <w:vAlign w:val="bottom"/>
            <w:gridSpan w:val="4"/>
          </w:tcPr>
          <w:p>
            <w:pPr>
              <w:spacing w:after="0"/>
              <w:rPr>
                <w:sz w:val="20"/>
                <w:szCs w:val="20"/>
                <w:color w:val="auto"/>
              </w:rPr>
            </w:pPr>
            <w:r>
              <w:rPr>
                <w:rFonts w:ascii="Arial" w:cs="Arial" w:eastAsia="Arial" w:hAnsi="Arial"/>
                <w:sz w:val="18"/>
                <w:szCs w:val="18"/>
                <w:color w:val="auto"/>
              </w:rPr>
              <w:t>Motorola</w:t>
            </w: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NO</w:t>
            </w:r>
          </w:p>
        </w:tc>
        <w:tc>
          <w:tcPr>
            <w:tcW w:w="2700" w:type="dxa"/>
            <w:vAlign w:val="bottom"/>
            <w:gridSpan w:val="2"/>
          </w:tcPr>
          <w:p>
            <w:pPr>
              <w:ind w:left="760"/>
              <w:spacing w:after="0"/>
              <w:rPr>
                <w:sz w:val="20"/>
                <w:szCs w:val="20"/>
                <w:color w:val="auto"/>
              </w:rPr>
            </w:pPr>
            <w:r>
              <w:rPr>
                <w:rFonts w:ascii="Arial" w:cs="Arial" w:eastAsia="Arial" w:hAnsi="Arial"/>
                <w:sz w:val="18"/>
                <w:szCs w:val="18"/>
                <w:color w:val="auto"/>
              </w:rPr>
              <w:t>YES</w:t>
            </w: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rPr>
              <w:t>April 1, 2005</w:t>
            </w:r>
          </w:p>
        </w:tc>
      </w:tr>
      <w:tr>
        <w:trPr>
          <w:trHeight w:val="318"/>
        </w:trPr>
        <w:tc>
          <w:tcPr>
            <w:tcW w:w="2640" w:type="dxa"/>
            <w:vAlign w:val="bottom"/>
            <w:gridSpan w:val="4"/>
          </w:tcPr>
          <w:p>
            <w:pPr>
              <w:spacing w:after="0"/>
              <w:rPr>
                <w:sz w:val="20"/>
                <w:szCs w:val="20"/>
                <w:color w:val="auto"/>
              </w:rPr>
            </w:pPr>
            <w:r>
              <w:rPr>
                <w:rFonts w:ascii="Arial" w:cs="Arial" w:eastAsia="Arial" w:hAnsi="Arial"/>
                <w:sz w:val="18"/>
                <w:szCs w:val="18"/>
                <w:color w:val="auto"/>
                <w:w w:val="99"/>
              </w:rPr>
              <w:t>Liberate Technologies (California</w:t>
            </w: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NO</w:t>
            </w:r>
          </w:p>
        </w:tc>
        <w:tc>
          <w:tcPr>
            <w:tcW w:w="2700" w:type="dxa"/>
            <w:vAlign w:val="bottom"/>
            <w:gridSpan w:val="2"/>
          </w:tcPr>
          <w:p>
            <w:pPr>
              <w:ind w:left="760"/>
              <w:spacing w:after="0"/>
              <w:rPr>
                <w:sz w:val="20"/>
                <w:szCs w:val="20"/>
                <w:color w:val="auto"/>
              </w:rPr>
            </w:pPr>
            <w:r>
              <w:rPr>
                <w:rFonts w:ascii="Arial" w:cs="Arial" w:eastAsia="Arial" w:hAnsi="Arial"/>
                <w:sz w:val="18"/>
                <w:szCs w:val="18"/>
                <w:color w:val="auto"/>
              </w:rPr>
              <w:t>YES</w:t>
            </w: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rPr>
              <w:t>April 8, 2005</w:t>
            </w:r>
          </w:p>
        </w:tc>
      </w:tr>
      <w:tr>
        <w:trPr>
          <w:trHeight w:val="222"/>
        </w:trPr>
        <w:tc>
          <w:tcPr>
            <w:tcW w:w="2640" w:type="dxa"/>
            <w:vAlign w:val="bottom"/>
            <w:gridSpan w:val="4"/>
          </w:tcPr>
          <w:p>
            <w:pPr>
              <w:spacing w:after="0"/>
              <w:rPr>
                <w:sz w:val="20"/>
                <w:szCs w:val="20"/>
                <w:color w:val="auto"/>
              </w:rPr>
            </w:pPr>
            <w:r>
              <w:rPr>
                <w:rFonts w:ascii="Arial" w:cs="Arial" w:eastAsia="Arial" w:hAnsi="Arial"/>
                <w:sz w:val="18"/>
                <w:szCs w:val="18"/>
                <w:color w:val="auto"/>
              </w:rPr>
              <w:t>employees only)</w:t>
            </w: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18"/>
        </w:trPr>
        <w:tc>
          <w:tcPr>
            <w:tcW w:w="2640" w:type="dxa"/>
            <w:vAlign w:val="bottom"/>
            <w:gridSpan w:val="4"/>
          </w:tcPr>
          <w:p>
            <w:pPr>
              <w:spacing w:after="0"/>
              <w:rPr>
                <w:sz w:val="20"/>
                <w:szCs w:val="20"/>
                <w:color w:val="auto"/>
              </w:rPr>
            </w:pPr>
            <w:r>
              <w:rPr>
                <w:rFonts w:ascii="Arial" w:cs="Arial" w:eastAsia="Arial" w:hAnsi="Arial"/>
                <w:sz w:val="18"/>
                <w:szCs w:val="18"/>
                <w:color w:val="auto"/>
              </w:rPr>
              <w:t>Susquehanna Cable Co.</w:t>
            </w: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NO</w:t>
            </w:r>
          </w:p>
        </w:tc>
        <w:tc>
          <w:tcPr>
            <w:tcW w:w="2700" w:type="dxa"/>
            <w:vAlign w:val="bottom"/>
            <w:gridSpan w:val="2"/>
          </w:tcPr>
          <w:p>
            <w:pPr>
              <w:ind w:left="760"/>
              <w:spacing w:after="0"/>
              <w:rPr>
                <w:sz w:val="20"/>
                <w:szCs w:val="20"/>
                <w:color w:val="auto"/>
              </w:rPr>
            </w:pPr>
            <w:r>
              <w:rPr>
                <w:rFonts w:ascii="Arial" w:cs="Arial" w:eastAsia="Arial" w:hAnsi="Arial"/>
                <w:sz w:val="18"/>
                <w:szCs w:val="18"/>
                <w:color w:val="auto"/>
              </w:rPr>
              <w:t>YES</w:t>
            </w: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w w:val="87"/>
              </w:rPr>
              <w:t>The period beginning on February 20,</w:t>
            </w: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rPr>
              <w:t>2006 and ending on the date</w:t>
            </w: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w w:val="99"/>
              </w:rPr>
              <w:t>immediately following the date on</w:t>
            </w:r>
          </w:p>
        </w:tc>
      </w:tr>
      <w:tr>
        <w:trPr>
          <w:trHeight w:val="222"/>
        </w:trPr>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80" w:type="dxa"/>
            <w:vAlign w:val="bottom"/>
            <w:gridSpan w:val="3"/>
          </w:tcPr>
          <w:p>
            <w:pPr>
              <w:ind w:left="1020"/>
              <w:spacing w:after="0"/>
              <w:rPr>
                <w:sz w:val="20"/>
                <w:szCs w:val="20"/>
                <w:color w:val="auto"/>
              </w:rPr>
            </w:pPr>
            <w:r>
              <w:rPr>
                <w:rFonts w:ascii="Arial" w:cs="Arial" w:eastAsia="Arial" w:hAnsi="Arial"/>
                <w:sz w:val="18"/>
                <w:szCs w:val="18"/>
                <w:color w:val="auto"/>
                <w:w w:val="93"/>
              </w:rPr>
              <w:t>which the transaction contemplated</w:t>
            </w:r>
          </w:p>
        </w:tc>
      </w:tr>
    </w:tbl>
    <w:p>
      <w:pPr>
        <w:ind w:left="8700"/>
        <w:spacing w:after="0"/>
        <w:rPr>
          <w:sz w:val="20"/>
          <w:szCs w:val="20"/>
          <w:color w:val="auto"/>
        </w:rPr>
      </w:pPr>
      <w:r>
        <w:rPr>
          <w:rFonts w:ascii="Arial" w:cs="Arial" w:eastAsia="Arial" w:hAnsi="Arial"/>
          <w:sz w:val="15"/>
          <w:szCs w:val="15"/>
          <w:color w:val="auto"/>
        </w:rPr>
        <w:t>under the Susquehanna APA becomes</w:t>
      </w:r>
    </w:p>
    <w:p>
      <w:pPr>
        <w:spacing w:after="0" w:line="44" w:lineRule="exact"/>
        <w:rPr>
          <w:sz w:val="20"/>
          <w:szCs w:val="20"/>
          <w:color w:val="auto"/>
        </w:rPr>
      </w:pPr>
    </w:p>
    <w:p>
      <w:pPr>
        <w:ind w:left="8700"/>
        <w:spacing w:after="0"/>
        <w:rPr>
          <w:sz w:val="20"/>
          <w:szCs w:val="20"/>
          <w:color w:val="auto"/>
        </w:rPr>
      </w:pPr>
      <w:r>
        <w:rPr>
          <w:rFonts w:ascii="Arial" w:cs="Arial" w:eastAsia="Arial" w:hAnsi="Arial"/>
          <w:sz w:val="16"/>
          <w:szCs w:val="16"/>
          <w:color w:val="auto"/>
        </w:rPr>
        <w:t>effective (or December 31, 2006, if</w:t>
      </w:r>
    </w:p>
    <w:p>
      <w:pPr>
        <w:spacing w:after="0" w:line="32" w:lineRule="exact"/>
        <w:rPr>
          <w:sz w:val="20"/>
          <w:szCs w:val="20"/>
          <w:color w:val="auto"/>
        </w:rPr>
      </w:pPr>
    </w:p>
    <w:p>
      <w:pPr>
        <w:ind w:left="8700"/>
        <w:spacing w:after="0"/>
        <w:rPr>
          <w:sz w:val="20"/>
          <w:szCs w:val="20"/>
          <w:color w:val="auto"/>
        </w:rPr>
      </w:pPr>
      <w:r>
        <w:rPr>
          <w:rFonts w:ascii="Arial" w:cs="Arial" w:eastAsia="Arial" w:hAnsi="Arial"/>
          <w:sz w:val="16"/>
          <w:szCs w:val="16"/>
          <w:color w:val="auto"/>
        </w:rPr>
        <w:t>such transaction is not completed by</w:t>
      </w:r>
    </w:p>
    <w:p>
      <w:pPr>
        <w:spacing w:after="0" w:line="32"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that date.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90" w:right="299" w:bottom="1440" w:gutter="0" w:footer="0" w:header="0"/>
        </w:sectPr>
      </w:pPr>
    </w:p>
    <w:bookmarkStart w:id="247" w:name="page248"/>
    <w:bookmarkEnd w:id="247"/>
    <w:p>
      <w:pPr>
        <w:ind w:left="940"/>
        <w:spacing w:after="0"/>
        <w:rPr>
          <w:sz w:val="20"/>
          <w:szCs w:val="20"/>
          <w:color w:val="auto"/>
        </w:rPr>
      </w:pPr>
      <w:r>
        <w:rPr>
          <w:rFonts w:ascii="Arial" w:cs="Arial" w:eastAsia="Arial" w:hAnsi="Arial"/>
          <w:sz w:val="14"/>
          <w:szCs w:val="14"/>
          <w:b w:val="1"/>
          <w:bCs w:val="1"/>
          <w:u w:val="single" w:color="auto"/>
          <w:color w:val="auto"/>
        </w:rPr>
        <w:t>Name of Entity</w:t>
      </w:r>
    </w:p>
    <w:p>
      <w:pPr>
        <w:spacing w:after="0" w:line="114"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Adelphia Communications Corporation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Time Warner NY Cable LLC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thePlatform for Media,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Insight Media</w:t>
      </w:r>
    </w:p>
    <w:p>
      <w:pPr>
        <w:spacing w:after="0" w:line="117" w:lineRule="exact"/>
        <w:rPr>
          <w:sz w:val="20"/>
          <w:szCs w:val="20"/>
          <w:color w:val="auto"/>
        </w:rPr>
      </w:pPr>
    </w:p>
    <w:p>
      <w:pPr>
        <w:spacing w:after="0" w:line="422" w:lineRule="auto"/>
        <w:rPr>
          <w:sz w:val="20"/>
          <w:szCs w:val="20"/>
          <w:color w:val="auto"/>
        </w:rPr>
      </w:pPr>
      <w:r>
        <w:rPr>
          <w:rFonts w:ascii="Arial" w:cs="Arial" w:eastAsia="Arial" w:hAnsi="Arial"/>
          <w:sz w:val="16"/>
          <w:szCs w:val="16"/>
          <w:color w:val="auto"/>
        </w:rPr>
        <w:t>E! Entertainment Television, Inc. New England Cable News</w:t>
      </w:r>
    </w:p>
    <w:p>
      <w:pPr>
        <w:spacing w:after="0" w:line="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NBCUniversal, LLC and its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Participating Company</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16"/>
        </w:trPr>
        <w:tc>
          <w:tcPr>
            <w:tcW w:w="2760" w:type="dxa"/>
            <w:vAlign w:val="bottom"/>
            <w:gridSpan w:val="5"/>
          </w:tcPr>
          <w:p>
            <w:pPr>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83"/>
              </w:rPr>
              <w:t>YES</w:t>
            </w:r>
          </w:p>
        </w:tc>
      </w:tr>
      <w:tr>
        <w:trPr>
          <w:trHeight w:val="972"/>
        </w:trPr>
        <w:tc>
          <w:tcPr>
            <w:tcW w:w="2760" w:type="dxa"/>
            <w:vAlign w:val="bottom"/>
            <w:gridSpan w:val="5"/>
          </w:tcPr>
          <w:p>
            <w:pPr>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83"/>
              </w:rPr>
              <w:t>YES</w:t>
            </w:r>
          </w:p>
        </w:tc>
      </w:tr>
      <w:tr>
        <w:trPr>
          <w:trHeight w:val="756"/>
        </w:trPr>
        <w:tc>
          <w:tcPr>
            <w:tcW w:w="2760" w:type="dxa"/>
            <w:vAlign w:val="bottom"/>
            <w:gridSpan w:val="5"/>
          </w:tcPr>
          <w:p>
            <w:pPr>
              <w:spacing w:after="0"/>
              <w:rPr>
                <w:sz w:val="20"/>
                <w:szCs w:val="20"/>
                <w:color w:val="auto"/>
              </w:rPr>
            </w:pPr>
            <w:r>
              <w:rPr>
                <w:rFonts w:ascii="Arial" w:cs="Arial" w:eastAsia="Arial" w:hAnsi="Arial"/>
                <w:sz w:val="18"/>
                <w:szCs w:val="18"/>
                <w:color w:val="auto"/>
              </w:rPr>
              <w:t>YES</w:t>
            </w:r>
          </w:p>
        </w:tc>
        <w:tc>
          <w:tcPr>
            <w:tcW w:w="400" w:type="dxa"/>
            <w:vAlign w:val="bottom"/>
          </w:tcPr>
          <w:p>
            <w:pPr>
              <w:ind w:left="80"/>
              <w:spacing w:after="0"/>
              <w:rPr>
                <w:sz w:val="20"/>
                <w:szCs w:val="20"/>
                <w:color w:val="auto"/>
              </w:rPr>
            </w:pPr>
            <w:r>
              <w:rPr>
                <w:rFonts w:ascii="Arial" w:cs="Arial" w:eastAsia="Arial" w:hAnsi="Arial"/>
                <w:sz w:val="18"/>
                <w:szCs w:val="18"/>
                <w:color w:val="auto"/>
                <w:w w:val="83"/>
              </w:rPr>
              <w:t>YES</w:t>
            </w:r>
          </w:p>
        </w:tc>
      </w:tr>
      <w:tr>
        <w:trPr>
          <w:trHeight w:val="324"/>
        </w:trPr>
        <w:tc>
          <w:tcPr>
            <w:tcW w:w="2760" w:type="dxa"/>
            <w:vAlign w:val="bottom"/>
            <w:gridSpan w:val="5"/>
          </w:tcPr>
          <w:p>
            <w:pPr>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83"/>
              </w:rPr>
              <w:t>YES</w:t>
            </w:r>
          </w:p>
        </w:tc>
      </w:tr>
      <w:tr>
        <w:trPr>
          <w:trHeight w:val="324"/>
        </w:trPr>
        <w:tc>
          <w:tcPr>
            <w:tcW w:w="2760" w:type="dxa"/>
            <w:vAlign w:val="bottom"/>
            <w:gridSpan w:val="5"/>
          </w:tcPr>
          <w:p>
            <w:pPr>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83"/>
              </w:rPr>
              <w:t>YES</w:t>
            </w:r>
          </w:p>
        </w:tc>
      </w:tr>
      <w:tr>
        <w:trPr>
          <w:trHeight w:val="324"/>
        </w:trPr>
        <w:tc>
          <w:tcPr>
            <w:tcW w:w="2760" w:type="dxa"/>
            <w:vAlign w:val="bottom"/>
            <w:gridSpan w:val="5"/>
          </w:tcPr>
          <w:p>
            <w:pPr>
              <w:spacing w:after="0"/>
              <w:rPr>
                <w:sz w:val="20"/>
                <w:szCs w:val="20"/>
                <w:color w:val="auto"/>
              </w:rPr>
            </w:pPr>
            <w:r>
              <w:rPr>
                <w:rFonts w:ascii="Arial" w:cs="Arial" w:eastAsia="Arial" w:hAnsi="Arial"/>
                <w:sz w:val="18"/>
                <w:szCs w:val="18"/>
                <w:color w:val="auto"/>
              </w:rPr>
              <w:t>YES</w:t>
            </w:r>
          </w:p>
        </w:tc>
        <w:tc>
          <w:tcPr>
            <w:tcW w:w="400" w:type="dxa"/>
            <w:vAlign w:val="bottom"/>
          </w:tcPr>
          <w:p>
            <w:pPr>
              <w:ind w:left="80"/>
              <w:spacing w:after="0"/>
              <w:rPr>
                <w:sz w:val="20"/>
                <w:szCs w:val="20"/>
                <w:color w:val="auto"/>
              </w:rPr>
            </w:pPr>
            <w:r>
              <w:rPr>
                <w:rFonts w:ascii="Arial" w:cs="Arial" w:eastAsia="Arial" w:hAnsi="Arial"/>
                <w:sz w:val="18"/>
                <w:szCs w:val="18"/>
                <w:color w:val="auto"/>
                <w:w w:val="83"/>
              </w:rPr>
              <w:t>YES</w:t>
            </w:r>
          </w:p>
        </w:tc>
      </w:tr>
      <w:tr>
        <w:trPr>
          <w:trHeight w:val="318"/>
        </w:trPr>
        <w:tc>
          <w:tcPr>
            <w:tcW w:w="2760" w:type="dxa"/>
            <w:vAlign w:val="bottom"/>
            <w:gridSpan w:val="5"/>
          </w:tcPr>
          <w:p>
            <w:pPr>
              <w:spacing w:after="0"/>
              <w:rPr>
                <w:sz w:val="20"/>
                <w:szCs w:val="20"/>
                <w:color w:val="auto"/>
              </w:rPr>
            </w:pPr>
            <w:r>
              <w:rPr>
                <w:rFonts w:ascii="Arial" w:cs="Arial" w:eastAsia="Arial" w:hAnsi="Arial"/>
                <w:sz w:val="18"/>
                <w:szCs w:val="18"/>
                <w:color w:val="auto"/>
                <w:w w:val="90"/>
              </w:rPr>
              <w:t>NO, except with respect to employees</w:t>
            </w:r>
          </w:p>
        </w:tc>
        <w:tc>
          <w:tcPr>
            <w:tcW w:w="400" w:type="dxa"/>
            <w:vAlign w:val="bottom"/>
          </w:tcPr>
          <w:p>
            <w:pPr>
              <w:ind w:left="80"/>
              <w:spacing w:after="0"/>
              <w:rPr>
                <w:sz w:val="20"/>
                <w:szCs w:val="20"/>
                <w:color w:val="auto"/>
              </w:rPr>
            </w:pPr>
            <w:r>
              <w:rPr>
                <w:rFonts w:ascii="Arial" w:cs="Arial" w:eastAsia="Arial" w:hAnsi="Arial"/>
                <w:sz w:val="18"/>
                <w:szCs w:val="18"/>
                <w:color w:val="auto"/>
                <w:w w:val="83"/>
              </w:rPr>
              <w:t>YES</w:t>
            </w:r>
          </w:p>
        </w:tc>
      </w:tr>
      <w:tr>
        <w:trPr>
          <w:trHeight w:val="216"/>
        </w:trPr>
        <w:tc>
          <w:tcPr>
            <w:tcW w:w="2760" w:type="dxa"/>
            <w:vAlign w:val="bottom"/>
            <w:gridSpan w:val="5"/>
          </w:tcPr>
          <w:p>
            <w:pPr>
              <w:spacing w:after="0"/>
              <w:rPr>
                <w:sz w:val="20"/>
                <w:szCs w:val="20"/>
                <w:color w:val="auto"/>
              </w:rPr>
            </w:pPr>
            <w:r>
              <w:rPr>
                <w:rFonts w:ascii="Arial" w:cs="Arial" w:eastAsia="Arial" w:hAnsi="Arial"/>
                <w:sz w:val="18"/>
                <w:szCs w:val="18"/>
                <w:color w:val="auto"/>
                <w:w w:val="93"/>
              </w:rPr>
              <w:t>who are on a payroll administered by</w:t>
            </w:r>
          </w:p>
        </w:tc>
        <w:tc>
          <w:tcPr>
            <w:tcW w:w="400" w:type="dxa"/>
            <w:vAlign w:val="bottom"/>
          </w:tcPr>
          <w:p>
            <w:pPr>
              <w:spacing w:after="0"/>
              <w:rPr>
                <w:sz w:val="18"/>
                <w:szCs w:val="18"/>
                <w:color w:val="auto"/>
              </w:rPr>
            </w:pPr>
          </w:p>
        </w:tc>
      </w:tr>
      <w:tr>
        <w:trPr>
          <w:trHeight w:val="216"/>
        </w:trPr>
        <w:tc>
          <w:tcPr>
            <w:tcW w:w="2760" w:type="dxa"/>
            <w:vAlign w:val="bottom"/>
            <w:gridSpan w:val="5"/>
          </w:tcPr>
          <w:p>
            <w:pPr>
              <w:spacing w:after="0"/>
              <w:rPr>
                <w:sz w:val="20"/>
                <w:szCs w:val="20"/>
                <w:color w:val="auto"/>
              </w:rPr>
            </w:pPr>
            <w:r>
              <w:rPr>
                <w:rFonts w:ascii="Arial" w:cs="Arial" w:eastAsia="Arial" w:hAnsi="Arial"/>
                <w:sz w:val="18"/>
                <w:szCs w:val="18"/>
                <w:color w:val="auto"/>
                <w:w w:val="92"/>
              </w:rPr>
              <w:t>Comcast Corporation (as determined</w:t>
            </w:r>
          </w:p>
        </w:tc>
        <w:tc>
          <w:tcPr>
            <w:tcW w:w="400" w:type="dxa"/>
            <w:vAlign w:val="bottom"/>
          </w:tcPr>
          <w:p>
            <w:pPr>
              <w:spacing w:after="0"/>
              <w:rPr>
                <w:sz w:val="18"/>
                <w:szCs w:val="18"/>
                <w:color w:val="auto"/>
              </w:rPr>
            </w:pPr>
          </w:p>
        </w:tc>
      </w:tr>
      <w:tr>
        <w:trPr>
          <w:trHeight w:val="222"/>
        </w:trPr>
        <w:tc>
          <w:tcPr>
            <w:tcW w:w="2760" w:type="dxa"/>
            <w:vAlign w:val="bottom"/>
            <w:gridSpan w:val="5"/>
          </w:tcPr>
          <w:p>
            <w:pPr>
              <w:spacing w:after="0"/>
              <w:rPr>
                <w:sz w:val="20"/>
                <w:szCs w:val="20"/>
                <w:color w:val="auto"/>
              </w:rPr>
            </w:pPr>
            <w:r>
              <w:rPr>
                <w:rFonts w:ascii="Arial" w:cs="Arial" w:eastAsia="Arial" w:hAnsi="Arial"/>
                <w:sz w:val="18"/>
                <w:szCs w:val="18"/>
                <w:color w:val="auto"/>
              </w:rPr>
              <w:t>by Committee or its delegate).</w:t>
            </w:r>
          </w:p>
        </w:tc>
        <w:tc>
          <w:tcPr>
            <w:tcW w:w="400" w:type="dxa"/>
            <w:vAlign w:val="bottom"/>
          </w:tcPr>
          <w:p>
            <w:pPr>
              <w:spacing w:after="0"/>
              <w:rPr>
                <w:sz w:val="19"/>
                <w:szCs w:val="19"/>
                <w:color w:val="auto"/>
              </w:rPr>
            </w:pPr>
          </w:p>
        </w:tc>
      </w:tr>
      <w:tr>
        <w:trPr>
          <w:trHeight w:val="372"/>
        </w:trPr>
        <w:tc>
          <w:tcPr>
            <w:tcW w:w="2760" w:type="dxa"/>
            <w:vAlign w:val="bottom"/>
            <w:gridSpan w:val="5"/>
          </w:tcPr>
          <w:p>
            <w:pPr>
              <w:spacing w:after="0"/>
              <w:rPr>
                <w:sz w:val="20"/>
                <w:szCs w:val="20"/>
                <w:color w:val="auto"/>
              </w:rPr>
            </w:pPr>
            <w:r>
              <w:rPr>
                <w:rFonts w:ascii="Arial" w:cs="Arial" w:eastAsia="Arial" w:hAnsi="Arial"/>
                <w:sz w:val="18"/>
                <w:szCs w:val="18"/>
                <w:color w:val="auto"/>
              </w:rPr>
              <w:t>Notwithstanding the foregoing,</w:t>
            </w:r>
          </w:p>
        </w:tc>
        <w:tc>
          <w:tcPr>
            <w:tcW w:w="400" w:type="dxa"/>
            <w:vAlign w:val="bottom"/>
          </w:tcPr>
          <w:p>
            <w:pPr>
              <w:spacing w:after="0"/>
              <w:rPr>
                <w:sz w:val="24"/>
                <w:szCs w:val="24"/>
                <w:color w:val="auto"/>
              </w:rPr>
            </w:pPr>
          </w:p>
        </w:tc>
      </w:tr>
      <w:tr>
        <w:trPr>
          <w:trHeight w:val="216"/>
        </w:trPr>
        <w:tc>
          <w:tcPr>
            <w:tcW w:w="2760" w:type="dxa"/>
            <w:vAlign w:val="bottom"/>
            <w:gridSpan w:val="5"/>
          </w:tcPr>
          <w:p>
            <w:pPr>
              <w:spacing w:after="0"/>
              <w:rPr>
                <w:sz w:val="20"/>
                <w:szCs w:val="20"/>
                <w:color w:val="auto"/>
              </w:rPr>
            </w:pPr>
            <w:r>
              <w:rPr>
                <w:rFonts w:ascii="Arial" w:cs="Arial" w:eastAsia="Arial" w:hAnsi="Arial"/>
                <w:sz w:val="18"/>
                <w:szCs w:val="18"/>
                <w:color w:val="auto"/>
                <w:w w:val="91"/>
              </w:rPr>
              <w:t>NBCUniversal shall be a Participating</w:t>
            </w:r>
          </w:p>
        </w:tc>
        <w:tc>
          <w:tcPr>
            <w:tcW w:w="400" w:type="dxa"/>
            <w:vAlign w:val="bottom"/>
          </w:tcPr>
          <w:p>
            <w:pPr>
              <w:spacing w:after="0"/>
              <w:rPr>
                <w:sz w:val="18"/>
                <w:szCs w:val="18"/>
                <w:color w:val="auto"/>
              </w:rPr>
            </w:pPr>
          </w:p>
        </w:tc>
      </w:tr>
      <w:tr>
        <w:trPr>
          <w:trHeight w:val="216"/>
        </w:trPr>
        <w:tc>
          <w:tcPr>
            <w:tcW w:w="2760" w:type="dxa"/>
            <w:vAlign w:val="bottom"/>
            <w:gridSpan w:val="5"/>
          </w:tcPr>
          <w:p>
            <w:pPr>
              <w:spacing w:after="0"/>
              <w:rPr>
                <w:sz w:val="20"/>
                <w:szCs w:val="20"/>
                <w:color w:val="auto"/>
              </w:rPr>
            </w:pPr>
            <w:r>
              <w:rPr>
                <w:rFonts w:ascii="Arial" w:cs="Arial" w:eastAsia="Arial" w:hAnsi="Arial"/>
                <w:sz w:val="18"/>
                <w:szCs w:val="18"/>
                <w:color w:val="auto"/>
                <w:w w:val="95"/>
              </w:rPr>
              <w:t>Company pursuant to the terms and</w:t>
            </w:r>
          </w:p>
        </w:tc>
        <w:tc>
          <w:tcPr>
            <w:tcW w:w="400" w:type="dxa"/>
            <w:vAlign w:val="bottom"/>
          </w:tcPr>
          <w:p>
            <w:pPr>
              <w:spacing w:after="0"/>
              <w:rPr>
                <w:sz w:val="18"/>
                <w:szCs w:val="18"/>
                <w:color w:val="auto"/>
              </w:rPr>
            </w:pPr>
          </w:p>
        </w:tc>
      </w:tr>
      <w:tr>
        <w:trPr>
          <w:trHeight w:val="184"/>
        </w:trPr>
        <w:tc>
          <w:tcPr>
            <w:tcW w:w="2760" w:type="dxa"/>
            <w:vAlign w:val="bottom"/>
            <w:gridSpan w:val="5"/>
          </w:tcPr>
          <w:p>
            <w:pPr>
              <w:spacing w:after="0" w:line="184" w:lineRule="exact"/>
              <w:rPr>
                <w:sz w:val="20"/>
                <w:szCs w:val="20"/>
                <w:color w:val="auto"/>
              </w:rPr>
            </w:pPr>
            <w:r>
              <w:rPr>
                <w:rFonts w:ascii="Arial" w:cs="Arial" w:eastAsia="Arial" w:hAnsi="Arial"/>
                <w:sz w:val="18"/>
                <w:szCs w:val="18"/>
                <w:color w:val="auto"/>
              </w:rPr>
              <w:t>conditions of Exhibit B.</w:t>
            </w:r>
          </w:p>
        </w:tc>
        <w:tc>
          <w:tcPr>
            <w:tcW w:w="40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-3369310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br w:type="column"/>
      </w:r>
    </w:p>
    <w:p>
      <w:pPr>
        <w:spacing w:after="0"/>
        <w:tabs>
          <w:tab w:leader="none" w:pos="2940" w:val="left"/>
        </w:tabs>
        <w:rPr>
          <w:sz w:val="20"/>
          <w:szCs w:val="20"/>
          <w:color w:val="auto"/>
        </w:rPr>
      </w:pPr>
      <w:r>
        <w:rPr>
          <w:rFonts w:ascii="Arial" w:cs="Arial" w:eastAsia="Arial" w:hAnsi="Arial"/>
          <w:sz w:val="14"/>
          <w:szCs w:val="14"/>
          <w:b w:val="1"/>
          <w:bCs w:val="1"/>
          <w:u w:val="single" w:color="auto"/>
          <w:color w:val="auto"/>
        </w:rPr>
        <w:t>Listed Employer</w:t>
      </w:r>
      <w:r>
        <w:rPr>
          <w:sz w:val="20"/>
          <w:szCs w:val="20"/>
          <w:color w:val="auto"/>
        </w:rPr>
        <w:tab/>
      </w:r>
      <w:r>
        <w:rPr>
          <w:rFonts w:ascii="Arial" w:cs="Arial" w:eastAsia="Arial" w:hAnsi="Arial"/>
          <w:sz w:val="12"/>
          <w:szCs w:val="12"/>
          <w:b w:val="1"/>
          <w:bCs w:val="1"/>
          <w:u w:val="single" w:color="auto"/>
          <w:color w:val="auto"/>
        </w:rPr>
        <w:t>Effective Date</w:t>
      </w:r>
    </w:p>
    <w:p>
      <w:pPr>
        <w:spacing w:after="0" w:line="114"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The period beginning on the Closing</w:t>
      </w:r>
    </w:p>
    <w:p>
      <w:pPr>
        <w:spacing w:after="0" w:line="38"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Date of the Adelphia Transaction and</w:t>
      </w:r>
    </w:p>
    <w:p>
      <w:pPr>
        <w:spacing w:after="0" w:line="3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ending on the first anniversary</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thereof.</w:t>
      </w:r>
    </w:p>
    <w:p>
      <w:pPr>
        <w:spacing w:after="0" w:line="111"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The date immediately following the</w:t>
      </w:r>
    </w:p>
    <w:p>
      <w:pPr>
        <w:spacing w:after="0" w:line="38"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Closing Date of the Time Warner</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Transaction</w:t>
      </w:r>
    </w:p>
    <w:p>
      <w:pPr>
        <w:spacing w:after="0" w:line="11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December 18, 2006</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January 1, 2008</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January 1, 2008</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January 1, 2010</w:t>
      </w:r>
    </w:p>
    <w:p>
      <w:pPr>
        <w:spacing w:after="0" w:line="117" w:lineRule="exact"/>
        <w:rPr>
          <w:sz w:val="20"/>
          <w:szCs w:val="20"/>
          <w:color w:val="auto"/>
        </w:rPr>
      </w:pPr>
    </w:p>
    <w:p>
      <w:pPr>
        <w:ind w:left="2020"/>
        <w:spacing w:after="0" w:line="310" w:lineRule="auto"/>
        <w:rPr>
          <w:sz w:val="20"/>
          <w:szCs w:val="20"/>
          <w:color w:val="auto"/>
        </w:rPr>
      </w:pPr>
      <w:r>
        <w:rPr>
          <w:rFonts w:ascii="Arial" w:cs="Arial" w:eastAsia="Arial" w:hAnsi="Arial"/>
          <w:sz w:val="15"/>
          <w:szCs w:val="15"/>
          <w:color w:val="auto"/>
        </w:rPr>
        <w:t>The day after the closing of the transactions contemplated by the Master Agreement, dated December 3, 2009, by and among General Electric Company, a New York corporation, NBC Universal, Inc., a Delaware corporation, Comcast and Navy, LLC, a Delaware limited liability company.</w:t>
      </w:r>
    </w:p>
    <w:p>
      <w:pPr>
        <w:spacing w:after="0" w:line="108"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With respect to the provisions of</w:t>
      </w:r>
    </w:p>
    <w:p>
      <w:pPr>
        <w:spacing w:after="0" w:line="15" w:lineRule="exact"/>
        <w:rPr>
          <w:sz w:val="20"/>
          <w:szCs w:val="20"/>
          <w:color w:val="auto"/>
        </w:rPr>
      </w:pPr>
    </w:p>
    <w:p>
      <w:pPr>
        <w:ind w:left="2020"/>
        <w:spacing w:after="0"/>
        <w:rPr>
          <w:sz w:val="20"/>
          <w:szCs w:val="20"/>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January 1, 2013.</w:t>
      </w:r>
    </w:p>
    <w:p>
      <w:pPr>
        <w:sectPr>
          <w:pgSz w:w="11900" w:h="16838" w:orient="portrait"/>
          <w:cols w:equalWidth="0" w:num="3">
            <w:col w:w="2340" w:space="560"/>
            <w:col w:w="3160" w:space="620"/>
            <w:col w:w="4740"/>
          </w:cols>
          <w:pgMar w:left="240" w:top="276" w:right="2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40" w:type="dxa"/>
            <w:vAlign w:val="bottom"/>
            <w:gridSpan w:val="5"/>
          </w:tcPr>
          <w:p>
            <w:pPr>
              <w:jc w:val="center"/>
              <w:ind w:right="1680"/>
              <w:spacing w:after="0"/>
              <w:rPr>
                <w:sz w:val="20"/>
                <w:szCs w:val="20"/>
                <w:color w:val="auto"/>
              </w:rPr>
            </w:pPr>
            <w:r>
              <w:rPr>
                <w:rFonts w:ascii="Arial" w:cs="Arial" w:eastAsia="Arial" w:hAnsi="Arial"/>
                <w:sz w:val="18"/>
                <w:szCs w:val="18"/>
                <w:b w:val="1"/>
                <w:bCs w:val="1"/>
                <w:color w:val="auto"/>
                <w:w w:val="97"/>
              </w:rPr>
              <w:t>NON-PARTICIPATING COMPANIES</w:t>
            </w:r>
          </w:p>
        </w:tc>
      </w:tr>
      <w:tr>
        <w:trPr>
          <w:trHeight w:val="372"/>
        </w:trPr>
        <w:tc>
          <w:tcPr>
            <w:tcW w:w="2620" w:type="dxa"/>
            <w:vAlign w:val="bottom"/>
          </w:tcPr>
          <w:p>
            <w:pPr>
              <w:spacing w:after="0"/>
              <w:rPr>
                <w:sz w:val="24"/>
                <w:szCs w:val="2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Company</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Effective Date</w:t>
            </w:r>
          </w:p>
        </w:tc>
        <w:tc>
          <w:tcPr>
            <w:tcW w:w="140" w:type="dxa"/>
            <w:vAlign w:val="bottom"/>
          </w:tcPr>
          <w:p>
            <w:pPr>
              <w:spacing w:after="0"/>
              <w:rPr>
                <w:sz w:val="24"/>
                <w:szCs w:val="24"/>
                <w:color w:val="auto"/>
              </w:rPr>
            </w:pPr>
          </w:p>
        </w:tc>
      </w:tr>
      <w:tr>
        <w:trPr>
          <w:trHeight w:val="316"/>
        </w:trPr>
        <w:tc>
          <w:tcPr>
            <w:tcW w:w="3780" w:type="dxa"/>
            <w:vAlign w:val="bottom"/>
            <w:gridSpan w:val="3"/>
          </w:tcPr>
          <w:p>
            <w:pPr>
              <w:spacing w:after="0"/>
              <w:rPr>
                <w:sz w:val="20"/>
                <w:szCs w:val="20"/>
                <w:color w:val="auto"/>
              </w:rPr>
            </w:pPr>
            <w:r>
              <w:rPr>
                <w:rFonts w:ascii="Arial" w:cs="Arial" w:eastAsia="Arial" w:hAnsi="Arial"/>
                <w:sz w:val="18"/>
                <w:szCs w:val="18"/>
                <w:color w:val="auto"/>
              </w:rPr>
              <w:t>THOG Productions, LLC</w:t>
            </w: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40" w:type="dxa"/>
            <w:vAlign w:val="bottom"/>
            <w:gridSpan w:val="3"/>
          </w:tcPr>
          <w:p>
            <w:pPr>
              <w:jc w:val="center"/>
              <w:ind w:left="892"/>
              <w:spacing w:after="0"/>
              <w:rPr>
                <w:sz w:val="20"/>
                <w:szCs w:val="20"/>
                <w:color w:val="auto"/>
              </w:rPr>
            </w:pPr>
            <w:r>
              <w:rPr>
                <w:rFonts w:ascii="Arial" w:cs="Arial" w:eastAsia="Arial" w:hAnsi="Arial"/>
                <w:sz w:val="18"/>
                <w:szCs w:val="18"/>
                <w:color w:val="auto"/>
                <w:w w:val="90"/>
              </w:rPr>
              <w:t>August 1, 2002*</w:t>
            </w:r>
          </w:p>
        </w:tc>
      </w:tr>
      <w:tr>
        <w:trPr>
          <w:trHeight w:val="419"/>
        </w:trPr>
        <w:tc>
          <w:tcPr>
            <w:tcW w:w="3780" w:type="dxa"/>
            <w:vAlign w:val="bottom"/>
            <w:gridSpan w:val="3"/>
          </w:tcPr>
          <w:p>
            <w:pPr>
              <w:spacing w:after="0"/>
              <w:rPr>
                <w:sz w:val="20"/>
                <w:szCs w:val="20"/>
                <w:color w:val="auto"/>
              </w:rPr>
            </w:pPr>
            <w:r>
              <w:rPr>
                <w:rFonts w:ascii="Arial" w:cs="Arial" w:eastAsia="Arial" w:hAnsi="Arial"/>
                <w:sz w:val="18"/>
                <w:szCs w:val="18"/>
                <w:color w:val="auto"/>
              </w:rPr>
              <w:t>*  Previously excluded by action of the Board.</w:t>
            </w: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2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gridSpan w:val="2"/>
          </w:tcPr>
          <w:p>
            <w:pPr>
              <w:jc w:val="right"/>
              <w:ind w:right="1320"/>
              <w:spacing w:after="0"/>
              <w:rPr>
                <w:sz w:val="20"/>
                <w:szCs w:val="20"/>
                <w:color w:val="auto"/>
              </w:rPr>
            </w:pPr>
            <w:r>
              <w:rPr>
                <w:rFonts w:ascii="Arial" w:cs="Arial" w:eastAsia="Arial" w:hAnsi="Arial"/>
                <w:sz w:val="18"/>
                <w:szCs w:val="18"/>
                <w:color w:val="auto"/>
              </w:rPr>
              <w:t>-79-</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473"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9" w:name="page250"/>
    <w:bookmarkEnd w:id="2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NBCUNIVERSAL, LLC</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NBCUniversal, LLC, a Delaware limited liability company (“NBCUniversal”) and each of its subsidiaries that are members of the controlled group of trades or businesses that includes NBCUniversal (within the meaning of section 414(b) and section 414(c) of the Code), shall become a Participating Company hereunder effective January 1, 2013. The terms and conditions of the Plan shall generally apply to Covered Employees of NBCUniversal and its participating subsidiaries, except to the extent such provisions contradict with the terms and conditions set forth in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For avoidance of doubt, the provisions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only apply to Covered Employees of NBCUniversal and its participating subsidiaries.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2.1. Each Covered Employee as of the Restatement Date who was eligible to participate in the NBCU CAP immediately prior to the Restatement Date shall be an Eligible Employee as of the Restatement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Each other Covered Employee shall become an Eligible Employee on the Entry Date next following:</w:t>
      </w:r>
    </w:p>
    <w:p>
      <w:pPr>
        <w:spacing w:after="0" w:line="171" w:lineRule="exact"/>
        <w:rPr>
          <w:sz w:val="20"/>
          <w:szCs w:val="20"/>
          <w:color w:val="auto"/>
        </w:rPr>
      </w:pPr>
    </w:p>
    <w:p>
      <w:pPr>
        <w:ind w:left="1740" w:hanging="248"/>
        <w:spacing w:after="0"/>
        <w:tabs>
          <w:tab w:leader="none" w:pos="17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upon his Employment Commencement Date, if he is other than a Temporary Employee or a Paid Intern;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his completion of a Period of Service of three (3) months, if he is a Temporary Employee (other than a Paid Intern).</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2.3 If an individual is not a Covered Employee on the Entry Date next following the date he meets the requirements of Section 2.2., he shall become an Eligible Employee as of the first date thereafter on which he is a Covered Employee.</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2.4. If a Covered Employee does not satisfy the requirements of Section 2.2. prior to incurring a Severance from Service Date, but is rehired prior to incurring a One-Year Period of Severance, the prior Period of Service shall be considered for purposes of satisfying the requirements of Section 2.2. If the Covered Employee incurs a One-Year Period of Severance, his prior Period of Service shall not be considered upon a subsequent Reemployment Commencement Date.</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2.5. Notwithstanding anything herein to the contrary and for avoidance of doubt, Employees who are Paid Interns and Employees who are eligible to participate in the following plans (including any Employee who would be eligible but for the fact that such Employee has not yet met the plan’s age and/or service eligibility requirements) shall not be eligible to participate in the Plan: (i) E! Entertainment Television, Inc. Profit Sharing/401(k) Plan, (ii) NBCUniversal Capital Accumulation Plan, (iii) Universal Studios Hollywood 401(k) Plan, (iv) Wet N’ Wild 401(k) Plan, (v) Savings Plan for WNJU Union Employees of Telemundo, or (vi) Universal Orlando 401(k) Plan.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90" w:right="279" w:bottom="1440" w:gutter="0" w:footer="0" w:header="0"/>
        </w:sectPr>
      </w:pPr>
    </w:p>
    <w:bookmarkStart w:id="250" w:name="page251"/>
    <w:bookmarkEnd w:id="250"/>
    <w:p>
      <w:pPr>
        <w:ind w:right="8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For purposes of this </w:t>
      </w:r>
      <w:r>
        <w:rPr>
          <w:rFonts w:ascii="Arial" w:cs="Arial" w:eastAsia="Arial" w:hAnsi="Arial"/>
          <w:sz w:val="16"/>
          <w:szCs w:val="16"/>
          <w:u w:val="single" w:color="auto"/>
          <w:color w:val="auto"/>
        </w:rPr>
        <w:t>Exhibit B</w:t>
      </w:r>
      <w:r>
        <w:rPr>
          <w:rFonts w:ascii="Arial" w:cs="Arial" w:eastAsia="Arial" w:hAnsi="Arial"/>
          <w:sz w:val="16"/>
          <w:szCs w:val="16"/>
          <w:color w:val="auto"/>
        </w:rPr>
        <w:t>, (a) “Temporary Employee” means an Employee whose employment is classified by the Participating Company to which such Employee is employed as “temporary” or “intermittent,” both in accordance with uniformly applied personnel policies; (c) “Paid Intern” means an Employee whose employment is classified by the Participating Company to which such Employee is employed as pursuant to an internship and such Employee receives regular wages from the Participating Company in consideration for such employment; and (c) “Entry Date” means the first day of each Payroll Period.</w:t>
      </w:r>
    </w:p>
    <w:p>
      <w:pPr>
        <w:spacing w:after="0" w:line="11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Automatic Enrollment</w:t>
      </w:r>
      <w:r>
        <w:rPr>
          <w:rFonts w:ascii="Arial" w:cs="Arial" w:eastAsia="Arial" w:hAnsi="Arial"/>
          <w:sz w:val="16"/>
          <w:szCs w:val="16"/>
          <w:color w:val="auto"/>
        </w:rPr>
        <w:t xml:space="preserve">. Each Covered Employee who does not affirmatively elect to make Pre-Tax Contributions or Roth Contributions and become an Active Participant pursuant to Section 2.3 of the Plan (and does not affirmatively elect to decline to make Pre-Tax Contributions or Roth Contributions and become an Active Participant) will be automatically enrolled in the Plan on the Entry Date next following the date on which such Covered Employee meets the eligibility requirements of Section 2.2 of this </w:t>
      </w:r>
      <w:r>
        <w:rPr>
          <w:rFonts w:ascii="Arial" w:cs="Arial" w:eastAsia="Arial" w:hAnsi="Arial"/>
          <w:sz w:val="16"/>
          <w:szCs w:val="16"/>
          <w:u w:val="single" w:color="auto"/>
          <w:color w:val="auto"/>
        </w:rPr>
        <w:t>Exhibit B</w:t>
      </w:r>
      <w:r>
        <w:rPr>
          <w:rFonts w:ascii="Arial" w:cs="Arial" w:eastAsia="Arial" w:hAnsi="Arial"/>
          <w:sz w:val="16"/>
          <w:szCs w:val="16"/>
          <w:color w:val="auto"/>
        </w:rPr>
        <w:t>, provided that such automatic enrollment will not occur until the expiration of the 30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such Covered Employee is provided notice of his rights and obligations under the Plan as required by Treas. Reg. 1.401(k)-3(d). Covered Employees who are designated by the Committee or its delegate as having been reemployed by a Participating Company following a One-Year Period of Severance are considered newly Eligible Employees for purposes of the automatic enrollment provisions described in this Section 2.7. Covered Employees who are designated by the Committee or its delegate as having been reemployed by a Participating Company prior to having incurred a One-Year Period of Severance will be automatically re-enrolled in the Plan at the Pre-Tax Contribution rate in effect for such Employee on his Severance from Service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Pre-Tax Contributions, Catch-Up Contributions and Roth Contributions</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286" w:lineRule="auto"/>
        <w:tabs>
          <w:tab w:leader="none" w:pos="1722"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Pre-Tax Contributions</w:t>
      </w:r>
      <w:r>
        <w:rPr>
          <w:rFonts w:ascii="Arial" w:cs="Arial" w:eastAsia="Arial" w:hAnsi="Arial"/>
          <w:sz w:val="16"/>
          <w:szCs w:val="16"/>
          <w:color w:val="auto"/>
        </w:rPr>
        <w:t xml:space="preserve">. When an Eligible Employee files an election under Section 2.3 of the Plan to have Pre-Tax Contributions made on his behalf, he shall elect the percentage by which his Compensation shall be reduced on account of such Pre-Tax Contributions. Subject to Section 3.9 of the Plan, this percentage may be between one percent (1%) and fifty percent (50%) of such Compensation, rounded to the nearer one-half percentage (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 An automatically enrolled Eligible Employee’s Pre-Tax Contributions will, unless and until changed or discontinued by the Eligible Employee in accordance with Sections 3.2 or 3.3 of the Plan and subject to Section 3.9 of the Plan, be equal to three percent (3%) of the Eligible Employee’s Compensation in the first Plan Year in which such Eligible Employee is automatically enrolled in the Plan (the contribution percentages of Participants that were automatically enrolled in the NBCU CAP with an initial contribution percentage 3.5% will not change unless and until changed or discontinued by the Participants). An Eligible Employee’s Pre-Tax Contribution percentagewill, unless otherwise elected by the Employee, increase by one percent (1%), up to a maximum of ten percent (10%) of the Eligible Employee’s Compensation, each subsequent Plan Year beginning on the anniversary occurring in that subsequent Plan Year of the date on which such Eligible Employee was first enrolled in the Plan. The Participating Company shall contribute an amount equal to such percentage of the Eligible Employee’s Compensation to the Fund for credit to the Eligible Employee’s Pre-Tax Contribution Account.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334" w:right="259" w:bottom="1440" w:gutter="0" w:footer="0" w:header="0"/>
        </w:sectPr>
      </w:pPr>
    </w:p>
    <w:bookmarkStart w:id="251" w:name="page252"/>
    <w:bookmarkEnd w:id="251"/>
    <w:p>
      <w:pPr>
        <w:ind w:right="240" w:firstLine="1492"/>
        <w:spacing w:after="0" w:line="289" w:lineRule="auto"/>
        <w:tabs>
          <w:tab w:leader="none" w:pos="1732"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Catch-Up Contributions</w:t>
      </w:r>
      <w:r>
        <w:rPr>
          <w:rFonts w:ascii="Arial" w:cs="Arial" w:eastAsia="Arial" w:hAnsi="Arial"/>
          <w:sz w:val="16"/>
          <w:szCs w:val="16"/>
          <w:color w:val="auto"/>
        </w:rPr>
        <w:t xml:space="preserve">. Eligible Employees who have attained Age 50 before the close of any Plan Year and who have previously contributed at least 4.5% of their Compensation as Pre-Tax Contributions or Roth Contributions during such Plan Year shall be eligible to make Catch-Up Contributions during that Plan Year. Catch-Up Contributions shall be expressed as a percentage of Compensation between one percent (1%) and thirty percent (30%) (rounded to the nearer one-half percentage (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 xml:space="preserve">%)) and may be designated as either Pre-Tax Catch-Up Contributions or Roth Catch-Up Contributions.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3.2 of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firstLine="1492"/>
        <w:spacing w:after="0" w:line="287" w:lineRule="auto"/>
        <w:tabs>
          <w:tab w:leader="none" w:pos="1722"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Roth Contributions</w:t>
      </w:r>
      <w:r>
        <w:rPr>
          <w:rFonts w:ascii="Arial" w:cs="Arial" w:eastAsia="Arial" w:hAnsi="Arial"/>
          <w:sz w:val="16"/>
          <w:szCs w:val="16"/>
          <w:color w:val="auto"/>
        </w:rPr>
        <w:t>. An Eligible Employee may elect, on a form prescribed by the Committee, to contribute, in lieu of all or a portion of the Pre-Tax Contributions and/or Pre-Tax Catch-Up Contributions the Participant is otherwise eligible to make under the Plan, Roth Contributions and/or Roth Catch-Up Contributions to the Plan. Such Roth Contributions and Roth Catch-Up Contributions shall be allocated to the Eligible Employee’s Roth Contribution Account or Roth Catch-Up Contribution Account, as applicable. Roth Contributions and Roth Catch-Up Contributions shall be: (i) irrevocably designated as such by the Eligible Employee at the time of the election described in Sections 3.1(a) or (b) that is being made in lieu of all or a portion of the Pre-Tax Contribution and/or Pre-Tax Catch-Up Contributions the Eligible Employee is otherwise eligible to make under the Plan; and (ii) treated by the Participating Company as includible in the Eligible Employee’s income at the time the Participant would have received that amount in cash if the Eligible Employee had not made an election described in Sections 3.1(a) or (b). Unless specifically stated otherwise, Roth Contributions shall be treated as Pre-Tax Contributions for all purposes of the Plan (including, without limitation, Matching Contributions under Section 3.2) and Roth Catch-Up Contributions shall be treated as Pre-Tax Catch-Up Contributions for all purposes of the Plan.</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Matching Contributions</w:t>
      </w:r>
      <w:r>
        <w:rPr>
          <w:rFonts w:ascii="Arial" w:cs="Arial" w:eastAsia="Arial" w:hAnsi="Arial"/>
          <w:sz w:val="16"/>
          <w:szCs w:val="16"/>
          <w:color w:val="auto"/>
        </w:rPr>
        <w:t>. Subject to Sections 3.2(b) below and 3.9 of the Plan, the Participating Company shall contribute to the Fund for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Payroll Period:</w:t>
      </w:r>
    </w:p>
    <w:p>
      <w:pPr>
        <w:spacing w:after="0" w:line="165" w:lineRule="exact"/>
        <w:rPr>
          <w:sz w:val="20"/>
          <w:szCs w:val="20"/>
          <w:color w:val="auto"/>
        </w:rPr>
      </w:pPr>
    </w:p>
    <w:p>
      <w:pPr>
        <w:ind w:right="120" w:firstLine="1492"/>
        <w:spacing w:after="0" w:line="268" w:lineRule="auto"/>
        <w:tabs>
          <w:tab w:leader="none" w:pos="172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with respect to each Active Participant, an amount equal to one hundred percent (100%) of such Participant’s Pre-Tax Contributions for such Payroll Period not in excess of four and one-half percent (4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of his Compensation for such Payroll Period.</w:t>
      </w:r>
    </w:p>
    <w:p>
      <w:pPr>
        <w:spacing w:after="0" w:line="131" w:lineRule="exact"/>
        <w:rPr>
          <w:rFonts w:ascii="Arial" w:cs="Arial" w:eastAsia="Arial" w:hAnsi="Arial"/>
          <w:sz w:val="18"/>
          <w:szCs w:val="18"/>
          <w:color w:val="auto"/>
        </w:rPr>
      </w:pPr>
    </w:p>
    <w:p>
      <w:pPr>
        <w:ind w:firstLine="1492"/>
        <w:spacing w:after="0" w:line="298" w:lineRule="auto"/>
        <w:tabs>
          <w:tab w:leader="none" w:pos="1732"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True-Up Contribution</w:t>
      </w:r>
      <w:r>
        <w:rPr>
          <w:rFonts w:ascii="Arial" w:cs="Arial" w:eastAsia="Arial" w:hAnsi="Arial"/>
          <w:sz w:val="16"/>
          <w:szCs w:val="16"/>
          <w:color w:val="auto"/>
        </w:rPr>
        <w:t>. Notwithstanding Section 3.2(a), if the sum of the Matching Contributions made for an Active Participant on a Payroll Period basis for any Plan Year fails to provide the maximum amount of Matching Contributions to which such Active Participant would be entitled except for the Matching Contributions being made on a Payroll Period basis for such Plan Year or because of Catch-Up Contributions being re-designated as Pre-Tax Contributions, a Participating Company shall make an additional Matching Contribution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334" w:right="279" w:bottom="1440" w:gutter="0" w:footer="0" w:header="0"/>
        </w:sectPr>
      </w:pPr>
    </w:p>
    <w:bookmarkStart w:id="252" w:name="page253"/>
    <w:bookmarkEnd w:id="252"/>
    <w:p>
      <w:pPr>
        <w:jc w:val="both"/>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benefit of such Participant for such Plan Year in an amount equal to the amount which, when added to the Matching Contributions made pursuant to Section 3.2(a), would have been contributed had the Matching Contribution been based on the amount of the Participant’s annual Pre-Tax Contributions and annual Compensation.</w:t>
      </w:r>
    </w:p>
    <w:p>
      <w:pPr>
        <w:spacing w:after="0" w:line="140" w:lineRule="exact"/>
        <w:rPr>
          <w:sz w:val="20"/>
          <w:szCs w:val="20"/>
          <w:color w:val="auto"/>
        </w:rPr>
      </w:pPr>
    </w:p>
    <w:p>
      <w:pPr>
        <w:ind w:firstLine="1492"/>
        <w:spacing w:after="0" w:line="254" w:lineRule="auto"/>
        <w:tabs>
          <w:tab w:leader="none" w:pos="172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Notwithstanding the forgoing, the maximum total Matching Contribution for any Plan Year shall be $10,000 for any Participant who (i) is a Highly Compensated Employee and (ii) and is either (A) eligible to participate in the Comcast Corporation 2005 Deferred Compensation Plan or (B) a Committee Member. For purposes of Sections 3.2(c) and 3.3 of this </w:t>
      </w:r>
      <w:r>
        <w:rPr>
          <w:rFonts w:ascii="Arial" w:cs="Arial" w:eastAsia="Arial" w:hAnsi="Arial"/>
          <w:sz w:val="18"/>
          <w:szCs w:val="18"/>
          <w:u w:val="single" w:color="auto"/>
          <w:color w:val="auto"/>
        </w:rPr>
        <w:t>Exhibit B</w:t>
      </w:r>
      <w:r>
        <w:rPr>
          <w:rFonts w:ascii="Arial" w:cs="Arial" w:eastAsia="Arial" w:hAnsi="Arial"/>
          <w:sz w:val="18"/>
          <w:szCs w:val="18"/>
          <w:color w:val="auto"/>
        </w:rPr>
        <w:t>, a “Committee Member” means any Employee who is a member of the group of senior management employees of the NBCUniversal and its subsidiaries who have been appointed as members of the NBCUniversal Executive Committee, NBCUniversal Management Committee or NBCUniversal Operating Committee by the Chief Executive Officer of NBCUniversal, LLC and whose membership has been approved by the EVP.</w:t>
      </w:r>
    </w:p>
    <w:p>
      <w:pPr>
        <w:spacing w:after="0" w:line="144"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NBCU Retirement Contributions</w:t>
      </w:r>
      <w:r>
        <w:rPr>
          <w:rFonts w:ascii="Arial" w:cs="Arial" w:eastAsia="Arial" w:hAnsi="Arial"/>
          <w:sz w:val="18"/>
          <w:szCs w:val="18"/>
          <w:color w:val="auto"/>
        </w:rPr>
        <w:t>. With respect to each Plan Year, the Participating Companies will, subject to the limitations of Section 3.9 of the Plan, contribute to the Fund for each Eligible Employee who is an Active Employee on the last day of the applicable Plan Year an additional amount equal to least 3% of such Eligible Employee’s Compensation for that Plan Year. Notwithstanding the foregoing, no Eligible Employee shall be eligible to receive an NBCU Retirement Contribution pursuant to this Section 3.3 if such Employee is either (i) eligible to participate in the Comcast Corporation 2005 Deferred Compensation Plan or (B) a Committee Member.</w:t>
      </w:r>
    </w:p>
    <w:p>
      <w:pPr>
        <w:spacing w:after="0" w:line="14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For avoidance of doubt, the provisions of Sections 3.1.2, 3.3, 3.4, 3.6, 3.7, 3.8, 3.9, 3.10, 3.11 and 3.12 of the Plan shall apply to Participants subject to this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Vesting</w:t>
      </w:r>
      <w:r>
        <w:rPr>
          <w:rFonts w:ascii="Arial" w:cs="Arial" w:eastAsia="Arial" w:hAnsi="Arial"/>
          <w:sz w:val="18"/>
          <w:szCs w:val="18"/>
          <w:color w:val="auto"/>
        </w:rPr>
        <w:t>. Each Participant shall become vested in that portion of his NBCU Retirement Contribution Account in accordance with the following schedule:</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Years of Service</w:t>
            </w:r>
          </w:p>
        </w:tc>
        <w:tc>
          <w:tcPr>
            <w:tcW w:w="3300" w:type="dxa"/>
            <w:vAlign w:val="bottom"/>
          </w:tcPr>
          <w:p>
            <w:pPr>
              <w:spacing w:after="0"/>
              <w:rPr>
                <w:sz w:val="14"/>
                <w:szCs w:val="14"/>
                <w:color w:val="auto"/>
              </w:rPr>
            </w:pPr>
          </w:p>
        </w:tc>
        <w:tc>
          <w:tcPr>
            <w:tcW w:w="3500" w:type="dxa"/>
            <w:vAlign w:val="bottom"/>
            <w:gridSpan w:val="3"/>
          </w:tcPr>
          <w:p>
            <w:pPr>
              <w:jc w:val="right"/>
              <w:ind w:right="220"/>
              <w:spacing w:after="0"/>
              <w:rPr>
                <w:sz w:val="20"/>
                <w:szCs w:val="20"/>
                <w:color w:val="auto"/>
              </w:rPr>
            </w:pPr>
            <w:r>
              <w:rPr>
                <w:rFonts w:ascii="Arial" w:cs="Arial" w:eastAsia="Arial" w:hAnsi="Arial"/>
                <w:sz w:val="14"/>
                <w:szCs w:val="14"/>
                <w:color w:val="auto"/>
              </w:rPr>
              <w:t>Vested Percentage</w:t>
            </w:r>
          </w:p>
        </w:tc>
        <w:tc>
          <w:tcPr>
            <w:tcW w:w="0" w:type="dxa"/>
            <w:vAlign w:val="bottom"/>
          </w:tcPr>
          <w:p>
            <w:pPr>
              <w:spacing w:after="0"/>
              <w:rPr>
                <w:sz w:val="1"/>
                <w:szCs w:val="1"/>
                <w:color w:val="auto"/>
              </w:rPr>
            </w:pPr>
          </w:p>
        </w:tc>
      </w:tr>
      <w:tr>
        <w:trPr>
          <w:trHeight w:val="20"/>
        </w:trPr>
        <w:tc>
          <w:tcPr>
            <w:tcW w:w="4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Less than 2 years</w:t>
            </w:r>
          </w:p>
        </w:tc>
        <w:tc>
          <w:tcPr>
            <w:tcW w:w="23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gridSpan w:val="2"/>
            <w:vMerge w:val="continue"/>
            <w:shd w:val="clear" w:color="auto" w:fill="CCEEFF"/>
          </w:tcPr>
          <w:p>
            <w:pPr>
              <w:spacing w:after="0"/>
              <w:rPr>
                <w:sz w:val="17"/>
                <w:szCs w:val="17"/>
                <w:color w:val="auto"/>
              </w:rPr>
            </w:pPr>
          </w:p>
        </w:tc>
        <w:tc>
          <w:tcPr>
            <w:tcW w:w="230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2 years but less than 3 years</w:t>
            </w:r>
          </w:p>
        </w:tc>
        <w:tc>
          <w:tcPr>
            <w:tcW w:w="35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years but less than 4 years</w:t>
            </w:r>
          </w:p>
        </w:tc>
        <w:tc>
          <w:tcPr>
            <w:tcW w:w="3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4 years but less than 5 years</w:t>
            </w:r>
          </w:p>
        </w:tc>
        <w:tc>
          <w:tcPr>
            <w:tcW w:w="350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years but less than 6 years</w:t>
            </w:r>
          </w:p>
        </w:tc>
        <w:tc>
          <w:tcPr>
            <w:tcW w:w="3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6 years or more</w:t>
            </w:r>
          </w:p>
        </w:tc>
        <w:tc>
          <w:tcPr>
            <w:tcW w:w="35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Notwithstanding the foregoing, a Participant shall have a 100% nonforfeitable interest in his NBCU Retirement Contribution Account upon his attainment of his Normal Retirement Date, his death or his Total Disability, provided the Participant is an Active Participant at the time of the occurrence of such event. Amounts forfeited from a Participant’s NBCU Retirement Contribution Account under Section 6 of the Plan shall be used to reduce future Matching Contributions and/or NBCU Retirement Contributions or to pay plan expenses. The remaining provisions of Article VI of the Plan (to the extent not contradicted by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apply to Participants subject to this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80" w:right="239" w:bottom="1440" w:gutter="0" w:footer="0" w:header="0"/>
        </w:sectPr>
      </w:pPr>
    </w:p>
    <w:bookmarkStart w:id="253" w:name="page254"/>
    <w:bookmarkEnd w:id="253"/>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 </w:t>
      </w:r>
      <w:r>
        <w:rPr>
          <w:rFonts w:ascii="Arial" w:cs="Arial" w:eastAsia="Arial" w:hAnsi="Arial"/>
          <w:sz w:val="16"/>
          <w:szCs w:val="16"/>
          <w:u w:val="single" w:color="auto"/>
          <w:color w:val="auto"/>
        </w:rPr>
        <w:t>Withdrawals</w:t>
      </w:r>
      <w:r>
        <w:rPr>
          <w:rFonts w:ascii="Arial" w:cs="Arial" w:eastAsia="Arial" w:hAnsi="Arial"/>
          <w:sz w:val="16"/>
          <w:szCs w:val="16"/>
          <w:color w:val="auto"/>
        </w:rPr>
        <w:t xml:space="preserve">. In addition to Active Participants, the following Participants (as determined by the Committee) shall be eligible to receive withdrawals pursuant to Article VIII of the Plan (provided such Participant otherwise meets the eligibility requirements for such withdrawals set forth in the applicable subsection of Article VIII of the Plan): (1) any Participant who is on an unpaid leave of absence without pay; (2) any Participant who is a leave of absence as a result of pregnancy; (3) any Participant who is on a leave of absence while receiving workers’ compensation benefits; (4) any Participant who is on a leave of absence as a result of performing active duty service in the uniformed services (as defined in chapter 43 of title 38, United States Code); (5) any Participant who is not actively employed with a Participating Company as a result of an involuntary layoff; and (6) any Participant who is no longer eligible to actively participate in the Plan solely as a result of transferring to a collectively bargained unit that does not participate in the Plan. The remaining provisions of Article VIII of the Plan (to the extent not contradicted by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apply to Participants subject to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18"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Loans to Participants</w:t>
      </w:r>
      <w:r>
        <w:rPr>
          <w:rFonts w:ascii="Arial" w:cs="Arial" w:eastAsia="Arial" w:hAnsi="Arial"/>
          <w:sz w:val="16"/>
          <w:szCs w:val="16"/>
          <w:color w:val="auto"/>
        </w:rPr>
        <w:t>. In addition to Active Participants, the following Participants (as determined by the Committee) shall be eligible to apply for a loan from the Plan pursuant to Article IX of the Plan: (1) any Participant who is on a leave of absence as a result of pregnancy; (2) any Participant who is on a paid leave of absence as a result of performing active duty service in the uniformed services (as defined in chapter 43 of title 38, United States Code); and</w:t>
      </w:r>
    </w:p>
    <w:p>
      <w:pPr>
        <w:spacing w:after="0" w:line="1" w:lineRule="exact"/>
        <w:rPr>
          <w:sz w:val="20"/>
          <w:szCs w:val="20"/>
          <w:color w:val="auto"/>
        </w:rPr>
      </w:pPr>
    </w:p>
    <w:p>
      <w:pPr>
        <w:ind w:right="320" w:firstLine="8"/>
        <w:spacing w:after="0" w:line="295" w:lineRule="auto"/>
        <w:tabs>
          <w:tab w:leader="none" w:pos="24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any Participant who is no longer eligible to actively participate in the Plan solely as a result of transferring to a collectively bargained unit that does not participate in the Plan. Notwithstanding Section 9.3.1 to the contrary, a Participant who has more than one loan transferred from his account under the NBCU CAP may continue have both loans outstanding under the Plan but may not take a new loan from the Plan until all outstanding loans are paid in full. The remaining provisions of Article IX of the Plan (to the extent not contradicted by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apply to Participants subject to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1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Separate Testing</w:t>
      </w:r>
      <w:r>
        <w:rPr>
          <w:rFonts w:ascii="Arial" w:cs="Arial" w:eastAsia="Arial" w:hAnsi="Arial"/>
          <w:sz w:val="18"/>
          <w:szCs w:val="18"/>
          <w:color w:val="auto"/>
        </w:rPr>
        <w:t>. The portion of the Plan that benefits employees of NBCUniversal and all entities which are Affiliated Companies with respect to NBCUniversal shall be treated, to the extent required by law, as a separate part of a multiple employer plan, unless and until NBCUniversal and its Affiliated Companies become members of the controlled group of employers (within the meaning of section 414(b) and section 414(c) of the Code) that includes the Company.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334" w:right="25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10.23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8 TO EMPLOYMENT AGREEMENT</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AMENDMENT NO. 8 TO EMPLOYMENT AGREEMENT is entered as of the 14</w:t>
      </w:r>
      <w:r>
        <w:rPr>
          <w:rFonts w:ascii="Arial" w:cs="Arial" w:eastAsia="Arial" w:hAnsi="Arial"/>
          <w:sz w:val="11"/>
          <w:szCs w:val="11"/>
          <w:color w:val="auto"/>
        </w:rPr>
        <w:t>th</w:t>
      </w:r>
      <w:r>
        <w:rPr>
          <w:rFonts w:ascii="Arial" w:cs="Arial" w:eastAsia="Arial" w:hAnsi="Arial"/>
          <w:sz w:val="18"/>
          <w:szCs w:val="18"/>
          <w:color w:val="auto"/>
        </w:rPr>
        <w:t xml:space="preserve"> day of December, 2012, between COMCAST CORPORATION, a Pennsylvania corporation (together with its subsidiaries, the “Company”), and BRIAN L. ROBERTS (“Employee”).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amend the Agreement on the terms and conditions contained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71" w:lineRule="exact"/>
        <w:rPr>
          <w:sz w:val="20"/>
          <w:szCs w:val="20"/>
          <w:color w:val="auto"/>
        </w:rPr>
      </w:pPr>
    </w:p>
    <w:p>
      <w:pPr>
        <w:ind w:left="640" w:hanging="176"/>
        <w:spacing w:after="0"/>
        <w:tabs>
          <w:tab w:leader="none" w:pos="6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Subparagraph 5(b) of the Agreement is hereby amended to add the following year and amount thereto: “Year – 2013; Amount – $3,472,875.”</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and delivered this Amendment No. 8 as of the date first-above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12/14/2012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L. Roberts</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12/14/2012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10.41</w:t>
      </w:r>
    </w:p>
    <w:p>
      <w:pPr>
        <w:spacing w:after="0" w:line="171" w:lineRule="exact"/>
        <w:rPr>
          <w:sz w:val="20"/>
          <w:szCs w:val="20"/>
          <w:color w:val="auto"/>
        </w:rPr>
      </w:pPr>
    </w:p>
    <w:p>
      <w:pPr>
        <w:ind w:left="3360"/>
        <w:spacing w:after="0"/>
        <w:tabs>
          <w:tab w:leader="none" w:pos="5160" w:val="left"/>
        </w:tabs>
        <w:rPr>
          <w:sz w:val="20"/>
          <w:szCs w:val="20"/>
          <w:color w:val="auto"/>
        </w:rPr>
      </w:pPr>
      <w:r>
        <w:rPr>
          <w:rFonts w:ascii="Arial" w:cs="Arial" w:eastAsia="Arial" w:hAnsi="Arial"/>
          <w:sz w:val="18"/>
          <w:szCs w:val="18"/>
          <w:b w:val="1"/>
          <w:bCs w:val="1"/>
          <w:color w:val="auto"/>
        </w:rPr>
        <w:t>AMENDMENT NO. [</w:t>
      </w:r>
      <w:r>
        <w:rPr>
          <w:sz w:val="20"/>
          <w:szCs w:val="20"/>
          <w:color w:val="auto"/>
        </w:rPr>
        <w:tab/>
      </w:r>
      <w:r>
        <w:rPr>
          <w:rFonts w:ascii="Arial" w:cs="Arial" w:eastAsia="Arial" w:hAnsi="Arial"/>
          <w:sz w:val="16"/>
          <w:szCs w:val="16"/>
          <w:b w:val="1"/>
          <w:bCs w:val="1"/>
          <w:color w:val="auto"/>
        </w:rPr>
        <w:t>] TO EMPLOYMENT AGREEMENT</w:t>
      </w:r>
    </w:p>
    <w:p>
      <w:pPr>
        <w:spacing w:after="0" w:line="177" w:lineRule="exact"/>
        <w:rPr>
          <w:sz w:val="20"/>
          <w:szCs w:val="20"/>
          <w:color w:val="auto"/>
        </w:rPr>
      </w:pPr>
    </w:p>
    <w:p>
      <w:pPr>
        <w:ind w:left="460"/>
        <w:spacing w:after="0"/>
        <w:tabs>
          <w:tab w:leader="none" w:pos="2560" w:val="left"/>
          <w:tab w:leader="none" w:pos="6860" w:val="left"/>
        </w:tabs>
        <w:rPr>
          <w:sz w:val="20"/>
          <w:szCs w:val="20"/>
          <w:color w:val="auto"/>
        </w:rPr>
      </w:pPr>
      <w:r>
        <w:rPr>
          <w:rFonts w:ascii="Arial" w:cs="Arial" w:eastAsia="Arial" w:hAnsi="Arial"/>
          <w:sz w:val="18"/>
          <w:szCs w:val="18"/>
          <w:color w:val="auto"/>
        </w:rPr>
        <w:t>This AMENDMENT NO. [</w:t>
        <w:tab/>
        <w:t>] TO EMPLOYMENT AGREEMENT is entered as of the</w:t>
      </w:r>
      <w:r>
        <w:rPr>
          <w:sz w:val="20"/>
          <w:szCs w:val="20"/>
          <w:color w:val="auto"/>
        </w:rPr>
        <w:tab/>
      </w:r>
      <w:r>
        <w:rPr>
          <w:rFonts w:ascii="Arial" w:cs="Arial" w:eastAsia="Arial" w:hAnsi="Arial"/>
          <w:sz w:val="16"/>
          <w:szCs w:val="16"/>
          <w:color w:val="auto"/>
        </w:rPr>
        <w:t>day of December, 2012, between COMCAST CORPORATION,</w:t>
      </w:r>
    </w:p>
    <w:p>
      <w:pPr>
        <w:spacing w:after="0" w:line="15"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color w:val="auto"/>
        </w:rPr>
        <w:t>a Pennsylvania corporation (together with its subsidiaries, the “Company”), and [</w:t>
      </w:r>
      <w:r>
        <w:rPr>
          <w:sz w:val="20"/>
          <w:szCs w:val="20"/>
          <w:color w:val="auto"/>
        </w:rPr>
        <w:tab/>
      </w:r>
      <w:r>
        <w:rPr>
          <w:rFonts w:ascii="Arial" w:cs="Arial" w:eastAsia="Arial" w:hAnsi="Arial"/>
          <w:sz w:val="16"/>
          <w:szCs w:val="16"/>
          <w:color w:val="auto"/>
        </w:rPr>
        <w:t>] (“Employee”).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parties entered into an Employment Agreement dated as of [ Employee’s employment with the Company, 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 (the “Agreement”), that sets forth the terms and conditions of</w:t>
      </w:r>
    </w:p>
    <w:p>
      <w:pPr>
        <w:spacing w:after="0" w:line="410" w:lineRule="exact"/>
        <w:rPr>
          <w:sz w:val="20"/>
          <w:szCs w:val="20"/>
          <w:color w:val="auto"/>
        </w:rPr>
      </w:pPr>
    </w:p>
    <w:p>
      <w:pPr>
        <w:sectPr>
          <w:pgSz w:w="11900" w:h="16838" w:orient="portrait"/>
          <w:cols w:equalWidth="0" w:num="2">
            <w:col w:w="5900" w:space="520"/>
            <w:col w:w="5000"/>
          </w:cols>
          <w:pgMar w:left="240" w:top="125" w:right="239" w:bottom="1440" w:gutter="0" w:footer="0" w:header="0"/>
          <w:type w:val="continuous"/>
        </w:sectPr>
      </w:pPr>
    </w:p>
    <w:p>
      <w:pPr>
        <w:ind w:right="100" w:firstLine="456"/>
        <w:spacing w:after="0" w:line="259" w:lineRule="auto"/>
        <w:rPr>
          <w:sz w:val="20"/>
          <w:szCs w:val="20"/>
          <w:color w:val="auto"/>
        </w:rPr>
      </w:pPr>
      <w:r>
        <w:rPr>
          <w:rFonts w:ascii="Arial" w:cs="Arial" w:eastAsia="Arial" w:hAnsi="Arial"/>
          <w:sz w:val="18"/>
          <w:szCs w:val="18"/>
          <w:color w:val="auto"/>
        </w:rPr>
        <w:t xml:space="preserve">WHEREAS, the Company and Employee wish to amend the Agreement in accordance with </w:t>
      </w:r>
      <w:r>
        <w:rPr>
          <w:rFonts w:ascii="Arial" w:cs="Arial" w:eastAsia="Arial" w:hAnsi="Arial"/>
          <w:sz w:val="18"/>
          <w:szCs w:val="18"/>
          <w:i w:val="1"/>
          <w:iCs w:val="1"/>
          <w:color w:val="auto"/>
        </w:rPr>
        <w:t>Internal Revenue Service Notice 2010-80</w:t>
      </w:r>
      <w:r>
        <w:rPr>
          <w:rFonts w:ascii="Arial" w:cs="Arial" w:eastAsia="Arial" w:hAnsi="Arial"/>
          <w:sz w:val="18"/>
          <w:szCs w:val="18"/>
          <w:color w:val="auto"/>
        </w:rPr>
        <w:t xml:space="preserve"> to clarify the time that any post-termination continuation of compensation may be paid following Employee’s termination of employment, if the Employee meets the conditions for any such payment under the terms and conditions of the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THEREOFRE, the parties hereto, intending to be legally bound hereby, agree as follows:</w:t>
      </w:r>
    </w:p>
    <w:p>
      <w:pPr>
        <w:spacing w:after="0" w:line="90" w:lineRule="exact"/>
        <w:rPr>
          <w:sz w:val="20"/>
          <w:szCs w:val="20"/>
          <w:color w:val="auto"/>
        </w:rPr>
      </w:pPr>
    </w:p>
    <w:p>
      <w:pPr>
        <w:ind w:left="460"/>
        <w:spacing w:after="0"/>
        <w:tabs>
          <w:tab w:leader="none" w:pos="2660" w:val="left"/>
        </w:tabs>
        <w:rPr>
          <w:sz w:val="20"/>
          <w:szCs w:val="20"/>
          <w:color w:val="auto"/>
        </w:rPr>
      </w:pPr>
      <w:r>
        <w:rPr>
          <w:rFonts w:ascii="Arial" w:cs="Arial" w:eastAsia="Arial" w:hAnsi="Arial"/>
          <w:sz w:val="18"/>
          <w:szCs w:val="18"/>
          <w:color w:val="auto"/>
        </w:rPr>
        <w:t>1. The following Paragraph [</w:t>
      </w:r>
      <w:r>
        <w:rPr>
          <w:sz w:val="20"/>
          <w:szCs w:val="20"/>
          <w:color w:val="auto"/>
        </w:rPr>
        <w:tab/>
      </w:r>
      <w:r>
        <w:rPr>
          <w:rFonts w:ascii="Arial" w:cs="Arial" w:eastAsia="Arial" w:hAnsi="Arial"/>
          <w:sz w:val="15"/>
          <w:szCs w:val="15"/>
          <w:color w:val="auto"/>
        </w:rPr>
        <w:t>] is hereby added to the Agreement:</w:t>
      </w:r>
    </w:p>
    <w:p>
      <w:pPr>
        <w:spacing w:after="0" w:line="90" w:lineRule="exact"/>
        <w:rPr>
          <w:sz w:val="20"/>
          <w:szCs w:val="20"/>
          <w:color w:val="auto"/>
        </w:rPr>
      </w:pPr>
    </w:p>
    <w:p>
      <w:pPr>
        <w:ind w:left="920" w:right="60"/>
        <w:spacing w:after="0" w:line="294"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Compliance With IRS Notice 2010-80</w:t>
      </w:r>
      <w:r>
        <w:rPr>
          <w:rFonts w:ascii="Arial" w:cs="Arial" w:eastAsia="Arial" w:hAnsi="Arial"/>
          <w:sz w:val="16"/>
          <w:szCs w:val="16"/>
          <w:color w:val="auto"/>
        </w:rPr>
        <w:t>. Notwithstanding anything in the Agreement to the contrary, in the event of Employee’s termination of employment under circumstances that may entitle Employee to payment by the Company of post-termination continuation of compensation subject to Employee’s delivery of a waiver of claims against the Company (the “Release”), and the period during which Employee may return the Release, plus any period after Employee returns the Release during which Employee may revoke the Release, begins in one taxable year and ends in a second taxable year, no payment of post-termination compensation shall commence until the second taxable year.”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Except as modified hereby, the Agreement shall continue unmodified and in full force and effect.</w:t>
      </w:r>
    </w:p>
    <w:p>
      <w:pPr>
        <w:sectPr>
          <w:pgSz w:w="11900" w:h="16838" w:orient="portrait"/>
          <w:cols w:equalWidth="0" w:num="1">
            <w:col w:w="11420"/>
          </w:cols>
          <w:pgMar w:left="240" w:top="125" w:right="239" w:bottom="1440" w:gutter="0" w:footer="0" w:header="0"/>
          <w:type w:val="continuous"/>
        </w:sectPr>
      </w:pPr>
    </w:p>
    <w:bookmarkStart w:id="256" w:name="page257"/>
    <w:bookmarkEnd w:id="25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and delivered this Amendment as of the date first-above written.</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10795</wp:posOffset>
            </wp:positionV>
            <wp:extent cx="221234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10795</wp:posOffset>
            </wp:positionV>
            <wp:extent cx="22123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285750</wp:posOffset>
            </wp:positionV>
            <wp:extent cx="28987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10795</wp:posOffset>
            </wp:positionV>
            <wp:extent cx="221234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59"/>
          </w:cols>
          <w:pgMar w:left="700" w:top="280" w:right="1440"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10.43</w:t>
      </w:r>
    </w:p>
    <w:p>
      <w:pPr>
        <w:spacing w:after="0" w:line="17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FORM OF LONG-TERM INCENTIVE AWARDS SUMMARY SCHEDULE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This Long-Term Incentive Awards Summary Schedule (this “Schedule) provides certain information related to Restricted Stock Units you were granted by</w:t>
      </w:r>
    </w:p>
    <w:p>
      <w:pPr>
        <w:spacing w:after="0" w:line="38" w:lineRule="exact"/>
        <w:rPr>
          <w:sz w:val="20"/>
          <w:szCs w:val="20"/>
          <w:color w:val="auto"/>
        </w:rPr>
      </w:pPr>
    </w:p>
    <w:p>
      <w:pPr>
        <w:spacing w:after="0"/>
        <w:tabs>
          <w:tab w:leader="none" w:pos="2700" w:val="left"/>
          <w:tab w:leader="none" w:pos="3140" w:val="left"/>
        </w:tabs>
        <w:rPr>
          <w:sz w:val="20"/>
          <w:szCs w:val="20"/>
          <w:color w:val="auto"/>
        </w:rPr>
      </w:pPr>
      <w:r>
        <w:rPr>
          <w:rFonts w:ascii="Arial" w:cs="Arial" w:eastAsia="Arial" w:hAnsi="Arial"/>
          <w:sz w:val="18"/>
          <w:szCs w:val="18"/>
          <w:color w:val="auto"/>
        </w:rPr>
        <w:t>Comcast Corporation on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xml:space="preserve">] (the “Date of Grant”). </w:t>
      </w:r>
      <w:r>
        <w:rPr>
          <w:rFonts w:ascii="Arial" w:cs="Arial" w:eastAsia="Arial" w:hAnsi="Arial"/>
          <w:sz w:val="15"/>
          <w:szCs w:val="15"/>
          <w:b w:val="1"/>
          <w:bCs w:val="1"/>
          <w:color w:val="auto"/>
        </w:rPr>
        <w:t>This Schedule is intended to be, and shall at all times be interpreted as, a part of your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 Restricted Stock Unit Award document.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Restricted Stock Unit Award</w:t>
            </w:r>
          </w:p>
        </w:tc>
        <w:tc>
          <w:tcPr>
            <w:tcW w:w="86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437"/>
        </w:trPr>
        <w:tc>
          <w:tcPr>
            <w:tcW w:w="2160" w:type="dxa"/>
            <w:vAlign w:val="bottom"/>
          </w:tcPr>
          <w:p>
            <w:pPr>
              <w:spacing w:after="0"/>
              <w:rPr>
                <w:sz w:val="20"/>
                <w:szCs w:val="20"/>
                <w:color w:val="auto"/>
              </w:rPr>
            </w:pPr>
            <w:r>
              <w:rPr>
                <w:rFonts w:ascii="Arial" w:cs="Arial" w:eastAsia="Arial" w:hAnsi="Arial"/>
                <w:sz w:val="18"/>
                <w:szCs w:val="18"/>
                <w:color w:val="auto"/>
              </w:rPr>
              <w:t>Grantee:</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78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Date of Grant: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780" w:type="dxa"/>
            <w:vAlign w:val="bottom"/>
          </w:tcPr>
          <w:p>
            <w:pPr>
              <w:ind w:left="320"/>
              <w:spacing w:after="0"/>
              <w:rPr>
                <w:sz w:val="20"/>
                <w:szCs w:val="20"/>
                <w:color w:val="auto"/>
              </w:rPr>
            </w:pPr>
            <w:r>
              <w:rPr>
                <w:rFonts w:ascii="Arial" w:cs="Arial" w:eastAsia="Arial" w:hAnsi="Arial"/>
                <w:sz w:val="18"/>
                <w:szCs w:val="18"/>
                <w:color w:val="auto"/>
              </w:rPr>
              <w:t>], [Year 1]</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Common Stock:</w:t>
            </w:r>
          </w:p>
        </w:tc>
        <w:tc>
          <w:tcPr>
            <w:tcW w:w="7640" w:type="dxa"/>
            <w:vAlign w:val="bottom"/>
            <w:gridSpan w:val="2"/>
          </w:tcPr>
          <w:p>
            <w:pPr>
              <w:ind w:left="580"/>
              <w:spacing w:after="0"/>
              <w:rPr>
                <w:sz w:val="20"/>
                <w:szCs w:val="20"/>
                <w:color w:val="auto"/>
              </w:rPr>
            </w:pPr>
            <w:r>
              <w:rPr>
                <w:rFonts w:ascii="Arial" w:cs="Arial" w:eastAsia="Arial" w:hAnsi="Arial"/>
                <w:sz w:val="18"/>
                <w:szCs w:val="18"/>
                <w:color w:val="auto"/>
              </w:rPr>
              <w:t>Comcast Corporation Class A Common Stock</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8"/>
        </w:trPr>
        <w:tc>
          <w:tcPr>
            <w:tcW w:w="2160" w:type="dxa"/>
            <w:vAlign w:val="bottom"/>
          </w:tcPr>
          <w:p>
            <w:pPr>
              <w:spacing w:after="0"/>
              <w:rPr>
                <w:sz w:val="20"/>
                <w:szCs w:val="20"/>
                <w:color w:val="auto"/>
              </w:rPr>
            </w:pPr>
            <w:r>
              <w:rPr>
                <w:rFonts w:ascii="Arial" w:cs="Arial" w:eastAsia="Arial" w:hAnsi="Arial"/>
                <w:sz w:val="18"/>
                <w:szCs w:val="18"/>
                <w:color w:val="auto"/>
                <w:w w:val="97"/>
              </w:rPr>
              <w:t>Number of Restricted Stock</w:t>
            </w:r>
          </w:p>
        </w:tc>
        <w:tc>
          <w:tcPr>
            <w:tcW w:w="8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Units Granted:</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78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[Year 1] RSUs</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780" w:type="dxa"/>
            <w:vAlign w:val="bottom"/>
          </w:tcPr>
          <w:p>
            <w:pPr>
              <w:ind w:left="320"/>
              <w:spacing w:after="0"/>
              <w:rPr>
                <w:sz w:val="20"/>
                <w:szCs w:val="20"/>
                <w:color w:val="auto"/>
              </w:rPr>
            </w:pPr>
            <w:r>
              <w:rPr>
                <w:rFonts w:ascii="Arial" w:cs="Arial" w:eastAsia="Arial" w:hAnsi="Arial"/>
                <w:sz w:val="18"/>
                <w:szCs w:val="18"/>
                <w:color w:val="auto"/>
              </w:rPr>
              <w:t>] of the Restricted Stock Units.</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[[Year 2] RSUs]</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780" w:type="dxa"/>
            <w:vAlign w:val="bottom"/>
          </w:tcPr>
          <w:p>
            <w:pPr>
              <w:ind w:left="380"/>
              <w:spacing w:after="0"/>
              <w:rPr>
                <w:sz w:val="20"/>
                <w:szCs w:val="20"/>
                <w:color w:val="auto"/>
              </w:rPr>
            </w:pPr>
            <w:r>
              <w:rPr>
                <w:rFonts w:ascii="Arial" w:cs="Arial" w:eastAsia="Arial" w:hAnsi="Arial"/>
                <w:sz w:val="18"/>
                <w:szCs w:val="18"/>
                <w:color w:val="auto"/>
                <w:w w:val="95"/>
              </w:rPr>
              <w:t>] of the Restricted Stock Units, plus any [Year 1] RSUs that fail to vest on or before [</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 20</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318"/>
        </w:trPr>
        <w:tc>
          <w:tcPr>
            <w:tcW w:w="2160" w:type="dxa"/>
            <w:vAlign w:val="bottom"/>
          </w:tcPr>
          <w:p>
            <w:pPr>
              <w:spacing w:after="0"/>
              <w:rPr>
                <w:sz w:val="20"/>
                <w:szCs w:val="20"/>
                <w:color w:val="auto"/>
              </w:rPr>
            </w:pPr>
            <w:r>
              <w:rPr>
                <w:rFonts w:ascii="Arial" w:cs="Arial" w:eastAsia="Arial" w:hAnsi="Arial"/>
                <w:sz w:val="18"/>
                <w:szCs w:val="18"/>
                <w:color w:val="auto"/>
              </w:rPr>
              <w:t>[[Year 3] RSUs]</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7580" w:type="dxa"/>
            <w:vAlign w:val="bottom"/>
            <w:gridSpan w:val="2"/>
          </w:tcPr>
          <w:p>
            <w:pPr>
              <w:ind w:left="380"/>
              <w:spacing w:after="0"/>
              <w:rPr>
                <w:sz w:val="20"/>
                <w:szCs w:val="20"/>
                <w:color w:val="auto"/>
              </w:rPr>
            </w:pPr>
            <w:r>
              <w:rPr>
                <w:rFonts w:ascii="Arial" w:cs="Arial" w:eastAsia="Arial" w:hAnsi="Arial"/>
                <w:sz w:val="18"/>
                <w:szCs w:val="18"/>
                <w:color w:val="auto"/>
                <w:w w:val="93"/>
              </w:rPr>
              <w:t>] of the Restricted Stock Units, plus any [Year 1] and [Year 2] RSUs that fail to vest on or before [</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160" w:type="dxa"/>
            <w:vAlign w:val="bottom"/>
          </w:tcPr>
          <w:p>
            <w:pPr>
              <w:spacing w:after="0"/>
              <w:rPr>
                <w:sz w:val="19"/>
                <w:szCs w:val="19"/>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20</w:t>
            </w:r>
          </w:p>
        </w:tc>
        <w:tc>
          <w:tcPr>
            <w:tcW w:w="678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rPr>
          <w:sz w:val="20"/>
          <w:szCs w:val="20"/>
          <w:color w:val="auto"/>
        </w:rPr>
      </w:pPr>
      <w:r>
        <w:rPr>
          <w:rFonts w:ascii="Arial" w:cs="Arial" w:eastAsia="Arial" w:hAnsi="Arial"/>
          <w:sz w:val="18"/>
          <w:szCs w:val="18"/>
          <w:color w:val="auto"/>
        </w:rPr>
        <w:t>[[Year 4] RSUs]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[[Year 5] RSUs]</w:t>
      </w:r>
    </w:p>
    <w:p>
      <w:pPr>
        <w:spacing w:after="0" w:line="33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Vesting Dates of Restricted Stock Units: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940" w:type="dxa"/>
            <w:vAlign w:val="bottom"/>
            <w:gridSpan w:val="4"/>
          </w:tcPr>
          <w:p>
            <w:pPr>
              <w:ind w:left="20"/>
              <w:spacing w:after="0"/>
              <w:rPr>
                <w:sz w:val="20"/>
                <w:szCs w:val="20"/>
                <w:color w:val="auto"/>
              </w:rPr>
            </w:pPr>
            <w:r>
              <w:rPr>
                <w:rFonts w:ascii="Arial" w:cs="Arial" w:eastAsia="Arial" w:hAnsi="Arial"/>
                <w:sz w:val="18"/>
                <w:szCs w:val="18"/>
                <w:color w:val="auto"/>
                <w:w w:val="94"/>
              </w:rPr>
              <w:t>] of the Restricted Stock Units, plus any [Year 1], [Year 2] and [Year 3] RSUs that fail to vest on or before</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 20  ].]</w:t>
            </w:r>
          </w:p>
        </w:tc>
        <w:tc>
          <w:tcPr>
            <w:tcW w:w="6720" w:type="dxa"/>
            <w:vAlign w:val="bottom"/>
          </w:tcPr>
          <w:p>
            <w:pPr>
              <w:spacing w:after="0"/>
              <w:rPr>
                <w:sz w:val="19"/>
                <w:szCs w:val="19"/>
                <w:color w:val="auto"/>
              </w:rPr>
            </w:pP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940" w:type="dxa"/>
            <w:vAlign w:val="bottom"/>
            <w:gridSpan w:val="4"/>
          </w:tcPr>
          <w:p>
            <w:pPr>
              <w:ind w:left="20"/>
              <w:spacing w:after="0"/>
              <w:rPr>
                <w:sz w:val="20"/>
                <w:szCs w:val="20"/>
                <w:color w:val="auto"/>
              </w:rPr>
            </w:pPr>
            <w:r>
              <w:rPr>
                <w:rFonts w:ascii="Arial" w:cs="Arial" w:eastAsia="Arial" w:hAnsi="Arial"/>
                <w:sz w:val="18"/>
                <w:szCs w:val="18"/>
                <w:color w:val="auto"/>
                <w:w w:val="92"/>
              </w:rPr>
              <w:t>] of the Restricted Stock Units, plus any [Year 1], [Year 2], [Year 3] and [Year 4] RSUs that fail to vest on or</w:t>
            </w: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before [</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 20</w:t>
            </w:r>
          </w:p>
        </w:tc>
        <w:tc>
          <w:tcPr>
            <w:tcW w:w="67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86"/>
        </w:trPr>
        <w:tc>
          <w:tcPr>
            <w:tcW w:w="1860" w:type="dxa"/>
            <w:vAlign w:val="bottom"/>
            <w:gridSpan w:val="5"/>
          </w:tcPr>
          <w:p>
            <w:pPr>
              <w:spacing w:after="0"/>
              <w:rPr>
                <w:sz w:val="20"/>
                <w:szCs w:val="20"/>
                <w:color w:val="auto"/>
              </w:rPr>
            </w:pPr>
            <w:r>
              <w:rPr>
                <w:rFonts w:ascii="Arial" w:cs="Arial" w:eastAsia="Arial" w:hAnsi="Arial"/>
                <w:sz w:val="18"/>
                <w:szCs w:val="18"/>
                <w:color w:val="auto"/>
              </w:rPr>
              <w:t>(1) [Year 1] RSUs</w:t>
            </w:r>
          </w:p>
        </w:tc>
        <w:tc>
          <w:tcPr>
            <w:tcW w:w="6720" w:type="dxa"/>
            <w:vAlign w:val="bottom"/>
          </w:tcPr>
          <w:p>
            <w:pPr>
              <w:spacing w:after="0"/>
              <w:rPr>
                <w:sz w:val="24"/>
                <w:szCs w:val="24"/>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316"/>
        </w:trPr>
        <w:tc>
          <w:tcPr>
            <w:tcW w:w="1860" w:type="dxa"/>
            <w:vAlign w:val="bottom"/>
            <w:gridSpan w:val="5"/>
          </w:tcPr>
          <w:p>
            <w:pPr>
              <w:spacing w:after="0"/>
              <w:rPr>
                <w:sz w:val="20"/>
                <w:szCs w:val="20"/>
                <w:color w:val="auto"/>
              </w:rPr>
            </w:pPr>
            <w:r>
              <w:rPr>
                <w:rFonts w:ascii="Arial" w:cs="Arial" w:eastAsia="Arial" w:hAnsi="Arial"/>
                <w:sz w:val="18"/>
                <w:szCs w:val="18"/>
                <w:color w:val="auto"/>
                <w:w w:val="89"/>
              </w:rPr>
              <w:t>As to the [Year 1] RSUs, [</w:t>
            </w:r>
          </w:p>
        </w:tc>
        <w:tc>
          <w:tcPr>
            <w:tcW w:w="6720" w:type="dxa"/>
            <w:vAlign w:val="bottom"/>
          </w:tcPr>
          <w:p>
            <w:pPr>
              <w:ind w:left="880"/>
              <w:spacing w:after="0"/>
              <w:rPr>
                <w:sz w:val="20"/>
                <w:szCs w:val="20"/>
                <w:color w:val="auto"/>
              </w:rPr>
            </w:pPr>
            <w:r>
              <w:rPr>
                <w:rFonts w:ascii="Arial" w:cs="Arial" w:eastAsia="Arial" w:hAnsi="Arial"/>
                <w:sz w:val="18"/>
                <w:szCs w:val="18"/>
                <w:color w:val="auto"/>
              </w:rPr>
              <w:t>, 20  ], provided that the First Performance Goal is satisfied[;][.]</w:t>
            </w:r>
          </w:p>
        </w:tc>
      </w:tr>
      <w:tr>
        <w:trPr>
          <w:trHeight w:val="259"/>
        </w:trPr>
        <w:tc>
          <w:tcPr>
            <w:tcW w:w="1860" w:type="dxa"/>
            <w:vAlign w:val="bottom"/>
            <w:gridSpan w:val="5"/>
          </w:tcPr>
          <w:p>
            <w:pPr>
              <w:spacing w:after="0"/>
              <w:rPr>
                <w:sz w:val="20"/>
                <w:szCs w:val="20"/>
                <w:color w:val="auto"/>
              </w:rPr>
            </w:pPr>
            <w:r>
              <w:rPr>
                <w:rFonts w:ascii="Arial" w:cs="Arial" w:eastAsia="Arial" w:hAnsi="Arial"/>
                <w:sz w:val="18"/>
                <w:szCs w:val="18"/>
                <w:color w:val="auto"/>
              </w:rPr>
              <w:t>[(2) [Year 2] RSUs</w:t>
            </w:r>
          </w:p>
        </w:tc>
        <w:tc>
          <w:tcPr>
            <w:tcW w:w="6720" w:type="dxa"/>
            <w:vAlign w:val="bottom"/>
          </w:tcPr>
          <w:p>
            <w:pPr>
              <w:spacing w:after="0"/>
              <w:rPr>
                <w:sz w:val="22"/>
                <w:szCs w:val="22"/>
                <w:color w:val="auto"/>
              </w:rPr>
            </w:pPr>
          </w:p>
        </w:tc>
      </w:tr>
      <w:tr>
        <w:trPr>
          <w:trHeight w:val="20"/>
        </w:trPr>
        <w:tc>
          <w:tcPr>
            <w:tcW w:w="32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316"/>
        </w:trPr>
        <w:tc>
          <w:tcPr>
            <w:tcW w:w="1860" w:type="dxa"/>
            <w:vAlign w:val="bottom"/>
            <w:gridSpan w:val="5"/>
          </w:tcPr>
          <w:p>
            <w:pPr>
              <w:spacing w:after="0"/>
              <w:rPr>
                <w:sz w:val="20"/>
                <w:szCs w:val="20"/>
                <w:color w:val="auto"/>
              </w:rPr>
            </w:pPr>
            <w:r>
              <w:rPr>
                <w:rFonts w:ascii="Arial" w:cs="Arial" w:eastAsia="Arial" w:hAnsi="Arial"/>
                <w:sz w:val="18"/>
                <w:szCs w:val="18"/>
                <w:color w:val="auto"/>
                <w:w w:val="89"/>
              </w:rPr>
              <w:t>As to the [Year 2] RSUs, [</w:t>
            </w:r>
          </w:p>
        </w:tc>
        <w:tc>
          <w:tcPr>
            <w:tcW w:w="6720" w:type="dxa"/>
            <w:vAlign w:val="bottom"/>
          </w:tcPr>
          <w:p>
            <w:pPr>
              <w:ind w:left="880"/>
              <w:spacing w:after="0"/>
              <w:rPr>
                <w:sz w:val="20"/>
                <w:szCs w:val="20"/>
                <w:color w:val="auto"/>
              </w:rPr>
            </w:pPr>
            <w:r>
              <w:rPr>
                <w:rFonts w:ascii="Arial" w:cs="Arial" w:eastAsia="Arial" w:hAnsi="Arial"/>
                <w:sz w:val="18"/>
                <w:szCs w:val="18"/>
                <w:color w:val="auto"/>
              </w:rPr>
              <w:t>, 20  ], provided that the First or Second Performance Goal is satisfied;</w:t>
            </w:r>
          </w:p>
        </w:tc>
      </w:tr>
      <w:tr>
        <w:trPr>
          <w:trHeight w:val="259"/>
        </w:trPr>
        <w:tc>
          <w:tcPr>
            <w:tcW w:w="1860" w:type="dxa"/>
            <w:vAlign w:val="bottom"/>
            <w:gridSpan w:val="5"/>
          </w:tcPr>
          <w:p>
            <w:pPr>
              <w:spacing w:after="0"/>
              <w:rPr>
                <w:sz w:val="20"/>
                <w:szCs w:val="20"/>
                <w:color w:val="auto"/>
              </w:rPr>
            </w:pPr>
            <w:r>
              <w:rPr>
                <w:rFonts w:ascii="Arial" w:cs="Arial" w:eastAsia="Arial" w:hAnsi="Arial"/>
                <w:sz w:val="18"/>
                <w:szCs w:val="18"/>
                <w:color w:val="auto"/>
              </w:rPr>
              <w:t>(3) [Year 3] RSUs</w:t>
            </w:r>
          </w:p>
        </w:tc>
        <w:tc>
          <w:tcPr>
            <w:tcW w:w="6720" w:type="dxa"/>
            <w:vAlign w:val="bottom"/>
          </w:tcPr>
          <w:p>
            <w:pPr>
              <w:spacing w:after="0"/>
              <w:rPr>
                <w:sz w:val="22"/>
                <w:szCs w:val="22"/>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316"/>
        </w:trPr>
        <w:tc>
          <w:tcPr>
            <w:tcW w:w="1860" w:type="dxa"/>
            <w:vAlign w:val="bottom"/>
            <w:gridSpan w:val="5"/>
          </w:tcPr>
          <w:p>
            <w:pPr>
              <w:spacing w:after="0"/>
              <w:rPr>
                <w:sz w:val="20"/>
                <w:szCs w:val="20"/>
                <w:color w:val="auto"/>
              </w:rPr>
            </w:pPr>
            <w:r>
              <w:rPr>
                <w:rFonts w:ascii="Arial" w:cs="Arial" w:eastAsia="Arial" w:hAnsi="Arial"/>
                <w:sz w:val="18"/>
                <w:szCs w:val="18"/>
                <w:color w:val="auto"/>
                <w:w w:val="89"/>
              </w:rPr>
              <w:t>As to the [Year 3] RSUs, [</w:t>
            </w:r>
          </w:p>
        </w:tc>
        <w:tc>
          <w:tcPr>
            <w:tcW w:w="6720" w:type="dxa"/>
            <w:vAlign w:val="bottom"/>
          </w:tcPr>
          <w:p>
            <w:pPr>
              <w:ind w:left="880"/>
              <w:spacing w:after="0"/>
              <w:rPr>
                <w:sz w:val="20"/>
                <w:szCs w:val="20"/>
                <w:color w:val="auto"/>
              </w:rPr>
            </w:pPr>
            <w:r>
              <w:rPr>
                <w:rFonts w:ascii="Arial" w:cs="Arial" w:eastAsia="Arial" w:hAnsi="Arial"/>
                <w:sz w:val="18"/>
                <w:szCs w:val="18"/>
                <w:color w:val="auto"/>
                <w:w w:val="95"/>
              </w:rPr>
              <w:t>, 20  ], provided that the First, Second or Third Performance Goal is satisfied;</w:t>
            </w:r>
          </w:p>
        </w:tc>
      </w:tr>
      <w:tr>
        <w:trPr>
          <w:trHeight w:val="259"/>
        </w:trPr>
        <w:tc>
          <w:tcPr>
            <w:tcW w:w="1860" w:type="dxa"/>
            <w:vAlign w:val="bottom"/>
            <w:gridSpan w:val="5"/>
          </w:tcPr>
          <w:p>
            <w:pPr>
              <w:spacing w:after="0"/>
              <w:rPr>
                <w:sz w:val="20"/>
                <w:szCs w:val="20"/>
                <w:color w:val="auto"/>
              </w:rPr>
            </w:pPr>
            <w:r>
              <w:rPr>
                <w:rFonts w:ascii="Arial" w:cs="Arial" w:eastAsia="Arial" w:hAnsi="Arial"/>
                <w:sz w:val="18"/>
                <w:szCs w:val="18"/>
                <w:color w:val="auto"/>
              </w:rPr>
              <w:t>(4) [Year 4] RSUs</w:t>
            </w:r>
          </w:p>
        </w:tc>
        <w:tc>
          <w:tcPr>
            <w:tcW w:w="6720" w:type="dxa"/>
            <w:vAlign w:val="bottom"/>
          </w:tcPr>
          <w:p>
            <w:pPr>
              <w:spacing w:after="0"/>
              <w:rPr>
                <w:sz w:val="22"/>
                <w:szCs w:val="22"/>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309"/>
        </w:trPr>
        <w:tc>
          <w:tcPr>
            <w:tcW w:w="1860" w:type="dxa"/>
            <w:vAlign w:val="bottom"/>
            <w:gridSpan w:val="5"/>
          </w:tcPr>
          <w:p>
            <w:pPr>
              <w:spacing w:after="0"/>
              <w:rPr>
                <w:sz w:val="20"/>
                <w:szCs w:val="20"/>
                <w:color w:val="auto"/>
              </w:rPr>
            </w:pPr>
            <w:r>
              <w:rPr>
                <w:rFonts w:ascii="Arial" w:cs="Arial" w:eastAsia="Arial" w:hAnsi="Arial"/>
                <w:sz w:val="18"/>
                <w:szCs w:val="18"/>
                <w:color w:val="auto"/>
                <w:w w:val="89"/>
              </w:rPr>
              <w:t>As to the [Year 4] RSUs, [</w:t>
            </w:r>
          </w:p>
        </w:tc>
        <w:tc>
          <w:tcPr>
            <w:tcW w:w="6720" w:type="dxa"/>
            <w:vAlign w:val="bottom"/>
          </w:tcPr>
          <w:p>
            <w:pPr>
              <w:ind w:left="880"/>
              <w:spacing w:after="0"/>
              <w:rPr>
                <w:sz w:val="20"/>
                <w:szCs w:val="20"/>
                <w:color w:val="auto"/>
              </w:rPr>
            </w:pPr>
            <w:r>
              <w:rPr>
                <w:rFonts w:ascii="Arial" w:cs="Arial" w:eastAsia="Arial" w:hAnsi="Arial"/>
                <w:sz w:val="18"/>
                <w:szCs w:val="18"/>
                <w:color w:val="auto"/>
                <w:w w:val="97"/>
              </w:rPr>
              <w:t>, 20  ], provided that the First, Second, Third or Fourth Performance Goal is</w:t>
            </w: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w w:val="87"/>
              </w:rPr>
              <w:t>satisfied;</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259"/>
        </w:trPr>
        <w:tc>
          <w:tcPr>
            <w:tcW w:w="1860" w:type="dxa"/>
            <w:vAlign w:val="bottom"/>
            <w:gridSpan w:val="5"/>
          </w:tcPr>
          <w:p>
            <w:pPr>
              <w:spacing w:after="0"/>
              <w:rPr>
                <w:sz w:val="20"/>
                <w:szCs w:val="20"/>
                <w:color w:val="auto"/>
              </w:rPr>
            </w:pPr>
            <w:r>
              <w:rPr>
                <w:rFonts w:ascii="Arial" w:cs="Arial" w:eastAsia="Arial" w:hAnsi="Arial"/>
                <w:sz w:val="18"/>
                <w:szCs w:val="18"/>
                <w:color w:val="auto"/>
              </w:rPr>
              <w:t>(5) [Year 5] RSUs</w:t>
            </w:r>
          </w:p>
        </w:tc>
        <w:tc>
          <w:tcPr>
            <w:tcW w:w="6720" w:type="dxa"/>
            <w:vAlign w:val="bottom"/>
          </w:tcPr>
          <w:p>
            <w:pPr>
              <w:spacing w:after="0"/>
              <w:rPr>
                <w:sz w:val="22"/>
                <w:szCs w:val="22"/>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309"/>
        </w:trPr>
        <w:tc>
          <w:tcPr>
            <w:tcW w:w="1860" w:type="dxa"/>
            <w:vAlign w:val="bottom"/>
            <w:gridSpan w:val="5"/>
          </w:tcPr>
          <w:p>
            <w:pPr>
              <w:spacing w:after="0"/>
              <w:rPr>
                <w:sz w:val="20"/>
                <w:szCs w:val="20"/>
                <w:color w:val="auto"/>
              </w:rPr>
            </w:pPr>
            <w:r>
              <w:rPr>
                <w:rFonts w:ascii="Arial" w:cs="Arial" w:eastAsia="Arial" w:hAnsi="Arial"/>
                <w:sz w:val="18"/>
                <w:szCs w:val="18"/>
                <w:color w:val="auto"/>
                <w:w w:val="89"/>
              </w:rPr>
              <w:t>As to the [Year 5] RSUs, [</w:t>
            </w:r>
          </w:p>
        </w:tc>
        <w:tc>
          <w:tcPr>
            <w:tcW w:w="6720" w:type="dxa"/>
            <w:vAlign w:val="bottom"/>
          </w:tcPr>
          <w:p>
            <w:pPr>
              <w:ind w:left="880"/>
              <w:spacing w:after="0"/>
              <w:rPr>
                <w:sz w:val="20"/>
                <w:szCs w:val="20"/>
                <w:color w:val="auto"/>
              </w:rPr>
            </w:pPr>
            <w:r>
              <w:rPr>
                <w:rFonts w:ascii="Arial" w:cs="Arial" w:eastAsia="Arial" w:hAnsi="Arial"/>
                <w:sz w:val="18"/>
                <w:szCs w:val="18"/>
                <w:color w:val="auto"/>
                <w:w w:val="90"/>
              </w:rPr>
              <w:t>, 20  ], provided that the First, Second, Third, Fourth or Fifth Performance Goal is</w:t>
            </w:r>
          </w:p>
        </w:tc>
      </w:tr>
      <w:tr>
        <w:trPr>
          <w:trHeight w:val="222"/>
        </w:trPr>
        <w:tc>
          <w:tcPr>
            <w:tcW w:w="1860" w:type="dxa"/>
            <w:vAlign w:val="bottom"/>
            <w:gridSpan w:val="5"/>
          </w:tcPr>
          <w:p>
            <w:pPr>
              <w:spacing w:after="0"/>
              <w:rPr>
                <w:sz w:val="20"/>
                <w:szCs w:val="20"/>
                <w:color w:val="auto"/>
              </w:rPr>
            </w:pPr>
            <w:r>
              <w:rPr>
                <w:rFonts w:ascii="Arial" w:cs="Arial" w:eastAsia="Arial" w:hAnsi="Arial"/>
                <w:sz w:val="18"/>
                <w:szCs w:val="18"/>
                <w:color w:val="auto"/>
              </w:rPr>
              <w:t>satisfied.]</w:t>
            </w:r>
          </w:p>
        </w:tc>
        <w:tc>
          <w:tcPr>
            <w:tcW w:w="6720" w:type="dxa"/>
            <w:vAlign w:val="bottom"/>
          </w:tcPr>
          <w:p>
            <w:pPr>
              <w:spacing w:after="0"/>
              <w:rPr>
                <w:sz w:val="19"/>
                <w:szCs w:val="19"/>
                <w:color w:val="auto"/>
              </w:rPr>
            </w:pPr>
          </w:p>
        </w:tc>
      </w:tr>
    </w:tbl>
    <w:p>
      <w:pPr>
        <w:spacing w:after="0" w:line="115" w:lineRule="exact"/>
        <w:rPr>
          <w:sz w:val="20"/>
          <w:szCs w:val="20"/>
          <w:color w:val="auto"/>
        </w:rPr>
      </w:pPr>
    </w:p>
    <w:p>
      <w:pPr>
        <w:sectPr>
          <w:pgSz w:w="11900" w:h="16838" w:orient="portrait"/>
          <w:cols w:equalWidth="0" w:num="2">
            <w:col w:w="2020" w:space="720"/>
            <w:col w:w="8680"/>
          </w:cols>
          <w:pgMar w:left="240" w:top="125" w:right="239" w:bottom="1440" w:gutter="0" w:footer="0" w:header="0"/>
          <w:type w:val="continuous"/>
        </w:sectPr>
      </w:pPr>
    </w:p>
    <w:p>
      <w:pPr>
        <w:ind w:left="2740"/>
        <w:spacing w:after="0"/>
        <w:rPr>
          <w:sz w:val="20"/>
          <w:szCs w:val="20"/>
          <w:color w:val="auto"/>
        </w:rPr>
      </w:pPr>
      <w:r>
        <w:rPr>
          <w:rFonts w:ascii="Arial" w:cs="Arial" w:eastAsia="Arial" w:hAnsi="Arial"/>
          <w:sz w:val="16"/>
          <w:szCs w:val="16"/>
          <w:color w:val="auto"/>
        </w:rPr>
        <w:t>[Notwithstanding anything herein to the contrary, to the extent a Vesting Date for any [Year 5] RSUs has not occurred on</w:t>
      </w:r>
    </w:p>
    <w:p>
      <w:pPr>
        <w:spacing w:after="0" w:line="38" w:lineRule="exact"/>
        <w:rPr>
          <w:sz w:val="20"/>
          <w:szCs w:val="20"/>
          <w:color w:val="auto"/>
        </w:rPr>
      </w:pPr>
    </w:p>
    <w:p>
      <w:pPr>
        <w:jc w:val="both"/>
        <w:ind w:left="2740" w:right="160"/>
        <w:spacing w:after="0" w:line="255" w:lineRule="auto"/>
        <w:rPr>
          <w:sz w:val="20"/>
          <w:szCs w:val="20"/>
          <w:color w:val="auto"/>
        </w:rPr>
      </w:pPr>
      <w:r>
        <w:rPr>
          <w:rFonts w:ascii="Arial" w:cs="Arial" w:eastAsia="Arial" w:hAnsi="Arial"/>
          <w:sz w:val="18"/>
          <w:szCs w:val="18"/>
          <w:color w:val="auto"/>
        </w:rPr>
        <w:t>or prior to [ , 20 ], such [Year 5] RSUs which have not vested and become nonforfeitable shall immediately and automatically, without any action on the part of the Grantee or the Company, be forfeited by the Grantee and deemed canceled.]</w:t>
      </w:r>
    </w:p>
    <w:p>
      <w:pPr>
        <w:sectPr>
          <w:pgSz w:w="11900" w:h="16838" w:orient="portrait"/>
          <w:cols w:equalWidth="0" w:num="1">
            <w:col w:w="11420"/>
          </w:cols>
          <w:pgMar w:left="240" w:top="125" w:right="239" w:bottom="1440" w:gutter="0" w:footer="0" w:header="0"/>
          <w:type w:val="continuous"/>
        </w:sectPr>
      </w:pPr>
    </w:p>
    <w:bookmarkStart w:id="258" w:name="page259"/>
    <w:bookmarkEnd w:id="258"/>
    <w:p>
      <w:pPr>
        <w:spacing w:after="0" w:line="15"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 w:lineRule="exact"/>
        <w:rPr>
          <w:sz w:val="20"/>
          <w:szCs w:val="20"/>
          <w:color w:val="auto"/>
        </w:rPr>
      </w:pPr>
    </w:p>
    <w:p>
      <w:pPr>
        <w:ind w:right="360"/>
        <w:spacing w:after="0" w:line="260" w:lineRule="auto"/>
        <w:rPr>
          <w:sz w:val="20"/>
          <w:szCs w:val="20"/>
          <w:color w:val="auto"/>
        </w:rPr>
      </w:pPr>
      <w:r>
        <w:rPr>
          <w:rFonts w:ascii="Arial" w:cs="Arial" w:eastAsia="Arial" w:hAnsi="Arial"/>
          <w:sz w:val="24"/>
          <w:szCs w:val="24"/>
          <w:color w:val="auto"/>
        </w:rPr>
        <w:t>Statement Regarding Computation of Ratio of Earnings to Fixed Charges and Ratio of Earnings to Combined Fixed Charges and Preferred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12.1</w:t>
      </w:r>
    </w:p>
    <w:p>
      <w:pPr>
        <w:spacing w:after="0" w:line="831" w:lineRule="exact"/>
        <w:rPr>
          <w:sz w:val="20"/>
          <w:szCs w:val="20"/>
          <w:color w:val="auto"/>
        </w:rPr>
      </w:pPr>
    </w:p>
    <w:p>
      <w:pPr>
        <w:sectPr>
          <w:pgSz w:w="11900" w:h="16838" w:orient="portrait"/>
          <w:cols w:equalWidth="0" w:num="2">
            <w:col w:w="9620" w:space="720"/>
            <w:col w:w="108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165"/>
        </w:trPr>
        <w:tc>
          <w:tcPr>
            <w:tcW w:w="7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2011</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2010</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2009</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9"/>
        </w:trPr>
        <w:tc>
          <w:tcPr>
            <w:tcW w:w="7140" w:type="dxa"/>
            <w:vAlign w:val="bottom"/>
          </w:tcPr>
          <w:p>
            <w:pPr>
              <w:spacing w:after="0" w:line="200" w:lineRule="exact"/>
              <w:rPr>
                <w:sz w:val="20"/>
                <w:szCs w:val="20"/>
                <w:color w:val="auto"/>
              </w:rPr>
            </w:pPr>
            <w:r>
              <w:rPr>
                <w:rFonts w:ascii="Arial" w:cs="Arial" w:eastAsia="Arial" w:hAnsi="Arial"/>
                <w:sz w:val="18"/>
                <w:szCs w:val="18"/>
                <w:b w:val="1"/>
                <w:bCs w:val="1"/>
                <w:color w:val="auto"/>
              </w:rPr>
              <w:t>Computation of Earnings:</w:t>
            </w:r>
            <w:r>
              <w:rPr>
                <w:rFonts w:ascii="Arial" w:cs="Arial" w:eastAsia="Arial" w:hAnsi="Arial"/>
                <w:sz w:val="22"/>
                <w:szCs w:val="22"/>
                <w:b w:val="1"/>
                <w:bCs w:val="1"/>
                <w:color w:val="auto"/>
                <w:vertAlign w:val="superscript"/>
              </w:rPr>
              <w:t>(1)</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w w:val="99"/>
              </w:rPr>
              <w:t>Pretax income from continuing operations before adjustment for noncontrolling interests in</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w w:val="94"/>
              </w:rPr>
              <w:t>10,650</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140" w:type="dxa"/>
            <w:vAlign w:val="bottom"/>
          </w:tcPr>
          <w:p>
            <w:pPr>
              <w:ind w:left="220"/>
              <w:spacing w:after="0" w:line="181" w:lineRule="exact"/>
              <w:rPr>
                <w:sz w:val="20"/>
                <w:szCs w:val="20"/>
                <w:color w:val="auto"/>
              </w:rPr>
            </w:pPr>
            <w:r>
              <w:rPr>
                <w:rFonts w:ascii="Arial" w:cs="Arial" w:eastAsia="Arial" w:hAnsi="Arial"/>
                <w:sz w:val="18"/>
                <w:szCs w:val="18"/>
                <w:color w:val="auto"/>
              </w:rPr>
              <w:t>consolidated subsidiaries or income or loss from equity investees</w:t>
            </w:r>
          </w:p>
        </w:tc>
        <w:tc>
          <w:tcPr>
            <w:tcW w:w="2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4"/>
              <w:spacing w:after="0" w:line="181" w:lineRule="exact"/>
              <w:rPr>
                <w:sz w:val="20"/>
                <w:szCs w:val="20"/>
                <w:color w:val="auto"/>
              </w:rPr>
            </w:pPr>
            <w:r>
              <w:rPr>
                <w:rFonts w:ascii="Arial" w:cs="Arial" w:eastAsia="Arial" w:hAnsi="Arial"/>
                <w:sz w:val="18"/>
                <w:szCs w:val="18"/>
                <w:color w:val="auto"/>
              </w:rPr>
              <w:t>8,242</w:t>
            </w:r>
          </w:p>
        </w:tc>
        <w:tc>
          <w:tcPr>
            <w:tcW w:w="820" w:type="dxa"/>
            <w:vAlign w:val="bottom"/>
          </w:tcPr>
          <w:p>
            <w:pPr>
              <w:jc w:val="right"/>
              <w:ind w:right="54"/>
              <w:spacing w:after="0" w:line="181" w:lineRule="exact"/>
              <w:rPr>
                <w:sz w:val="20"/>
                <w:szCs w:val="20"/>
                <w:color w:val="auto"/>
              </w:rPr>
            </w:pPr>
            <w:r>
              <w:rPr>
                <w:rFonts w:ascii="Arial" w:cs="Arial" w:eastAsia="Arial" w:hAnsi="Arial"/>
                <w:sz w:val="18"/>
                <w:szCs w:val="18"/>
                <w:color w:val="auto"/>
              </w:rPr>
              <w:t>$ 6,245</w:t>
            </w:r>
          </w:p>
        </w:tc>
        <w:tc>
          <w:tcPr>
            <w:tcW w:w="820" w:type="dxa"/>
            <w:vAlign w:val="bottom"/>
          </w:tcPr>
          <w:p>
            <w:pPr>
              <w:jc w:val="right"/>
              <w:ind w:right="54"/>
              <w:spacing w:after="0" w:line="181" w:lineRule="exact"/>
              <w:rPr>
                <w:sz w:val="20"/>
                <w:szCs w:val="20"/>
                <w:color w:val="auto"/>
              </w:rPr>
            </w:pPr>
            <w:r>
              <w:rPr>
                <w:rFonts w:ascii="Arial" w:cs="Arial" w:eastAsia="Arial" w:hAnsi="Arial"/>
                <w:sz w:val="18"/>
                <w:szCs w:val="18"/>
                <w:color w:val="auto"/>
              </w:rPr>
              <w:t>$ 5,170</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$ 4,097</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Fixed charges</w:t>
            </w:r>
          </w:p>
        </w:tc>
        <w:tc>
          <w:tcPr>
            <w:tcW w:w="240" w:type="dxa"/>
            <w:vAlign w:val="bottom"/>
          </w:tcPr>
          <w:p>
            <w:pPr>
              <w:spacing w:after="0"/>
              <w:rPr>
                <w:sz w:val="17"/>
                <w:szCs w:val="17"/>
                <w:color w:val="auto"/>
              </w:rPr>
            </w:pPr>
          </w:p>
        </w:tc>
        <w:tc>
          <w:tcPr>
            <w:tcW w:w="6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2,798</w:t>
            </w:r>
          </w:p>
        </w:tc>
        <w:tc>
          <w:tcPr>
            <w:tcW w:w="20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2,755</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2,366</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2,529</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Distributed income of equity investees</w:t>
            </w:r>
          </w:p>
        </w:tc>
        <w:tc>
          <w:tcPr>
            <w:tcW w:w="240" w:type="dxa"/>
            <w:vAlign w:val="bottom"/>
          </w:tcPr>
          <w:p>
            <w:pPr>
              <w:spacing w:after="0"/>
              <w:rPr>
                <w:sz w:val="17"/>
                <w:szCs w:val="17"/>
                <w:color w:val="auto"/>
              </w:rPr>
            </w:pPr>
          </w:p>
        </w:tc>
        <w:tc>
          <w:tcPr>
            <w:tcW w:w="6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195</w:t>
            </w:r>
          </w:p>
        </w:tc>
        <w:tc>
          <w:tcPr>
            <w:tcW w:w="20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311</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20</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48</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1"/>
        </w:trPr>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Earnings</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w w:val="94"/>
              </w:rPr>
              <w:t>13,488</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11,142</w:t>
            </w:r>
          </w:p>
        </w:tc>
        <w:tc>
          <w:tcPr>
            <w:tcW w:w="8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$ 8,458</w:t>
            </w:r>
          </w:p>
        </w:tc>
        <w:tc>
          <w:tcPr>
            <w:tcW w:w="8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$ 7,602</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$ 6,595</w:t>
            </w:r>
          </w:p>
        </w:tc>
        <w:tc>
          <w:tcPr>
            <w:tcW w:w="0" w:type="dxa"/>
            <w:vAlign w:val="bottom"/>
          </w:tcPr>
          <w:p>
            <w:pPr>
              <w:spacing w:after="0"/>
              <w:rPr>
                <w:sz w:val="1"/>
                <w:szCs w:val="1"/>
                <w:color w:val="auto"/>
              </w:rPr>
            </w:pPr>
          </w:p>
        </w:tc>
      </w:tr>
      <w:tr>
        <w:trPr>
          <w:trHeight w:val="199"/>
        </w:trPr>
        <w:tc>
          <w:tcPr>
            <w:tcW w:w="7140" w:type="dxa"/>
            <w:vAlign w:val="bottom"/>
          </w:tcPr>
          <w:p>
            <w:pPr>
              <w:spacing w:after="0" w:line="200" w:lineRule="exact"/>
              <w:rPr>
                <w:sz w:val="20"/>
                <w:szCs w:val="20"/>
                <w:color w:val="auto"/>
              </w:rPr>
            </w:pPr>
            <w:r>
              <w:rPr>
                <w:rFonts w:ascii="Arial" w:cs="Arial" w:eastAsia="Arial" w:hAnsi="Arial"/>
                <w:sz w:val="18"/>
                <w:szCs w:val="18"/>
                <w:b w:val="1"/>
                <w:bCs w:val="1"/>
                <w:color w:val="auto"/>
              </w:rPr>
              <w:t>Computation of Fixed charges:</w:t>
            </w:r>
            <w:r>
              <w:rPr>
                <w:rFonts w:ascii="Arial" w:cs="Arial" w:eastAsia="Arial" w:hAnsi="Arial"/>
                <w:sz w:val="22"/>
                <w:szCs w:val="22"/>
                <w:b w:val="1"/>
                <w:bCs w:val="1"/>
                <w:color w:val="auto"/>
                <w:vertAlign w:val="superscript"/>
              </w:rPr>
              <w:t>(1)</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2,508</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140" w:type="dxa"/>
            <w:vAlign w:val="bottom"/>
          </w:tcPr>
          <w:p>
            <w:pPr>
              <w:spacing w:after="0" w:line="181" w:lineRule="exact"/>
              <w:rPr>
                <w:sz w:val="20"/>
                <w:szCs w:val="20"/>
                <w:color w:val="auto"/>
              </w:rPr>
            </w:pPr>
            <w:r>
              <w:rPr>
                <w:rFonts w:ascii="Arial" w:cs="Arial" w:eastAsia="Arial" w:hAnsi="Arial"/>
                <w:sz w:val="18"/>
                <w:szCs w:val="18"/>
                <w:color w:val="auto"/>
              </w:rPr>
              <w:t>Interest expensed and capitalized</w:t>
            </w:r>
          </w:p>
        </w:tc>
        <w:tc>
          <w:tcPr>
            <w:tcW w:w="2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4"/>
              <w:spacing w:after="0" w:line="181" w:lineRule="exact"/>
              <w:rPr>
                <w:sz w:val="20"/>
                <w:szCs w:val="20"/>
                <w:color w:val="auto"/>
              </w:rPr>
            </w:pPr>
            <w:r>
              <w:rPr>
                <w:rFonts w:ascii="Arial" w:cs="Arial" w:eastAsia="Arial" w:hAnsi="Arial"/>
                <w:sz w:val="18"/>
                <w:szCs w:val="18"/>
                <w:color w:val="auto"/>
              </w:rPr>
              <w:t>2,477</w:t>
            </w:r>
          </w:p>
        </w:tc>
        <w:tc>
          <w:tcPr>
            <w:tcW w:w="820" w:type="dxa"/>
            <w:vAlign w:val="bottom"/>
          </w:tcPr>
          <w:p>
            <w:pPr>
              <w:jc w:val="right"/>
              <w:ind w:right="54"/>
              <w:spacing w:after="0" w:line="181" w:lineRule="exact"/>
              <w:rPr>
                <w:sz w:val="20"/>
                <w:szCs w:val="20"/>
                <w:color w:val="auto"/>
              </w:rPr>
            </w:pPr>
            <w:r>
              <w:rPr>
                <w:rFonts w:ascii="Arial" w:cs="Arial" w:eastAsia="Arial" w:hAnsi="Arial"/>
                <w:sz w:val="18"/>
                <w:szCs w:val="18"/>
                <w:color w:val="auto"/>
              </w:rPr>
              <w:t>$ 2,134</w:t>
            </w:r>
          </w:p>
        </w:tc>
        <w:tc>
          <w:tcPr>
            <w:tcW w:w="820" w:type="dxa"/>
            <w:vAlign w:val="bottom"/>
          </w:tcPr>
          <w:p>
            <w:pPr>
              <w:jc w:val="right"/>
              <w:ind w:right="54"/>
              <w:spacing w:after="0" w:line="181" w:lineRule="exact"/>
              <w:rPr>
                <w:sz w:val="20"/>
                <w:szCs w:val="20"/>
                <w:color w:val="auto"/>
              </w:rPr>
            </w:pPr>
            <w:r>
              <w:rPr>
                <w:rFonts w:ascii="Arial" w:cs="Arial" w:eastAsia="Arial" w:hAnsi="Arial"/>
                <w:sz w:val="18"/>
                <w:szCs w:val="18"/>
                <w:color w:val="auto"/>
              </w:rPr>
              <w:t>$ 2,267</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$ 2,384</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Amortized premiums, discounts and capitalized expenses related to indebtedness</w:t>
            </w:r>
          </w:p>
        </w:tc>
        <w:tc>
          <w:tcPr>
            <w:tcW w:w="240" w:type="dxa"/>
            <w:vAlign w:val="bottom"/>
          </w:tcPr>
          <w:p>
            <w:pPr>
              <w:spacing w:after="0"/>
              <w:rPr>
                <w:sz w:val="17"/>
                <w:szCs w:val="17"/>
                <w:color w:val="auto"/>
              </w:rPr>
            </w:pPr>
          </w:p>
        </w:tc>
        <w:tc>
          <w:tcPr>
            <w:tcW w:w="6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28</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22</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81</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Less: preferred dividends in interest expense</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(105)</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Portion of rents representative of an interest factor</w:t>
            </w:r>
          </w:p>
        </w:tc>
        <w:tc>
          <w:tcPr>
            <w:tcW w:w="240" w:type="dxa"/>
            <w:vAlign w:val="bottom"/>
          </w:tcPr>
          <w:p>
            <w:pPr>
              <w:spacing w:after="0"/>
              <w:rPr>
                <w:sz w:val="17"/>
                <w:szCs w:val="17"/>
                <w:color w:val="auto"/>
              </w:rPr>
            </w:pPr>
          </w:p>
        </w:tc>
        <w:tc>
          <w:tcPr>
            <w:tcW w:w="6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227</w:t>
            </w:r>
          </w:p>
        </w:tc>
        <w:tc>
          <w:tcPr>
            <w:tcW w:w="20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188</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140</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138</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1"/>
        </w:trPr>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155</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166</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173</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145</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Fixed Charges</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2,798</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2,755</w:t>
            </w:r>
          </w:p>
        </w:tc>
        <w:tc>
          <w:tcPr>
            <w:tcW w:w="8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$ 2,366</w:t>
            </w:r>
          </w:p>
        </w:tc>
        <w:tc>
          <w:tcPr>
            <w:tcW w:w="8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$ 2,529</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$ 2,650</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52A2DD"/>
            </w:tcBorders>
          </w:tcPr>
          <w:p>
            <w:pPr>
              <w:spacing w:after="0" w:line="19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2"/>
                <w:szCs w:val="22"/>
                <w:b w:val="1"/>
                <w:bCs w:val="1"/>
                <w:color w:val="auto"/>
                <w:vertAlign w:val="superscript"/>
              </w:rPr>
              <w:t>(1)</w:t>
            </w:r>
          </w:p>
        </w:tc>
        <w:tc>
          <w:tcPr>
            <w:tcW w:w="240" w:type="dxa"/>
            <w:vAlign w:val="bottom"/>
            <w:tcBorders>
              <w:bottom w:val="single" w:sz="8" w:color="52A2DD"/>
            </w:tcBorders>
          </w:tcPr>
          <w:p>
            <w:pPr>
              <w:spacing w:after="0"/>
              <w:rPr>
                <w:sz w:val="17"/>
                <w:szCs w:val="17"/>
                <w:color w:val="auto"/>
              </w:rPr>
            </w:pPr>
          </w:p>
        </w:tc>
        <w:tc>
          <w:tcPr>
            <w:tcW w:w="680" w:type="dxa"/>
            <w:vAlign w:val="bottom"/>
            <w:tcBorders>
              <w:bottom w:val="single" w:sz="8" w:color="52A2DD"/>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4.82x</w:t>
            </w:r>
          </w:p>
        </w:tc>
        <w:tc>
          <w:tcPr>
            <w:tcW w:w="200" w:type="dxa"/>
            <w:vAlign w:val="bottom"/>
            <w:tcBorders>
              <w:bottom w:val="single" w:sz="8" w:color="52A2DD"/>
            </w:tcBorders>
          </w:tcPr>
          <w:p>
            <w:pPr>
              <w:spacing w:after="0"/>
              <w:rPr>
                <w:sz w:val="17"/>
                <w:szCs w:val="17"/>
                <w:color w:val="auto"/>
              </w:rPr>
            </w:pPr>
          </w:p>
        </w:tc>
        <w:tc>
          <w:tcPr>
            <w:tcW w:w="720" w:type="dxa"/>
            <w:vAlign w:val="bottom"/>
            <w:tcBorders>
              <w:bottom w:val="single" w:sz="8" w:color="52A2DD"/>
            </w:tcBorders>
          </w:tcPr>
          <w:p>
            <w:pPr>
              <w:jc w:val="right"/>
              <w:ind w:right="54"/>
              <w:spacing w:after="0" w:line="196" w:lineRule="exact"/>
              <w:rPr>
                <w:sz w:val="20"/>
                <w:szCs w:val="20"/>
                <w:color w:val="auto"/>
              </w:rPr>
            </w:pPr>
            <w:r>
              <w:rPr>
                <w:rFonts w:ascii="Arial" w:cs="Arial" w:eastAsia="Arial" w:hAnsi="Arial"/>
                <w:sz w:val="18"/>
                <w:szCs w:val="18"/>
                <w:color w:val="auto"/>
              </w:rPr>
              <w:t>4.04x</w:t>
            </w:r>
          </w:p>
        </w:tc>
        <w:tc>
          <w:tcPr>
            <w:tcW w:w="820" w:type="dxa"/>
            <w:vAlign w:val="bottom"/>
            <w:tcBorders>
              <w:bottom w:val="single" w:sz="8" w:color="52A2DD"/>
            </w:tcBorders>
          </w:tcPr>
          <w:p>
            <w:pPr>
              <w:jc w:val="right"/>
              <w:ind w:right="54"/>
              <w:spacing w:after="0" w:line="196" w:lineRule="exact"/>
              <w:rPr>
                <w:sz w:val="20"/>
                <w:szCs w:val="20"/>
                <w:color w:val="auto"/>
              </w:rPr>
            </w:pPr>
            <w:r>
              <w:rPr>
                <w:rFonts w:ascii="Arial" w:cs="Arial" w:eastAsia="Arial" w:hAnsi="Arial"/>
                <w:sz w:val="18"/>
                <w:szCs w:val="18"/>
                <w:color w:val="auto"/>
              </w:rPr>
              <w:t>3.57x</w:t>
            </w:r>
          </w:p>
        </w:tc>
        <w:tc>
          <w:tcPr>
            <w:tcW w:w="820" w:type="dxa"/>
            <w:vAlign w:val="bottom"/>
            <w:tcBorders>
              <w:bottom w:val="single" w:sz="8" w:color="52A2DD"/>
            </w:tcBorders>
          </w:tcPr>
          <w:p>
            <w:pPr>
              <w:jc w:val="right"/>
              <w:ind w:right="54"/>
              <w:spacing w:after="0" w:line="196" w:lineRule="exact"/>
              <w:rPr>
                <w:sz w:val="20"/>
                <w:szCs w:val="20"/>
                <w:color w:val="auto"/>
              </w:rPr>
            </w:pPr>
            <w:r>
              <w:rPr>
                <w:rFonts w:ascii="Arial" w:cs="Arial" w:eastAsia="Arial" w:hAnsi="Arial"/>
                <w:sz w:val="18"/>
                <w:szCs w:val="18"/>
                <w:color w:val="auto"/>
              </w:rPr>
              <w:t>3.01x</w:t>
            </w:r>
          </w:p>
        </w:tc>
        <w:tc>
          <w:tcPr>
            <w:tcW w:w="800" w:type="dxa"/>
            <w:vAlign w:val="bottom"/>
            <w:tcBorders>
              <w:bottom w:val="single" w:sz="8" w:color="52A2DD"/>
            </w:tcBorders>
          </w:tcPr>
          <w:p>
            <w:pPr>
              <w:jc w:val="right"/>
              <w:ind w:right="14"/>
              <w:spacing w:after="0" w:line="196" w:lineRule="exact"/>
              <w:rPr>
                <w:sz w:val="20"/>
                <w:szCs w:val="20"/>
                <w:color w:val="auto"/>
              </w:rPr>
            </w:pPr>
            <w:r>
              <w:rPr>
                <w:rFonts w:ascii="Arial" w:cs="Arial" w:eastAsia="Arial" w:hAnsi="Arial"/>
                <w:sz w:val="18"/>
                <w:szCs w:val="18"/>
                <w:color w:val="auto"/>
              </w:rPr>
              <w:t>2.49x</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4" w:lineRule="auto"/>
        <w:tabs>
          <w:tab w:leader="none" w:pos="30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339" w:lineRule="exact"/>
        <w:rPr>
          <w:sz w:val="20"/>
          <w:szCs w:val="20"/>
          <w:color w:val="auto"/>
        </w:rPr>
      </w:pPr>
    </w:p>
    <w:p>
      <w:pPr>
        <w:ind w:left="8780"/>
        <w:spacing w:after="0"/>
        <w:rPr>
          <w:sz w:val="20"/>
          <w:szCs w:val="20"/>
          <w:color w:val="auto"/>
        </w:rPr>
      </w:pPr>
      <w:r>
        <w:rPr>
          <w:rFonts w:ascii="Arial" w:cs="Arial" w:eastAsia="Arial" w:hAnsi="Arial"/>
          <w:sz w:val="12"/>
          <w:szCs w:val="12"/>
          <w:color w:val="auto"/>
        </w:rPr>
        <w:t>Comcast 2012 Annual Report on Form 10-K</w:t>
      </w:r>
    </w:p>
    <w:p>
      <w:pPr>
        <w:sectPr>
          <w:pgSz w:w="11900" w:h="16838" w:orient="portrait"/>
          <w:cols w:equalWidth="0" w:num="1">
            <w:col w:w="11420"/>
          </w:cols>
          <w:pgMar w:left="240" w:top="121" w:right="239" w:bottom="1440" w:gutter="0" w:footer="0" w:header="0"/>
          <w:type w:val="continuous"/>
        </w:sectPr>
      </w:pPr>
    </w:p>
    <w:bookmarkStart w:id="259" w:name="page260"/>
    <w:bookmarkEnd w:id="259"/>
    <w:p>
      <w:pPr>
        <w:jc w:val="right"/>
        <w:spacing w:after="0"/>
        <w:rPr>
          <w:sz w:val="20"/>
          <w:szCs w:val="20"/>
          <w:color w:val="auto"/>
        </w:rPr>
      </w:pPr>
      <w:r>
        <w:rPr>
          <w:rFonts w:ascii="Arial" w:cs="Arial" w:eastAsia="Arial" w:hAnsi="Arial"/>
          <w:sz w:val="16"/>
          <w:szCs w:val="16"/>
          <w:b w:val="1"/>
          <w:bCs w:val="1"/>
          <w:color w:val="auto"/>
        </w:rPr>
        <w:t>Exhibit 21</w:t>
      </w:r>
    </w:p>
    <w:p>
      <w:pPr>
        <w:sectPr>
          <w:pgSz w:w="11900" w:h="16838" w:orient="portrait"/>
          <w:cols w:equalWidth="0" w:num="1">
            <w:col w:w="11420"/>
          </w:cols>
          <w:pgMar w:left="240" w:top="125" w:right="239"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Org State</w:t>
      </w:r>
    </w:p>
    <w:p>
      <w:pPr>
        <w:spacing w:after="0" w:line="30"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18A LLC</w:t>
      </w:r>
    </w:p>
    <w:p>
      <w:pPr>
        <w:spacing w:after="0"/>
        <w:rPr>
          <w:sz w:val="20"/>
          <w:szCs w:val="20"/>
          <w:color w:val="auto"/>
        </w:rPr>
      </w:pPr>
      <w:r>
        <w:rPr>
          <w:rFonts w:ascii="Arial" w:cs="Arial" w:eastAsia="Arial" w:hAnsi="Arial"/>
          <w:sz w:val="18"/>
          <w:szCs w:val="18"/>
          <w:color w:val="auto"/>
        </w:rPr>
        <w:t>ABB MOG-WM,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ABB RFL,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ABB TS Assets,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Alabama T.V.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Cable Systems,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Atlantic American Cablevision of Florida,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Atlantic American Cablevision,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Atlantic American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Atlantic Cablevision of Florida,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AutoMallUSA.com,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Beatrice Cable TV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Box Office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Brigand Pictures,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BroadNet Europe SPRL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BroadNet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Accounting,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Programming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Television of Gary,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Cablevision Associates of Gary Joint Venture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Cablevision Investment of Detroit,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Cablevision of Arcadia/Sierra Madre,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CATV Facility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CBS Holdco,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CCC-NJFT,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CCF Management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Century-TCI California Communications,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Century-TCI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Classic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Clinton Cable TV Investors,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Colorado Terrace Tower II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 Indianapolis,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 Inkster,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 South,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38GHZ,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A/TW Note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Business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Cablevision 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CSC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CSC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Holdings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Holdings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Network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NOC,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ABB Note Consolidation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ABB Note Consolidation,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80" w:space="720"/>
            <w:col w:w="3520"/>
          </w:cols>
          <w:pgMar w:left="240" w:top="125" w:right="239" w:bottom="1440" w:gutter="0" w:footer="0" w:header="0"/>
          <w:type w:val="continuous"/>
        </w:sectPr>
      </w:pPr>
    </w:p>
    <w:bookmarkStart w:id="260" w:name="page261"/>
    <w:bookmarkEnd w:id="260"/>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Comcast ABB Note Sub Consolidation I, Inc.</w:t>
      </w:r>
    </w:p>
    <w:p>
      <w:pPr>
        <w:spacing w:after="0"/>
        <w:rPr>
          <w:sz w:val="20"/>
          <w:szCs w:val="20"/>
          <w:color w:val="auto"/>
        </w:rPr>
      </w:pPr>
      <w:r>
        <w:rPr>
          <w:rFonts w:ascii="Arial" w:cs="Arial" w:eastAsia="Arial" w:hAnsi="Arial"/>
          <w:sz w:val="18"/>
          <w:szCs w:val="18"/>
          <w:color w:val="auto"/>
        </w:rPr>
        <w:t>Comcast ABB Note Sub Consolidation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Note Sub Consolidation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Georgia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Kiowa,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Mississippi/Iowa,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Payette,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Optionee Payroll,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Overseas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Overseas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Overseas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ABB USC,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Alpha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Argentina,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ASBC,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Baseball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Broadband Lab,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Broadband Security,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Broadnet Payroll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BTN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Business Class Security,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Business Communications of Virginia,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Business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Canada,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Cable Communications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Cable Communications Management,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EP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Funding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Funding GP,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Funding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of Indiana,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Cable of Indiana/Michigan/Texas 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Cable of Maryland,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SC Investment,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Trust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Trust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Trust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Cablevision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Cablevision of Erie,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Cablevision of Garden State,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Cablevision of Philadelphia Area I,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Cablevision of Southeast Michigan,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CCH Subsidiary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Cellular Holding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Cellular Holdings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CHC Subsidiary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80" w:space="720"/>
            <w:col w:w="2319"/>
          </w:cols>
          <w:pgMar w:left="240" w:top="275" w:right="1440" w:bottom="1440" w:gutter="0" w:footer="0" w:header="0"/>
          <w:type w:val="continuous"/>
        </w:sectPr>
      </w:pPr>
    </w:p>
    <w:bookmarkStart w:id="261" w:name="page262"/>
    <w:bookmarkEnd w:id="261"/>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Comcast CHC, LLC</w:t>
      </w:r>
    </w:p>
    <w:p>
      <w:pPr>
        <w:spacing w:after="0"/>
        <w:rPr>
          <w:sz w:val="20"/>
          <w:szCs w:val="20"/>
          <w:color w:val="auto"/>
        </w:rPr>
      </w:pPr>
      <w:r>
        <w:rPr>
          <w:rFonts w:ascii="Arial" w:cs="Arial" w:eastAsia="Arial" w:hAnsi="Arial"/>
          <w:sz w:val="18"/>
          <w:szCs w:val="18"/>
          <w:color w:val="auto"/>
        </w:rPr>
        <w:t>Comcast CIM STS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COLI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Commercial Services Financing,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Commercial Services Group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Commercial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Concurrent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Contribution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Corporate Investments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Corporate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Trust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Trust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Trust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Crystalvision,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CSA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CTV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CV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CVC 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Data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DC Radio,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Directory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Encore,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Entertainment Networks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Financial Agency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Florida Programming Investments,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Funding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Garden State,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Gary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Gateway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GI Carolina,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Greater Boston Advertising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Hockey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Houston Advertising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ICCP,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ICG,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In Demand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Interactive Media,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Interactive Programming Ventures,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International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IV,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7180" w:space="720"/>
            <w:col w:w="2319"/>
          </w:cols>
          <w:pgMar w:left="240" w:top="275" w:right="1440" w:bottom="1440" w:gutter="0" w:footer="0" w:header="0"/>
          <w:type w:val="continuous"/>
        </w:sectPr>
      </w:pPr>
    </w:p>
    <w:bookmarkStart w:id="262" w:name="page263"/>
    <w:bookmarkEnd w:id="262"/>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Comcast IP Phone of Missouri, LLC</w:t>
      </w:r>
    </w:p>
    <w:p>
      <w:pPr>
        <w:spacing w:after="0"/>
        <w:rPr>
          <w:sz w:val="20"/>
          <w:szCs w:val="20"/>
          <w:color w:val="auto"/>
        </w:rPr>
      </w:pPr>
      <w:r>
        <w:rPr>
          <w:rFonts w:ascii="Arial" w:cs="Arial" w:eastAsia="Arial" w:hAnsi="Arial"/>
          <w:sz w:val="18"/>
          <w:szCs w:val="18"/>
          <w:color w:val="auto"/>
        </w:rPr>
        <w:t>Comcast IP Phone of Oregon,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Services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IPG/JV,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ISD,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JR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LCP,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Levittown Finance,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Life Insurance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LMC E!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LMDS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Metatv,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Michigan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Midcontinent,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Mile Hi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MO Cable Advertising of Metropolitan Atlanta,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MO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Communications Holding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Digital Radio,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Europe,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Midwest,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of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of Florida,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of New England,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of 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Federal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Financing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Foreign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Funding,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Holdings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Information Technology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Interactive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International Holdings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International Programming,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ectPr>
          <w:pgSz w:w="11900" w:h="16838" w:orient="portrait"/>
          <w:cols w:equalWidth="0" w:num="2">
            <w:col w:w="7180" w:space="720"/>
            <w:col w:w="2319"/>
          </w:cols>
          <w:pgMar w:left="240" w:top="275" w:right="1440" w:bottom="1440" w:gutter="0" w:footer="0" w:header="0"/>
          <w:type w:val="continuous"/>
        </w:sectPr>
      </w:pPr>
    </w:p>
    <w:bookmarkStart w:id="263" w:name="page264"/>
    <w:bookmarkEnd w:id="263"/>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6" w:right="1440" w:bottom="1440" w:gutter="0" w:footer="0" w:header="0"/>
        </w:sectPr>
      </w:pPr>
    </w:p>
    <w:p>
      <w:pPr>
        <w:spacing w:after="0"/>
        <w:rPr>
          <w:sz w:val="20"/>
          <w:szCs w:val="20"/>
          <w:color w:val="auto"/>
        </w:rPr>
      </w:pPr>
      <w:r>
        <w:rPr>
          <w:rFonts w:ascii="Arial" w:cs="Arial" w:eastAsia="Arial" w:hAnsi="Arial"/>
          <w:sz w:val="18"/>
          <w:szCs w:val="18"/>
          <w:color w:val="auto"/>
        </w:rPr>
        <w:t>Comcast MO International, Inc.</w:t>
      </w:r>
    </w:p>
    <w:p>
      <w:pPr>
        <w:spacing w:after="0"/>
        <w:rPr>
          <w:sz w:val="20"/>
          <w:szCs w:val="20"/>
          <w:color w:val="auto"/>
        </w:rPr>
      </w:pPr>
      <w:r>
        <w:rPr>
          <w:rFonts w:ascii="Arial" w:cs="Arial" w:eastAsia="Arial" w:hAnsi="Arial"/>
          <w:sz w:val="18"/>
          <w:szCs w:val="18"/>
          <w:color w:val="auto"/>
        </w:rPr>
        <w:t>Comcast MO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Burnsville/Eagan,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Minnesota,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North Valley,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Quad Cities,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the North Suburbs,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Racing,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Real Estate,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MO Telecommunications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Multicable 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MVNO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Nashville Finance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National Communications Services,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Navy Acquisition,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Navy Contribution,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NCC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NCC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NCC Holdings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Netherlands,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 Media Development,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New Mexico/Pennsylvania Finance,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Newco 13,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17,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18,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19,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2,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20,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21,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22,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23,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3,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4,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5,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6,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7,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8,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Newco 9,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Alameda,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Arizona,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Arkansas,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w:t>
      </w: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80" w:space="720"/>
            <w:col w:w="2319"/>
          </w:cols>
          <w:pgMar w:left="240" w:top="276" w:right="1440" w:bottom="1440" w:gutter="0" w:footer="0" w:header="0"/>
          <w:type w:val="continuous"/>
        </w:sectPr>
      </w:pPr>
    </w:p>
    <w:bookmarkStart w:id="264" w:name="page265"/>
    <w:bookmarkEnd w:id="264"/>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Comcast of Arkansas/Florida/Louisiana/Minnesota/Mississippi/Tennessee, Inc.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Comcast of Avalon,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Baltimore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Boston,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Brockton,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Bryant,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Burlington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California/Colorado/Florida/Oregon,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California/Colorado/Illinois/Indiana/Michigan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California/Colorado/Illinois/Indiana/Michigan,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California/Colorado/Washington,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California/Connecticut/Michigan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California/Idaho,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California/Illinois,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California/Maryland/Pennsylvania/Virginia/West Virginia,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California/Massachusetts/Michigan/Utah,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California/Pennsylvania/Utah/Washington,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Carolina,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Celebration,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Central New Jersey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Central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Chesterfield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Chicago,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Clinton CT,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Clinton MI,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Clinton,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Coconut Creek,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VII,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ectPr>
          <w:pgSz w:w="11900" w:h="16838" w:orient="portrait"/>
          <w:cols w:equalWidth="0" w:num="2">
            <w:col w:w="7180" w:space="720"/>
            <w:col w:w="2319"/>
          </w:cols>
          <w:pgMar w:left="240" w:top="275" w:right="1440" w:bottom="1440" w:gutter="0" w:footer="0" w:header="0"/>
          <w:type w:val="continuous"/>
        </w:sectPr>
      </w:pPr>
    </w:p>
    <w:bookmarkStart w:id="265" w:name="page266"/>
    <w:bookmarkEnd w:id="265"/>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Comcast of Colorado VIII, LLC</w:t>
      </w:r>
    </w:p>
    <w:p>
      <w:pPr>
        <w:spacing w:after="0"/>
        <w:rPr>
          <w:sz w:val="20"/>
          <w:szCs w:val="20"/>
          <w:color w:val="auto"/>
        </w:rPr>
      </w:pPr>
      <w:r>
        <w:rPr>
          <w:rFonts w:ascii="Arial" w:cs="Arial" w:eastAsia="Arial" w:hAnsi="Arial"/>
          <w:sz w:val="18"/>
          <w:szCs w:val="18"/>
          <w:color w:val="auto"/>
        </w:rPr>
        <w:t>Comcast of Colorado 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XI,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XII,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Colorado/Florida,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Colorado/Pennsylvania/West Virginia,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Connecticut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Connecticut,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ectPr>
          <w:pgSz w:w="11900" w:h="16838" w:orient="portrait"/>
          <w:cols w:equalWidth="0" w:num="2">
            <w:col w:w="7180" w:space="720"/>
            <w:col w:w="2319"/>
          </w:cols>
          <w:pgMar w:left="240" w:top="275"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Comcast of Connecticut/Georgia/Massachusetts/New Hampshire/New York/North</w:t>
      </w:r>
    </w:p>
    <w:p>
      <w:pPr>
        <w:sectPr>
          <w:pgSz w:w="11900" w:h="16838" w:orient="portrait"/>
          <w:cols w:equalWidth="0" w:num="1">
            <w:col w:w="10219"/>
          </w:cols>
          <w:pgMar w:left="240" w:top="275"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Carolina/Virginia/Vermont,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Cupertino,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Danbury,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Davis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Detroit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Detroit,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East San Fernando Valley,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Eastern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Eastern Shore,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Elkton,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Flint,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Florida/Georgia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Comcast of Florida/Georgia/Pennsylvania, L.P.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Florida/Illinois/Michigan,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Florida/Washington,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Fort Wayne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Fresno,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Garden State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Georgia/Massachusetts,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Georgia/Michigan,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Georgia/South Carolina II,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Georgia/South Carolina,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Gloucester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Greater Florida/Georgia,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Grosse Pointe,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Groton,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Harford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Hopewell Valley,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Houston,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Howard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II,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ectPr>
          <w:pgSz w:w="11900" w:h="16838" w:orient="portrait"/>
          <w:cols w:equalWidth="0" w:num="2">
            <w:col w:w="7180" w:space="720"/>
            <w:col w:w="2319"/>
          </w:cols>
          <w:pgMar w:left="240" w:top="275" w:right="1440" w:bottom="1440" w:gutter="0" w:footer="0" w:header="0"/>
          <w:type w:val="continuous"/>
        </w:sectPr>
      </w:pPr>
    </w:p>
    <w:bookmarkStart w:id="266" w:name="page267"/>
    <w:bookmarkEnd w:id="266"/>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Comcast of Illinois III, Inc.</w:t>
      </w:r>
    </w:p>
    <w:p>
      <w:pPr>
        <w:spacing w:after="0"/>
        <w:rPr>
          <w:sz w:val="20"/>
          <w:szCs w:val="20"/>
          <w:color w:val="auto"/>
        </w:rPr>
      </w:pPr>
      <w:r>
        <w:rPr>
          <w:rFonts w:ascii="Arial" w:cs="Arial" w:eastAsia="Arial" w:hAnsi="Arial"/>
          <w:sz w:val="18"/>
          <w:szCs w:val="18"/>
          <w:color w:val="auto"/>
        </w:rPr>
        <w:t>Comcast of Illinois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XI,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XII,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XIII,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Illinois/Indiana/Michigan,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Illinois/Indiana/Ohio,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Illinois/Ohio/Oregon,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Indiana/Kentucky/Utah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Indiana/Michigan,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Indiana/Michigan/Pennsylvania,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Indianapolis,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Indianapolis,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Inkster,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Jersey City,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Kentucky/Tennessee/Virginia,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Laurel,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Lawrence,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Levittown,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Little Rock,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Lompoc,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Long Beach Island,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Louisiana/Mississippi/Texas,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Lower Merion,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Macomb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Macomb,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Maine/New Hampshire,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Maryland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Maryland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Maryland,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III,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Massachusetts/New Hampshire,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Mercer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Meridian,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III,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IL</w:t>
      </w: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80" w:space="720"/>
            <w:col w:w="2319"/>
          </w:cols>
          <w:pgMar w:left="240" w:top="275" w:right="1440" w:bottom="1440" w:gutter="0" w:footer="0" w:header="0"/>
          <w:type w:val="continuous"/>
        </w:sectPr>
      </w:pPr>
    </w:p>
    <w:bookmarkStart w:id="267" w:name="page268"/>
    <w:bookmarkEnd w:id="267"/>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Comcast of Michigan IV, LLC</w:t>
      </w:r>
    </w:p>
    <w:p>
      <w:pPr>
        <w:spacing w:after="0"/>
        <w:rPr>
          <w:sz w:val="20"/>
          <w:szCs w:val="20"/>
          <w:color w:val="auto"/>
        </w:rPr>
      </w:pPr>
      <w:r>
        <w:rPr>
          <w:rFonts w:ascii="Arial" w:cs="Arial" w:eastAsia="Arial" w:hAnsi="Arial"/>
          <w:sz w:val="18"/>
          <w:szCs w:val="18"/>
          <w:color w:val="auto"/>
        </w:rPr>
        <w:t>Comcast of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Michigan/Mississippi/Tennessee,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Middletown,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Milton,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Minnesota,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Minnesota/Wisconsin,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Mississippi Call Center,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Monmouth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Montana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Montana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Montana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Mt. Clemens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Mt. Clemens,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Muncie,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Muncie,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Muskegon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Nashville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Nashville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Needham,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Castle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Hampshire,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Haven,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Jersey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Mexico,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Mexico/Pennsylvania,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York,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 Broward,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Northern California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Northern Illinois,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Northern Indiana,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Northwest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Novato,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Oakland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Ocean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Ohio,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Oregon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Oregon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Parkland,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Pennsylvania/Maryland,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Pennsylvania/Washington/West Virginia,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Philadelphia 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w:t>
      </w: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80" w:space="720"/>
            <w:col w:w="2319"/>
          </w:cols>
          <w:pgMar w:left="240" w:top="275" w:right="1440" w:bottom="1440" w:gutter="0" w:footer="0" w:header="0"/>
          <w:type w:val="continuous"/>
        </w:sectPr>
      </w:pPr>
    </w:p>
    <w:bookmarkStart w:id="268" w:name="page269"/>
    <w:bookmarkEnd w:id="268"/>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6" w:right="1440" w:bottom="1440" w:gutter="0" w:footer="0" w:header="0"/>
        </w:sectPr>
      </w:pPr>
    </w:p>
    <w:p>
      <w:pPr>
        <w:spacing w:after="0"/>
        <w:rPr>
          <w:sz w:val="20"/>
          <w:szCs w:val="20"/>
          <w:color w:val="auto"/>
        </w:rPr>
      </w:pPr>
      <w:r>
        <w:rPr>
          <w:rFonts w:ascii="Arial" w:cs="Arial" w:eastAsia="Arial" w:hAnsi="Arial"/>
          <w:sz w:val="18"/>
          <w:szCs w:val="18"/>
          <w:color w:val="auto"/>
        </w:rPr>
        <w:t>Comcast of Philadelphia, LLC</w:t>
      </w:r>
    </w:p>
    <w:p>
      <w:pPr>
        <w:spacing w:after="0"/>
        <w:rPr>
          <w:sz w:val="20"/>
          <w:szCs w:val="20"/>
          <w:color w:val="auto"/>
        </w:rPr>
      </w:pPr>
      <w:r>
        <w:rPr>
          <w:rFonts w:ascii="Arial" w:cs="Arial" w:eastAsia="Arial" w:hAnsi="Arial"/>
          <w:sz w:val="18"/>
          <w:szCs w:val="18"/>
          <w:color w:val="auto"/>
        </w:rPr>
        <w:t>Comcast of Plainfield,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Potomac,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Richmond,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Sacramento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Sacramento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Sacramento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San Joaquin,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San Leandro,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Santa Cruz,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Santa Maria,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Shelby,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Sierra Valleys,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Chicago,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Dade,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Florida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Florida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Jersey,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Comcast of Southeast Pennsylvania, LLC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Southern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Southern Illinois,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Southern Mississippi,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of Southern New England,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of Southern Tennessee,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Spokane,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St. Paul,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Sterling Heights,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Tacoma,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Tallahassee,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Taylor,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Tennessee,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the District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District,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Gulf Plains,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Meadowlands,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Tualatin Valley,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Tupelo,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Twin Cities,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Utah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Utah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Utica,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Warren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Warren,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Wasatch,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w:t>
      </w:r>
    </w:p>
    <w:p>
      <w:pPr>
        <w:sectPr>
          <w:pgSz w:w="11900" w:h="16838" w:orient="portrait"/>
          <w:cols w:equalWidth="0" w:num="2">
            <w:col w:w="7180" w:space="720"/>
            <w:col w:w="2319"/>
          </w:cols>
          <w:pgMar w:left="240" w:top="276" w:right="1440" w:bottom="1440" w:gutter="0" w:footer="0" w:header="0"/>
          <w:type w:val="continuous"/>
        </w:sectPr>
      </w:pPr>
    </w:p>
    <w:bookmarkStart w:id="269" w:name="page270"/>
    <w:bookmarkEnd w:id="269"/>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Comcast of Washington I, Inc.</w:t>
      </w:r>
    </w:p>
    <w:p>
      <w:pPr>
        <w:spacing w:after="0"/>
        <w:rPr>
          <w:sz w:val="20"/>
          <w:szCs w:val="20"/>
          <w:color w:val="auto"/>
        </w:rPr>
      </w:pPr>
      <w:r>
        <w:rPr>
          <w:rFonts w:ascii="Arial" w:cs="Arial" w:eastAsia="Arial" w:hAnsi="Arial"/>
          <w:sz w:val="18"/>
          <w:szCs w:val="18"/>
          <w:color w:val="auto"/>
        </w:rPr>
        <w:t>Comcast of Washington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Washington/Oregon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Washington/Oregon SMATV I,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of Washington/Oregon SMATV II,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West Florida,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Western Colorado,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Wildwood,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Wisconsin,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Wyoming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Wyoming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Wyoming,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Palm Beach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PC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Arizona,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Arkansas,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Central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Colorado,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D.C.,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Delaware,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Georgia,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Idaho,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Illinois,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Iowa,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Kansas,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Kentucky,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Louisiana,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Maryland,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Massachusetts,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Minnesota,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Mississippi,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Montana,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Nebraska,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Nevada,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New Hampshire,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New Mexico,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80" w:space="720"/>
            <w:col w:w="2319"/>
          </w:cols>
          <w:pgMar w:left="240" w:top="275" w:right="1440" w:bottom="1440" w:gutter="0" w:footer="0" w:header="0"/>
          <w:type w:val="continuous"/>
        </w:sectPr>
      </w:pPr>
    </w:p>
    <w:bookmarkStart w:id="270" w:name="page271"/>
    <w:bookmarkEnd w:id="270"/>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Comcast Phone of New York, LLC</w:t>
      </w:r>
    </w:p>
    <w:p>
      <w:pPr>
        <w:spacing w:after="0"/>
        <w:rPr>
          <w:sz w:val="20"/>
          <w:szCs w:val="20"/>
          <w:color w:val="auto"/>
        </w:rPr>
      </w:pPr>
      <w:r>
        <w:rPr>
          <w:rFonts w:ascii="Arial" w:cs="Arial" w:eastAsia="Arial" w:hAnsi="Arial"/>
          <w:sz w:val="18"/>
          <w:szCs w:val="18"/>
          <w:color w:val="auto"/>
        </w:rPr>
        <w:t>Comcast Phone of North Carolina,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North Dakota,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Northern Maryland,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Northern 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Ohio,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Oklahoma,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Oregon,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Pennsylvania,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Rhode Island,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South Carolina,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South Dakota,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Tennessee,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Texas,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Utah,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Vermont,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Washington,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Wisconsin,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PM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Primestar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Publishing Holdings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QCOM TV Partners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QIH,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QVC,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Real Estate Holdings of Alabama,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Regional Programming,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SC Investment,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SCH Delaware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Holding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Spectrum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NE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SportsNet New England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SportsNet Philadelphia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Spotlight Charter Cable Advertising,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Spotlight JV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Spotlight,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DVR,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MOT,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PAN,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80" w:space="720"/>
            <w:col w:w="2319"/>
          </w:cols>
          <w:pgMar w:left="240" w:top="275" w:right="1440" w:bottom="1440" w:gutter="0" w:footer="0" w:header="0"/>
          <w:type w:val="continuous"/>
        </w:sectPr>
      </w:pPr>
    </w:p>
    <w:bookmarkStart w:id="271" w:name="page272"/>
    <w:bookmarkEnd w:id="271"/>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Comcast STB Software PM, LLC</w:t>
      </w:r>
    </w:p>
    <w:p>
      <w:pPr>
        <w:spacing w:after="0"/>
        <w:rPr>
          <w:sz w:val="20"/>
          <w:szCs w:val="20"/>
          <w:color w:val="auto"/>
        </w:rPr>
      </w:pPr>
      <w:r>
        <w:rPr>
          <w:rFonts w:ascii="Arial" w:cs="Arial" w:eastAsia="Arial" w:hAnsi="Arial"/>
          <w:sz w:val="18"/>
          <w:szCs w:val="18"/>
          <w:color w:val="auto"/>
        </w:rPr>
        <w:t>Comcast STB Software TW,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Studio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Support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TCP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TCP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of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of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of Delaware,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of Georgia,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of Indiana,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Telephony Communications of Pennsylvania,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Services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Services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TKI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II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Venezuela PCS,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Ventures,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VF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Visible World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ME02,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ME04,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ME05,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ME16,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ME19,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ME22,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ME26,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ME28,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WCS Merger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Wireless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ZB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Comcast/Bright House Networks Detroit Cable Advertising,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Comcast/Mediacom Minneapolis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Comcast/TWC Charleston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Comcast/TWC Enterprise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Comcast/TWC Franklin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Comcast/TWC Hilton Head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Comcast/TWC Idaho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Comcast/TWC Littleton/Plymouth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Comcast/TWC New Hampshire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Comcast/TWC Saranac Lake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Comcast-Spectacor Foundation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ectPr>
          <w:pgSz w:w="11900" w:h="16838" w:orient="portrait"/>
          <w:cols w:equalWidth="0" w:num="2">
            <w:col w:w="7180" w:space="720"/>
            <w:col w:w="2319"/>
          </w:cols>
          <w:pgMar w:left="240" w:top="275" w:right="1440" w:bottom="1440" w:gutter="0" w:footer="0" w:header="0"/>
          <w:type w:val="continuous"/>
        </w:sectPr>
      </w:pPr>
    </w:p>
    <w:bookmarkStart w:id="272" w:name="page273"/>
    <w:bookmarkEnd w:id="272"/>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6" w:right="1440" w:bottom="1440" w:gutter="0" w:footer="0" w:header="0"/>
        </w:sectPr>
      </w:pPr>
    </w:p>
    <w:p>
      <w:pPr>
        <w:spacing w:after="0"/>
        <w:rPr>
          <w:sz w:val="20"/>
          <w:szCs w:val="20"/>
          <w:color w:val="auto"/>
        </w:rPr>
      </w:pPr>
      <w:r>
        <w:rPr>
          <w:rFonts w:ascii="Arial" w:cs="Arial" w:eastAsia="Arial" w:hAnsi="Arial"/>
          <w:sz w:val="18"/>
          <w:szCs w:val="18"/>
          <w:color w:val="auto"/>
        </w:rPr>
        <w:t>ComCon Production Services I, Inc.</w:t>
      </w:r>
    </w:p>
    <w:p>
      <w:pPr>
        <w:spacing w:after="0"/>
        <w:rPr>
          <w:sz w:val="20"/>
          <w:szCs w:val="20"/>
          <w:color w:val="auto"/>
        </w:rPr>
      </w:pPr>
      <w:r>
        <w:rPr>
          <w:rFonts w:ascii="Arial" w:cs="Arial" w:eastAsia="Arial" w:hAnsi="Arial"/>
          <w:sz w:val="16"/>
          <w:szCs w:val="16"/>
          <w:color w:val="auto"/>
        </w:rPr>
        <w:t>Command Cable of Eastern Illinois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Community Realty,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Conditional Access Licensing,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Australia Programming,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Cablevision Asia Pacific,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Continental Programming Australia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Continental Telecommunications Corp. of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Teleport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CSLP London,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CSLP Phase One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CSLP Phase One Investor,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CSLP Phase One Operator,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CSLP Soccer,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CSNNE Partner,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CTI Towers,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CVC Keep Well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Digiventures,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 Rutherford Realty,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Elbert County Cable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Entertainment Systems,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Resources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Erdos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FAB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Feedback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Television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Flyers Atlantic City Youth Hockey Club,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Flyers Skate Zone,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 Flags Cable TV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 Flags Cablevision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FPS Rink,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FPS Rink,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FPS Urban Renewal,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Front Row Marketing Services Canada,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Front Row Marketing Services,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Garden State Telecommunications,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Gateway/Jones Communications,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Genacast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(NEC), d.o.o.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Facility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Facility Management,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of Texas,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Pico Holdings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Pico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GlobalCom Holding Company,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w:t>
      </w:r>
    </w:p>
    <w:p>
      <w:pPr>
        <w:spacing w:after="0"/>
        <w:rPr>
          <w:sz w:val="20"/>
          <w:szCs w:val="20"/>
          <w:color w:val="auto"/>
        </w:rPr>
      </w:pPr>
      <w:r>
        <w:rPr>
          <w:rFonts w:ascii="Arial" w:cs="Arial" w:eastAsia="Arial" w:hAnsi="Arial"/>
          <w:sz w:val="18"/>
          <w:szCs w:val="18"/>
          <w:color w:val="auto"/>
        </w:rPr>
        <w:t>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Croatia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80" w:space="720"/>
            <w:col w:w="2319"/>
          </w:cols>
          <w:pgMar w:left="240" w:top="276" w:right="1440" w:bottom="1440" w:gutter="0" w:footer="0" w:header="0"/>
          <w:type w:val="continuous"/>
        </w:sectPr>
      </w:pPr>
    </w:p>
    <w:bookmarkStart w:id="273" w:name="page274"/>
    <w:bookmarkEnd w:id="273"/>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Greater Boston Cable Advertising</w:t>
      </w:r>
    </w:p>
    <w:p>
      <w:pPr>
        <w:spacing w:after="0"/>
        <w:rPr>
          <w:sz w:val="20"/>
          <w:szCs w:val="20"/>
          <w:color w:val="auto"/>
        </w:rPr>
      </w:pPr>
      <w:r>
        <w:rPr>
          <w:rFonts w:ascii="Arial" w:cs="Arial" w:eastAsia="Arial" w:hAnsi="Arial"/>
          <w:sz w:val="18"/>
          <w:szCs w:val="18"/>
          <w:color w:val="auto"/>
        </w:rPr>
        <w:t>Guide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GuideWorks,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Headend In The Sky,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Heritage Cablevision of Massachusetts,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Heritage Cablevision of South East Massachusetts,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Home Sports Network,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IEC License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Demand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Interactive Technology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Intermedia Cable Investors,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Iowa Hockey,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Cable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Cable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Intercable Funds,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Programming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Spacelink Cable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Telecommunications of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LCNI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Australia Group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Australia Investments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Australia,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Clearview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Clearview,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Delaware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Oaks,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Telephony,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Lenfest Videopole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City Funding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Property 18th &amp; Arch,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Ventures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Civic Centre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Civic Centre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LPT 18th &amp; Arch Street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LPT 18th &amp; Arch Street Limited,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LVO Cable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 H Lightnet,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MarketLink Indianapolis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MediaOne Brasil Comércio e Participações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Mile Hi Cable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MOC Holdco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MOC Holdco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Cable Network,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States General Partner,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States Limited Partner,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w:t>
      </w: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7180" w:space="720"/>
            <w:col w:w="2319"/>
          </w:cols>
          <w:pgMar w:left="240" w:top="275" w:right="1440" w:bottom="1440" w:gutter="0" w:footer="0" w:header="0"/>
          <w:type w:val="continuous"/>
        </w:sectPr>
      </w:pPr>
    </w:p>
    <w:bookmarkStart w:id="274" w:name="page275"/>
    <w:bookmarkEnd w:id="274"/>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Mt. Clemens Cable TV Investors, LLC</w:t>
      </w:r>
    </w:p>
    <w:p>
      <w:pPr>
        <w:spacing w:after="0"/>
        <w:rPr>
          <w:sz w:val="20"/>
          <w:szCs w:val="20"/>
          <w:color w:val="auto"/>
        </w:rPr>
      </w:pPr>
      <w:r>
        <w:rPr>
          <w:rFonts w:ascii="Arial" w:cs="Arial" w:eastAsia="Arial" w:hAnsi="Arial"/>
          <w:sz w:val="18"/>
          <w:szCs w:val="18"/>
          <w:color w:val="auto"/>
        </w:rPr>
        <w:t>National Cable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Digital Television Center,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NDTC Technologies (India)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NDTC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England Microwave,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Global Telecom,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Hope Cable TV,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Next Pursuit,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Northwest Illinois Cable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NROCA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Belmont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Fanfare,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I,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Ovations Food Services of Oklahoma City,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of Texas,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Ovations Food Services of Washington,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d.o.o.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Hotel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Ontario Food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Ovations Ontario Food Services,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Pacific Northwest Interconnect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Paciolan,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Palm Beach Group Cable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Parnassos Communications,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Parnassos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Patron Solutions,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Patron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Pattison Development,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Pattison Realty,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Flyers Enterprises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Flyers,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Flyers,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Minor League Hockey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Minor League Hockey,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Plaxo,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Preview Magazine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Prime Telecom Potomac,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QCOM TV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Satellite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Saturn Cable TV,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48,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55,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Selkirk Communications (Delaware),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Selkirk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w:t>
      </w: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Croatia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ectPr>
          <w:pgSz w:w="11900" w:h="16838" w:orient="portrait"/>
          <w:cols w:equalWidth="0" w:num="2">
            <w:col w:w="7180" w:space="720"/>
            <w:col w:w="2319"/>
          </w:cols>
          <w:pgMar w:left="240" w:top="275" w:right="1440" w:bottom="1440" w:gutter="0" w:footer="0" w:header="0"/>
          <w:type w:val="continuous"/>
        </w:sectPr>
      </w:pPr>
    </w:p>
    <w:bookmarkStart w:id="275" w:name="page276"/>
    <w:bookmarkEnd w:id="275"/>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Southwest Washington Cable, Inc.</w:t>
      </w:r>
    </w:p>
    <w:p>
      <w:pPr>
        <w:spacing w:after="0"/>
        <w:rPr>
          <w:sz w:val="20"/>
          <w:szCs w:val="20"/>
          <w:color w:val="auto"/>
        </w:rPr>
      </w:pPr>
      <w:r>
        <w:rPr>
          <w:rFonts w:ascii="Arial" w:cs="Arial" w:eastAsia="Arial" w:hAnsi="Arial"/>
          <w:sz w:val="16"/>
          <w:szCs w:val="16"/>
          <w:color w:val="auto"/>
        </w:rPr>
        <w:t>Spectacor Adjoining Real Estate New Arena,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Spectrum Arena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Spot Buy Spot,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Tele-Communications,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Stage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Storer Cable TV of Radnor,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Storer Disbursements,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Strata Marketing,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StreamSage,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Taurus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Adelphia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Atlantic,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Bay,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TCI Cablevision of California Century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Kentucky,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Massachusetts,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Michigan,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Minnesota,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Nebraska,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North Central Kentucky,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Sierra Vista,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South Dakota,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St. Bernard,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Vermont,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California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Central,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Command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IX,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VI,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VII,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VIII,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CSC XI,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Evangola,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Falcon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80" w:space="720"/>
            <w:col w:w="2319"/>
          </w:cols>
          <w:pgMar w:left="240" w:top="275" w:right="1440" w:bottom="1440" w:gutter="0" w:footer="0" w:header="0"/>
          <w:type w:val="continuous"/>
        </w:sectPr>
      </w:pPr>
    </w:p>
    <w:bookmarkStart w:id="276" w:name="page277"/>
    <w:bookmarkEnd w:id="276"/>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rPr>
          <w:sz w:val="20"/>
          <w:szCs w:val="20"/>
          <w:color w:val="auto"/>
        </w:rPr>
      </w:pPr>
      <w:r>
        <w:rPr>
          <w:rFonts w:ascii="Arial" w:cs="Arial" w:eastAsia="Arial" w:hAnsi="Arial"/>
          <w:sz w:val="18"/>
          <w:szCs w:val="18"/>
          <w:color w:val="auto"/>
        </w:rPr>
        <w:t>TCI FCLP Alabama, LLC</w:t>
      </w:r>
    </w:p>
    <w:p>
      <w:pPr>
        <w:spacing w:after="0"/>
        <w:rPr>
          <w:sz w:val="20"/>
          <w:szCs w:val="20"/>
          <w:color w:val="auto"/>
        </w:rPr>
      </w:pPr>
      <w:r>
        <w:rPr>
          <w:rFonts w:ascii="Arial" w:cs="Arial" w:eastAsia="Arial" w:hAnsi="Arial"/>
          <w:sz w:val="18"/>
          <w:szCs w:val="18"/>
          <w:color w:val="auto"/>
        </w:rPr>
        <w:t>TCI FCLP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Northern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Northwest,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Oregon,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Redding,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FCLP Wenatchee,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Gilbert Uplink,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Great Lakes,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Hits At Home,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IL-Holdings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IL-Holdings,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Internet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Internet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IP-VI,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IT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Lake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Lake,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Lenfest,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Magma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Materials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Michigan,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Microwave,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TCI National Digital Television Center - Hong Kong,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TCI New York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Northeast,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Council Bluffs,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Greenwich,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Indiana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Indiana Insgt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Lee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Maine,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Missouri,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North Dakota,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Overland Park,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Paterson,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South Dakota,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Southern Minnesota,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Springfield,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Watertown,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Ohio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Pacific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Pennsylvania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Programming Holding Company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Realty,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South Carolina IP-I,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80" w:space="720"/>
            <w:col w:w="2319"/>
          </w:cols>
          <w:pgMar w:left="240" w:top="275" w:right="1440" w:bottom="1440" w:gutter="0" w:footer="0" w:header="0"/>
          <w:type w:val="continuous"/>
        </w:sectPr>
      </w:pPr>
    </w:p>
    <w:bookmarkStart w:id="277" w:name="page278"/>
    <w:bookmarkEnd w:id="277"/>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6" w:right="1440" w:bottom="1440" w:gutter="0" w:footer="0" w:header="0"/>
        </w:sectPr>
      </w:pPr>
    </w:p>
    <w:p>
      <w:pPr>
        <w:spacing w:after="0"/>
        <w:rPr>
          <w:sz w:val="20"/>
          <w:szCs w:val="20"/>
          <w:color w:val="auto"/>
        </w:rPr>
      </w:pPr>
      <w:r>
        <w:rPr>
          <w:rFonts w:ascii="Arial" w:cs="Arial" w:eastAsia="Arial" w:hAnsi="Arial"/>
          <w:sz w:val="18"/>
          <w:szCs w:val="18"/>
          <w:color w:val="auto"/>
        </w:rPr>
        <w:t>TCI Southeast, Inc.</w:t>
      </w:r>
    </w:p>
    <w:p>
      <w:pPr>
        <w:spacing w:after="0"/>
        <w:rPr>
          <w:sz w:val="20"/>
          <w:szCs w:val="20"/>
          <w:color w:val="auto"/>
        </w:rPr>
      </w:pPr>
      <w:r>
        <w:rPr>
          <w:rFonts w:ascii="Arial" w:cs="Arial" w:eastAsia="Arial" w:hAnsi="Arial"/>
          <w:sz w:val="18"/>
          <w:szCs w:val="18"/>
          <w:color w:val="auto"/>
        </w:rPr>
        <w:t>TCI Spartanburg IP-IV,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Starz,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Technology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Telecom,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Texas Cable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Texas Cable,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TKR of Houston,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TKR of Metro Dade,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TKR of Southeast Texas,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TKR of Wyoming,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USC,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Washington Associates,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West,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TCI/CA Acquisition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TCI/CI Merger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Data Transport,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of Chicago,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of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of Michigan,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of South Chicago,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 X*PRESS,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TCID-Commercial Music,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TCP Security Company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Tele-Communications of Colorado,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Televents Group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Televents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Televents of Colorado,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Televents of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Televents of Powder River,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Televents of Wyoming,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Tempo DBS,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Tempo Development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TEMPO Television,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ThaTrunk,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Comcast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thePlatform for 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thePlatform for Media,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thePlatform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thePlatform,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Tribune-United Cable of Oakland County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TVWorks,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 S West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UACC Midwest Insgt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7180" w:space="720"/>
            <w:col w:w="2319"/>
          </w:cols>
          <w:pgMar w:left="240" w:top="276" w:right="1440" w:bottom="1440" w:gutter="0" w:footer="0" w:header="0"/>
          <w:type w:val="continuous"/>
        </w:sectPr>
      </w:pPr>
    </w:p>
    <w:bookmarkStart w:id="278" w:name="page279"/>
    <w:bookmarkEnd w:id="278"/>
    <w:p>
      <w:pPr>
        <w:spacing w:after="0"/>
        <w:rPr>
          <w:sz w:val="20"/>
          <w:szCs w:val="20"/>
          <w:color w:val="auto"/>
        </w:rPr>
      </w:pPr>
      <w:r>
        <w:rPr>
          <w:rFonts w:ascii="Arial" w:cs="Arial" w:eastAsia="Arial" w:hAnsi="Arial"/>
          <w:sz w:val="12"/>
          <w:szCs w:val="12"/>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Org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-173355</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180" w:space="720"/>
            <w:col w:w="2319"/>
          </w:cols>
          <w:pgMar w:left="240" w:top="275" w:right="1440" w:bottom="1440" w:gutter="0" w:footer="0" w:header="0"/>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UA-Columbia Cablevision of Massachusetts,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UATC Merger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UCTC LP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UCTC of Los Angeles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Artists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Artists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Cable Investment of Baltimore,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Cable Television Corporation of Michigan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Cable Television of Baldwin Park,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Cable Television of Los Angeles,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Cable Television of Oakland County,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Cable Television of Scottsdale,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Cable Television Services of Colorado,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of Oakland,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WEST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UTI Purchase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Vehix,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Ventures Merger Subsidiary,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Versus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Tele-Communications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Tele-Communications,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NY Cablevision,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Range Insurance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Satellite 2,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Cable Holding,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WestMarc Realty,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Westmoreland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Wilmington Cellular Telephone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WLT Systems,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Xidio,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w:t>
      </w: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7180" w:space="720"/>
            <w:col w:w="2319"/>
          </w:cols>
          <w:pgMar w:left="240" w:top="275" w:right="1440" w:bottom="1440" w:gutter="0" w:footer="0" w:header="0"/>
          <w:type w:val="continuous"/>
        </w:sectPr>
      </w:pPr>
    </w:p>
    <w:bookmarkStart w:id="279" w:name="page280"/>
    <w:bookmarkEnd w:id="279"/>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700" w:type="dxa"/>
            <w:vAlign w:val="bottom"/>
            <w:gridSpan w:val="3"/>
          </w:tcPr>
          <w:p>
            <w:pPr>
              <w:ind w:left="720"/>
              <w:spacing w:after="0"/>
              <w:rPr>
                <w:sz w:val="20"/>
                <w:szCs w:val="20"/>
                <w:color w:val="auto"/>
              </w:rPr>
            </w:pPr>
            <w:r>
              <w:rPr>
                <w:rFonts w:ascii="Arial" w:cs="Arial" w:eastAsia="Arial" w:hAnsi="Arial"/>
                <w:sz w:val="18"/>
                <w:szCs w:val="18"/>
                <w:b w:val="1"/>
                <w:bCs w:val="1"/>
                <w:color w:val="auto"/>
              </w:rPr>
              <w:t>NBCUniversal Subsidiaries</w:t>
            </w:r>
          </w:p>
        </w:tc>
      </w:tr>
      <w:tr>
        <w:trPr>
          <w:trHeight w:val="353"/>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 NAME</w:t>
            </w:r>
          </w:p>
        </w:tc>
        <w:tc>
          <w:tcPr>
            <w:tcW w:w="2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w:t>
            </w:r>
          </w:p>
        </w:tc>
        <w:tc>
          <w:tcPr>
            <w:tcW w:w="1560" w:type="dxa"/>
            <w:vAlign w:val="bottom"/>
          </w:tcPr>
          <w:p>
            <w:pPr>
              <w:spacing w:after="0"/>
              <w:rPr>
                <w:sz w:val="24"/>
                <w:szCs w:val="24"/>
                <w:color w:val="auto"/>
              </w:rPr>
            </w:pPr>
          </w:p>
        </w:tc>
      </w:tr>
      <w:tr>
        <w:trPr>
          <w:trHeight w:val="201"/>
        </w:trPr>
        <w:tc>
          <w:tcPr>
            <w:tcW w:w="1040" w:type="dxa"/>
            <w:vAlign w:val="bottom"/>
          </w:tcPr>
          <w:p>
            <w:pPr>
              <w:spacing w:after="0" w:line="201" w:lineRule="exact"/>
              <w:rPr>
                <w:sz w:val="20"/>
                <w:szCs w:val="20"/>
                <w:color w:val="auto"/>
              </w:rPr>
            </w:pPr>
            <w:r>
              <w:rPr>
                <w:rFonts w:ascii="Arial" w:cs="Arial" w:eastAsia="Arial" w:hAnsi="Arial"/>
                <w:sz w:val="18"/>
                <w:szCs w:val="18"/>
                <w:color w:val="auto"/>
                <w:w w:val="98"/>
              </w:rPr>
              <w:t>&gt;NBBC, LLC</w:t>
            </w:r>
          </w:p>
        </w:tc>
        <w:tc>
          <w:tcPr>
            <w:tcW w:w="29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1440 Productions UK Limited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29 Stories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3232 Productions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3BG Holdings Company II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3BG Holdings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AAB Productions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Acume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Ako Productions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Alli, Alliance of Action Sports,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Allstar Stats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New York</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Antarctic Films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Asia NBC (ANBC) Services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B.E Musical Limited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Kingdom – England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Banderole Development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Barricade Productions Limited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Barter Music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Battleship Australia Pty Ltd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Australia – Victoria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Battleship Delta Investments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Louisiana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Battleship Delta Productions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Louisiana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Battleship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Beach City Productions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Beautiful Day Productions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Bell Tower Productions Limited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Belmont Productions Limited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Big Green Productions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Big Minyan Films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Connecticut</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Billy Broadway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Billy London Limited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Kingdom – England</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Billy National Tour General Partner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Billy National Tour II General Partner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Billy National Tour II LP</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Billy National Tour LP</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Billy Toronto Limited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Birmingham Broadcasting (WVTM TV)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Alabama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BJD Films Limited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BJD Films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Blank Pictures Limited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Bleecker Production Services Limited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Blenheim Films Limited</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0"/>
              </w:rPr>
              <w:t>United Kingdom – England &amp; Wales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Bobwell Productions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Bones Productions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Bourne Film Productions Inc.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Bourne Four Productions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Bravo Holding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Bravo Media LLC</w:t>
            </w:r>
          </w:p>
        </w:tc>
        <w:tc>
          <w:tcPr>
            <w:tcW w:w="2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New York</w:t>
            </w: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Bravo Media Productions LLC</w:t>
            </w:r>
          </w:p>
        </w:tc>
        <w:tc>
          <w:tcPr>
            <w:tcW w:w="210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 Delaware</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0" w:name="page281"/>
    <w:bookmarkEnd w:id="280"/>
    <w:p>
      <w:pPr>
        <w:spacing w:after="0"/>
        <w:rPr>
          <w:sz w:val="20"/>
          <w:szCs w:val="20"/>
          <w:color w:val="auto"/>
        </w:rPr>
      </w:pPr>
      <w:r>
        <w:rPr>
          <w:rFonts w:ascii="Arial" w:cs="Arial" w:eastAsia="Arial" w:hAnsi="Arial"/>
          <w:sz w:val="18"/>
          <w:szCs w:val="18"/>
          <w:color w:val="auto"/>
        </w:rPr>
        <w:t>Bravo Peacock Music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Bravo Platinum Hit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Bring It On The Musical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Broadway Legends,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Bromley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News (Asia)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News (Europe)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Holding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Sports Southeast,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CACO Holding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Canciones de Mun2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Carnival (Charles Dickens)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Carnival (Philanthropist)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Carnival Film &amp; Television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Carnival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Centenary Canada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Film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Chase Team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Chase Team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Children’s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Chiller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Chocolate Media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Cirque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Clara Film Distribution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Advertising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International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World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Worldwide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CNBC.com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CNBC.com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CNBC/MSNBC,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Amateur Sports,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Children’s Network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Comcast Entertainment Productions,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Hockey,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Horror Entertainment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MO Cable News,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NECN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Programming Management,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PSM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RL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Canada – Nova Scotia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China (Mainland)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5340" w:space="720"/>
            <w:col w:w="4159"/>
          </w:cols>
          <w:pgMar w:left="240" w:top="280" w:right="1440"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t>Comcast Shared Services,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Comcast Sports Management Services,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NY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Southwest,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SportsNet Bay Area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Chicago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Chicago,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LP,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New England,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Northwest,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Philadelphia,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Compound Films (US)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Compound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Corpus Vivos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 Entertainment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Crater Lake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Crazy Hill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Creative Park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Creative Screen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Creative Writing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Crime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DailyCandy Commerce,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DailyCandy,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Dark Forest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Dark Mirror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Definitely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 Mar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Delamere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Delgany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Despereaux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DFA Deutsche Fersehnachrichten Agentur GmbH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Discos Telemundo,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Discover a 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DM Attractions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DM2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DM2 UK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Dotcom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3000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Drisco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Drunken Pig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Dylan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Europe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Hong Kong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ectPr>
          <w:pgSz w:w="11900" w:h="16838" w:orient="portrait"/>
          <w:cols w:equalWidth="0" w:num="2">
            <w:col w:w="5340" w:space="720"/>
            <w:col w:w="4159"/>
          </w:cols>
          <w:pgMar w:left="240" w:top="280" w:right="1440" w:bottom="1440" w:gutter="0" w:footer="0" w:header="0"/>
        </w:sectPr>
      </w:pPr>
    </w:p>
    <w:bookmarkStart w:id="282" w:name="page283"/>
    <w:bookmarkEnd w:id="282"/>
    <w:p>
      <w:pPr>
        <w:spacing w:after="0"/>
        <w:rPr>
          <w:sz w:val="20"/>
          <w:szCs w:val="20"/>
          <w:color w:val="auto"/>
        </w:rPr>
      </w:pPr>
      <w:r>
        <w:rPr>
          <w:rFonts w:ascii="Arial" w:cs="Arial" w:eastAsia="Arial" w:hAnsi="Arial"/>
          <w:sz w:val="16"/>
          <w:szCs w:val="16"/>
          <w:color w:val="auto"/>
        </w:rPr>
        <w:t>E! Entertainment Television International Holdings,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Networks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Networks Sales and Distribution,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Earth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Ebb Tide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Estrella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Estudios Mexicanos Telemundo,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ETV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Evening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Evergreen Pictures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Exclamation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Exclamation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Exhibition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Exmont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Exposure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Fairest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Fandango Marketing,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Fandango,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Fantail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 North Entertainment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Farraday Films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Farraday Films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Farraday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Fast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Fast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Fastball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FF5 Productions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FF5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FF6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Film Distribution and Service S.C.R.L.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Filmmaker Production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Flagship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Flanimals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Flock of Peacocks Music JV/ASCAP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FNV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 Features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 Features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 Features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 Features of Puerto Rico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Focus Features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Food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Games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FP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Friedgold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Friedgold Talent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Rhode Island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Louisiana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Puerto Rico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5340" w:space="720"/>
            <w:col w:w="4159"/>
          </w:cols>
          <w:pgMar w:left="240" w:top="280" w:right="1440"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t>Frigate Films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G4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G4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Geneon Music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Geneon Universal Entertainment Japan,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GEP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Get Him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Getting Away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GIGA Television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Gilmore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Golfcolorado.com,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GolfNow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Golfnow,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 Machine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 Machine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Gramercy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Twig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Hadrian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Happy Hours,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Harlan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Health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Healthology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Heartless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Heist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Hellboy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Hilltop Coffee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Hilltop Hot Dogs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Hilltop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Hop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Regional Sports Network,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Regional Sports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SportsNet Finance,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SportsNet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Husdawg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Hyde Park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Ice Harvest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Icebreaker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Theft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Theft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IFH-U Holding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Illumination Mac Guff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Imagine Films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Incuborn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Infobonn Text-, Informations- und Pressebüro Verwaltungsgesellschaft mbH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Inheritance Pictures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Inittowinit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Intelligence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Interactive Business News Video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5380" w:space="680"/>
            <w:col w:w="4159"/>
          </w:cols>
          <w:pgMar w:left="240" w:top="280" w:right="1440"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t>Interactive Desktop Video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Interlagos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Media Distribution,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(Caymans)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International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Parenting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iVillage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Jewel U.S.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Belsen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Kingsley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Knightly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Knowledgeweb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KNTV License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KNTV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Lacrosse Films (US)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Laurel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Lauren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Lava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 Mins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Let It Rain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Lexi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Lone Survivor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Branch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Lorax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Love Minky Television Development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Lucky Cricket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LX Networks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Mammoth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Marital Assets,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Matchbox Pictures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Matchbox Productions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MCA Toys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MCA Toys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McPhee Farmyard Productions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Memory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Merchandising Company of America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Merry Men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MFV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Film Distribution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Minaret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Monkey Kingdom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Monkey Ventures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MPD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MSNBC Cable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 – New South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 – Victoria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5340" w:space="720"/>
            <w:col w:w="4159"/>
          </w:cols>
          <w:pgMar w:left="240" w:top="280" w:right="1440"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MSNBC Canada Distribution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MSNBC Marks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MSNBC Music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MSNBC Super Desk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Muldiss Darton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Mun2 Television Music Publishing,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Mun2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Munchkinland Productions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Munich UNIVERSAL Films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Music of Syfy Channel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Music of USA Cable Entertainment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Music of USA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Musica Telemundo,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Must See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 Sports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NATV Sales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NATV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(UK)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Cable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Desktop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Digital Health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Digital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Facilities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Interactive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Archives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Bureaus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Channel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Digital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Overseas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News Worldwide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Olympics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Olympics Planning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Pageants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Palm Beach Investment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Palm Beach Investment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Program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Records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Shop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Sports Network,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Sports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Stations Management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Stations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Storage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Sub (WCMH),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Northern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5340" w:space="720"/>
            <w:col w:w="4159"/>
          </w:cols>
          <w:pgMar w:left="240" w:top="280" w:right="1440"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t>NBC Subsidiary (KNBC-TV)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NBC Subsidiary (WCAU-TV),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Subsidiary (WMAQ-TV)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Subsidiary (WRC-TV)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Subsidiary (WTVJ-TV)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Syndication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Telemundo License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Telemundo License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Telemundo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Television Investments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TV Stations Sales &amp; Marketing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(Singapore) Holdings I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(Singapore) Holdings II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Digital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Australia (Services)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España,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Italia –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Japan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Latin 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Global Networks UK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NBC Universal International Television Distribution Germany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NBC Universal International Television Distribution Singapore Pte.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NBC Universal Television Japan,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Television Studio Digital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Weather Plus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NBC/Hearst-Argyle Syndication,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NBC/IJV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NBC-A&amp;E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NBC-NPN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NBC-Rainbow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Acquisition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Chiller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Coop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Digital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Dutch Holding (Bermuda)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Dutch Holding (US)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Emerging Networks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Global Networks Asia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Global Networks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Global Networks-2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New Site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World-wide Coöperatief U.A.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ectPr>
          <w:pgSz w:w="11900" w:h="16838" w:orient="portrait"/>
          <w:cols w:equalWidth="0" w:num="2">
            <w:col w:w="5340" w:space="720"/>
            <w:col w:w="4159"/>
          </w:cols>
          <w:pgMar w:left="240" w:top="280" w:right="1440"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NBCUniversal CSG Limited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NBCUniversal Digital Entertainment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NBCUniversal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International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 – England &amp;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-205105</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ectPr>
          <w:pgSz w:w="11900" w:h="16838" w:orient="portrait"/>
          <w:cols w:equalWidth="0" w:num="2">
            <w:col w:w="5340" w:space="720"/>
            <w:col w:w="4159"/>
          </w:cols>
          <w:pgMar w:left="240" w:top="280" w:right="1440" w:bottom="1440" w:gutter="0" w:footer="0" w:header="0"/>
        </w:sectPr>
      </w:pPr>
    </w:p>
    <w:p>
      <w:pPr>
        <w:spacing w:after="0"/>
        <w:rPr>
          <w:sz w:val="20"/>
          <w:szCs w:val="20"/>
          <w:color w:val="auto"/>
        </w:rPr>
      </w:pPr>
      <w:r>
        <w:rPr>
          <w:rFonts w:ascii="Arial" w:cs="Arial" w:eastAsia="Arial" w:hAnsi="Arial"/>
          <w:sz w:val="16"/>
          <w:szCs w:val="16"/>
          <w:color w:val="auto"/>
        </w:rPr>
        <w:t>NBCUniversal International Television Distribution South Africa (Proprietary)</w:t>
      </w:r>
    </w:p>
    <w:p>
      <w:pPr>
        <w:sectPr>
          <w:pgSz w:w="11900" w:h="16838" w:orient="portrait"/>
          <w:cols w:equalWidth="0" w:num="1">
            <w:col w:w="10219"/>
          </w:cols>
          <w:pgMar w:left="240" w:top="280" w:right="1440" w:bottom="1440" w:gutter="0" w:footer="0" w:header="0"/>
          <w:type w:val="continuous"/>
        </w:sectPr>
      </w:pP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NBCUniversal Media Distribution Services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NBCUniversal Networks International Brasil Programadora 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NBCUniversal Production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Real Estate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Receivables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NBC-VVTV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NBC-VVTV2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NBC-West Coast Holding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NBC-West Coast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NBC-XFL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England Cable News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Mexico Lighting &amp; Grip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NewCo Cable,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Newsvine,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New-U Pictures Facilities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New-U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NF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Nicholas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American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Northbridge Programming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Northern Entertainment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Nueva Granada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Nuevo Mundo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NWI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O2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O2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Online Games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Open 4 Business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Original Content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Outlet Broadcasting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Outlet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Oxford House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Oxford Place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Oxygen Cable,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Oxygen Media Interactive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Oxygen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Oxygen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OZ Films Limited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United States – Massachusetts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Washington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Rhode Island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w:t>
      </w:r>
    </w:p>
    <w:p>
      <w:pPr>
        <w:sectPr>
          <w:pgSz w:w="11900" w:h="16838" w:orient="portrait"/>
          <w:cols w:equalWidth="0" w:num="2">
            <w:col w:w="5340" w:space="720"/>
            <w:col w:w="4159"/>
          </w:cols>
          <w:pgMar w:left="240" w:top="280" w:right="1440" w:bottom="1440" w:gutter="0" w:footer="0" w:header="0"/>
          <w:type w:val="continuous"/>
        </w:sectPr>
      </w:pPr>
    </w:p>
    <w:bookmarkStart w:id="288" w:name="page289"/>
    <w:bookmarkEnd w:id="288"/>
    <w:p>
      <w:pPr>
        <w:spacing w:after="0"/>
        <w:rPr>
          <w:sz w:val="20"/>
          <w:szCs w:val="20"/>
          <w:color w:val="auto"/>
        </w:rPr>
      </w:pPr>
      <w:r>
        <w:rPr>
          <w:rFonts w:ascii="Arial" w:cs="Arial" w:eastAsia="Arial" w:hAnsi="Arial"/>
          <w:sz w:val="18"/>
          <w:szCs w:val="18"/>
          <w:color w:val="auto"/>
        </w:rPr>
        <w:t>Pacific Regional Programming Partners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Paqu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Parks Holdings Acquisition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Parks Holdings Acquisition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Pennebaker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 Cable Channel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 Filmed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Phenomenon Pictures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Prandial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Private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Producer Services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Producer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CNBC 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Ptown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Rachel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Realand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Film Distributors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Pacific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Regional Pacific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Reservation Road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Reunion Committee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Ride Along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Rider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Ridgegarden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Rightgarden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RIPD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Rosemary &amp; Thyme Enterprises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Rosey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Rubin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Safe House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Savoy Pictures,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Fi (VCSF)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Fi Lab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 Fi Lab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Sci-Fi Channel Europe,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Servicios de Produccion Reforma, S.A. de C.V.</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S-F Channel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Sherwood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 Feathers Music JV/BMI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 Tower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Smiley Face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Smokin’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 Happy For You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Seas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 Canadian Film Productions,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 Film Productions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Hawaii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5340" w:space="720"/>
            <w:col w:w="4159"/>
          </w:cols>
          <w:pgMar w:left="240" w:top="280" w:right="1440"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t>Spanish-Language Productions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Sparrowhawk Distribution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International (HK)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Sparrowhawk International Channels India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Sparrowhawk International Channels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Latin 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Media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Media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Speechless Features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Spirit Board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Sports Ventures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SportsChannel New England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SportsChannel Pacific Associates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Sprout Michigan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Cloud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Giles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Media Center &amp;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StarPlay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Station Operations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Station Venture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Station Venture Operations,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Stormfront,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Style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Style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 I – USA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Syfy Channel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Syfy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Syfy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Syfy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Talbot House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Tale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Talk Video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Estudios Colombia,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Internacional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Las Vegas License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Mid-Atlantic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Music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Network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Arizona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Chicago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Denver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Fresno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5340" w:space="720"/>
            <w:col w:w="4159"/>
          </w:cols>
          <w:pgMar w:left="240" w:top="280" w:right="1440"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t>Telemundo of New England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Telemundo of Northern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Puerto Rico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of Texas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Studios Miami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Telemundo Television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Terra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TGC,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Thadfab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Comcast Network,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Credit Union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Lew Wasserman Scholarship Foundation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Thing Films,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Today Show Charitable Foundation,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Tier One Subsidiary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Tiny Little Steps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TJ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Town Square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TPB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Transatlantic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Trio Entertainment Network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Truck 44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True Blue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Tuxedo Terrace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Belmont Insurance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UCDP Finance,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UCS Project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Underworld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13th Street.com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1440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Animation Studios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Animation Studios Project E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Arenas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Cable Productions Development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Development Partners,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Florida Holding Co.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Florida Holding Co. II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City Property Management II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Studios Productions LLLP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Travel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Film Exchanges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Film Exchanges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Films of India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First-Run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First-Run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HD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Puerto Rico (U.S.A.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Puerto Rico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Vermont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5340" w:space="720"/>
            <w:col w:w="4159"/>
          </w:cols>
          <w:pgMar w:left="240" w:top="280" w:right="1440"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t>Universal Home Entertainment Productions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Universal Home Entertainment Worldwide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Interactive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International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International Television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Media Studios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 Programming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Networks International (Asia)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Networks International (Japan)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Networks International Poland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Orlando Foundation,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Orlando Online Merchandise Store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Parks &amp; Resorts Management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(Australasia)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(Czech Republic)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(Denmark)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(Hungary)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(México)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(México) Services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Benelux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Canadian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Company of Puerto Rico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Corporation of China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Entertainment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Finland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Germany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Group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Hamburg Film – und Fernsehvertrieb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Iberia, S.L.U.</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Pictures Iberia, Sociedade Unipessoal Limitada – Em LiquidaCao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Australasia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Austria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Belgium SNC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Entertainment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Germany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Italy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Korea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Mexico S. de R. 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No.2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Spain,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Switzerland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International UK &amp; EIRE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Italia S.r.l.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 – New South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 – Victoria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 Republic of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ectPr>
          <w:pgSz w:w="11900" w:h="16838" w:orient="portrait"/>
          <w:cols w:equalWidth="0" w:num="2">
            <w:col w:w="5360" w:space="700"/>
            <w:col w:w="4159"/>
          </w:cols>
          <w:pgMar w:left="240" w:top="280" w:right="1440"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Universal Pictures Limited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Universal Pictures México Gestión de Recursos, S.A. de C.V., SOFOM, E.N.R.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Nordic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Norway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Productions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Rus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Subscription Television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Switzerland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Vidéo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Pictures Visual Programming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Property Management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Reality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Stage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Arcade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Carousel Post Production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Channel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Child Care Center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China Investment LLLP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Corner Store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Development Venture Five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Development Venture Seven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Development Venture Six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Development Venture Two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Digital Cinema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Dubai Planning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Film Production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Fitness Center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Home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Home Entertainment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Hotel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Hotel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International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International Television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Korea Planning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Licensing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Moscow Planning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Music LLLP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Network Programming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Networks Brazil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NewCanada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Pacific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Pay Television Australia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Pay Television Australia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Kingdom – England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ectPr>
          <w:pgSz w:w="11900" w:h="16838" w:orient="portrait"/>
          <w:cols w:equalWidth="0" w:num="2">
            <w:col w:w="5600" w:space="460"/>
            <w:col w:w="4159"/>
          </w:cols>
          <w:pgMar w:left="240" w:top="280" w:right="1440"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t>Universal Studios Pay Television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Pay TV Latin 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Pay-Per-View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Pay-Per-View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Studios Recreation China Planning Services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Universal Studios Recreation Japan Planning Services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Satellite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Singapore Planning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Store Hollywood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Store Orlando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Studios Television Distribution Spain, S.L.U.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TV Channel Poland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TV1 Australia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TV1 Australia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Water Parks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Syndicated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Music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Networks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Australia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Canada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France SNC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Music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NewCo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Pictures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Pictures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Talk Video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VOD Venture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Worldwide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UPI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UPI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Brasil Enterprise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Brasil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Cable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Cable Entertainment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Network Media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Network Publishing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Networks Partner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USANi Holding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 – USA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 Asset Transfer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 Interim LP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 – Australian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ectPr>
          <w:pgSz w:w="11900" w:h="16838" w:orient="portrait"/>
          <w:cols w:equalWidth="0" w:num="2">
            <w:col w:w="5340" w:space="720"/>
            <w:col w:w="4159"/>
          </w:cols>
          <w:pgMar w:left="240" w:top="280" w:right="1440"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t>USI Music Publishing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USI Network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USIE – USA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USI-New Bren Holdco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U-Talk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 – USA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Valor Film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Video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Video 44 Acquisition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Vision Video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VUE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VUE NewCo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Walter Lantz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Wanted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Warrior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Watch What You Play Music,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WCAU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Westchester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Westlake Films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White Flag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Australia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California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Chicago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London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London Production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Oz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Pacific Rim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Tour Canada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Tour Managing Partner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Tour Productions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UK Tour Production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Wicked Worldwide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WKAQ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WKAQ of Puerto Rico Holdings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WKAQ of Puerto Rico Holdings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WNJU-TV Broadcasting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Wolf Man Productions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Women.com Networks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Title Films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Title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Title Music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Working Title Production Services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Working Title Theatre Productions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Film Productions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Puerto Rico (U.S.A.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 Puerto Rico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New Jersey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 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5340" w:space="720"/>
            <w:col w:w="4159"/>
          </w:cols>
          <w:pgMar w:left="240" w:top="280" w:right="1440"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t>WT Venture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WT2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Xoom.com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Your Total Health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ZAP Television Beteiligungs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ZAP Television GmbH &amp; Co. KG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States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-219710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United Kingdom – England &amp; Wales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ectPr>
          <w:pgSz w:w="11900" w:h="16838" w:orient="portrait"/>
          <w:cols w:equalWidth="0" w:num="2">
            <w:col w:w="5340" w:space="720"/>
            <w:col w:w="4159"/>
          </w:cols>
          <w:pgMar w:left="240" w:top="280" w:right="1440" w:bottom="1440" w:gutter="0" w:footer="0" w:header="0"/>
        </w:sectPr>
      </w:pPr>
    </w:p>
    <w:bookmarkStart w:id="296" w:name="page297"/>
    <w:bookmarkEnd w:id="296"/>
    <w:p>
      <w:pPr>
        <w:spacing w:after="0"/>
        <w:tabs>
          <w:tab w:leader="none" w:pos="103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23.1</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consent to the incorporation by reference in Registration Statements on Form S-8 (Nos. 333-101645, 333-101295, 333-104385, 333-121082, 333-123059, 333-130844, 333-130845, 333-130847, 333-150976, 333-161468, 333-174416, 333-174417, 333-179638, and 333-183008) and Form S-3 (No. 333-179678) of our reports dated February 20, 2013, relating to the consolidated financial statements and financial statement schedule of Comcast Corporation, and the effectiveness of Comcast Corporation’s internal control over financial reporting, appearing in this Annual Report on Form 10-K of Comcast Corporation for the year ended December 31, 2012.</w:t>
      </w:r>
    </w:p>
    <w:p>
      <w:pPr>
        <w:spacing w:after="0" w:line="19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Philadelphia, Pennsylvania</w:t>
      </w:r>
    </w:p>
    <w:p>
      <w:pPr>
        <w:jc w:val="center"/>
        <w:ind w:right="6840"/>
        <w:spacing w:after="0"/>
        <w:rPr>
          <w:sz w:val="20"/>
          <w:szCs w:val="20"/>
          <w:color w:val="auto"/>
        </w:rPr>
      </w:pPr>
      <w:r>
        <w:rPr>
          <w:rFonts w:ascii="Arial" w:cs="Arial" w:eastAsia="Arial" w:hAnsi="Arial"/>
          <w:sz w:val="18"/>
          <w:szCs w:val="18"/>
          <w:color w:val="auto"/>
        </w:rPr>
        <w:t>February 20, 2013</w:t>
      </w:r>
    </w:p>
    <w:p>
      <w:pPr>
        <w:spacing w:after="0" w:line="327"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Comcast 2012 Annual Report on Form 10-K</w:t>
      </w:r>
    </w:p>
    <w:p>
      <w:pPr>
        <w:sectPr>
          <w:pgSz w:w="11900" w:h="16838" w:orient="portrait"/>
          <w:cols w:equalWidth="0" w:num="1">
            <w:col w:w="11420"/>
          </w:cols>
          <w:pgMar w:left="240" w:top="121" w:right="239" w:bottom="1440" w:gutter="0" w:footer="0" w:header="0"/>
        </w:sectPr>
      </w:pPr>
    </w:p>
    <w:bookmarkStart w:id="297" w:name="page298"/>
    <w:bookmarkEnd w:id="297"/>
    <w:p>
      <w:pPr>
        <w:spacing w:after="0"/>
        <w:tabs>
          <w:tab w:leader="none" w:pos="10460" w:val="left"/>
        </w:tabs>
        <w:rPr>
          <w:sz w:val="20"/>
          <w:szCs w:val="20"/>
          <w:color w:val="auto"/>
        </w:rPr>
      </w:pPr>
      <w:r>
        <w:rPr>
          <w:rFonts w:ascii="Arial" w:cs="Arial" w:eastAsia="Arial" w:hAnsi="Arial"/>
          <w:sz w:val="20"/>
          <w:szCs w:val="20"/>
          <w:color w:val="auto"/>
        </w:rPr>
        <w:t>Certifications</w:t>
      </w:r>
      <w:r>
        <w:rPr>
          <w:sz w:val="20"/>
          <w:szCs w:val="20"/>
          <w:color w:val="auto"/>
        </w:rPr>
        <w:tab/>
      </w:r>
      <w:r>
        <w:rPr>
          <w:rFonts w:ascii="Arial" w:cs="Arial" w:eastAsia="Arial" w:hAnsi="Arial"/>
          <w:sz w:val="29"/>
          <w:szCs w:val="29"/>
          <w:b w:val="1"/>
          <w:bCs w:val="1"/>
          <w:color w:val="auto"/>
          <w:vertAlign w:val="superscript"/>
        </w:rPr>
        <w:t>Exhibit 31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260" w:hanging="252"/>
        <w:spacing w:after="0"/>
        <w:tabs>
          <w:tab w:leader="none" w:pos="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2013</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Brian L. Roberts</w:t>
      </w:r>
    </w:p>
    <w:p>
      <w:pPr>
        <w:jc w:val="center"/>
        <w:ind w:right="6840"/>
        <w:spacing w:after="0"/>
        <w:rPr>
          <w:sz w:val="20"/>
          <w:szCs w:val="20"/>
          <w:color w:val="auto"/>
        </w:rPr>
      </w:pPr>
      <w:r>
        <w:rPr>
          <w:rFonts w:ascii="Arial" w:cs="Arial" w:eastAsia="Arial" w:hAnsi="Arial"/>
          <w:sz w:val="18"/>
          <w:szCs w:val="18"/>
          <w:color w:val="auto"/>
        </w:rPr>
        <w:t>Title: Chief Executive Officer</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2012 Annual Report on Form 10-K</w:t>
      </w:r>
    </w:p>
    <w:p>
      <w:pPr>
        <w:sectPr>
          <w:pgSz w:w="11900" w:h="16838" w:orient="portrait"/>
          <w:cols w:equalWidth="0" w:num="1">
            <w:col w:w="11420"/>
          </w:cols>
          <w:pgMar w:left="240" w:top="121" w:right="2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17" w:lineRule="exact"/>
        <w:rPr>
          <w:sz w:val="20"/>
          <w:szCs w:val="20"/>
          <w:color w:val="auto"/>
        </w:rPr>
      </w:pPr>
    </w:p>
    <w:p>
      <w:pPr>
        <w:ind w:left="260" w:hanging="252"/>
        <w:spacing w:after="0"/>
        <w:tabs>
          <w:tab w:leader="none" w:pos="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2013</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Name: Michael J. Angelakis</w:t>
      </w:r>
    </w:p>
    <w:p>
      <w:pPr>
        <w:ind w:left="1220"/>
        <w:spacing w:after="0"/>
        <w:rPr>
          <w:sz w:val="20"/>
          <w:szCs w:val="20"/>
          <w:color w:val="auto"/>
        </w:rPr>
      </w:pPr>
      <w:r>
        <w:rPr>
          <w:rFonts w:ascii="Arial" w:cs="Arial" w:eastAsia="Arial" w:hAnsi="Arial"/>
          <w:sz w:val="18"/>
          <w:szCs w:val="18"/>
          <w:color w:val="auto"/>
        </w:rPr>
        <w:t>Title: Chief Financial Officer</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Comcast 2012 Annual Report on Form 10-K</w:t>
      </w:r>
    </w:p>
    <w:p>
      <w:pPr>
        <w:sectPr>
          <w:pgSz w:w="11900" w:h="16838" w:orient="portrait"/>
          <w:cols w:equalWidth="0" w:num="1">
            <w:col w:w="11420"/>
          </w:cols>
          <w:pgMar w:left="240" w:top="292" w:right="239" w:bottom="1440" w:gutter="0" w:footer="0" w:header="0"/>
        </w:sectPr>
      </w:pPr>
    </w:p>
    <w:bookmarkStart w:id="299" w:name="page300"/>
    <w:bookmarkEnd w:id="299"/>
    <w:p>
      <w:pPr>
        <w:spacing w:after="0"/>
        <w:tabs>
          <w:tab w:leader="none" w:pos="10460" w:val="left"/>
        </w:tabs>
        <w:rPr>
          <w:sz w:val="20"/>
          <w:szCs w:val="20"/>
          <w:color w:val="auto"/>
        </w:rPr>
      </w:pPr>
      <w:r>
        <w:rPr>
          <w:rFonts w:ascii="Arial" w:cs="Arial" w:eastAsia="Arial" w:hAnsi="Arial"/>
          <w:sz w:val="24"/>
          <w:szCs w:val="24"/>
          <w:color w:val="auto"/>
        </w:rPr>
        <w:t>Certification Pursuant to Section 906 of the Sarbanes-Oxley Act</w:t>
      </w:r>
      <w:r>
        <w:rPr>
          <w:sz w:val="20"/>
          <w:szCs w:val="20"/>
          <w:color w:val="auto"/>
        </w:rPr>
        <w:tab/>
      </w:r>
      <w:r>
        <w:rPr>
          <w:rFonts w:ascii="Arial" w:cs="Arial" w:eastAsia="Arial" w:hAnsi="Arial"/>
          <w:sz w:val="26"/>
          <w:szCs w:val="26"/>
          <w:b w:val="1"/>
          <w:bCs w:val="1"/>
          <w:color w:val="auto"/>
          <w:vertAlign w:val="superscript"/>
        </w:rPr>
        <w:t>Exhibit 32</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20, 2013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114" w:lineRule="exact"/>
        <w:rPr>
          <w:sz w:val="20"/>
          <w:szCs w:val="20"/>
          <w:color w:val="auto"/>
        </w:rPr>
      </w:pPr>
    </w:p>
    <w:p>
      <w:pPr>
        <w:ind w:left="260" w:hanging="252"/>
        <w:spacing w:after="0"/>
        <w:tabs>
          <w:tab w:leader="none" w:pos="2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9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Brian L. Roberts</w:t>
      </w:r>
    </w:p>
    <w:p>
      <w:pPr>
        <w:jc w:val="center"/>
        <w:ind w:left="6860"/>
        <w:spacing w:after="0"/>
        <w:rPr>
          <w:sz w:val="20"/>
          <w:szCs w:val="20"/>
          <w:color w:val="auto"/>
        </w:rPr>
      </w:pPr>
      <w:r>
        <w:rPr>
          <w:rFonts w:ascii="Arial" w:cs="Arial" w:eastAsia="Arial" w:hAnsi="Arial"/>
          <w:sz w:val="18"/>
          <w:szCs w:val="18"/>
          <w:color w:val="auto"/>
        </w:rPr>
        <w:t>Title: Chief Executive Officer</w:t>
      </w:r>
    </w:p>
    <w:p>
      <w:pPr>
        <w:spacing w:after="0" w:line="13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060"/>
        <w:spacing w:after="0"/>
        <w:rPr>
          <w:sz w:val="20"/>
          <w:szCs w:val="20"/>
          <w:color w:val="auto"/>
        </w:rPr>
      </w:pPr>
      <w:r>
        <w:rPr>
          <w:rFonts w:ascii="Arial" w:cs="Arial" w:eastAsia="Arial" w:hAnsi="Arial"/>
          <w:sz w:val="18"/>
          <w:szCs w:val="18"/>
          <w:color w:val="auto"/>
        </w:rPr>
        <w:t>Name: Michael J. Angelakis</w:t>
      </w:r>
    </w:p>
    <w:p>
      <w:pPr>
        <w:ind w:left="8060"/>
        <w:spacing w:after="0"/>
        <w:rPr>
          <w:sz w:val="20"/>
          <w:szCs w:val="20"/>
          <w:color w:val="auto"/>
        </w:rPr>
      </w:pPr>
      <w:r>
        <w:rPr>
          <w:rFonts w:ascii="Arial" w:cs="Arial" w:eastAsia="Arial" w:hAnsi="Arial"/>
          <w:sz w:val="18"/>
          <w:szCs w:val="18"/>
          <w:color w:val="auto"/>
        </w:rPr>
        <w:t>Title: Chief Financial Officer</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2012 Annual Report on Form 10-K</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1)"/>
      <w:numFmt w:val="lowerLetter"/>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1)"/>
      <w:numFmt w:val="lowerLetter"/>
      <w:start w:val="1"/>
    </w:lvl>
  </w:abstractNum>
  <w:abstractNum w:abstractNumId="7">
    <w:nsid w:val="4C04A8AF"/>
    <w:multiLevelType w:val="hybridMultilevel"/>
    <w:lvl w:ilvl="0">
      <w:lvlJc w:val="left"/>
      <w:lvlText w:val="(%1)"/>
      <w:numFmt w:val="lowerLetter"/>
      <w:start w:val="1"/>
    </w:lvl>
  </w:abstractNum>
  <w:abstractNum w:abstractNumId="8">
    <w:nsid w:val="1716703B"/>
    <w:multiLevelType w:val="hybridMultilevel"/>
    <w:lvl w:ilvl="0">
      <w:lvlJc w:val="left"/>
      <w:lvlText w:val="(%1)"/>
      <w:numFmt w:val="lowerLetter"/>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1)"/>
      <w:numFmt w:val="lowerLetter"/>
      <w:start w:val="1"/>
    </w:lvl>
  </w:abstractNum>
  <w:abstractNum w:abstractNumId="13">
    <w:nsid w:val="2DF6D648"/>
    <w:multiLevelType w:val="hybridMultilevel"/>
    <w:lvl w:ilvl="0">
      <w:lvlJc w:val="left"/>
      <w:lvlText w:val="(%1)"/>
      <w:numFmt w:val="lowerLetter"/>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1)"/>
      <w:numFmt w:val="lowerLetter"/>
      <w:start w:val="1"/>
    </w:lvl>
  </w:abstractNum>
  <w:abstractNum w:abstractNumId="16">
    <w:nsid w:val="39EE015C"/>
    <w:multiLevelType w:val="hybridMultilevel"/>
    <w:lvl w:ilvl="0">
      <w:lvlJc w:val="left"/>
      <w:lvlText w:val="(%1)"/>
      <w:numFmt w:val="lowerLetter"/>
      <w:start w:val="2"/>
    </w:lvl>
  </w:abstractNum>
  <w:abstractNum w:abstractNumId="17">
    <w:nsid w:val="57FC4FBB"/>
    <w:multiLevelType w:val="hybridMultilevel"/>
    <w:lvl w:ilvl="0">
      <w:lvlJc w:val="left"/>
      <w:lvlText w:val="(%1)"/>
      <w:numFmt w:val="lowerLetter"/>
      <w:start w:val="1"/>
    </w:lvl>
  </w:abstractNum>
  <w:abstractNum w:abstractNumId="18">
    <w:nsid w:val="CC1016F"/>
    <w:multiLevelType w:val="hybridMultilevel"/>
    <w:lvl w:ilvl="0">
      <w:lvlJc w:val="left"/>
      <w:lvlText w:val="(%1)"/>
      <w:numFmt w:val="lowerLetter"/>
      <w:start w:val="1"/>
    </w:lvl>
  </w:abstractNum>
  <w:abstractNum w:abstractNumId="19">
    <w:nsid w:val="43F18422"/>
    <w:multiLevelType w:val="hybridMultilevel"/>
    <w:lvl w:ilvl="0">
      <w:lvlJc w:val="left"/>
      <w:lvlText w:val="(%1)"/>
      <w:numFmt w:val="lowerLetter"/>
      <w:start w:val="1"/>
    </w:lvl>
  </w:abstractNum>
  <w:abstractNum w:abstractNumId="20">
    <w:nsid w:val="60EF0119"/>
    <w:multiLevelType w:val="hybridMultilevel"/>
    <w:lvl w:ilvl="0">
      <w:lvlJc w:val="left"/>
      <w:lvlText w:val="(%1)"/>
      <w:numFmt w:val="lowerLetter"/>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1)"/>
      <w:numFmt w:val="lowerLetter"/>
      <w:start w:val="1"/>
    </w:lvl>
  </w:abstractNum>
  <w:abstractNum w:abstractNumId="23">
    <w:nsid w:val="49DA307D"/>
    <w:multiLevelType w:val="hybridMultilevel"/>
    <w:lvl w:ilvl="0">
      <w:lvlJc w:val="left"/>
      <w:lvlText w:val="(%1)"/>
      <w:numFmt w:val="lowerLetter"/>
      <w:start w:val="3"/>
    </w:lvl>
  </w:abstractNum>
  <w:abstractNum w:abstractNumId="24">
    <w:nsid w:val="7055A5F5"/>
    <w:multiLevelType w:val="hybridMultilevel"/>
    <w:lvl w:ilvl="0">
      <w:lvlJc w:val="left"/>
      <w:lvlText w:val="•"/>
      <w:numFmt w:val="bullet"/>
      <w:start w:val="1"/>
    </w:lvl>
  </w:abstractNum>
  <w:abstractNum w:abstractNumId="25">
    <w:nsid w:val="5FB8370B"/>
    <w:multiLevelType w:val="hybridMultilevel"/>
    <w:lvl w:ilvl="0">
      <w:lvlJc w:val="left"/>
      <w:lvlText w:val="•"/>
      <w:numFmt w:val="bullet"/>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1)"/>
      <w:numFmt w:val="lowerRoman"/>
      <w:start w:val="1"/>
    </w:lvl>
  </w:abstractNum>
  <w:abstractNum w:abstractNumId="28">
    <w:nsid w:val="5FB8011C"/>
    <w:multiLevelType w:val="hybridMultilevel"/>
    <w:lvl w:ilvl="0">
      <w:lvlJc w:val="left"/>
      <w:lvlText w:val="(%1)"/>
      <w:numFmt w:val="lowerLetter"/>
      <w:start w:val="2"/>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1)"/>
      <w:numFmt w:val="lowerLetter"/>
      <w:start w:val="1"/>
    </w:lvl>
  </w:abstractNum>
  <w:abstractNum w:abstractNumId="31">
    <w:nsid w:val="6FC75AF8"/>
    <w:multiLevelType w:val="hybridMultilevel"/>
    <w:lvl w:ilvl="0">
      <w:lvlJc w:val="left"/>
      <w:lvlText w:val="(%1)"/>
      <w:numFmt w:val="lowerLetter"/>
      <w:start w:val="1"/>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
      <w:numFmt w:val="bullet"/>
      <w:start w:val="1"/>
    </w:lvl>
  </w:abstractNum>
  <w:abstractNum w:abstractNumId="34">
    <w:nsid w:val="5F3534A4"/>
    <w:multiLevelType w:val="hybridMultilevel"/>
    <w:lvl w:ilvl="0">
      <w:lvlJc w:val="left"/>
      <w:lvlText w:val="•"/>
      <w:numFmt w:val="bullet"/>
      <w:start w:val="1"/>
    </w:lvl>
  </w:abstractNum>
  <w:abstractNum w:abstractNumId="35">
    <w:nsid w:val="73A1821B"/>
    <w:multiLevelType w:val="hybridMultilevel"/>
    <w:lvl w:ilvl="0">
      <w:lvlJc w:val="left"/>
      <w:lvlText w:val="•"/>
      <w:numFmt w:val="bullet"/>
      <w:start w:val="1"/>
    </w:lvl>
  </w:abstractNum>
  <w:abstractNum w:abstractNumId="36">
    <w:nsid w:val="7DE67713"/>
    <w:multiLevelType w:val="hybridMultilevel"/>
    <w:lvl w:ilvl="0">
      <w:lvlJc w:val="left"/>
      <w:lvlText w:val="(%1)"/>
      <w:numFmt w:val="lowerLetter"/>
      <w:start w:val="1"/>
    </w:lvl>
  </w:abstractNum>
  <w:abstractNum w:abstractNumId="37">
    <w:nsid w:val="555C55B5"/>
    <w:multiLevelType w:val="hybridMultilevel"/>
    <w:lvl w:ilvl="0">
      <w:lvlJc w:val="left"/>
      <w:lvlText w:val="(%1)"/>
      <w:numFmt w:val="lowerLetter"/>
      <w:start w:val="1"/>
    </w:lvl>
  </w:abstractNum>
  <w:abstractNum w:abstractNumId="38">
    <w:nsid w:val="3FA62ACA"/>
    <w:multiLevelType w:val="hybridMultilevel"/>
    <w:lvl w:ilvl="0">
      <w:lvlJc w:val="left"/>
      <w:lvlText w:val="(%1)"/>
      <w:numFmt w:val="lowerLetter"/>
      <w:start w:val="2"/>
    </w:lvl>
    <w:lvl w:ilvl="1">
      <w:lvlJc w:val="left"/>
      <w:lvlText w:val="•"/>
      <w:numFmt w:val="bullet"/>
      <w:start w:val="1"/>
    </w:lvl>
  </w:abstractNum>
  <w:abstractNum w:abstractNumId="39">
    <w:nsid w:val="14FCE74E"/>
    <w:multiLevelType w:val="hybridMultilevel"/>
    <w:lvl w:ilvl="0">
      <w:lvlJc w:val="left"/>
      <w:lvlText w:val="(%1)"/>
      <w:numFmt w:val="lowerLetter"/>
      <w:start w:val="7"/>
    </w:lvl>
  </w:abstractNum>
  <w:abstractNum w:abstractNumId="40">
    <w:nsid w:val="6A3DD3E8"/>
    <w:multiLevelType w:val="hybridMultilevel"/>
    <w:lvl w:ilvl="0">
      <w:lvlJc w:val="left"/>
      <w:lvlText w:val="(%1)"/>
      <w:numFmt w:val="lowerLetter"/>
      <w:start w:val="8"/>
    </w:lvl>
  </w:abstractNum>
  <w:abstractNum w:abstractNumId="41">
    <w:nsid w:val="71C91298"/>
    <w:multiLevelType w:val="hybridMultilevel"/>
    <w:lvl w:ilvl="0">
      <w:lvlJc w:val="left"/>
      <w:lvlText w:val="(%1)"/>
      <w:numFmt w:val="lowerLetter"/>
      <w:start w:val="1"/>
    </w:lvl>
  </w:abstractNum>
  <w:abstractNum w:abstractNumId="42">
    <w:nsid w:val="9DAF632"/>
    <w:multiLevelType w:val="hybridMultilevel"/>
    <w:lvl w:ilvl="0">
      <w:lvlJc w:val="left"/>
      <w:lvlText w:val="%1"/>
      <w:numFmt w:val="decimal"/>
      <w:start w:val="31"/>
    </w:lvl>
  </w:abstractNum>
  <w:abstractNum w:abstractNumId="43">
    <w:nsid w:val="53299938"/>
    <w:multiLevelType w:val="hybridMultilevel"/>
    <w:lvl w:ilvl="0">
      <w:lvlJc w:val="left"/>
      <w:lvlText w:val="%1"/>
      <w:numFmt w:val="decimal"/>
      <w:start w:val="101"/>
    </w:lvl>
  </w:abstractNum>
  <w:abstractNum w:abstractNumId="44">
    <w:nsid w:val="1FBFE8E0"/>
    <w:multiLevelType w:val="hybridMultilevel"/>
    <w:lvl w:ilvl="0">
      <w:lvlJc w:val="left"/>
      <w:lvlText w:val="*"/>
      <w:numFmt w:val="bullet"/>
      <w:start w:val="1"/>
    </w:lvl>
  </w:abstractNum>
  <w:abstractNum w:abstractNumId="45">
    <w:nsid w:val="5092CA79"/>
    <w:multiLevelType w:val="hybridMultilevel"/>
    <w:lvl w:ilvl="0">
      <w:lvlJc w:val="left"/>
      <w:lvlText w:val="(%1)"/>
      <w:numFmt w:val="lowerLetter"/>
      <w:start w:val="1"/>
    </w:lvl>
  </w:abstractNum>
  <w:abstractNum w:abstractNumId="46">
    <w:nsid w:val="1D545C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
    <w:nsid w:val="59ADEA3D"/>
    <w:multiLevelType w:val="hybridMultilevel"/>
    <w:lvl w:ilvl="0">
      <w:lvlJc w:val="left"/>
      <w:lvlText w:val="%1"/>
      <w:numFmt w:val="lowerRoman"/>
      <w:start w:val="1"/>
    </w:lvl>
    <w:lvl w:ilvl="1">
      <w:lvlJc w:val="left"/>
      <w:lvlText w:val="(%2)"/>
      <w:numFmt w:val="lowerLetter"/>
      <w:start w:val="1"/>
    </w:lvl>
  </w:abstractNum>
  <w:abstractNum w:abstractNumId="48">
    <w:nsid w:val="288F1A34"/>
    <w:multiLevelType w:val="hybridMultilevel"/>
    <w:lvl w:ilvl="0">
      <w:lvlJc w:val="left"/>
      <w:lvlText w:val="(%1)"/>
      <w:numFmt w:val="lowerRoman"/>
      <w:start w:val="2"/>
    </w:lvl>
    <w:lvl w:ilvl="1">
      <w:lvlJc w:val="left"/>
      <w:lvlText w:val="%2"/>
      <w:numFmt w:val="lowerLetter"/>
      <w:start w:val="1"/>
    </w:lvl>
  </w:abstractNum>
  <w:abstractNum w:abstractNumId="49">
    <w:nsid w:val="2A155DBC"/>
    <w:multiLevelType w:val="hybridMultilevel"/>
    <w:lvl w:ilvl="0">
      <w:lvlJc w:val="left"/>
      <w:lvlText w:val="(%1)"/>
      <w:numFmt w:val="lowerLetter"/>
      <w:start w:val="1"/>
    </w:lvl>
  </w:abstractNum>
  <w:abstractNum w:abstractNumId="50">
    <w:nsid w:val="1D9F6E5F"/>
    <w:multiLevelType w:val="hybridMultilevel"/>
    <w:lvl w:ilvl="0">
      <w:lvlJc w:val="left"/>
      <w:lvlText w:val="(%1)"/>
      <w:numFmt w:val="lowerLetter"/>
      <w:start w:val="1"/>
    </w:lvl>
  </w:abstractNum>
  <w:abstractNum w:abstractNumId="51">
    <w:nsid w:val="97E1B4E"/>
    <w:multiLevelType w:val="hybridMultilevel"/>
    <w:lvl w:ilvl="0">
      <w:lvlJc w:val="left"/>
      <w:lvlText w:val="(%1)"/>
      <w:numFmt w:val="lowerLetter"/>
      <w:start w:val="1"/>
    </w:lvl>
  </w:abstractNum>
  <w:abstractNum w:abstractNumId="52">
    <w:nsid w:val="51088277"/>
    <w:multiLevelType w:val="hybridMultilevel"/>
    <w:lvl w:ilvl="0">
      <w:lvlJc w:val="left"/>
      <w:lvlText w:val="(%1)"/>
      <w:numFmt w:val="lowerLetter"/>
      <w:start w:val="1"/>
    </w:lvl>
  </w:abstractNum>
  <w:abstractNum w:abstractNumId="53">
    <w:nsid w:val="1CA0C5FA"/>
    <w:multiLevelType w:val="hybridMultilevel"/>
    <w:lvl w:ilvl="0">
      <w:lvlJc w:val="left"/>
      <w:lvlText w:val="%1"/>
      <w:numFmt w:val="lowerLetter"/>
      <w:start w:val="1"/>
    </w:lvl>
    <w:lvl w:ilvl="1">
      <w:lvlJc w:val="left"/>
      <w:lvlText w:val="(%2)"/>
      <w:numFmt w:val="lowerLetter"/>
      <w:start w:val="2"/>
    </w:lvl>
  </w:abstractNum>
  <w:abstractNum w:abstractNumId="54">
    <w:nsid w:val="53584BCB"/>
    <w:multiLevelType w:val="hybridMultilevel"/>
    <w:lvl w:ilvl="0">
      <w:lvlJc w:val="left"/>
      <w:lvlText w:val="(%1)"/>
      <w:numFmt w:val="lowerLetter"/>
      <w:start w:val="61"/>
    </w:lvl>
    <w:lvl w:ilvl="1">
      <w:lvlJc w:val="left"/>
      <w:lvlText w:val="(%2)"/>
      <w:numFmt w:val="lowerLetter"/>
      <w:start w:val="4"/>
    </w:lvl>
  </w:abstractNum>
  <w:abstractNum w:abstractNumId="55">
    <w:nsid w:val="415E286C"/>
    <w:multiLevelType w:val="hybridMultilevel"/>
    <w:lvl w:ilvl="0">
      <w:lvlJc w:val="left"/>
      <w:lvlText w:val="(%1)"/>
      <w:numFmt w:val="lowerLetter"/>
      <w:start w:val="1"/>
    </w:lvl>
  </w:abstractNum>
  <w:abstractNum w:abstractNumId="56">
    <w:nsid w:val="7C58FD05"/>
    <w:multiLevelType w:val="hybridMultilevel"/>
    <w:lvl w:ilvl="0">
      <w:lvlJc w:val="left"/>
      <w:lvlText w:val="(%1)"/>
      <w:numFmt w:val="lowerLetter"/>
      <w:start w:val="1"/>
    </w:lvl>
    <w:lvl w:ilvl="1">
      <w:lvlJc w:val="left"/>
      <w:lvlText w:val="(%2)"/>
      <w:numFmt w:val="lowerRoman"/>
      <w:start w:val="1"/>
    </w:lvl>
  </w:abstractNum>
  <w:abstractNum w:abstractNumId="57">
    <w:nsid w:val="23D86AAC"/>
    <w:multiLevelType w:val="hybridMultilevel"/>
    <w:lvl w:ilvl="0">
      <w:lvlJc w:val="left"/>
      <w:lvlText w:val="%1"/>
      <w:numFmt w:val="lowerLetter"/>
      <w:start w:val="1"/>
    </w:lvl>
    <w:lvl w:ilvl="1">
      <w:lvlJc w:val="left"/>
      <w:lvlText w:val="(%2)"/>
      <w:numFmt w:val="lowerRoman"/>
      <w:start w:val="4"/>
    </w:lvl>
  </w:abstractNum>
  <w:abstractNum w:abstractNumId="58">
    <w:nsid w:val="45E6D486"/>
    <w:multiLevelType w:val="hybridMultilevel"/>
    <w:lvl w:ilvl="0">
      <w:lvlJc w:val="left"/>
      <w:lvlText w:val="(%1)"/>
      <w:numFmt w:val="lowerLetter"/>
      <w:start w:val="3"/>
    </w:lvl>
    <w:lvl w:ilvl="1">
      <w:lvlJc w:val="left"/>
      <w:lvlText w:val="(%2)"/>
      <w:numFmt w:val="lowerRoman"/>
      <w:start w:val="1"/>
    </w:lvl>
  </w:abstractNum>
  <w:abstractNum w:abstractNumId="59">
    <w:nsid w:val="5C10FE21"/>
    <w:multiLevelType w:val="hybridMultilevel"/>
    <w:lvl w:ilvl="0">
      <w:lvlJc w:val="left"/>
      <w:lvlText w:val="(%1)"/>
      <w:numFmt w:val="lowerLetter"/>
      <w:start w:val="1"/>
    </w:lvl>
  </w:abstractNum>
  <w:abstractNum w:abstractNumId="60">
    <w:nsid w:val="E7FFA2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1">
    <w:nsid w:val="3C5991A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62">
    <w:nsid w:val="4BD859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3">
    <w:nsid w:val="78DF6A55"/>
    <w:multiLevelType w:val="hybridMultilevel"/>
    <w:lvl w:ilvl="0">
      <w:lvlJc w:val="left"/>
      <w:lvlText w:val="(%1)"/>
      <w:numFmt w:val="lowerRoman"/>
      <w:start w:val="3"/>
    </w:lvl>
  </w:abstractNum>
  <w:abstractNum w:abstractNumId="64">
    <w:nsid w:val="39B7AAA2"/>
    <w:multiLevelType w:val="hybridMultilevel"/>
    <w:lvl w:ilvl="0">
      <w:lvlJc w:val="left"/>
      <w:lvlText w:val="(%1)"/>
      <w:numFmt w:val="lowerLetter"/>
      <w:start w:val="1"/>
    </w:lvl>
    <w:lvl w:ilvl="1">
      <w:lvlJc w:val="left"/>
      <w:lvlText w:val="(%2)"/>
      <w:numFmt w:val="lowerRoman"/>
      <w:start w:val="1"/>
    </w:lvl>
  </w:abstractNum>
  <w:abstractNum w:abstractNumId="65">
    <w:nsid w:val="2B0D8DBE"/>
    <w:multiLevelType w:val="hybridMultilevel"/>
    <w:lvl w:ilvl="0">
      <w:lvlJc w:val="left"/>
      <w:lvlText w:val="(%1)"/>
      <w:numFmt w:val="lowerRoman"/>
      <w:start w:val="2"/>
    </w:lvl>
    <w:lvl w:ilvl="1">
      <w:lvlJc w:val="left"/>
      <w:lvlText w:val="(%2)"/>
      <w:numFmt w:val="upperLetter"/>
      <w:start w:val="1"/>
    </w:lvl>
  </w:abstractNum>
  <w:abstractNum w:abstractNumId="66">
    <w:nsid w:val="6C80EC70"/>
    <w:multiLevelType w:val="hybridMultilevel"/>
    <w:lvl w:ilvl="0">
      <w:lvlJc w:val="left"/>
      <w:lvlText w:val="(%1)"/>
      <w:numFmt w:val="lowerLetter"/>
      <w:start w:val="1"/>
    </w:lvl>
    <w:lvl w:ilvl="1">
      <w:lvlJc w:val="left"/>
      <w:lvlText w:val="(%2)"/>
      <w:numFmt w:val="lowerRoman"/>
      <w:start w:val="1"/>
    </w:lvl>
  </w:abstractNum>
  <w:abstractNum w:abstractNumId="67">
    <w:nsid w:val="379E21B5"/>
    <w:multiLevelType w:val="hybridMultilevel"/>
    <w:lvl w:ilvl="0">
      <w:lvlJc w:val="left"/>
      <w:lvlText w:val="(%1)"/>
      <w:numFmt w:val="lowerLetter"/>
      <w:start w:val="3"/>
    </w:lvl>
    <w:lvl w:ilvl="1">
      <w:lvlJc w:val="left"/>
      <w:lvlText w:val="(%2)"/>
      <w:numFmt w:val="lowerRoman"/>
      <w:start w:val="1"/>
    </w:lvl>
  </w:abstractNum>
  <w:abstractNum w:abstractNumId="68">
    <w:nsid w:val="69E373"/>
    <w:multiLevelType w:val="hybridMultilevel"/>
    <w:lvl w:ilvl="0">
      <w:lvlJc w:val="left"/>
      <w:lvlText w:val="(%1)"/>
      <w:numFmt w:val="lowerLetter"/>
      <w:start w:val="1"/>
    </w:lvl>
  </w:abstractNum>
  <w:abstractNum w:abstractNumId="69">
    <w:nsid w:val="2C27173B"/>
    <w:multiLevelType w:val="hybridMultilevel"/>
    <w:lvl w:ilvl="0">
      <w:lvlJc w:val="left"/>
      <w:lvlText w:val="(%1)"/>
      <w:numFmt w:val="lowerLetter"/>
      <w:start w:val="1"/>
    </w:lvl>
  </w:abstractNum>
  <w:abstractNum w:abstractNumId="70">
    <w:nsid w:val="4C9B0904"/>
    <w:multiLevelType w:val="hybridMultilevel"/>
    <w:lvl w:ilvl="0">
      <w:lvlJc w:val="left"/>
      <w:lvlText w:val="(%1)"/>
      <w:numFmt w:val="lowerLetter"/>
      <w:start w:val="2"/>
    </w:lvl>
  </w:abstractNum>
  <w:abstractNum w:abstractNumId="71">
    <w:nsid w:val="6AA7B75C"/>
    <w:multiLevelType w:val="hybridMultilevel"/>
    <w:lvl w:ilvl="0">
      <w:lvlJc w:val="left"/>
      <w:lvlText w:val="(%1)"/>
      <w:numFmt w:val="lowerLetter"/>
      <w:start w:val="1"/>
    </w:lvl>
  </w:abstractNum>
  <w:abstractNum w:abstractNumId="72">
    <w:nsid w:val="1DF029D3"/>
    <w:multiLevelType w:val="hybridMultilevel"/>
    <w:lvl w:ilvl="0">
      <w:lvlJc w:val="left"/>
      <w:lvlText w:val="(%1)"/>
      <w:numFmt w:val="lowerLetter"/>
      <w:start w:val="1"/>
    </w:lvl>
  </w:abstractNum>
  <w:abstractNum w:abstractNumId="73">
    <w:nsid w:val="5675FF36"/>
    <w:multiLevelType w:val="hybridMultilevel"/>
    <w:lvl w:ilvl="0">
      <w:lvlJc w:val="left"/>
      <w:lvlText w:val="(%1)"/>
      <w:numFmt w:val="lowerLetter"/>
      <w:start w:val="1"/>
    </w:lvl>
  </w:abstractNum>
  <w:abstractNum w:abstractNumId="74">
    <w:nsid w:val="3DD15094"/>
    <w:multiLevelType w:val="hybridMultilevel"/>
    <w:lvl w:ilvl="0">
      <w:lvlJc w:val="left"/>
      <w:lvlText w:val="(%1)"/>
      <w:numFmt w:val="lowerLetter"/>
      <w:start w:val="4"/>
    </w:lvl>
  </w:abstractNum>
  <w:abstractNum w:abstractNumId="75">
    <w:nsid w:val="3DB012B3"/>
    <w:multiLevelType w:val="hybridMultilevel"/>
    <w:lvl w:ilvl="0">
      <w:lvlJc w:val="left"/>
      <w:lvlText w:val="(%1)"/>
      <w:numFmt w:val="lowerLetter"/>
      <w:start w:val="1"/>
    </w:lvl>
    <w:lvl w:ilvl="1">
      <w:lvlJc w:val="left"/>
      <w:lvlText w:val="(%2)"/>
      <w:numFmt w:val="lowerRoman"/>
      <w:start w:val="1"/>
    </w:lvl>
  </w:abstractNum>
  <w:abstractNum w:abstractNumId="76">
    <w:nsid w:val="2708C9AF"/>
    <w:multiLevelType w:val="hybridMultilevel"/>
    <w:lvl w:ilvl="0">
      <w:lvlJc w:val="left"/>
      <w:lvlText w:val="(%1)"/>
      <w:numFmt w:val="lowerLetter"/>
      <w:start w:val="1"/>
    </w:lvl>
  </w:abstractNum>
  <w:abstractNum w:abstractNumId="77">
    <w:nsid w:val="5B25ACE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8">
    <w:nsid w:val="175DFCF0"/>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79">
    <w:nsid w:val="4F97E3E4"/>
    <w:multiLevelType w:val="hybridMultilevel"/>
    <w:lvl w:ilvl="0">
      <w:lvlJc w:val="left"/>
      <w:lvlText w:val="(%1)"/>
      <w:numFmt w:val="lowerLetter"/>
      <w:start w:val="1"/>
    </w:lvl>
  </w:abstractNum>
  <w:abstractNum w:abstractNumId="80">
    <w:nsid w:val="53B0A9E"/>
    <w:multiLevelType w:val="hybridMultilevel"/>
    <w:lvl w:ilvl="0">
      <w:lvlJc w:val="left"/>
      <w:lvlText w:val="(%1)"/>
      <w:numFmt w:val="lowerLetter"/>
      <w:start w:val="1"/>
    </w:lvl>
  </w:abstractNum>
  <w:abstractNum w:abstractNumId="81">
    <w:nsid w:val="34FD6B4F"/>
    <w:multiLevelType w:val="hybridMultilevel"/>
    <w:lvl w:ilvl="0">
      <w:lvlJc w:val="left"/>
      <w:lvlText w:val="(%1)"/>
      <w:numFmt w:val="lowerLetter"/>
      <w:start w:val="1"/>
    </w:lvl>
  </w:abstractNum>
  <w:abstractNum w:abstractNumId="82">
    <w:nsid w:val="5915FF32"/>
    <w:multiLevelType w:val="hybridMultilevel"/>
    <w:lvl w:ilvl="0">
      <w:lvlJc w:val="left"/>
      <w:lvlText w:val="(%1)"/>
      <w:numFmt w:val="lowerLetter"/>
      <w:start w:val="5"/>
    </w:lvl>
  </w:abstractNum>
  <w:abstractNum w:abstractNumId="83">
    <w:nsid w:val="56438D15"/>
    <w:multiLevelType w:val="hybridMultilevel"/>
    <w:lvl w:ilvl="0">
      <w:lvlJc w:val="left"/>
      <w:lvlText w:val="(%1)"/>
      <w:numFmt w:val="lowerLetter"/>
      <w:start w:val="1"/>
    </w:lvl>
  </w:abstractNum>
  <w:abstractNum w:abstractNumId="84">
    <w:nsid w:val="519E3149"/>
    <w:multiLevelType w:val="hybridMultilevel"/>
    <w:lvl w:ilvl="0">
      <w:lvlJc w:val="left"/>
      <w:lvlText w:val="(%1)"/>
      <w:numFmt w:val="decimal"/>
      <w:start w:val="1"/>
    </w:lvl>
  </w:abstractNum>
  <w:abstractNum w:abstractNumId="85">
    <w:nsid w:val="2C6E4AFD"/>
    <w:multiLevelType w:val="hybridMultilevel"/>
    <w:lvl w:ilvl="0">
      <w:lvlJc w:val="left"/>
      <w:lvlText w:val="(%1)"/>
      <w:numFmt w:val="decimal"/>
      <w:start w:val="1"/>
    </w:lvl>
  </w:abstractNum>
  <w:abstractNum w:abstractNumId="86">
    <w:nsid w:val="17A1B582"/>
    <w:multiLevelType w:val="hybridMultilevel"/>
    <w:lvl w:ilvl="0">
      <w:lvlJc w:val="left"/>
      <w:lvlText w:val="(%1)"/>
      <w:numFmt w:val="lowerLetter"/>
      <w:start w:val="1"/>
    </w:lvl>
    <w:lvl w:ilvl="1">
      <w:lvlJc w:val="left"/>
      <w:lvlText w:val="(%2)"/>
      <w:numFmt w:val="decimal"/>
      <w:start w:val="1"/>
    </w:lvl>
  </w:abstractNum>
  <w:abstractNum w:abstractNumId="87">
    <w:nsid w:val="4DF72E4E"/>
    <w:multiLevelType w:val="hybridMultilevel"/>
    <w:lvl w:ilvl="0">
      <w:lvlJc w:val="left"/>
      <w:lvlText w:val="(%1)"/>
      <w:numFmt w:val="lowerLetter"/>
      <w:start w:val="1"/>
    </w:lvl>
    <w:lvl w:ilvl="1">
      <w:lvlJc w:val="left"/>
      <w:lvlText w:val="(%2)"/>
      <w:numFmt w:val="decimal"/>
      <w:start w:val="1"/>
    </w:lvl>
  </w:abstractNum>
  <w:abstractNum w:abstractNumId="88">
    <w:nsid w:val="5046B5A9"/>
    <w:multiLevelType w:val="hybridMultilevel"/>
    <w:lvl w:ilvl="0">
      <w:lvlJc w:val="left"/>
      <w:lvlText w:val="(%1)"/>
      <w:numFmt w:val="lowerLetter"/>
      <w:start w:val="1"/>
    </w:lvl>
  </w:abstractNum>
  <w:abstractNum w:abstractNumId="89">
    <w:nsid w:val="5D888A08"/>
    <w:multiLevelType w:val="hybridMultilevel"/>
    <w:lvl w:ilvl="0">
      <w:lvlJc w:val="left"/>
      <w:lvlText w:val="(%1)"/>
      <w:numFmt w:val="lowerLetter"/>
      <w:start w:val="4"/>
    </w:lvl>
  </w:abstractNum>
  <w:abstractNum w:abstractNumId="90">
    <w:nsid w:val="2A082C70"/>
    <w:multiLevelType w:val="hybridMultilevel"/>
    <w:lvl w:ilvl="0">
      <w:lvlJc w:val="left"/>
      <w:lvlText w:val="(%1)"/>
      <w:numFmt w:val="lowerLetter"/>
      <w:start w:val="1"/>
    </w:lvl>
    <w:lvl w:ilvl="1">
      <w:lvlJc w:val="left"/>
      <w:lvlText w:val="(%2)"/>
      <w:numFmt w:val="decimal"/>
      <w:start w:val="1"/>
    </w:lvl>
  </w:abstractNum>
  <w:abstractNum w:abstractNumId="91">
    <w:nsid w:val="5EC6AFD4"/>
    <w:multiLevelType w:val="hybridMultilevel"/>
    <w:lvl w:ilvl="0">
      <w:lvlJc w:val="left"/>
      <w:lvlText w:val="(%1)"/>
      <w:numFmt w:val="lowerLetter"/>
      <w:start w:val="1"/>
    </w:lvl>
  </w:abstractNum>
  <w:abstractNum w:abstractNumId="92">
    <w:nsid w:val="19E21BB2"/>
    <w:multiLevelType w:val="hybridMultilevel"/>
    <w:lvl w:ilvl="0">
      <w:lvlJc w:val="left"/>
      <w:lvlText w:val="(%1)"/>
      <w:numFmt w:val="lowerLetter"/>
      <w:start w:val="1"/>
    </w:lvl>
    <w:lvl w:ilvl="1">
      <w:lvlJc w:val="left"/>
      <w:lvlText w:val="(%2)"/>
      <w:numFmt w:val="decimal"/>
      <w:start w:val="1"/>
    </w:lvl>
  </w:abstractNum>
  <w:abstractNum w:abstractNumId="93">
    <w:nsid w:val="75E0858A"/>
    <w:multiLevelType w:val="hybridMultilevel"/>
    <w:lvl w:ilvl="0">
      <w:lvlJc w:val="left"/>
      <w:lvlText w:val="%1"/>
      <w:numFmt w:val="lowerLetter"/>
      <w:start w:val="1"/>
    </w:lvl>
    <w:lvl w:ilvl="1">
      <w:lvlJc w:val="left"/>
      <w:lvlText w:val="(%2)"/>
      <w:numFmt w:val="decimal"/>
      <w:start w:val="2"/>
    </w:lvl>
  </w:abstractNum>
  <w:abstractNum w:abstractNumId="94">
    <w:nsid w:val="57A61A29"/>
    <w:multiLevelType w:val="hybridMultilevel"/>
    <w:lvl w:ilvl="0">
      <w:lvlJc w:val="left"/>
      <w:lvlText w:val="(%1)"/>
      <w:numFmt w:val="lowerLetter"/>
      <w:start w:val="2"/>
    </w:lvl>
    <w:lvl w:ilvl="1">
      <w:lvlJc w:val="left"/>
      <w:lvlText w:val="(%2)"/>
      <w:numFmt w:val="decimal"/>
      <w:start w:val="1"/>
    </w:lvl>
  </w:abstractNum>
  <w:abstractNum w:abstractNumId="95">
    <w:nsid w:val="5399C654"/>
    <w:multiLevelType w:val="hybridMultilevel"/>
    <w:lvl w:ilvl="0">
      <w:lvlJc w:val="left"/>
      <w:lvlText w:val="(%1)"/>
      <w:numFmt w:val="lowerLetter"/>
      <w:start w:val="1"/>
    </w:lvl>
  </w:abstractNum>
  <w:abstractNum w:abstractNumId="96">
    <w:nsid w:val="20EE1348"/>
    <w:multiLevelType w:val="hybridMultilevel"/>
    <w:lvl w:ilvl="0">
      <w:lvlJc w:val="left"/>
      <w:lvlText w:val="(%1)"/>
      <w:numFmt w:val="decimal"/>
      <w:start w:val="2"/>
    </w:lvl>
  </w:abstractNum>
  <w:abstractNum w:abstractNumId="97">
    <w:nsid w:val="4427069A"/>
    <w:multiLevelType w:val="hybridMultilevel"/>
    <w:lvl w:ilvl="0">
      <w:lvlJc w:val="left"/>
      <w:lvlText w:val="(%1)"/>
      <w:numFmt w:val="lowerLetter"/>
      <w:start w:val="1"/>
    </w:lvl>
  </w:abstractNum>
  <w:abstractNum w:abstractNumId="98">
    <w:nsid w:val="B37E80A"/>
    <w:multiLevelType w:val="hybridMultilevel"/>
    <w:lvl w:ilvl="0">
      <w:lvlJc w:val="left"/>
      <w:lvlText w:val="(%1)"/>
      <w:numFmt w:val="lowerLetter"/>
      <w:start w:val="1"/>
    </w:lvl>
  </w:abstractNum>
  <w:abstractNum w:abstractNumId="99">
    <w:nsid w:val="2157F6BC"/>
    <w:multiLevelType w:val="hybridMultilevel"/>
    <w:lvl w:ilvl="0">
      <w:lvlJc w:val="left"/>
      <w:lvlText w:val="(%1)"/>
      <w:numFmt w:val="lowerLetter"/>
      <w:start w:val="2"/>
    </w:lvl>
  </w:abstractNum>
  <w:abstractNum w:abstractNumId="100">
    <w:nsid w:val="704E1DD5"/>
    <w:multiLevelType w:val="hybridMultilevel"/>
    <w:lvl w:ilvl="0">
      <w:lvlJc w:val="left"/>
      <w:lvlText w:val="(%1)"/>
      <w:numFmt w:val="lowerLetter"/>
      <w:start w:val="1"/>
    </w:lvl>
  </w:abstractNum>
  <w:abstractNum w:abstractNumId="101">
    <w:nsid w:val="57D2F10E"/>
    <w:multiLevelType w:val="hybridMultilevel"/>
    <w:lvl w:ilvl="0">
      <w:lvlJc w:val="left"/>
      <w:lvlText w:val="(%1)"/>
      <w:numFmt w:val="lowerLetter"/>
      <w:start w:val="1"/>
    </w:lvl>
  </w:abstractNum>
  <w:abstractNum w:abstractNumId="102">
    <w:nsid w:val="BFFAE18"/>
    <w:multiLevelType w:val="hybridMultilevel"/>
    <w:lvl w:ilvl="0">
      <w:lvlJc w:val="left"/>
      <w:lvlText w:val="(%1)"/>
      <w:numFmt w:val="lowerLetter"/>
      <w:start w:val="1"/>
    </w:lvl>
    <w:lvl w:ilvl="1">
      <w:lvlJc w:val="left"/>
      <w:lvlText w:val="(%2)"/>
      <w:numFmt w:val="decimal"/>
      <w:start w:val="1"/>
    </w:lvl>
  </w:abstractNum>
  <w:abstractNum w:abstractNumId="103">
    <w:nsid w:val="E3E47A8"/>
    <w:multiLevelType w:val="hybridMultilevel"/>
    <w:lvl w:ilvl="0">
      <w:lvlJc w:val="left"/>
      <w:lvlText w:val="(%1)"/>
      <w:numFmt w:val="lowerLetter"/>
      <w:start w:val="2"/>
    </w:lvl>
    <w:lvl w:ilvl="1">
      <w:lvlJc w:val="left"/>
      <w:lvlText w:val="(%2)"/>
      <w:numFmt w:val="decimal"/>
      <w:start w:val="1"/>
    </w:lvl>
  </w:abstractNum>
  <w:abstractNum w:abstractNumId="104">
    <w:nsid w:val="2E48F044"/>
    <w:multiLevelType w:val="hybridMultilevel"/>
    <w:lvl w:ilvl="0">
      <w:lvlJc w:val="left"/>
      <w:lvlText w:val="(%1)"/>
      <w:numFmt w:val="lowerRoman"/>
      <w:start w:val="2"/>
    </w:lvl>
  </w:abstractNum>
  <w:abstractNum w:abstractNumId="105">
    <w:nsid w:val="49D0FEAC"/>
    <w:multiLevelType w:val="hybridMultilevel"/>
    <w:lvl w:ilvl="0">
      <w:lvlJc w:val="left"/>
      <w:lvlText w:val="(%1)"/>
      <w:numFmt w:val="lowerLetter"/>
      <w:start w:val="2"/>
    </w:lvl>
  </w:abstractNum>
  <w:abstractNum w:abstractNumId="106">
    <w:nsid w:val="4BEE5A5B"/>
    <w:multiLevelType w:val="hybridMultilevel"/>
    <w:lvl w:ilvl="0">
      <w:lvlJc w:val="left"/>
      <w:lvlText w:val="(%1)"/>
      <w:numFmt w:val="lowerLetter"/>
      <w:start w:val="3"/>
    </w:lvl>
  </w:abstractNum>
  <w:abstractNum w:abstractNumId="107">
    <w:nsid w:val="5551B9F3"/>
    <w:multiLevelType w:val="hybridMultilevel"/>
    <w:lvl w:ilvl="0">
      <w:lvlJc w:val="left"/>
      <w:lvlText w:val="(%1)"/>
      <w:numFmt w:val="lowerLetter"/>
      <w:start w:val="2"/>
    </w:lvl>
  </w:abstractNum>
  <w:abstractNum w:abstractNumId="108">
    <w:nsid w:val="24F6AB8E"/>
    <w:multiLevelType w:val="hybridMultilevel"/>
    <w:lvl w:ilvl="0">
      <w:lvlJc w:val="left"/>
      <w:lvlText w:val="(%1)"/>
      <w:numFmt w:val="lowerLetter"/>
      <w:start w:val="1"/>
    </w:lvl>
  </w:abstractNum>
  <w:abstractNum w:abstractNumId="109">
    <w:nsid w:val="634C574C"/>
    <w:multiLevelType w:val="hybridMultilevel"/>
    <w:lvl w:ilvl="0">
      <w:lvlJc w:val="left"/>
      <w:lvlText w:val="(%1)"/>
      <w:numFmt w:val="lowerLetter"/>
      <w:start w:val="3"/>
    </w:lvl>
  </w:abstractNum>
  <w:abstractNum w:abstractNumId="110">
    <w:nsid w:val="24E99DD7"/>
    <w:multiLevelType w:val="hybridMultilevel"/>
    <w:lvl w:ilvl="0">
      <w:lvlJc w:val="left"/>
      <w:lvlText w:val="(%1)"/>
      <w:numFmt w:val="lowerLetter"/>
      <w:start w:val="1"/>
    </w:lvl>
    <w:lvl w:ilvl="1">
      <w:lvlJc w:val="left"/>
      <w:lvlText w:val="(%2)"/>
      <w:numFmt w:val="decimal"/>
      <w:start w:val="1"/>
    </w:lvl>
  </w:abstractNum>
  <w:abstractNum w:abstractNumId="111">
    <w:nsid w:val="2A31B62D"/>
    <w:multiLevelType w:val="hybridMultilevel"/>
    <w:lvl w:ilvl="0">
      <w:lvlJc w:val="left"/>
      <w:lvlText w:val="(%1)"/>
      <w:numFmt w:val="lowerLetter"/>
      <w:start w:val="3"/>
    </w:lvl>
  </w:abstractNum>
  <w:abstractNum w:abstractNumId="112">
    <w:nsid w:val="1849C29B"/>
    <w:multiLevelType w:val="hybridMultilevel"/>
    <w:lvl w:ilvl="0">
      <w:lvlJc w:val="left"/>
      <w:lvlText w:val="(%1)"/>
      <w:numFmt w:val="lowerLetter"/>
      <w:start w:val="2"/>
    </w:lvl>
    <w:lvl w:ilvl="1">
      <w:lvlJc w:val="left"/>
      <w:lvlText w:val="(%2)"/>
      <w:numFmt w:val="decimal"/>
      <w:start w:val="1"/>
    </w:lvl>
  </w:abstractNum>
  <w:abstractNum w:abstractNumId="113">
    <w:nsid w:val="7DFF9D09"/>
    <w:multiLevelType w:val="hybridMultilevel"/>
    <w:lvl w:ilvl="0">
      <w:lvlJc w:val="left"/>
      <w:lvlText w:val="(%1)"/>
      <w:numFmt w:val="lowerLetter"/>
      <w:start w:val="1"/>
    </w:lvl>
    <w:lvl w:ilvl="1">
      <w:lvlJc w:val="left"/>
      <w:lvlText w:val="(%2)"/>
      <w:numFmt w:val="lowerRoman"/>
      <w:start w:val="1"/>
    </w:lvl>
  </w:abstractNum>
  <w:abstractNum w:abstractNumId="114">
    <w:nsid w:val="754342"/>
    <w:multiLevelType w:val="hybridMultilevel"/>
    <w:lvl w:ilvl="0">
      <w:lvlJc w:val="left"/>
      <w:lvlText w:val="%1"/>
      <w:numFmt w:val="lowerLetter"/>
      <w:start w:val="1"/>
    </w:lvl>
    <w:lvl w:ilvl="1">
      <w:lvlJc w:val="left"/>
      <w:lvlText w:val="(%2)"/>
      <w:numFmt w:val="decimal"/>
      <w:start w:val="2"/>
    </w:lvl>
  </w:abstractNum>
  <w:abstractNum w:abstractNumId="115">
    <w:nsid w:val="69E7F3E5"/>
    <w:multiLevelType w:val="hybridMultilevel"/>
    <w:lvl w:ilvl="0">
      <w:lvlJc w:val="left"/>
      <w:lvlText w:val="(%1)"/>
      <w:numFmt w:val="lowerLetter"/>
      <w:start w:val="2"/>
    </w:lvl>
    <w:lvl w:ilvl="1">
      <w:lvlJc w:val="left"/>
      <w:lvlText w:val="(%2)"/>
      <w:numFmt w:val="decimal"/>
      <w:start w:val="1"/>
    </w:lvl>
  </w:abstractNum>
  <w:abstractNum w:abstractNumId="116">
    <w:nsid w:val="2A6DE806"/>
    <w:multiLevelType w:val="hybridMultilevel"/>
    <w:lvl w:ilvl="0">
      <w:lvlJc w:val="left"/>
      <w:lvlText w:val="(%1)"/>
      <w:numFmt w:val="decimal"/>
      <w:start w:val="1"/>
    </w:lvl>
  </w:abstractNum>
  <w:abstractNum w:abstractNumId="117">
    <w:nsid w:val="1816F8C4"/>
    <w:multiLevelType w:val="hybridMultilevel"/>
    <w:lvl w:ilvl="0">
      <w:lvlJc w:val="left"/>
      <w:lvlText w:val="(%1)"/>
      <w:numFmt w:val="decimal"/>
      <w:start w:val="5"/>
    </w:lvl>
  </w:abstractNum>
  <w:abstractNum w:abstractNumId="118">
    <w:nsid w:val="37DF2233"/>
    <w:multiLevelType w:val="hybridMultilevel"/>
    <w:lvl w:ilvl="0">
      <w:lvlJc w:val="left"/>
      <w:lvlText w:val="(%1)"/>
      <w:numFmt w:val="lowerLetter"/>
      <w:start w:val="2"/>
    </w:lvl>
    <w:lvl w:ilvl="1">
      <w:lvlJc w:val="left"/>
      <w:lvlText w:val="(%2)"/>
      <w:numFmt w:val="decimal"/>
      <w:start w:val="1"/>
    </w:lvl>
  </w:abstractNum>
  <w:abstractNum w:abstractNumId="119">
    <w:nsid w:val="7AB49DAF"/>
    <w:multiLevelType w:val="hybridMultilevel"/>
    <w:lvl w:ilvl="0">
      <w:lvlJc w:val="left"/>
      <w:lvlText w:val="%1"/>
      <w:numFmt w:val="decimal"/>
      <w:start w:val="1"/>
    </w:lvl>
    <w:lvl w:ilvl="1">
      <w:lvlJc w:val="left"/>
      <w:lvlText w:val="(%2)"/>
      <w:numFmt w:val="lowerLetter"/>
      <w:start w:val="1"/>
    </w:lvl>
  </w:abstractNum>
  <w:abstractNum w:abstractNumId="120">
    <w:nsid w:val="759F82CD"/>
    <w:multiLevelType w:val="hybridMultilevel"/>
    <w:lvl w:ilvl="0">
      <w:lvlJc w:val="left"/>
      <w:lvlText w:val="(%1)"/>
      <w:numFmt w:val="decimal"/>
      <w:start w:val="2"/>
    </w:lvl>
    <w:lvl w:ilvl="1">
      <w:lvlJc w:val="left"/>
      <w:lvlText w:val="(%2)"/>
      <w:numFmt w:val="lowerLetter"/>
      <w:start w:val="3"/>
    </w:lvl>
  </w:abstractNum>
  <w:abstractNum w:abstractNumId="121">
    <w:nsid w:val="61E74EA3"/>
    <w:multiLevelType w:val="hybridMultilevel"/>
    <w:lvl w:ilvl="0">
      <w:lvlJc w:val="left"/>
      <w:lvlText w:val="(%1)"/>
      <w:numFmt w:val="lowerLetter"/>
      <w:start w:val="1"/>
    </w:lvl>
  </w:abstractNum>
  <w:abstractNum w:abstractNumId="122">
    <w:nsid w:val="597B4D84"/>
    <w:multiLevelType w:val="hybridMultilevel"/>
    <w:lvl w:ilvl="0">
      <w:lvlJc w:val="left"/>
      <w:lvlText w:val="(%1)"/>
      <w:numFmt w:val="lowerLetter"/>
      <w:start w:val="1"/>
    </w:lvl>
    <w:lvl w:ilvl="1">
      <w:lvlJc w:val="left"/>
      <w:lvlText w:val="(%2)"/>
      <w:numFmt w:val="decimal"/>
      <w:start w:val="2"/>
    </w:lvl>
  </w:abstractNum>
  <w:abstractNum w:abstractNumId="123">
    <w:nsid w:val="F819E7F"/>
    <w:multiLevelType w:val="hybridMultilevel"/>
    <w:lvl w:ilvl="0">
      <w:lvlJc w:val="left"/>
      <w:lvlText w:val="(%1)"/>
      <w:numFmt w:val="lowerLetter"/>
      <w:start w:val="1"/>
    </w:lvl>
  </w:abstractNum>
  <w:abstractNum w:abstractNumId="124">
    <w:nsid w:val="57C7D42D"/>
    <w:multiLevelType w:val="hybridMultilevel"/>
    <w:lvl w:ilvl="0">
      <w:lvlJc w:val="left"/>
      <w:lvlText w:val="(%1)"/>
      <w:numFmt w:val="lowerLetter"/>
      <w:start w:val="3"/>
    </w:lvl>
  </w:abstractNum>
  <w:abstractNum w:abstractNumId="125">
    <w:nsid w:val="312167AD"/>
    <w:multiLevelType w:val="hybridMultilevel"/>
    <w:lvl w:ilvl="0">
      <w:lvlJc w:val="left"/>
      <w:lvlText w:val="(%1)"/>
      <w:numFmt w:val="lowerLetter"/>
      <w:start w:val="1"/>
    </w:lvl>
  </w:abstractNum>
  <w:abstractNum w:abstractNumId="126">
    <w:nsid w:val="631B64D4"/>
    <w:multiLevelType w:val="hybridMultilevel"/>
    <w:lvl w:ilvl="0">
      <w:lvlJc w:val="left"/>
      <w:lvlText w:val="(%1)"/>
      <w:numFmt w:val="lowerLetter"/>
      <w:start w:val="1"/>
    </w:lvl>
  </w:abstractNum>
  <w:abstractNum w:abstractNumId="127">
    <w:nsid w:val="78B5E776"/>
    <w:multiLevelType w:val="hybridMultilevel"/>
    <w:lvl w:ilvl="0">
      <w:lvlJc w:val="left"/>
      <w:lvlText w:val="(%1)"/>
      <w:numFmt w:val="lowerLetter"/>
      <w:start w:val="5"/>
    </w:lvl>
  </w:abstractNum>
  <w:abstractNum w:abstractNumId="128">
    <w:nsid w:val="75486E47"/>
    <w:multiLevelType w:val="hybridMultilevel"/>
    <w:lvl w:ilvl="0">
      <w:lvlJc w:val="left"/>
      <w:lvlText w:val="(%1)"/>
      <w:numFmt w:val="lowerLetter"/>
      <w:start w:val="1"/>
    </w:lvl>
  </w:abstractNum>
  <w:abstractNum w:abstractNumId="129">
    <w:nsid w:val="6E534CDE"/>
    <w:multiLevelType w:val="hybridMultilevel"/>
    <w:lvl w:ilvl="0">
      <w:lvlJc w:val="left"/>
      <w:lvlText w:val="%1"/>
      <w:numFmt w:val="decimal"/>
      <w:start w:val="1"/>
    </w:lvl>
    <w:lvl w:ilvl="1">
      <w:lvlJc w:val="left"/>
      <w:lvlText w:val="(%2)"/>
      <w:numFmt w:val="lowerLetter"/>
      <w:start w:val="1"/>
    </w:lvl>
  </w:abstractNum>
  <w:abstractNum w:abstractNumId="130">
    <w:nsid w:val="1A0DDE32"/>
    <w:multiLevelType w:val="hybridMultilevel"/>
    <w:lvl w:ilvl="0">
      <w:lvlJc w:val="left"/>
      <w:lvlText w:val="(%1)"/>
      <w:numFmt w:val="decimal"/>
      <w:start w:val="2"/>
    </w:lvl>
    <w:lvl w:ilvl="1">
      <w:lvlJc w:val="left"/>
      <w:lvlText w:val="%2"/>
      <w:numFmt w:val="lowerLetter"/>
      <w:start w:val="1"/>
    </w:lvl>
  </w:abstractNum>
  <w:abstractNum w:abstractNumId="131">
    <w:nsid w:val="65968C1C"/>
    <w:multiLevelType w:val="hybridMultilevel"/>
    <w:lvl w:ilvl="0">
      <w:lvlJc w:val="left"/>
      <w:lvlText w:val="(%1)"/>
      <w:numFmt w:val="lowerLetter"/>
      <w:start w:val="1"/>
    </w:lvl>
    <w:lvl w:ilvl="1">
      <w:lvlJc w:val="left"/>
      <w:lvlText w:val="(%2)"/>
      <w:numFmt w:val="decimal"/>
      <w:start w:val="1"/>
    </w:lvl>
  </w:abstractNum>
  <w:abstractNum w:abstractNumId="132">
    <w:nsid w:val="46263DEC"/>
    <w:multiLevelType w:val="hybridMultilevel"/>
    <w:lvl w:ilvl="0">
      <w:lvlJc w:val="left"/>
      <w:lvlText w:val="(%1)"/>
      <w:numFmt w:val="lowerLetter"/>
      <w:start w:val="1"/>
    </w:lvl>
  </w:abstractNum>
  <w:abstractNum w:abstractNumId="133">
    <w:nsid w:val="260D8C4A"/>
    <w:multiLevelType w:val="hybridMultilevel"/>
    <w:lvl w:ilvl="0">
      <w:lvlJc w:val="left"/>
      <w:lvlText w:val="(%1)"/>
      <w:numFmt w:val="lowerLetter"/>
      <w:start w:val="1"/>
    </w:lvl>
  </w:abstractNum>
  <w:abstractNum w:abstractNumId="134">
    <w:nsid w:val="73D4D3C4"/>
    <w:multiLevelType w:val="hybridMultilevel"/>
    <w:lvl w:ilvl="0">
      <w:lvlJc w:val="left"/>
      <w:lvlText w:val="(%1)"/>
      <w:numFmt w:val="lowerLetter"/>
      <w:start w:val="5"/>
    </w:lvl>
  </w:abstractNum>
  <w:abstractNum w:abstractNumId="135">
    <w:nsid w:val="746F2E30"/>
    <w:multiLevelType w:val="hybridMultilevel"/>
    <w:lvl w:ilvl="0">
      <w:lvlJc w:val="left"/>
      <w:lvlText w:val="(%1)"/>
      <w:numFmt w:val="lowerLetter"/>
      <w:start w:val="1"/>
    </w:lvl>
  </w:abstractNum>
  <w:abstractNum w:abstractNumId="136">
    <w:nsid w:val="6FDE8AF6"/>
    <w:multiLevelType w:val="hybridMultilevel"/>
    <w:lvl w:ilvl="0">
      <w:lvlJc w:val="left"/>
      <w:lvlText w:val="(%1)"/>
      <w:numFmt w:val="lowerLetter"/>
      <w:start w:val="6"/>
    </w:lvl>
  </w:abstractNum>
  <w:abstractNum w:abstractNumId="137">
    <w:nsid w:val="3FC32E20"/>
    <w:multiLevelType w:val="hybridMultilevel"/>
    <w:lvl w:ilvl="0">
      <w:lvlJc w:val="left"/>
      <w:lvlText w:val="(%1)"/>
      <w:numFmt w:val="lowerLetter"/>
      <w:start w:val="1"/>
    </w:lvl>
  </w:abstractNum>
  <w:abstractNum w:abstractNumId="138">
    <w:nsid w:val="49C0E823"/>
    <w:multiLevelType w:val="hybridMultilevel"/>
    <w:lvl w:ilvl="0">
      <w:lvlJc w:val="left"/>
      <w:lvlText w:val="(%1)"/>
      <w:numFmt w:val="lowerLetter"/>
      <w:start w:val="1"/>
    </w:lvl>
  </w:abstractNum>
  <w:abstractNum w:abstractNumId="139">
    <w:nsid w:val="14D53685"/>
    <w:multiLevelType w:val="hybridMultilevel"/>
    <w:lvl w:ilvl="0">
      <w:lvlJc w:val="left"/>
      <w:lvlText w:val="(%1)"/>
      <w:numFmt w:val="lowerLetter"/>
      <w:start w:val="2"/>
    </w:lvl>
  </w:abstractNum>
  <w:abstractNum w:abstractNumId="140">
    <w:nsid w:val="230F856C"/>
    <w:multiLevelType w:val="hybridMultilevel"/>
    <w:lvl w:ilvl="0">
      <w:lvlJc w:val="left"/>
      <w:lvlText w:val="(%1)"/>
      <w:numFmt w:val="lowerLetter"/>
      <w:start w:val="1"/>
    </w:lvl>
    <w:lvl w:ilvl="1">
      <w:lvlJc w:val="left"/>
      <w:lvlText w:val="(%2)"/>
      <w:numFmt w:val="lowerRoman"/>
      <w:start w:val="1"/>
    </w:lvl>
  </w:abstractNum>
  <w:abstractNum w:abstractNumId="141">
    <w:nsid w:val="6EAA85FB"/>
    <w:multiLevelType w:val="hybridMultilevel"/>
    <w:lvl w:ilvl="0">
      <w:lvlJc w:val="left"/>
      <w:lvlText w:val="(%1)"/>
      <w:numFmt w:val="lowerLetter"/>
      <w:start w:val="1"/>
    </w:lvl>
  </w:abstractNum>
  <w:abstractNum w:abstractNumId="142">
    <w:nsid w:val="3F06ECB2"/>
    <w:multiLevelType w:val="hybridMultilevel"/>
    <w:lvl w:ilvl="0">
      <w:lvlJc w:val="left"/>
      <w:lvlText w:val="(%1)"/>
      <w:numFmt w:val="lowerLetter"/>
      <w:start w:val="3"/>
    </w:lvl>
  </w:abstractNum>
  <w:abstractNum w:abstractNumId="143">
    <w:nsid w:val="3B594807"/>
    <w:multiLevelType w:val="hybridMultilevel"/>
    <w:lvl w:ilvl="0">
      <w:lvlJc w:val="left"/>
      <w:lvlText w:val="(%1)"/>
      <w:numFmt w:val="lowerLetter"/>
      <w:start w:val="1"/>
    </w:lvl>
    <w:lvl w:ilvl="1">
      <w:lvlJc w:val="left"/>
      <w:lvlText w:val="(%2)"/>
      <w:numFmt w:val="decimal"/>
      <w:start w:val="1"/>
    </w:lvl>
  </w:abstractNum>
  <w:abstractNum w:abstractNumId="144">
    <w:nsid w:val="6CAA2304"/>
    <w:multiLevelType w:val="hybridMultilevel"/>
    <w:lvl w:ilvl="0">
      <w:lvlJc w:val="left"/>
      <w:lvlText w:val="%1"/>
      <w:numFmt w:val="lowerLetter"/>
      <w:start w:val="1"/>
    </w:lvl>
    <w:lvl w:ilvl="1">
      <w:lvlJc w:val="left"/>
      <w:lvlText w:val="(%2)"/>
      <w:numFmt w:val="decimal"/>
      <w:start w:val="3"/>
    </w:lvl>
  </w:abstractNum>
  <w:abstractNum w:abstractNumId="145">
    <w:nsid w:val="3F7C2FF4"/>
    <w:multiLevelType w:val="hybridMultilevel"/>
    <w:lvl w:ilvl="0">
      <w:lvlJc w:val="left"/>
      <w:lvlText w:val="(%1)"/>
      <w:numFmt w:val="lowerLetter"/>
      <w:start w:val="2"/>
    </w:lvl>
    <w:lvl w:ilvl="1">
      <w:lvlJc w:val="left"/>
      <w:lvlText w:val="(%2)"/>
      <w:numFmt w:val="decimal"/>
      <w:start w:val="1"/>
    </w:lvl>
  </w:abstractNum>
  <w:abstractNum w:abstractNumId="146">
    <w:nsid w:val="25413BEC"/>
    <w:multiLevelType w:val="hybridMultilevel"/>
    <w:lvl w:ilvl="0">
      <w:lvlJc w:val="left"/>
      <w:lvlText w:val="(%1)"/>
      <w:numFmt w:val="lowerLetter"/>
      <w:start w:val="1"/>
    </w:lvl>
  </w:abstractNum>
  <w:abstractNum w:abstractNumId="147">
    <w:nsid w:val="17180B0B"/>
    <w:multiLevelType w:val="hybridMultilevel"/>
    <w:lvl w:ilvl="0">
      <w:lvlJc w:val="left"/>
      <w:lvlText w:val="(%1)"/>
      <w:numFmt w:val="lowerLetter"/>
      <w:start w:val="1"/>
    </w:lvl>
  </w:abstractNum>
  <w:abstractNum w:abstractNumId="148">
    <w:nsid w:val="579328B9"/>
    <w:multiLevelType w:val="hybridMultilevel"/>
    <w:lvl w:ilvl="0">
      <w:lvlJc w:val="left"/>
      <w:lvlText w:val="(%1)"/>
      <w:numFmt w:val="lowerLetter"/>
      <w:start w:val="1"/>
    </w:lvl>
  </w:abstractNum>
  <w:abstractNum w:abstractNumId="149">
    <w:nsid w:val="5D205E20"/>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50">
    <w:nsid w:val="11CCA8BA"/>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51">
    <w:nsid w:val="4D32AB86"/>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152">
    <w:nsid w:val="3F07ACC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3"/>
    </w:lvl>
  </w:abstractNum>
  <w:abstractNum w:abstractNumId="153">
    <w:nsid w:val="6B47F63E"/>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54">
    <w:nsid w:val="5CB44A05"/>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155">
    <w:nsid w:val="16CF80F1"/>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156">
    <w:nsid w:val="1C695DEC"/>
    <w:multiLevelType w:val="hybridMultilevel"/>
    <w:lvl w:ilvl="0">
      <w:lvlJc w:val="left"/>
      <w:lvlText w:val="(%1)"/>
      <w:numFmt w:val="lowerLetter"/>
      <w:start w:val="1"/>
    </w:lvl>
  </w:abstractNum>
  <w:abstractNum w:abstractNumId="157">
    <w:nsid w:val="3FCFAED9"/>
    <w:multiLevelType w:val="hybridMultilevel"/>
    <w:lvl w:ilvl="0">
      <w:lvlJc w:val="left"/>
      <w:lvlText w:val="(%1)"/>
      <w:numFmt w:val="lowerLetter"/>
      <w:start w:val="1"/>
    </w:lvl>
  </w:abstractNum>
  <w:abstractNum w:abstractNumId="158">
    <w:nsid w:val="F856867"/>
    <w:multiLevelType w:val="hybridMultilevel"/>
    <w:lvl w:ilvl="0">
      <w:lvlJc w:val="left"/>
      <w:lvlText w:val="(%1)"/>
      <w:numFmt w:val="lowerLetter"/>
      <w:start w:val="2"/>
    </w:lvl>
  </w:abstractNum>
  <w:abstractNum w:abstractNumId="159">
    <w:nsid w:val="11B1CC33"/>
    <w:multiLevelType w:val="hybridMultilevel"/>
    <w:lvl w:ilvl="0">
      <w:lvlJc w:val="left"/>
      <w:lvlText w:val="(%1)"/>
      <w:numFmt w:val="lowerLetter"/>
      <w:start w:val="1"/>
    </w:lvl>
  </w:abstractNum>
  <w:abstractNum w:abstractNumId="160">
    <w:nsid w:val="2E22FBB7"/>
    <w:multiLevelType w:val="hybridMultilevel"/>
    <w:lvl w:ilvl="0">
      <w:lvlJc w:val="left"/>
      <w:lvlText w:val="(%1)"/>
      <w:numFmt w:val="lowerLetter"/>
      <w:start w:val="3"/>
    </w:lvl>
  </w:abstractNum>
  <w:abstractNum w:abstractNumId="161">
    <w:nsid w:val="29934699"/>
    <w:multiLevelType w:val="hybridMultilevel"/>
    <w:lvl w:ilvl="0">
      <w:lvlJc w:val="left"/>
      <w:lvlText w:val="(%1)"/>
      <w:numFmt w:val="decimal"/>
      <w:start w:val="3"/>
    </w:lvl>
  </w:abstractNum>
  <w:abstractNum w:abstractNumId="162">
    <w:nsid w:val="77485850"/>
    <w:multiLevelType w:val="hybridMultilevel"/>
    <w:lvl w:ilvl="0">
      <w:lvlJc w:val="left"/>
      <w:lvlText w:val="%1."/>
      <w:numFmt w:val="decimal"/>
      <w:start w:val="1"/>
    </w:lvl>
  </w:abstractNum>
  <w:abstractNum w:abstractNumId="163">
    <w:nsid w:val="744939A3"/>
    <w:multiLevelType w:val="hybridMultilevel"/>
    <w:lvl w:ilvl="0">
      <w:lvlJc w:val="left"/>
      <w:lvlText w:val="(%1)"/>
      <w:numFmt w:val="decimal"/>
      <w:start w:val="1"/>
    </w:lvl>
  </w:abstractNum>
  <w:abstractNum w:abstractNumId="164">
    <w:nsid w:val="4FA0D2E3"/>
    <w:multiLevelType w:val="hybridMultilevel"/>
    <w:lvl w:ilvl="0">
      <w:lvlJc w:val="left"/>
      <w:lvlText w:val="%1."/>
      <w:numFmt w:val="decimal"/>
      <w:start w:val="1"/>
    </w:lvl>
    <w:lvl w:ilvl="1">
      <w:lvlJc w:val="left"/>
      <w:lvlText w:val="%2)"/>
      <w:numFmt w:val="lowerLetter"/>
      <w:start w:val="1"/>
    </w:lvl>
  </w:abstractNum>
  <w:abstractNum w:abstractNumId="165">
    <w:nsid w:val="6B1D2C14"/>
    <w:multiLevelType w:val="hybridMultilevel"/>
    <w:lvl w:ilvl="0">
      <w:lvlJc w:val="left"/>
      <w:lvlText w:val="%1."/>
      <w:numFmt w:val="decimal"/>
      <w:start w:val="1"/>
    </w:lvl>
    <w:lvl w:ilvl="1">
      <w:lvlJc w:val="left"/>
      <w:lvlText w:val="%2)"/>
      <w:numFmt w:val="lowerLetter"/>
      <w:start w:val="1"/>
    </w:lvl>
  </w:abstractNum>
  <w:abstractNum w:abstractNumId="166">
    <w:nsid w:val="68B867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2019-12-07T03:25:08Z</dcterms:created>
  <dcterms:modified xsi:type="dcterms:W3CDTF">2019-12-07T03:25:08Z</dcterms:modified>
</cp:coreProperties>
</file>