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463" w:right="265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0" w:lineRule="exact"/>
        <w:rPr>
          <w:sz w:val="24"/>
          <w:szCs w:val="24"/>
          <w:color w:val="auto"/>
        </w:rPr>
      </w:pPr>
    </w:p>
    <w:p>
      <w:pPr>
        <w:ind w:left="463" w:right="2939" w:hanging="463"/>
        <w:spacing w:after="0" w:line="237" w:lineRule="auto"/>
        <w:tabs>
          <w:tab w:leader="none" w:pos="2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 to ________.</w:t>
      </w:r>
    </w:p>
    <w:p>
      <w:pPr>
        <w:spacing w:after="0" w:line="183"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Commission File Number 0-6983</w:t>
      </w:r>
    </w:p>
    <w:p>
      <w:pPr>
        <w:spacing w:after="0" w:line="364"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[GRAPHIC OMITTED - LOGO]</w:t>
      </w:r>
    </w:p>
    <w:p>
      <w:pPr>
        <w:spacing w:after="0" w:line="364"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tbl>
      <w:tblPr>
        <w:tblLayout w:type="fixed"/>
        <w:tblInd w:w="1323"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52" w:lineRule="exact"/>
        <w:rPr>
          <w:sz w:val="24"/>
          <w:szCs w:val="24"/>
          <w:color w:val="auto"/>
        </w:rPr>
      </w:pPr>
    </w:p>
    <w:p>
      <w:pPr>
        <w:ind w:left="463" w:right="3499"/>
        <w:spacing w:after="0" w:line="237"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4" w:lineRule="exact"/>
        <w:rPr>
          <w:sz w:val="24"/>
          <w:szCs w:val="24"/>
          <w:color w:val="auto"/>
        </w:rPr>
      </w:pPr>
    </w:p>
    <w:p>
      <w:pPr>
        <w:ind w:left="1603"/>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Registrant's telephone number, including area code: (215) 665-1700</w:t>
      </w:r>
    </w:p>
    <w:p>
      <w:pPr>
        <w:spacing w:after="0" w:line="183"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2"/>
          </w:cols>
          <w:pgMar w:left="237" w:top="235" w:right="1440" w:bottom="0" w:gutter="0" w:footer="0" w:header="0"/>
        </w:sectPr>
      </w:pPr>
    </w:p>
    <w:p>
      <w:pPr>
        <w:spacing w:after="0" w:line="185"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__X__</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____</w:t>
      </w:r>
    </w:p>
    <w:p>
      <w:pPr>
        <w:spacing w:after="0" w:line="193" w:lineRule="exact"/>
        <w:rPr>
          <w:sz w:val="24"/>
          <w:szCs w:val="24"/>
          <w:color w:val="auto"/>
        </w:rPr>
      </w:pPr>
    </w:p>
    <w:p>
      <w:pPr>
        <w:sectPr>
          <w:pgSz w:w="11900" w:h="16838" w:orient="portrait"/>
          <w:cols w:equalWidth="0" w:num="3">
            <w:col w:w="1143" w:space="180"/>
            <w:col w:w="3340" w:space="720"/>
            <w:col w:w="4839"/>
          </w:cols>
          <w:pgMar w:left="237" w:top="235" w:right="1440" w:bottom="0" w:gutter="0" w:footer="0" w:header="0"/>
          <w:type w:val="continuous"/>
        </w:sectPr>
      </w:pPr>
    </w:p>
    <w:p>
      <w:pPr>
        <w:ind w:left="2563"/>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235" w:right="1440" w:bottom="0" w:gutter="0" w:footer="0" w:header="0"/>
          <w:type w:val="continuous"/>
        </w:sectPr>
      </w:pPr>
    </w:p>
    <w:p>
      <w:pPr>
        <w:spacing w:after="0" w:line="194" w:lineRule="exact"/>
        <w:rPr>
          <w:sz w:val="24"/>
          <w:szCs w:val="24"/>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As of September 30, 1996, there were 190,525,452 shares of Class A Special Common Stock, 34,002,024 shares of Class A Common Stock and 8,786,250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QUARTER ENDED SEPTEMBER 30, 1996</w:t>
      </w:r>
    </w:p>
    <w:p>
      <w:pPr>
        <w:spacing w:after="0" w:line="183"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7103"/>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4"/>
          <w:szCs w:val="24"/>
          <w:color w:val="auto"/>
        </w:rPr>
      </w:pPr>
    </w:p>
    <w:p>
      <w:pPr>
        <w:ind w:left="7003"/>
        <w:spacing w:after="0"/>
        <w:rPr>
          <w:sz w:val="20"/>
          <w:szCs w:val="20"/>
          <w:color w:val="auto"/>
        </w:rPr>
      </w:pPr>
      <w:r>
        <w:rPr>
          <w:rFonts w:ascii="Courier New" w:cs="Courier New" w:eastAsia="Courier New" w:hAnsi="Courier New"/>
          <w:sz w:val="15"/>
          <w:szCs w:val="15"/>
          <w:color w:val="auto"/>
        </w:rPr>
        <w:t>Number</w:t>
      </w:r>
    </w:p>
    <w:p>
      <w:pPr>
        <w:spacing w:after="0" w:line="190"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Balance</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Sheet as of September 30, 1996 and December 31,</w:t>
      </w:r>
    </w:p>
    <w:p>
      <w:pPr>
        <w:spacing w:after="0" w:line="1" w:lineRule="exact"/>
        <w:rPr>
          <w:sz w:val="24"/>
          <w:szCs w:val="24"/>
          <w:color w:val="auto"/>
        </w:rPr>
      </w:pPr>
    </w:p>
    <w:p>
      <w:pPr>
        <w:ind w:left="1883"/>
        <w:spacing w:after="0"/>
        <w:tabs>
          <w:tab w:leader="dot" w:pos="7263" w:val="left"/>
        </w:tabs>
        <w:rPr>
          <w:sz w:val="20"/>
          <w:szCs w:val="20"/>
          <w:color w:val="auto"/>
        </w:rPr>
      </w:pPr>
      <w:r>
        <w:rPr>
          <w:rFonts w:ascii="Courier New" w:cs="Courier New" w:eastAsia="Courier New" w:hAnsi="Courier New"/>
          <w:sz w:val="16"/>
          <w:szCs w:val="16"/>
          <w:color w:val="auto"/>
        </w:rPr>
        <w:t>1995 (Unaudited)</w:t>
      </w:r>
      <w:r>
        <w:rPr>
          <w:sz w:val="20"/>
          <w:szCs w:val="20"/>
          <w:color w:val="auto"/>
        </w:rPr>
        <w:tab/>
      </w:r>
      <w:r>
        <w:rPr>
          <w:rFonts w:ascii="Courier New" w:cs="Courier New" w:eastAsia="Courier New" w:hAnsi="Courier New"/>
          <w:sz w:val="16"/>
          <w:szCs w:val="16"/>
          <w:color w:val="auto"/>
        </w:rPr>
        <w:t>2</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the Nine and Three Months Ended September 30,</w:t>
      </w:r>
    </w:p>
    <w:p>
      <w:pPr>
        <w:spacing w:after="0" w:line="1" w:lineRule="exact"/>
        <w:rPr>
          <w:sz w:val="24"/>
          <w:szCs w:val="24"/>
          <w:color w:val="auto"/>
        </w:rPr>
      </w:pPr>
    </w:p>
    <w:p>
      <w:pPr>
        <w:ind w:left="1883"/>
        <w:spacing w:after="0"/>
        <w:tabs>
          <w:tab w:leader="dot" w:pos="7263" w:val="left"/>
        </w:tabs>
        <w:rPr>
          <w:sz w:val="20"/>
          <w:szCs w:val="20"/>
          <w:color w:val="auto"/>
        </w:rPr>
      </w:pPr>
      <w:r>
        <w:rPr>
          <w:rFonts w:ascii="Courier New" w:cs="Courier New" w:eastAsia="Courier New" w:hAnsi="Courier New"/>
          <w:sz w:val="16"/>
          <w:szCs w:val="16"/>
          <w:color w:val="auto"/>
        </w:rPr>
        <w:t>1996 and 1995 (Unaudited)</w:t>
      </w:r>
      <w:r>
        <w:rPr>
          <w:sz w:val="20"/>
          <w:szCs w:val="20"/>
          <w:color w:val="auto"/>
        </w:rPr>
        <w:tab/>
      </w:r>
      <w:r>
        <w:rPr>
          <w:rFonts w:ascii="Courier New" w:cs="Courier New" w:eastAsia="Courier New" w:hAnsi="Courier New"/>
          <w:sz w:val="16"/>
          <w:szCs w:val="16"/>
          <w:color w:val="auto"/>
        </w:rPr>
        <w:t>3</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Flows for the Nine Months Ended September 30,</w:t>
      </w:r>
    </w:p>
    <w:p>
      <w:pPr>
        <w:spacing w:after="0" w:line="1" w:lineRule="exact"/>
        <w:rPr>
          <w:sz w:val="24"/>
          <w:szCs w:val="24"/>
          <w:color w:val="auto"/>
        </w:rPr>
      </w:pPr>
    </w:p>
    <w:p>
      <w:pPr>
        <w:ind w:left="1883"/>
        <w:spacing w:after="0"/>
        <w:tabs>
          <w:tab w:leader="dot" w:pos="7263" w:val="left"/>
        </w:tabs>
        <w:rPr>
          <w:sz w:val="20"/>
          <w:szCs w:val="20"/>
          <w:color w:val="auto"/>
        </w:rPr>
      </w:pPr>
      <w:r>
        <w:rPr>
          <w:rFonts w:ascii="Courier New" w:cs="Courier New" w:eastAsia="Courier New" w:hAnsi="Courier New"/>
          <w:sz w:val="16"/>
          <w:szCs w:val="16"/>
          <w:color w:val="auto"/>
        </w:rPr>
        <w:t>1996 and 1995 (Unaudited)</w:t>
      </w:r>
      <w:r>
        <w:rPr>
          <w:sz w:val="20"/>
          <w:szCs w:val="20"/>
          <w:color w:val="auto"/>
        </w:rPr>
        <w:tab/>
      </w:r>
      <w:r>
        <w:rPr>
          <w:rFonts w:ascii="Courier New" w:cs="Courier New" w:eastAsia="Courier New" w:hAnsi="Courier New"/>
          <w:sz w:val="16"/>
          <w:szCs w:val="16"/>
          <w:color w:val="auto"/>
        </w:rPr>
        <w:t>4</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Notes to Condensed Consolidated</w:t>
      </w:r>
    </w:p>
    <w:p>
      <w:pPr>
        <w:spacing w:after="0" w:line="1" w:lineRule="exact"/>
        <w:rPr>
          <w:sz w:val="24"/>
          <w:szCs w:val="24"/>
          <w:color w:val="auto"/>
        </w:rPr>
      </w:pPr>
    </w:p>
    <w:p>
      <w:pPr>
        <w:ind w:left="1883"/>
        <w:spacing w:after="0"/>
        <w:tabs>
          <w:tab w:leader="dot" w:pos="6783"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6"/>
          <w:szCs w:val="16"/>
          <w:color w:val="auto"/>
        </w:rPr>
        <w:t>5 - 13</w:t>
      </w:r>
    </w:p>
    <w:p>
      <w:pPr>
        <w:spacing w:after="0" w:line="183" w:lineRule="exact"/>
        <w:rPr>
          <w:sz w:val="24"/>
          <w:szCs w:val="24"/>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of Financial Condition and Results of</w:t>
      </w:r>
    </w:p>
    <w:p>
      <w:pPr>
        <w:sectPr>
          <w:pgSz w:w="11900" w:h="16838" w:orient="portrait"/>
          <w:cols w:equalWidth="0" w:num="1">
            <w:col w:w="10222"/>
          </w:cols>
          <w:pgMar w:left="237" w:top="235" w:right="1440" w:bottom="0" w:gutter="0" w:footer="0" w:header="0"/>
          <w:type w:val="continuous"/>
        </w:sectPr>
      </w:pPr>
    </w:p>
    <w:bookmarkStart w:id="1" w:name="page2"/>
    <w:bookmarkEnd w:id="1"/>
    <w:tbl>
      <w:tblPr>
        <w:tblLayout w:type="fixed"/>
        <w:tblInd w:w="1880" w:type="dxa"/>
        <w:tblCellMar>
          <w:top w:w="0" w:type="dxa"/>
          <w:left w:w="0" w:type="dxa"/>
          <w:bottom w:w="0" w:type="dxa"/>
          <w:right w:w="0" w:type="dxa"/>
        </w:tblCellMar>
      </w:tblPr>
      <w:tr>
        <w:trPr>
          <w:trHeight w:val="181"/>
        </w:trPr>
        <w:tc>
          <w:tcPr>
            <w:tcW w:w="4840" w:type="dxa"/>
            <w:vAlign w:val="bottom"/>
          </w:tcPr>
          <w:p>
            <w:pPr>
              <w:spacing w:after="0"/>
              <w:rPr>
                <w:sz w:val="20"/>
                <w:szCs w:val="20"/>
                <w:color w:val="auto"/>
              </w:rPr>
            </w:pPr>
            <w:r>
              <w:rPr>
                <w:rFonts w:ascii="Courier New" w:cs="Courier New" w:eastAsia="Courier New" w:hAnsi="Courier New"/>
                <w:sz w:val="16"/>
                <w:szCs w:val="16"/>
                <w:color w:val="auto"/>
                <w:w w:val="98"/>
              </w:rPr>
              <w:t>Operations.........................................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14 - 24</w:t>
            </w:r>
          </w:p>
        </w:tc>
      </w:tr>
    </w:tbl>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w:t>
            </w:r>
          </w:p>
        </w:tc>
        <w:tc>
          <w:tcPr>
            <w:tcW w:w="5440" w:type="dxa"/>
            <w:vAlign w:val="bottom"/>
          </w:tcPr>
          <w:p>
            <w:pPr>
              <w:ind w:left="140"/>
              <w:spacing w:after="0"/>
              <w:rPr>
                <w:sz w:val="20"/>
                <w:szCs w:val="20"/>
                <w:color w:val="auto"/>
              </w:rPr>
            </w:pPr>
            <w:r>
              <w:rPr>
                <w:rFonts w:ascii="Courier New" w:cs="Courier New" w:eastAsia="Courier New" w:hAnsi="Courier New"/>
                <w:sz w:val="16"/>
                <w:szCs w:val="16"/>
                <w:color w:val="auto"/>
                <w:w w:val="98"/>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w:t>
            </w:r>
          </w:p>
        </w:tc>
        <w:tc>
          <w:tcPr>
            <w:tcW w:w="5440" w:type="dxa"/>
            <w:vAlign w:val="bottom"/>
          </w:tcPr>
          <w:p>
            <w:pPr>
              <w:ind w:left="140"/>
              <w:spacing w:after="0"/>
              <w:rPr>
                <w:sz w:val="20"/>
                <w:szCs w:val="20"/>
                <w:color w:val="auto"/>
              </w:rPr>
            </w:pPr>
            <w:r>
              <w:rPr>
                <w:rFonts w:ascii="Courier New" w:cs="Courier New" w:eastAsia="Courier New" w:hAnsi="Courier New"/>
                <w:sz w:val="16"/>
                <w:szCs w:val="16"/>
                <w:color w:val="auto"/>
                <w:w w:val="98"/>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64"/>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r>
    </w:tbl>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Certain information included in this Quarterly Report is forward-looking, such as information relating to future capital commitments and the effects of competition. Such forward-looking information involves important risks and uncertainties that could significantly affect expected results in the future from those expressed in any forward-looking statements made by, or on behalf of, the Company. These risks and uncertainties include, but are not limited to, uncertainties relating to economic conditions, acquisitions and divestitures, government and regulatory policies, the pricing and availability of equipment, materials, inventories and programming, technological developments and changes in the competitive environment in which the Company operates.</w:t>
      </w:r>
    </w:p>
    <w:p>
      <w:pPr>
        <w:sectPr>
          <w:pgSz w:w="11900" w:h="16838" w:orient="portrait"/>
          <w:cols w:equalWidth="0" w:num="1">
            <w:col w:w="10219"/>
          </w:cols>
          <w:pgMar w:left="240" w:top="13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center"/>
              <w:ind w:right="86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FORM 10-Q</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center"/>
              <w:ind w:right="861"/>
              <w:spacing w:after="0"/>
              <w:rPr>
                <w:sz w:val="20"/>
                <w:szCs w:val="20"/>
                <w:color w:val="auto"/>
              </w:rPr>
            </w:pPr>
            <w:r>
              <w:rPr>
                <w:rFonts w:ascii="Courier New" w:cs="Courier New" w:eastAsia="Courier New" w:hAnsi="Courier New"/>
                <w:sz w:val="16"/>
                <w:szCs w:val="16"/>
                <w:color w:val="auto"/>
                <w:w w:val="98"/>
              </w:rPr>
              <w:t>QUARTER ENDED SEPTEMBER 30, 1996</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6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6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center"/>
              <w:ind w:right="861"/>
              <w:spacing w:after="0"/>
              <w:rPr>
                <w:sz w:val="20"/>
                <w:szCs w:val="20"/>
                <w:color w:val="auto"/>
              </w:rPr>
            </w:pPr>
            <w:r>
              <w:rPr>
                <w:rFonts w:ascii="Courier New" w:cs="Courier New" w:eastAsia="Courier New" w:hAnsi="Courier New"/>
                <w:sz w:val="16"/>
                <w:szCs w:val="16"/>
                <w:color w:val="auto"/>
                <w:w w:val="98"/>
              </w:rPr>
              <w:t>CONDENSED CONSOLIDATED BALANCE SHEET</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right"/>
              <w:ind w:right="2761"/>
              <w:spacing w:after="0"/>
              <w:rPr>
                <w:sz w:val="20"/>
                <w:szCs w:val="20"/>
                <w:color w:val="auto"/>
              </w:rPr>
            </w:pPr>
            <w:r>
              <w:rPr>
                <w:rFonts w:ascii="Courier New" w:cs="Courier New" w:eastAsia="Courier New" w:hAnsi="Courier New"/>
                <w:sz w:val="16"/>
                <w:szCs w:val="16"/>
                <w:color w:val="auto"/>
              </w:rPr>
              <w:t>(Unaudited)</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546"/>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9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September 30,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1996</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2"/>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w w:val="96"/>
              </w:rPr>
              <w:t>CURRENT ASSETS</w:t>
            </w:r>
          </w:p>
        </w:tc>
        <w:tc>
          <w:tcPr>
            <w:tcW w:w="58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$426,226</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$539,061</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Short-term investments, at cost which approximates fair value..........</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100,436</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370,982</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of $82,899 and $81,273...............................................</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350,675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390,698</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256,251</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243,447</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Prepaid charges and other..............................................</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57,990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49,671</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65,758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59,799</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Total current assets...............................................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1,257,336</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1,653,658</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INVESTMENTS, principally in affiliates....................................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1,278,733</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906,383</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PROPERTY AND EQUIPMENT....................................................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3,143,170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2,575,633</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Accumulated depreciation...............................................</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(1,091,608)</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(932,031)</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Property and equipment, net............................................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2,051,562</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1,643,602</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DEFERRED CHARGES..........................................................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6,683,493</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6,552,437</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Accumulated amortization...............................................</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(1,441,816)</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(1,175,772)</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Deferred charges, net..................................................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5,241,677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5,376,665</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$9,829,308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$9,580,308</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LIABILITIES AND STOCKHOLDERS' DEFICIENCY</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CURRENT LIABILITIES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$891,057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$963,991</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Accrued interest.......................................................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99,357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72,675</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150,550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85,403</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Total current liabilities..........................................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1,140,964</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1,122,069</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7,233,745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6,943,766</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DEFERRED INCOME TAXES.....................................................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1,501,820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1,517,995</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MINORITY INTEREST AND OTHER...............................................</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821,867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772,004</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COMMON EQUITY PUT OPTIONS.................................................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69,625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52,125</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STOCKHOLDERS' DEFICIENCY</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Preferred stock, no par value - authorized, 20,000,000 shares; issued</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5% series A convertible, 6,370 at redemption value...................</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31,850</w:t>
            </w:r>
          </w:p>
        </w:tc>
        <w:tc>
          <w:tcPr>
            <w:tcW w:w="1840" w:type="dxa"/>
            <w:vAlign w:val="bottom"/>
          </w:tcPr>
          <w:p>
            <w:pPr>
              <w:spacing w:after="0"/>
              <w:rPr>
                <w:sz w:val="15"/>
                <w:szCs w:val="15"/>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 500,000,000</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w:t>
            </w:r>
          </w:p>
        </w:tc>
        <w:tc>
          <w:tcPr>
            <w:tcW w:w="5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190,525,452 and 192,844,814.........................</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190,525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192,845</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 200,000,000</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w:t>
            </w:r>
          </w:p>
        </w:tc>
        <w:tc>
          <w:tcPr>
            <w:tcW w:w="5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34,002,024 and 37,706,517...........................</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34,002</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37,707</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 50,000,000</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w:t>
            </w:r>
          </w:p>
        </w:tc>
        <w:tc>
          <w:tcPr>
            <w:tcW w:w="5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8,786,250...........................................</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8,786</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8,786</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Additional capital.....................................................</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869,911</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843,113</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Accumulated deficit....................................................</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(2,089,358)</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(1,914,292)</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32,716</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22,210</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Cumulative translation adjustments.....................................</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(17,145)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(18,020)</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Total stockholders' deficiency.....................................</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(938,713)</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(827,651)</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$9,829,308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$9,580,308</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160"/>
          </w:cols>
          <w:pgMar w:left="240" w:top="477" w:right="499" w:bottom="337" w:gutter="0" w:footer="0" w:header="0"/>
        </w:sectPr>
      </w:pPr>
    </w:p>
    <w:bookmarkStart w:id="3" w:name="page4"/>
    <w:bookmarkEnd w:id="3"/>
    <w:p>
      <w:pPr>
        <w:jc w:val="center"/>
        <w:ind w:right="3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4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(Unaudited)</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46"/>
        </w:trPr>
        <w:tc>
          <w:tcPr>
            <w:tcW w:w="6040" w:type="dxa"/>
            <w:vAlign w:val="bottom"/>
          </w:tcPr>
          <w:p>
            <w:pPr>
              <w:spacing w:after="0"/>
              <w:rPr>
                <w:sz w:val="24"/>
                <w:szCs w:val="24"/>
                <w:color w:val="auto"/>
              </w:rPr>
            </w:pPr>
          </w:p>
        </w:tc>
        <w:tc>
          <w:tcPr>
            <w:tcW w:w="512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(Amounts in thousands, except per share data)</w:t>
            </w:r>
          </w:p>
        </w:tc>
      </w:tr>
      <w:tr>
        <w:trPr>
          <w:trHeight w:val="182"/>
        </w:trPr>
        <w:tc>
          <w:tcPr>
            <w:tcW w:w="6040" w:type="dxa"/>
            <w:vAlign w:val="bottom"/>
          </w:tcPr>
          <w:p>
            <w:pPr>
              <w:spacing w:after="0"/>
              <w:rPr>
                <w:sz w:val="15"/>
                <w:szCs w:val="15"/>
                <w:color w:val="auto"/>
              </w:rPr>
            </w:pPr>
          </w:p>
        </w:tc>
        <w:tc>
          <w:tcPr>
            <w:tcW w:w="2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c>
          <w:tcPr>
            <w:tcW w:w="24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6040" w:type="dxa"/>
            <w:vAlign w:val="bottom"/>
          </w:tcPr>
          <w:p>
            <w:pPr>
              <w:spacing w:after="0"/>
              <w:rPr>
                <w:sz w:val="15"/>
                <w:szCs w:val="15"/>
                <w:color w:val="auto"/>
              </w:rPr>
            </w:pPr>
          </w:p>
        </w:tc>
        <w:tc>
          <w:tcPr>
            <w:tcW w:w="26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September 30,</w:t>
            </w:r>
          </w:p>
        </w:tc>
        <w:tc>
          <w:tcPr>
            <w:tcW w:w="24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6040" w:type="dxa"/>
            <w:vAlign w:val="bottom"/>
          </w:tcPr>
          <w:p>
            <w:pPr>
              <w:spacing w:after="0"/>
              <w:rPr>
                <w:sz w:val="15"/>
                <w:szCs w:val="15"/>
                <w:color w:val="auto"/>
              </w:rPr>
            </w:pPr>
          </w:p>
        </w:tc>
        <w:tc>
          <w:tcPr>
            <w:tcW w:w="138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Service income.............................................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$1,584,000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$1,381,510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$543,540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$478,758</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sales from electronic retailing........................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1,286,869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975,917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431,023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391,491</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2,870,869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2,357,427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974,563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870,249</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679,563</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576,543</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226,090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209,186</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774,718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584,615</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262,338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234,369</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Selling, general and administrative........................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554,581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451,695</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190,325</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162,550</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Depreciation...............................................</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223,718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278,610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78,325</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59,244</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Amortization...............................................</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267,272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256,065</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88,393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88,388</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2,499,852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2,147,528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845,471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753,737</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OPERATING INCOME..............................................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371,017</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209,899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129,092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116,512</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403,735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388,367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135,742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137,816</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Investment income..........................................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(63,706)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(202,307)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(16,215)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(44,727)</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 net losses of affiliates.........................</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89,198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63,534</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28,877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25,628</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Gain from equity offering of affiliate.....................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(40,638)</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22,673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(5,523)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(5,891)</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411,262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244,071</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148,111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112,826</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INCOME BEFORE INCOME TAX EXPENSE, MINORITY</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INTEREST AND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(40,245)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(34,172)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(19,019)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3,686</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TAX EXPENSE............................................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33,894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32,470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9,282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18,435</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BEFORE MINORITY INTEREST AND</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(74,139)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(66,642)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(28,301)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(14,749)</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MINORITY INTEREST.............................................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(47,423)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(34,767)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(18,329)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(12,796)</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LOSS BEFORE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(26,716)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(31,875)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(9,972)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(1,953)</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(1,013)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(5,407)</w:t>
            </w:r>
          </w:p>
        </w:tc>
        <w:tc>
          <w:tcPr>
            <w:tcW w:w="1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(5,407)</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 LOSS......................................................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(27,729)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(37,282)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(9,972)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(7,360)</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Beginning of period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(1,914,292)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(1,827,647)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(2,030,633)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(1,868,738)</w:t>
            </w:r>
          </w:p>
        </w:tc>
      </w:tr>
      <w:tr>
        <w:trPr>
          <w:trHeight w:val="182"/>
        </w:trPr>
        <w:tc>
          <w:tcPr>
            <w:tcW w:w="604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Dividends declared - $.070, $.070, $.023 and</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$.023 per common share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(18,918)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(16,758)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(7,864)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(5,589)</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Retirement of common stock.................................</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(128,419)</w:t>
            </w:r>
          </w:p>
        </w:tc>
        <w:tc>
          <w:tcPr>
            <w:tcW w:w="1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(40,889)</w:t>
            </w:r>
          </w:p>
        </w:tc>
        <w:tc>
          <w:tcPr>
            <w:tcW w:w="1180" w:type="dxa"/>
            <w:vAlign w:val="bottom"/>
          </w:tcPr>
          <w:p>
            <w:pPr>
              <w:spacing w:after="0"/>
              <w:rPr>
                <w:sz w:val="15"/>
                <w:szCs w:val="15"/>
                <w:color w:val="auto"/>
              </w:rPr>
            </w:pP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End of period..............................................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($2,089,358)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($1,881,687)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($2,089,358)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($1,881,687)</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PER SHARE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Loss before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Extraordinary items........................................</w:t>
            </w:r>
          </w:p>
        </w:tc>
        <w:tc>
          <w:tcPr>
            <w:tcW w:w="1380" w:type="dxa"/>
            <w:vAlign w:val="bottom"/>
          </w:tcPr>
          <w:p>
            <w:pPr>
              <w:spacing w:after="0"/>
              <w:rPr>
                <w:sz w:val="15"/>
                <w:szCs w:val="15"/>
                <w:color w:val="auto"/>
              </w:rPr>
            </w:pP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loss..............................................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OUTSTANDING DURING THE PERIOD...............................</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236,189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239,634</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233,318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239,819</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160"/>
          </w:cols>
          <w:pgMar w:left="240" w:top="477" w:right="499" w:bottom="519" w:gutter="0" w:footer="0" w:header="0"/>
        </w:sectPr>
      </w:pPr>
    </w:p>
    <w:bookmarkStart w:id="4" w:name="page5"/>
    <w:bookmarkEnd w:id="4"/>
    <w:p>
      <w:pPr>
        <w:jc w:val="center"/>
        <w:ind w:right="3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40" w:type="dxa"/>
            <w:vAlign w:val="bottom"/>
          </w:tcPr>
          <w:p>
            <w:pPr>
              <w:jc w:val="right"/>
              <w:ind w:right="2721"/>
              <w:spacing w:after="0"/>
              <w:rPr>
                <w:sz w:val="20"/>
                <w:szCs w:val="20"/>
                <w:color w:val="auto"/>
              </w:rPr>
            </w:pPr>
            <w:r>
              <w:rPr>
                <w:rFonts w:ascii="Courier New" w:cs="Courier New" w:eastAsia="Courier New" w:hAnsi="Courier New"/>
                <w:sz w:val="16"/>
                <w:szCs w:val="16"/>
                <w:color w:val="auto"/>
              </w:rPr>
              <w:t>(Unaudited)</w:t>
            </w: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546"/>
        </w:trPr>
        <w:tc>
          <w:tcPr>
            <w:tcW w:w="7140" w:type="dxa"/>
            <w:vAlign w:val="bottom"/>
          </w:tcPr>
          <w:p>
            <w:pPr>
              <w:spacing w:after="0"/>
              <w:rPr>
                <w:sz w:val="24"/>
                <w:szCs w:val="24"/>
                <w:color w:val="auto"/>
              </w:rPr>
            </w:pPr>
          </w:p>
        </w:tc>
        <w:tc>
          <w:tcPr>
            <w:tcW w:w="40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7140" w:type="dxa"/>
            <w:vAlign w:val="bottom"/>
          </w:tcPr>
          <w:p>
            <w:pPr>
              <w:spacing w:after="0"/>
              <w:rPr>
                <w:sz w:val="15"/>
                <w:szCs w:val="15"/>
                <w:color w:val="auto"/>
              </w:rPr>
            </w:pPr>
          </w:p>
        </w:tc>
        <w:tc>
          <w:tcPr>
            <w:tcW w:w="40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1041"/>
              <w:spacing w:after="0"/>
              <w:rPr>
                <w:sz w:val="20"/>
                <w:szCs w:val="20"/>
                <w:color w:val="auto"/>
              </w:rPr>
            </w:pPr>
            <w:r>
              <w:rPr>
                <w:rFonts w:ascii="Courier New" w:cs="Courier New" w:eastAsia="Courier New" w:hAnsi="Courier New"/>
                <w:sz w:val="16"/>
                <w:szCs w:val="16"/>
                <w:color w:val="auto"/>
              </w:rPr>
              <w:t>1996</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7140" w:type="dxa"/>
            <w:vAlign w:val="bottom"/>
          </w:tcPr>
          <w:p>
            <w:pPr>
              <w:jc w:val="right"/>
              <w:ind w:right="5181"/>
              <w:spacing w:after="0"/>
              <w:rPr>
                <w:sz w:val="20"/>
                <w:szCs w:val="20"/>
                <w:color w:val="auto"/>
              </w:rPr>
            </w:pPr>
            <w:r>
              <w:rPr>
                <w:rFonts w:ascii="Courier New" w:cs="Courier New" w:eastAsia="Courier New" w:hAnsi="Courier New"/>
                <w:sz w:val="16"/>
                <w:szCs w:val="16"/>
                <w:color w:val="auto"/>
                <w:w w:val="96"/>
              </w:rPr>
              <w:t>OPERATING ACTIVITIES</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loss...............................................................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($27,729)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($37,282)</w:t>
            </w:r>
          </w:p>
        </w:tc>
      </w:tr>
      <w:tr>
        <w:trPr>
          <w:trHeight w:val="182"/>
        </w:trPr>
        <w:tc>
          <w:tcPr>
            <w:tcW w:w="7140" w:type="dxa"/>
            <w:vAlign w:val="bottom"/>
          </w:tcPr>
          <w:p>
            <w:pPr>
              <w:jc w:val="right"/>
              <w:ind w:right="1681"/>
              <w:spacing w:after="0"/>
              <w:rPr>
                <w:sz w:val="20"/>
                <w:szCs w:val="20"/>
                <w:color w:val="auto"/>
              </w:rPr>
            </w:pPr>
            <w:r>
              <w:rPr>
                <w:rFonts w:ascii="Courier New" w:cs="Courier New" w:eastAsia="Courier New" w:hAnsi="Courier New"/>
                <w:sz w:val="16"/>
                <w:szCs w:val="16"/>
                <w:color w:val="auto"/>
              </w:rPr>
              <w:t>Adjustments to reconcile net loss to net cash provided</w:t>
            </w: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40" w:type="dxa"/>
            <w:vAlign w:val="bottom"/>
          </w:tcPr>
          <w:p>
            <w:pPr>
              <w:jc w:val="right"/>
              <w:ind w:right="4421"/>
              <w:spacing w:after="0"/>
              <w:rPr>
                <w:sz w:val="20"/>
                <w:szCs w:val="20"/>
                <w:color w:val="auto"/>
              </w:rPr>
            </w:pPr>
            <w:r>
              <w:rPr>
                <w:rFonts w:ascii="Courier New" w:cs="Courier New" w:eastAsia="Courier New" w:hAnsi="Courier New"/>
                <w:sz w:val="16"/>
                <w:szCs w:val="16"/>
                <w:color w:val="auto"/>
              </w:rPr>
              <w:t>by operating activities:</w:t>
            </w: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223,718</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278,610</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Amortization.........................................................</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267,272</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256,065</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Non-cash interest expense, net.......................................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48,087</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41,403</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Equity in net losses of affiliates...................................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89,198</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63,534</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Gains on long-term investments, net..................................</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(22,077)</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(162,682)</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Gain from equity offering of affiliate...............................</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(40,638)</w:t>
            </w:r>
          </w:p>
        </w:tc>
        <w:tc>
          <w:tcPr>
            <w:tcW w:w="1900" w:type="dxa"/>
            <w:vAlign w:val="bottom"/>
          </w:tcPr>
          <w:p>
            <w:pPr>
              <w:spacing w:after="0"/>
              <w:rPr>
                <w:sz w:val="15"/>
                <w:szCs w:val="15"/>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Minority interest....................................................</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(47,423)</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(34,767)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Extraordinary items..................................................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1,013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 and other......................................</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4,474</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(14,356)</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495,895</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395,932</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Decrease (increase) in accounts receivable, net......................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45,265</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(8,282)</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Increase in inventories, net.........................................</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(11,834)</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(37,978)</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Increase in prepaid charges and other................................</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(2,705)</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(16,261)</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(Decrease) increase in accounts payable and accrued expenses.........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(25,961)</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25,666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Increase in accrued interest.........................................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26,666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12,609</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527,326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371,686</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5181"/>
              <w:spacing w:after="0"/>
              <w:rPr>
                <w:sz w:val="20"/>
                <w:szCs w:val="20"/>
                <w:color w:val="auto"/>
              </w:rPr>
            </w:pPr>
            <w:r>
              <w:rPr>
                <w:rFonts w:ascii="Courier New" w:cs="Courier New" w:eastAsia="Courier New" w:hAnsi="Courier New"/>
                <w:sz w:val="16"/>
                <w:szCs w:val="16"/>
                <w:color w:val="auto"/>
                <w:w w:val="96"/>
              </w:rPr>
              <w:t>FINANCING ACTIVITIES</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borrowings...............................................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660,404</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3,111,856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Retirement and repayment of debt.......................................</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(486,755)</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(1,160,867)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(Repurchases) issuances of common stock, net...........................</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(169,662)</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2,726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Equity contribution to a subsidiary....................................</w:t>
            </w:r>
          </w:p>
        </w:tc>
        <w:tc>
          <w:tcPr>
            <w:tcW w:w="2120" w:type="dxa"/>
            <w:vAlign w:val="bottom"/>
          </w:tcPr>
          <w:p>
            <w:pPr>
              <w:spacing w:after="0"/>
              <w:rPr>
                <w:sz w:val="15"/>
                <w:szCs w:val="15"/>
                <w:color w:val="auto"/>
              </w:rPr>
            </w:pP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6,556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Dividends..............................................................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(18,918)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(16,758)</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(4,294)</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(22,146)</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(19,225)</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1,921,367</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5181"/>
              <w:spacing w:after="0"/>
              <w:rPr>
                <w:sz w:val="20"/>
                <w:szCs w:val="20"/>
                <w:color w:val="auto"/>
              </w:rPr>
            </w:pPr>
            <w:r>
              <w:rPr>
                <w:rFonts w:ascii="Courier New" w:cs="Courier New" w:eastAsia="Courier New" w:hAnsi="Courier New"/>
                <w:sz w:val="16"/>
                <w:szCs w:val="16"/>
                <w:color w:val="auto"/>
                <w:w w:val="96"/>
              </w:rPr>
              <w:t>INVESTING ACTIVITIES</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Acquisitions, net of cash acquired.....................................</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(57,995)</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(1,371,074)</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sales (purchases) of short-term investments, net.........</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270,546</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(81,809)</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Investments, principally in affiliates.................................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(447,622)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(457,984)</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sales of long-term investments...........................</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111,263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400,749</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Additions to property and equipment....................................</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(450,205)</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(476,571)</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(46,923)</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(25,194)</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used in investing activities............................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(620,936)</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(2,011,883)</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(DECREASE) INCREASE IN CASH AND CASH EQUIVALENTS..........................</w:t>
            </w:r>
          </w:p>
        </w:tc>
        <w:tc>
          <w:tcPr>
            <w:tcW w:w="21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(112,835)</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281,170</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539,061</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335,320</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$426,226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$616,490</w:t>
            </w:r>
          </w:p>
        </w:tc>
      </w:tr>
      <w:tr>
        <w:trPr>
          <w:trHeight w:val="182"/>
        </w:trPr>
        <w:tc>
          <w:tcPr>
            <w:tcW w:w="7140" w:type="dxa"/>
            <w:vAlign w:val="bottom"/>
          </w:tcPr>
          <w:p>
            <w:pPr>
              <w:spacing w:after="0"/>
              <w:rPr>
                <w:sz w:val="15"/>
                <w:szCs w:val="15"/>
                <w:color w:val="auto"/>
              </w:rPr>
            </w:pPr>
          </w:p>
        </w:tc>
        <w:tc>
          <w:tcPr>
            <w:tcW w:w="21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60"/>
          </w:cols>
          <w:pgMar w:left="240" w:top="659" w:right="499" w:bottom="1440" w:gutter="0" w:footer="0" w:header="0"/>
        </w:sectPr>
      </w:pPr>
    </w:p>
    <w:bookmarkStart w:id="5" w:name="page6"/>
    <w:bookmarkEnd w:id="5"/>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1995 has been condensed from the audited balance sheet as of that date. The condensed consolidated balance sheet as of September 30, 1996, the condensed consolidated statement of operations and accumulated deficit for the nine and three months ended September 30, 1996 and 1995 and the condensed consolidated statement of cash flows for the nine months ended September 30, 1996 and 1995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September 30, 1996 and for all periods presented have been made.</w:t>
      </w:r>
    </w:p>
    <w:p>
      <w:pPr>
        <w:spacing w:after="0" w:line="189"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1995 Annual Report on Form 10-K filed with the Securities and Exchange Commission. The results of operations for the periods ended September 30, 1996 are not necessarily indicative of operating results for the full year.</w:t>
      </w:r>
    </w:p>
    <w:p>
      <w:pPr>
        <w:spacing w:after="0" w:line="171"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1996, the Company adopted Statement of Financial Accounting Standards ("SFAS") No. 123, "Accounting for Stock-Based Compensation." The Company has elected to continue to measure such compensation expense using the method prescribed by Accounting Principles Board Opinion No. 25, "Accounting for Stock Issued to Employees," as permitted by SFAS No. 123. Accordingly, there was no impact of the adoption of SFAS No. 123 on the Company's financial position or results of operations.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w:t>
      </w:r>
    </w:p>
    <w:p>
      <w:pPr>
        <w:spacing w:after="0" w:line="4"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 is based on the weighted average number of common shares outstanding during the period. For the nine and three months ended September 30, 1996 and 1995, the Company's common stock equivalents have an antidilutive effect on net loss per share and, therefore, have not been used in determining the total weighted average number of common shares outstanding.</w:t>
      </w:r>
    </w:p>
    <w:p>
      <w:pPr>
        <w:spacing w:after="0" w:line="186"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1996.</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Regional Sports Venture</w:t>
      </w:r>
    </w:p>
    <w:p>
      <w:pPr>
        <w:spacing w:after="0" w:line="4"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July 1996, the Company completed its acquisition (the "Sports Venture Acquisition") of an interest of approximately 66%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35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659" w:right="1440" w:bottom="1440" w:gutter="0" w:footer="0" w:header="0"/>
        </w:sectPr>
      </w:pPr>
    </w:p>
    <w:bookmarkStart w:id="6" w:name="page7"/>
    <w:bookmarkEnd w:id="6"/>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Common Stock (the "Class A Special Common Stock") and 6,370 shares of the Company's newly issued 5% Series A Convertible Preferred Stock (the "Preferred Stock" - see Note 6) and paid $15.0 million in cash for its current interest in Comcast-Spectacor. The remaining interest of approximately 34%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approximately $155.0 million. The Company accounts for its interest in Comcast-Spectacor under the equity method.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Spectrum</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Effective as of January 1996, the Company, Tele-Communications, Inc. ("TCI"), Cox Communications, Inc. ("Cox") and Sprint Corporation (collectively, the "Parents"), and certain subsidiaries of the Parents, entered into a series of agreements relating to their previously announced joint venture (March 1995) to engage in the communications business. Under an Amended and Restated Agreement of Limited Partnership of MajorCo, L.P. (known as "Sprint Spectrum"), the business of Sprint Spectrum is to provide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 (see Note 4).</w:t>
      </w:r>
    </w:p>
    <w:p>
      <w:pPr>
        <w:spacing w:after="0" w:line="1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Scripps</w:t>
        <w:tab/>
        <w:t>Cable</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October 1995, the Company announced its agreement to acquire the cable television operations ("Scripps Cable") of The E.W. Scripps Company ("E.W. Scripps") in exchange for shares of the Company's Class A Special Common Stock worth $1.575 billion, subject to certain closing adjustments (the "Scripps Transaction"). For purposes of determining the number of shares of Class A Special Common Stock to be delivered in the Scripps Transaction, such stock will be valued on the basis of the average closing price of the Class A Special Common Stock on The Nasdaq Stock Market ("Nasdaq") for 15 trading days randomly selected from the 40 trading day period ending on the second trading day prior to the closing date (the "Comcast Share Price"); provided that the Comcast Share Price will be no greater than $23.09 and, except as provided below, no less than $17.06 (the "Minimum Price").</w:t>
      </w:r>
    </w:p>
    <w:p>
      <w:pPr>
        <w:spacing w:after="0" w:line="181"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closing price of the Class A Special Common Stock on Nasdaq on November 4, 1996 was $15.188 per share, which is below the Minimum Price. Since July 10, 1996, when the closing price of the Class A Special Common Stock was $16.75, the Class A Special Common Stock has traded at closing prices below the Minimum Price. If the Comcast Share Price is below the Minimum Price, E.W. Scripps has the right, but not the obligation, to terminate the agreement, subject to the right of the Company to increase the number of shares of Class A Special Common Stock to be delivered in the Scripps Transaction (i) to that number of shares that would have been delivered if the Comcast Share Price were not subject to the Minimum Price or (ii) by such lower number as E.W. Scripps and the Company may agree. The Company has informed E.W. Scripps that if the Comcast Share Price is less than the Minimum Price and if E.W. Scripps exercises its rights to terminate the agreement, the Company does not intend to elect to deliver any additional shares of Class A Special Common Stock. The E.W. Scripps Board of Directors (the "Scripps Board") has indicated that it will not proceed with the Scripps Transaction if the Comcast Share Price is below the Minimum Price and the number of shares of Class A Special Common Stock to be delivered by the Company is less than the number that would have been delivered if the Minimum Price were equal to the Comcast Share Price, unless, among other things, the Scripps Board receives an opinion from its financial advisor as to the fairness from a financial point of view to E.W. Scripps' stockholders of the consideration to be paid under such circumstances.</w:t>
      </w:r>
    </w:p>
    <w:p>
      <w:pPr>
        <w:spacing w:after="0" w:line="35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59"/>
          </w:cols>
          <w:pgMar w:left="700" w:top="477" w:right="1440" w:bottom="1440" w:gutter="0" w:footer="0" w:header="0"/>
        </w:sectPr>
      </w:pPr>
    </w:p>
    <w:bookmarkStart w:id="7" w:name="page8"/>
    <w:bookmarkEnd w:id="7"/>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Scripps Cable passes more than 1.2 million homes and serves more than 800,000 subscribers, with over 60% of its subscribers located in Sacramento, California and Chattanooga and Knoxville, Tennessee. Subject to the foregoing and certain other conditions, the Scripps Transaction is scheduled to close in November 1996.</w:t>
      </w:r>
    </w:p>
    <w:p>
      <w:pPr>
        <w:spacing w:after="0" w:line="185" w:lineRule="exact"/>
        <w:rPr>
          <w:sz w:val="20"/>
          <w:szCs w:val="20"/>
          <w:color w:val="auto"/>
        </w:rPr>
      </w:pPr>
    </w:p>
    <w:p>
      <w:pPr>
        <w:spacing w:after="0"/>
        <w:tabs>
          <w:tab w:leader="none" w:pos="660" w:val="left"/>
          <w:tab w:leader="none" w:pos="1780" w:val="left"/>
        </w:tabs>
        <w:rPr>
          <w:sz w:val="20"/>
          <w:szCs w:val="20"/>
          <w:color w:val="auto"/>
        </w:rPr>
      </w:pPr>
      <w:r>
        <w:rPr>
          <w:rFonts w:ascii="Courier New" w:cs="Courier New" w:eastAsia="Courier New" w:hAnsi="Courier New"/>
          <w:sz w:val="16"/>
          <w:szCs w:val="16"/>
          <w:color w:val="auto"/>
        </w:rPr>
        <w:t>Share</w:t>
        <w:tab/>
        <w:t>Repurchase</w:t>
      </w:r>
      <w:r>
        <w:rPr>
          <w:sz w:val="20"/>
          <w:szCs w:val="20"/>
          <w:color w:val="auto"/>
        </w:rPr>
        <w:tab/>
      </w:r>
      <w:r>
        <w:rPr>
          <w:rFonts w:ascii="Courier New" w:cs="Courier New" w:eastAsia="Courier New" w:hAnsi="Courier New"/>
          <w:sz w:val="15"/>
          <w:szCs w:val="15"/>
          <w:color w:val="auto"/>
        </w:rPr>
        <w:t>Program</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Concurrent with the announcement of the Scripps Transaction in October 1995,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Pursuant to the Repurchase Program, the Company has repurchased shares of its common stock for aggregate consideration of $185.8 million through September 30, 1996, including $173.4 million and $56.8 million during the nine and three months ended September 30, 1996, respectively.</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As part of the Repurchase Program, the Company has sold put options on 4.0 million shares of its Class A Special Common Stock through September 30, 1996, including put options on 1.0 million of such shares sold during the nine months ended September 30, 1996. The put options give the holder the right to require the Company to repurchase such shares at specified prices on specific dates in January through March 1997. The amount the Company would be obligated to pay to repurchase such shares if all outstanding put options were exercised is $69.6 million. This amount has been reclassified to a temporary equity account in the Company's condensed consolidated balance sheet as of September 30, 1996.</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Rebuild</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1995, the Company's cellular division purchased approximately $172.0 million of switching and cell site equipment which replaced the existing switching and cell site equipment (the "Cellular Rebuild"). The Company substantially completed the Cellular Rebuild during 1995. During the first quarter of 1995, the Company charged approximately $110.0 million to depreciation expense which represented the difference between the net book value of the equipment replaced and the residual value realized upon its disposal.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has accounted for the QVC Acquisition under the purchase method and QVC was consolidated with the Company effective February 1, 1995.</w:t>
      </w:r>
    </w:p>
    <w:p>
      <w:pPr>
        <w:spacing w:after="0" w:line="36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0" w:top="477" w:right="1440" w:bottom="1440" w:gutter="0" w:footer="0" w:header="0"/>
        </w:sectPr>
      </w:pPr>
    </w:p>
    <w:bookmarkStart w:id="8" w:name="page9"/>
    <w:bookmarkEnd w:id="8"/>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1996 NOTES TO CONDENSED CONSOLIDATED FINANCIAL STATEMENTS - CONTINUED (Unaudited)</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pro forma information for the nine months ended September 30,</w:t>
      </w:r>
    </w:p>
    <w:p>
      <w:pPr>
        <w:spacing w:after="0" w:line="8" w:lineRule="exact"/>
        <w:rPr>
          <w:sz w:val="20"/>
          <w:szCs w:val="20"/>
          <w:color w:val="auto"/>
        </w:rPr>
      </w:pPr>
    </w:p>
    <w:p>
      <w:pPr>
        <w:spacing w:after="0"/>
        <w:tabs>
          <w:tab w:leader="none" w:pos="1400" w:val="left"/>
          <w:tab w:leader="none" w:pos="3780" w:val="left"/>
          <w:tab w:leader="none" w:pos="5000" w:val="left"/>
        </w:tabs>
        <w:rPr>
          <w:sz w:val="20"/>
          <w:szCs w:val="20"/>
          <w:color w:val="auto"/>
        </w:rPr>
      </w:pPr>
      <w:r>
        <w:rPr>
          <w:rFonts w:ascii="Courier New" w:cs="Courier New" w:eastAsia="Courier New" w:hAnsi="Courier New"/>
          <w:sz w:val="16"/>
          <w:szCs w:val="16"/>
          <w:color w:val="auto"/>
        </w:rPr>
        <w:t>1995 has been</w:t>
        <w:tab/>
        <w:t>presented as if the QVC</w:t>
        <w:tab/>
        <w:t>Acquisition</w:t>
      </w:r>
      <w:r>
        <w:rPr>
          <w:sz w:val="20"/>
          <w:szCs w:val="20"/>
          <w:color w:val="auto"/>
        </w:rPr>
        <w:tab/>
      </w:r>
      <w:r>
        <w:rPr>
          <w:rFonts w:ascii="Courier New" w:cs="Courier New" w:eastAsia="Courier New" w:hAnsi="Courier New"/>
          <w:sz w:val="15"/>
          <w:szCs w:val="15"/>
          <w:color w:val="auto"/>
        </w:rPr>
        <w:t>occurred on January 1,</w:t>
      </w:r>
    </w:p>
    <w:p>
      <w:pPr>
        <w:spacing w:after="0" w:line="1" w:lineRule="exact"/>
        <w:rPr>
          <w:sz w:val="20"/>
          <w:szCs w:val="20"/>
          <w:color w:val="auto"/>
        </w:rPr>
      </w:pPr>
    </w:p>
    <w:p>
      <w:pPr>
        <w:spacing w:after="0"/>
        <w:tabs>
          <w:tab w:leader="none" w:pos="3020" w:val="left"/>
          <w:tab w:leader="none" w:pos="6420" w:val="left"/>
        </w:tabs>
        <w:rPr>
          <w:sz w:val="20"/>
          <w:szCs w:val="20"/>
          <w:color w:val="auto"/>
        </w:rPr>
      </w:pPr>
      <w:r>
        <w:rPr>
          <w:rFonts w:ascii="Courier New" w:cs="Courier New" w:eastAsia="Courier New" w:hAnsi="Courier New"/>
          <w:sz w:val="16"/>
          <w:szCs w:val="16"/>
          <w:color w:val="auto"/>
        </w:rPr>
        <w:t>1995. This unaudited pro forma</w:t>
        <w:tab/>
        <w:t>information is based on historical</w:t>
      </w:r>
      <w:r>
        <w:rPr>
          <w:sz w:val="20"/>
          <w:szCs w:val="20"/>
          <w:color w:val="auto"/>
        </w:rPr>
        <w:tab/>
      </w:r>
      <w:r>
        <w:rPr>
          <w:rFonts w:ascii="Courier New" w:cs="Courier New" w:eastAsia="Courier New" w:hAnsi="Courier New"/>
          <w:sz w:val="15"/>
          <w:szCs w:val="15"/>
          <w:color w:val="auto"/>
        </w:rPr>
        <w:t>results</w:t>
      </w:r>
    </w:p>
    <w:p>
      <w:pPr>
        <w:spacing w:after="0" w:line="1" w:lineRule="exact"/>
        <w:rPr>
          <w:sz w:val="20"/>
          <w:szCs w:val="20"/>
          <w:color w:val="auto"/>
        </w:rPr>
      </w:pPr>
    </w:p>
    <w:p>
      <w:pPr>
        <w:spacing w:after="0"/>
        <w:tabs>
          <w:tab w:leader="none" w:pos="360" w:val="left"/>
          <w:tab w:leader="none" w:pos="1600" w:val="left"/>
          <w:tab w:leader="none" w:pos="2920" w:val="left"/>
          <w:tab w:leader="none" w:pos="4160" w:val="left"/>
          <w:tab w:leader="none" w:pos="4900" w:val="left"/>
          <w:tab w:leader="none" w:pos="6040" w:val="left"/>
        </w:tabs>
        <w:rPr>
          <w:sz w:val="20"/>
          <w:szCs w:val="20"/>
          <w:color w:val="auto"/>
        </w:rPr>
      </w:pPr>
      <w:r>
        <w:rPr>
          <w:rFonts w:ascii="Courier New" w:cs="Courier New" w:eastAsia="Courier New" w:hAnsi="Courier New"/>
          <w:sz w:val="16"/>
          <w:szCs w:val="16"/>
          <w:color w:val="auto"/>
        </w:rPr>
        <w:t>of</w:t>
        <w:tab/>
        <w:t>operations,</w:t>
        <w:tab/>
        <w:t>adjusted for</w:t>
        <w:tab/>
        <w:t>acquisition</w:t>
        <w:tab/>
        <w:t>costs,</w:t>
        <w:tab/>
        <w:t>and is not</w:t>
      </w:r>
      <w:r>
        <w:rPr>
          <w:sz w:val="20"/>
          <w:szCs w:val="20"/>
          <w:color w:val="auto"/>
        </w:rPr>
        <w:tab/>
      </w:r>
      <w:r>
        <w:rPr>
          <w:rFonts w:ascii="Courier New" w:cs="Courier New" w:eastAsia="Courier New" w:hAnsi="Courier New"/>
          <w:sz w:val="15"/>
          <w:szCs w:val="15"/>
          <w:color w:val="auto"/>
        </w:rPr>
        <w:t>necessarily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indicative of what the results would have been had the Company operated QVC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 such date.</w:t>
      </w:r>
    </w:p>
    <w:p>
      <w:pPr>
        <w:spacing w:after="0" w:line="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Nine Months Ended</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September 30, 1995 (1)</w:t>
      </w:r>
    </w:p>
    <w:p>
      <w:pPr>
        <w:sectPr>
          <w:pgSz w:w="11900" w:h="16838" w:orient="portrait"/>
          <w:cols w:equalWidth="0" w:num="1">
            <w:col w:w="9759"/>
          </w:cols>
          <w:pgMar w:left="700" w:top="659" w:right="1440" w:bottom="1440" w:gutter="0" w:footer="0" w:header="0"/>
        </w:sectPr>
      </w:pP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Revenues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2,487.8</w:t>
      </w:r>
    </w:p>
    <w:p>
      <w:pPr>
        <w:spacing w:after="0" w:line="194" w:lineRule="exact"/>
        <w:rPr>
          <w:sz w:val="20"/>
          <w:szCs w:val="20"/>
          <w:color w:val="auto"/>
        </w:rPr>
      </w:pPr>
    </w:p>
    <w:p>
      <w:pPr>
        <w:sectPr>
          <w:pgSz w:w="11900" w:h="16838" w:orient="portrait"/>
          <w:cols w:equalWidth="0" w:num="2">
            <w:col w:w="3980" w:space="480"/>
            <w:col w:w="5299"/>
          </w:cols>
          <w:pgMar w:left="700" w:top="659" w:right="1440" w:bottom="144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Loss before extraordinary items......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(36.8)</w:t>
      </w:r>
    </w:p>
    <w:p>
      <w:pPr>
        <w:spacing w:after="0" w:line="194" w:lineRule="exact"/>
        <w:rPr>
          <w:sz w:val="20"/>
          <w:szCs w:val="20"/>
          <w:color w:val="auto"/>
        </w:rPr>
      </w:pPr>
    </w:p>
    <w:p>
      <w:pPr>
        <w:sectPr>
          <w:pgSz w:w="11900" w:h="16838" w:orient="portrait"/>
          <w:cols w:equalWidth="0" w:num="2">
            <w:col w:w="4300" w:space="720"/>
            <w:col w:w="4739"/>
          </w:cols>
          <w:pgMar w:left="700" w:top="659" w:right="1440" w:bottom="144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Net loss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(42.2)</w:t>
      </w:r>
    </w:p>
    <w:p>
      <w:pPr>
        <w:spacing w:after="0" w:line="194" w:lineRule="exact"/>
        <w:rPr>
          <w:sz w:val="20"/>
          <w:szCs w:val="20"/>
          <w:color w:val="auto"/>
        </w:rPr>
      </w:pPr>
    </w:p>
    <w:p>
      <w:pPr>
        <w:sectPr>
          <w:pgSz w:w="11900" w:h="16838" w:orient="portrait"/>
          <w:cols w:equalWidth="0" w:num="2">
            <w:col w:w="4300" w:space="720"/>
            <w:col w:w="4739"/>
          </w:cols>
          <w:pgMar w:left="700" w:top="659" w:right="1440" w:bottom="144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Net loss per share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w:t>
      </w:r>
    </w:p>
    <w:p>
      <w:pPr>
        <w:spacing w:after="0" w:line="194" w:lineRule="exact"/>
        <w:rPr>
          <w:sz w:val="20"/>
          <w:szCs w:val="20"/>
          <w:color w:val="auto"/>
        </w:rPr>
      </w:pPr>
    </w:p>
    <w:p>
      <w:pPr>
        <w:sectPr>
          <w:pgSz w:w="11900" w:h="16838" w:orient="portrait"/>
          <w:cols w:equalWidth="0" w:num="2">
            <w:col w:w="4400" w:space="720"/>
            <w:col w:w="4639"/>
          </w:cols>
          <w:pgMar w:left="700" w:top="659" w:right="1440" w:bottom="1440" w:gutter="0" w:footer="0" w:header="0"/>
          <w:type w:val="continuous"/>
        </w:sectPr>
      </w:pPr>
    </w:p>
    <w:p>
      <w:pPr>
        <w:jc w:val="both"/>
        <w:ind w:left="480" w:right="2659" w:hanging="470"/>
        <w:spacing w:after="0" w:line="239" w:lineRule="auto"/>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April 1, 1995, QVC commenced consolidating its United Kingdom ("UK") operations. Pro forma revenues presented above do not reflect revenues relating to QVC's UK operations prior to April 1, 1995.</w:t>
      </w:r>
    </w:p>
    <w:p>
      <w:pPr>
        <w:spacing w:after="0" w:line="200" w:lineRule="exact"/>
        <w:rPr>
          <w:sz w:val="20"/>
          <w:szCs w:val="20"/>
          <w:color w:val="auto"/>
        </w:rPr>
      </w:pPr>
    </w:p>
    <w:p>
      <w:pPr>
        <w:spacing w:after="0" w:line="34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59"/>
          </w:cols>
          <w:pgMar w:left="700" w:top="659" w:right="1440" w:bottom="1440" w:gutter="0" w:footer="0" w:header="0"/>
          <w:type w:val="continuous"/>
        </w:sectPr>
      </w:pPr>
    </w:p>
    <w:bookmarkStart w:id="9" w:name="page10"/>
    <w:bookmarkEnd w:id="9"/>
    <w:p>
      <w:pPr>
        <w:jc w:val="center"/>
        <w:ind w:right="293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937"/>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2937"/>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 Equity Method</w:t>
      </w:r>
    </w:p>
    <w:p>
      <w:pPr>
        <w:spacing w:after="0" w:line="4" w:lineRule="exact"/>
        <w:rPr>
          <w:rFonts w:ascii="Courier New" w:cs="Courier New" w:eastAsia="Courier New" w:hAnsi="Courier New"/>
          <w:sz w:val="16"/>
          <w:szCs w:val="16"/>
          <w:color w:val="auto"/>
        </w:rPr>
      </w:pPr>
    </w:p>
    <w:p>
      <w:pPr>
        <w:ind w:left="463" w:right="294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Summarized financial information for equity method investments is as follows (dollars in thousands):</w:t>
      </w:r>
    </w:p>
    <w:p>
      <w:pPr>
        <w:spacing w:after="0" w:line="366" w:lineRule="exact"/>
        <w:rPr>
          <w:sz w:val="20"/>
          <w:szCs w:val="20"/>
          <w:color w:val="auto"/>
        </w:rPr>
      </w:pPr>
    </w:p>
    <w:tbl>
      <w:tblPr>
        <w:tblLayout w:type="fixed"/>
        <w:tblInd w:w="283" w:type="dxa"/>
        <w:tblCellMar>
          <w:top w:w="0" w:type="dxa"/>
          <w:left w:w="0" w:type="dxa"/>
          <w:bottom w:w="0" w:type="dxa"/>
          <w:right w:w="0" w:type="dxa"/>
        </w:tblCellMar>
      </w:tblPr>
      <w:tr>
        <w:trPr>
          <w:trHeight w:val="181"/>
        </w:trPr>
        <w:tc>
          <w:tcPr>
            <w:tcW w:w="472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1996</w:t>
            </w:r>
          </w:p>
        </w:tc>
        <w:tc>
          <w:tcPr>
            <w:tcW w:w="2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Sprint Spectrum (a)</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Other</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Revenues, net...............................</w:t>
            </w:r>
          </w:p>
        </w:tc>
        <w:tc>
          <w:tcPr>
            <w:tcW w:w="22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$624,550</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$624,550</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Depreciation and amortization...............</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688</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120,281</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120,969</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Operating loss..............................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(122,655)</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(104,739)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(227,394)</w:t>
            </w:r>
          </w:p>
        </w:tc>
      </w:tr>
      <w:tr>
        <w:trPr>
          <w:trHeight w:val="182"/>
        </w:trPr>
        <w:tc>
          <w:tcPr>
            <w:tcW w:w="4720" w:type="dxa"/>
            <w:vAlign w:val="bottom"/>
          </w:tcPr>
          <w:p>
            <w:pPr>
              <w:jc w:val="right"/>
              <w:ind w:right="2561"/>
              <w:spacing w:after="0"/>
              <w:rPr>
                <w:sz w:val="20"/>
                <w:szCs w:val="20"/>
                <w:color w:val="auto"/>
              </w:rPr>
            </w:pPr>
            <w:r>
              <w:rPr>
                <w:rFonts w:ascii="Courier New" w:cs="Courier New" w:eastAsia="Courier New" w:hAnsi="Courier New"/>
                <w:sz w:val="16"/>
                <w:szCs w:val="16"/>
                <w:color w:val="auto"/>
              </w:rPr>
              <w:t>Net loss as reported</w:t>
            </w:r>
          </w:p>
        </w:tc>
        <w:tc>
          <w:tcPr>
            <w:tcW w:w="2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by affiliates............................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(243,508)</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(172,802)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(416,310)</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Company's Equity in Net Loss</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Equity in current period net loss...........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($36,526)</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($49,245)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($85,771)</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Amortization income (expense) (b)...........</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636</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(4,063)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(3,427)</w:t>
            </w:r>
          </w:p>
        </w:tc>
      </w:tr>
      <w:tr>
        <w:trPr>
          <w:trHeight w:val="182"/>
        </w:trPr>
        <w:tc>
          <w:tcPr>
            <w:tcW w:w="4720" w:type="dxa"/>
            <w:vAlign w:val="bottom"/>
          </w:tcPr>
          <w:p>
            <w:pPr>
              <w:spacing w:after="0"/>
              <w:rPr>
                <w:sz w:val="15"/>
                <w:szCs w:val="15"/>
                <w:color w:val="auto"/>
              </w:rPr>
            </w:pP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Total equity in net loss..................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($35,890)</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($53,308)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($89,198)</w:t>
            </w:r>
          </w:p>
        </w:tc>
      </w:tr>
      <w:tr>
        <w:trPr>
          <w:trHeight w:val="182"/>
        </w:trPr>
        <w:tc>
          <w:tcPr>
            <w:tcW w:w="4720" w:type="dxa"/>
            <w:vAlign w:val="bottom"/>
          </w:tcPr>
          <w:p>
            <w:pPr>
              <w:spacing w:after="0"/>
              <w:rPr>
                <w:sz w:val="15"/>
                <w:szCs w:val="15"/>
                <w:color w:val="auto"/>
              </w:rPr>
            </w:pP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1996</w:t>
            </w:r>
          </w:p>
        </w:tc>
        <w:tc>
          <w:tcPr>
            <w:tcW w:w="2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Sprint Spectrum (a)</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Other</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Revenues, net...............................</w:t>
            </w:r>
          </w:p>
        </w:tc>
        <w:tc>
          <w:tcPr>
            <w:tcW w:w="228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$178,777</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$178,777</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Depreciation and amortization...............</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384</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29,199</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29,583</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Operating loss..............................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(46,898)</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(31,622)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(78,520)</w:t>
            </w:r>
          </w:p>
        </w:tc>
      </w:tr>
      <w:tr>
        <w:trPr>
          <w:trHeight w:val="182"/>
        </w:trPr>
        <w:tc>
          <w:tcPr>
            <w:tcW w:w="4720" w:type="dxa"/>
            <w:vAlign w:val="bottom"/>
          </w:tcPr>
          <w:p>
            <w:pPr>
              <w:jc w:val="right"/>
              <w:ind w:right="2561"/>
              <w:spacing w:after="0"/>
              <w:rPr>
                <w:sz w:val="20"/>
                <w:szCs w:val="20"/>
                <w:color w:val="auto"/>
              </w:rPr>
            </w:pPr>
            <w:r>
              <w:rPr>
                <w:rFonts w:ascii="Courier New" w:cs="Courier New" w:eastAsia="Courier New" w:hAnsi="Courier New"/>
                <w:sz w:val="16"/>
                <w:szCs w:val="16"/>
                <w:color w:val="auto"/>
              </w:rPr>
              <w:t>Net loss as reported</w:t>
            </w:r>
          </w:p>
        </w:tc>
        <w:tc>
          <w:tcPr>
            <w:tcW w:w="2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by affiliates............................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(90,837)</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(45,660)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(136,497)</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Company's Equity in Net Loss</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Equity in current period net loss...........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($13,625)</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($14,045)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($27,670)</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Amortization expense (b)....................</w:t>
            </w:r>
          </w:p>
        </w:tc>
        <w:tc>
          <w:tcPr>
            <w:tcW w:w="228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(1,207)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(1,207)</w:t>
            </w:r>
          </w:p>
        </w:tc>
      </w:tr>
      <w:tr>
        <w:trPr>
          <w:trHeight w:val="182"/>
        </w:trPr>
        <w:tc>
          <w:tcPr>
            <w:tcW w:w="4720" w:type="dxa"/>
            <w:vAlign w:val="bottom"/>
          </w:tcPr>
          <w:p>
            <w:pPr>
              <w:spacing w:after="0"/>
              <w:rPr>
                <w:sz w:val="15"/>
                <w:szCs w:val="15"/>
                <w:color w:val="auto"/>
              </w:rPr>
            </w:pP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Total equity in net loss..................</w:t>
            </w:r>
          </w:p>
        </w:tc>
        <w:tc>
          <w:tcPr>
            <w:tcW w:w="2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($13,625)</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($15,252)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($28,877)</w:t>
            </w:r>
          </w:p>
        </w:tc>
      </w:tr>
      <w:tr>
        <w:trPr>
          <w:trHeight w:val="182"/>
        </w:trPr>
        <w:tc>
          <w:tcPr>
            <w:tcW w:w="4720" w:type="dxa"/>
            <w:vAlign w:val="bottom"/>
          </w:tcPr>
          <w:p>
            <w:pPr>
              <w:spacing w:after="0"/>
              <w:rPr>
                <w:sz w:val="15"/>
                <w:szCs w:val="15"/>
                <w:color w:val="auto"/>
              </w:rPr>
            </w:pP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As of September 30, 1996</w:t>
            </w:r>
          </w:p>
        </w:tc>
        <w:tc>
          <w:tcPr>
            <w:tcW w:w="2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Sprint Spectrum (a)</w:t>
            </w: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Other</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Current assets..............................</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$35,917</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$1,807,083</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$1,843,000</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Noncurrent assets...........................</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2,525,411</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2,306,286</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4,831,697</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Current liabilities.........................</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71,866</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833,410</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905,276</w:t>
            </w:r>
          </w:p>
        </w:tc>
      </w:tr>
      <w:tr>
        <w:trPr>
          <w:trHeight w:val="182"/>
        </w:trPr>
        <w:tc>
          <w:tcPr>
            <w:tcW w:w="47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Noncurrent liabilities......................</w:t>
            </w:r>
          </w:p>
        </w:tc>
        <w:tc>
          <w:tcPr>
            <w:tcW w:w="2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17,078</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2,179,821</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2,196,899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footnote (1) on page 10.</w:t>
      </w: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footnote (3) on page 10.</w:t>
      </w:r>
    </w:p>
    <w:p>
      <w:pPr>
        <w:spacing w:after="0" w:line="200" w:lineRule="exact"/>
        <w:rPr>
          <w:sz w:val="20"/>
          <w:szCs w:val="20"/>
          <w:color w:val="auto"/>
        </w:rPr>
      </w:pPr>
    </w:p>
    <w:p>
      <w:pPr>
        <w:spacing w:after="0" w:line="34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03"/>
          </w:cols>
          <w:pgMar w:left="237" w:top="841" w:right="1159" w:bottom="1440" w:gutter="0" w:footer="0" w:header="0"/>
        </w:sectPr>
      </w:pPr>
    </w:p>
    <w:bookmarkStart w:id="10" w:name="page11"/>
    <w:bookmarkEnd w:id="10"/>
    <w:p>
      <w:pPr>
        <w:jc w:val="center"/>
        <w:ind w:right="7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(Unaudited)</w:t>
            </w:r>
          </w:p>
        </w:tc>
        <w:tc>
          <w:tcPr>
            <w:tcW w:w="16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728"/>
        </w:trPr>
        <w:tc>
          <w:tcPr>
            <w:tcW w:w="4400" w:type="dxa"/>
            <w:vAlign w:val="bottom"/>
          </w:tcPr>
          <w:p>
            <w:pPr>
              <w:spacing w:after="0"/>
              <w:rPr>
                <w:sz w:val="24"/>
                <w:szCs w:val="24"/>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Three Months</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Nine Months</w:t>
            </w:r>
          </w:p>
        </w:tc>
      </w:tr>
      <w:tr>
        <w:trPr>
          <w:trHeight w:val="182"/>
        </w:trPr>
        <w:tc>
          <w:tcPr>
            <w:tcW w:w="4400" w:type="dxa"/>
            <w:vAlign w:val="bottom"/>
          </w:tcPr>
          <w:p>
            <w:pPr>
              <w:spacing w:after="0"/>
              <w:rPr>
                <w:sz w:val="15"/>
                <w:szCs w:val="15"/>
                <w:color w:val="auto"/>
              </w:rPr>
            </w:pP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Ended</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4400" w:type="dxa"/>
            <w:vAlign w:val="bottom"/>
          </w:tcPr>
          <w:p>
            <w:pPr>
              <w:spacing w:after="0"/>
              <w:rPr>
                <w:sz w:val="15"/>
                <w:szCs w:val="15"/>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January 31, 1995 September 30, 1995</w:t>
            </w:r>
          </w:p>
        </w:tc>
      </w:tr>
      <w:tr>
        <w:trPr>
          <w:trHeight w:val="182"/>
        </w:trPr>
        <w:tc>
          <w:tcPr>
            <w:tcW w:w="4400" w:type="dxa"/>
            <w:vAlign w:val="bottom"/>
          </w:tcPr>
          <w:p>
            <w:pPr>
              <w:spacing w:after="0"/>
              <w:rPr>
                <w:sz w:val="15"/>
                <w:szCs w:val="15"/>
                <w:color w:val="auto"/>
              </w:rPr>
            </w:pP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QVC (2)</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Other</w:t>
            </w:r>
          </w:p>
        </w:tc>
      </w:tr>
      <w:tr>
        <w:trPr>
          <w:trHeight w:val="364"/>
        </w:trPr>
        <w:tc>
          <w:tcPr>
            <w:tcW w:w="440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$425,921</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$450,546</w:t>
            </w: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12,992</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109,006</w:t>
            </w: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58,247</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(163,777)</w:t>
            </w:r>
          </w:p>
        </w:tc>
      </w:tr>
      <w:tr>
        <w:trPr>
          <w:trHeight w:val="182"/>
        </w:trPr>
        <w:tc>
          <w:tcPr>
            <w:tcW w:w="44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Net income (loss) as reported</w:t>
            </w:r>
          </w:p>
        </w:tc>
        <w:tc>
          <w:tcPr>
            <w:tcW w:w="16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28,333</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(238,461)</w:t>
            </w:r>
          </w:p>
        </w:tc>
      </w:tr>
      <w:tr>
        <w:trPr>
          <w:trHeight w:val="364"/>
        </w:trPr>
        <w:tc>
          <w:tcPr>
            <w:tcW w:w="4400" w:type="dxa"/>
            <w:vAlign w:val="bottom"/>
          </w:tcPr>
          <w:p>
            <w:pPr>
              <w:spacing w:after="0"/>
              <w:rPr>
                <w:sz w:val="20"/>
                <w:szCs w:val="20"/>
                <w:color w:val="auto"/>
              </w:rPr>
            </w:pPr>
            <w:r>
              <w:rPr>
                <w:rFonts w:ascii="Courier New" w:cs="Courier New" w:eastAsia="Courier New" w:hAnsi="Courier New"/>
                <w:sz w:val="16"/>
                <w:szCs w:val="16"/>
                <w:color w:val="auto"/>
              </w:rPr>
              <w:t>Company's Equity in Net Income (Loss)</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Equity in current period net income (loss)..</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$4,286</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($64,071)</w:t>
            </w: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 (3)...........</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1,194</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(4,943)</w:t>
            </w:r>
          </w:p>
        </w:tc>
      </w:tr>
      <w:tr>
        <w:trPr>
          <w:trHeight w:val="182"/>
        </w:trPr>
        <w:tc>
          <w:tcPr>
            <w:tcW w:w="4400" w:type="dxa"/>
            <w:vAlign w:val="bottom"/>
          </w:tcPr>
          <w:p>
            <w:pPr>
              <w:spacing w:after="0"/>
              <w:rPr>
                <w:sz w:val="15"/>
                <w:szCs w:val="15"/>
                <w:color w:val="auto"/>
              </w:rPr>
            </w:pP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$5,480</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($69,014)</w:t>
            </w:r>
          </w:p>
        </w:tc>
      </w:tr>
      <w:tr>
        <w:trPr>
          <w:trHeight w:val="182"/>
        </w:trPr>
        <w:tc>
          <w:tcPr>
            <w:tcW w:w="4400" w:type="dxa"/>
            <w:vAlign w:val="bottom"/>
          </w:tcPr>
          <w:p>
            <w:pPr>
              <w:spacing w:after="0"/>
              <w:rPr>
                <w:sz w:val="15"/>
                <w:szCs w:val="15"/>
                <w:color w:val="auto"/>
              </w:rPr>
            </w:pP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jc w:val="both"/>
        <w:ind w:left="660" w:right="480" w:hanging="470"/>
        <w:spacing w:after="0" w:line="239"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equity interest in Sprint Spectrum's net loss is recorded three months in arrears. Accordingly, the summarized financial information presented above includes Sprint Spectrum's results of operations for the nine and three months ended June 30, 1996 and its financial position as of June 30, 1996.</w:t>
      </w:r>
    </w:p>
    <w:p>
      <w:pPr>
        <w:spacing w:after="0" w:line="6" w:lineRule="exact"/>
        <w:rPr>
          <w:rFonts w:ascii="Courier New" w:cs="Courier New" w:eastAsia="Courier New" w:hAnsi="Courier New"/>
          <w:sz w:val="16"/>
          <w:szCs w:val="16"/>
          <w:color w:val="auto"/>
        </w:rPr>
      </w:pPr>
    </w:p>
    <w:p>
      <w:pPr>
        <w:jc w:val="both"/>
        <w:ind w:left="660" w:right="480" w:hanging="470"/>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January 31, 1995, QVC's fiscal year end was January 31, and therefore, the Company recorded its equity interest in QVC's net income two months in arrears. For the nine months ended September 30, 1995, the Company recorded its equity interest in QVC's net income for the period from November 1, 1994 through January 31, 1995, which was not previously recorded by the Company. The effect of this one-time adjustment was not significant to the Company's results of operations. Effective February 1, 1995, QVC's results of operations were consolidated with the Company.</w:t>
      </w:r>
    </w:p>
    <w:p>
      <w:pPr>
        <w:spacing w:after="0" w:line="5" w:lineRule="exact"/>
        <w:rPr>
          <w:rFonts w:ascii="Courier New" w:cs="Courier New" w:eastAsia="Courier New" w:hAnsi="Courier New"/>
          <w:sz w:val="16"/>
          <w:szCs w:val="16"/>
          <w:color w:val="auto"/>
        </w:rPr>
      </w:pPr>
    </w:p>
    <w:p>
      <w:pPr>
        <w:jc w:val="both"/>
        <w:ind w:left="660" w:right="480" w:hanging="470"/>
        <w:spacing w:after="0" w:line="239"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differences between the Company's recorded investments and its proportionate interests in the book value of the investees' net assets are being amortized to equity in net income or loss, primarily over a period of twenty years, which is consistent with the estimated lives of the underlying assets.</w:t>
      </w:r>
    </w:p>
    <w:p>
      <w:pPr>
        <w:spacing w:after="0" w:line="200" w:lineRule="exact"/>
        <w:rPr>
          <w:sz w:val="20"/>
          <w:szCs w:val="20"/>
          <w:color w:val="auto"/>
        </w:rPr>
      </w:pPr>
    </w:p>
    <w:p>
      <w:pPr>
        <w:spacing w:after="0" w:line="353" w:lineRule="exact"/>
        <w:rPr>
          <w:sz w:val="20"/>
          <w:szCs w:val="20"/>
          <w:color w:val="auto"/>
        </w:rPr>
      </w:pPr>
    </w:p>
    <w:p>
      <w:pPr>
        <w:jc w:val="both"/>
        <w:ind w:left="180" w:right="480"/>
        <w:spacing w:after="0" w:line="257" w:lineRule="auto"/>
        <w:rPr>
          <w:sz w:val="20"/>
          <w:szCs w:val="20"/>
          <w:color w:val="auto"/>
        </w:rPr>
      </w:pPr>
      <w:r>
        <w:rPr>
          <w:rFonts w:ascii="Courier New" w:cs="Courier New" w:eastAsia="Courier New" w:hAnsi="Courier New"/>
          <w:sz w:val="15"/>
          <w:szCs w:val="15"/>
          <w:color w:val="auto"/>
        </w:rPr>
        <w:t>Through June 27, 1996, the Company held investments in Teleport Communications Group Inc. ("TCGI"), TCG Partners and certain local joint ventures (the "Joint Ventures") managed by TCGI and TCG Partners. On June 27, 1996, TCGI sold approximately 27 million shares of its Class A Common Stock (the "TCGI Class A Stock") for $16 per share in an initial public offering (the "IPO"). In connection with the IPO, TCGI, the Company and subsidiaries of Cox, TCI and Continental Cablevision ("Continental" and collectively with Cox, TCI and the Company, the "Cable Stockholders") entered into a reorganization agreement pursuant to which TCGI was reorganized (the "Reorganization"). The Reorganization consisted of, among other things: (i) the acquisition by TCGI of TCG Partners; (ii) the acquisition by TCGI of additional interests in the Joint Ventures (including 100% of those interests held by the Company); and (iii) the contribution to TCGI of $269.0 million aggregate principal amount of indebtedness, plus accrued interest thereon, owed by TCGI to the Cable Stockholders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The Company recorded a $40.6 million increase in its proportionate share of TCGI's net assets as a gain from equity offering of affiliate in its condensed consolidated statement of operations and accumulated deficit for the nine months ended September 30, 1996. After giving effect to the Reorganization and the IPO, the Company owns 19.5% of the outstanding TCGI Class B Stock representing a 19.1% voting interest and a 16.1% equity interest. The Company continues to account for its interest in TCGI under the equity method. Assuming conversion of the TCGI Class B Stock held by the Company into TCGI Class A Stock, the Company's investment would have a fair value of approximately $605.3 million, based on the quoted market price of the TCGI Class A Stock as of September 30, 1996.</w:t>
      </w:r>
    </w:p>
    <w:p>
      <w:pPr>
        <w:spacing w:after="0" w:line="35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178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Three Months</w:t>
            </w:r>
          </w:p>
        </w:tc>
      </w:tr>
      <w:tr>
        <w:trPr>
          <w:trHeight w:val="182"/>
        </w:trPr>
        <w:tc>
          <w:tcPr>
            <w:tcW w:w="96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960" w:type="dxa"/>
            <w:vAlign w:val="bottom"/>
          </w:tcPr>
          <w:p>
            <w:pPr>
              <w:spacing w:after="0"/>
              <w:rPr>
                <w:sz w:val="15"/>
                <w:szCs w:val="15"/>
                <w:color w:val="auto"/>
              </w:rPr>
            </w:pPr>
          </w:p>
        </w:tc>
        <w:tc>
          <w:tcPr>
            <w:tcW w:w="178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September 30, 1995</w:t>
            </w:r>
          </w:p>
        </w:tc>
      </w:tr>
      <w:tr>
        <w:trPr>
          <w:trHeight w:val="182"/>
        </w:trPr>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Combined</w:t>
            </w:r>
          </w:p>
        </w:tc>
        <w:tc>
          <w:tcPr>
            <w:tcW w:w="178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Combined (2)</w:t>
            </w:r>
          </w:p>
        </w:tc>
      </w:tr>
      <w:tr>
        <w:trPr>
          <w:trHeight w:val="546"/>
        </w:trPr>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$876,467</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$160,893</w:t>
            </w:r>
          </w:p>
        </w:tc>
      </w:tr>
      <w:tr>
        <w:trPr>
          <w:trHeight w:val="182"/>
        </w:trPr>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121,998</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38,941</w:t>
            </w:r>
          </w:p>
        </w:tc>
      </w:tr>
      <w:tr>
        <w:trPr>
          <w:trHeight w:val="182"/>
        </w:trPr>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(105,530)</w:t>
            </w:r>
          </w:p>
        </w:tc>
        <w:tc>
          <w:tcPr>
            <w:tcW w:w="17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(64,228)</w:t>
            </w:r>
          </w:p>
        </w:tc>
      </w:tr>
      <w:tr>
        <w:trPr>
          <w:trHeight w:val="364"/>
        </w:trPr>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(210,128)</w:t>
            </w:r>
          </w:p>
        </w:tc>
        <w:tc>
          <w:tcPr>
            <w:tcW w:w="17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(92,587)</w:t>
            </w:r>
          </w:p>
        </w:tc>
      </w:tr>
      <w:tr>
        <w:trPr>
          <w:trHeight w:val="546"/>
        </w:trPr>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($59,785)</w:t>
            </w:r>
          </w:p>
        </w:tc>
        <w:tc>
          <w:tcPr>
            <w:tcW w:w="17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($24,101)</w:t>
            </w:r>
          </w:p>
        </w:tc>
      </w:tr>
      <w:tr>
        <w:trPr>
          <w:trHeight w:val="182"/>
        </w:trPr>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(3,749)</w:t>
            </w:r>
          </w:p>
        </w:tc>
        <w:tc>
          <w:tcPr>
            <w:tcW w:w="17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(1,527)</w:t>
            </w:r>
          </w:p>
        </w:tc>
      </w:tr>
      <w:tr>
        <w:trPr>
          <w:trHeight w:val="182"/>
        </w:trPr>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($63,534)</w:t>
            </w:r>
          </w:p>
        </w:tc>
        <w:tc>
          <w:tcPr>
            <w:tcW w:w="17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($25,628)</w:t>
            </w:r>
          </w:p>
        </w:tc>
      </w:tr>
      <w:tr>
        <w:trPr>
          <w:trHeight w:val="182"/>
        </w:trPr>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7760" w:space="180"/>
            <w:col w:w="2740"/>
          </w:cols>
          <w:pgMar w:left="520" w:top="477" w:right="699" w:bottom="701" w:gutter="0" w:footer="0" w:header="0"/>
        </w:sectPr>
      </w:pPr>
    </w:p>
    <w:bookmarkStart w:id="11" w:name="page12"/>
    <w:bookmarkEnd w:id="11"/>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Investments - Public Companies</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In February 1996, in connection with certain preemptive rights of the Company under previously existing agreements with Nextel Communications, Inc. ("Nextel"), the Company purchased approximately 8.16 million shares, classified as long-term investments available for sale, of Nextel common stock at $12.25 per share, for a total cost of $99.9 million.</w:t>
      </w:r>
    </w:p>
    <w:p>
      <w:pPr>
        <w:spacing w:after="0" w:line="189"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During the nine and three months ended September 30, 1996, the Company sold 5.6 million shares and 1.2 million shares, respectively, of Nextel common stock for $105.4 million and $19.9 million, respectively, and recognized pre-tax gains of $35.4 million and $5.8 million, respectively, as investment income in its condensed consolidated statement of operations and accumulated deficit. During the nine and three months ended September 30, 1995, the Company sold 11.3 million shares of Nextel common stock for $212.6 million and recognized a pre-tax gain of $36.2 million as investment income in its condensed consolidated statement of operations and accumulated deficit.</w:t>
      </w:r>
    </w:p>
    <w:p>
      <w:pPr>
        <w:spacing w:after="0" w:line="188"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of $149.2 million and $115.9 million as of September 30, 1996 and December 31, 1995, respectively. The Company has recorded these investments, which are classified as available for sale, at their estimated fair values of $199.5 million and $150.1 million as of September 30, 1996 and December 31, 1995, respectively. The unrealized pre-tax gains as of September 30, 1996 and December 31, 1995 of $50.3 million and $34.2 million, respectively, have been reported in the Company's condensed consolidated balance sheet as decreases in stockholders' deficiency, net of related deferred income taxes of $17.6 million and $12.0 million, respectively.</w:t>
      </w:r>
    </w:p>
    <w:p>
      <w:pPr>
        <w:spacing w:after="0" w:line="189"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As a result of the merger of Time Warner, Inc. ("Time Warner") and Turner Broadcasting System, Inc. ("TBS"), which was consummated on October 10, 1996 (the "Merger Date"), the Company received approximately 1.36 million shares of Time Warner common stock (the "Time Warner Stock") in exchange for all of the shares of TBS stock held by the Company as of the Merger Date. The closing market price of the Time Warner Stock on the Merger Date was $41.375 per share. The Company's investment in TBS, which was classified as a long-term investment available for sale, had an historical cost of approximately $8.9 million.</w:t>
      </w:r>
    </w:p>
    <w:p>
      <w:pPr>
        <w:spacing w:after="0" w:line="184" w:lineRule="exact"/>
        <w:rPr>
          <w:sz w:val="20"/>
          <w:szCs w:val="20"/>
          <w:color w:val="auto"/>
        </w:rPr>
      </w:pPr>
    </w:p>
    <w:p>
      <w:pPr>
        <w:ind w:left="463"/>
        <w:spacing w:after="0"/>
        <w:tabs>
          <w:tab w:leader="none" w:pos="1683" w:val="left"/>
          <w:tab w:leader="none" w:pos="1963" w:val="left"/>
          <w:tab w:leader="none" w:pos="3003" w:val="left"/>
          <w:tab w:leader="none" w:pos="3583" w:val="left"/>
        </w:tabs>
        <w:rPr>
          <w:sz w:val="20"/>
          <w:szCs w:val="20"/>
          <w:color w:val="auto"/>
        </w:rPr>
      </w:pPr>
      <w:r>
        <w:rPr>
          <w:rFonts w:ascii="Courier New" w:cs="Courier New" w:eastAsia="Courier New" w:hAnsi="Courier New"/>
          <w:sz w:val="16"/>
          <w:szCs w:val="16"/>
          <w:color w:val="auto"/>
        </w:rPr>
        <w:t>Investments</w:t>
        <w:tab/>
        <w:t>-</w:t>
        <w:tab/>
        <w:t>Privately</w:t>
        <w:tab/>
        <w:t>Held</w:t>
      </w:r>
      <w:r>
        <w:rPr>
          <w:sz w:val="20"/>
          <w:szCs w:val="20"/>
          <w:color w:val="auto"/>
        </w:rPr>
        <w:tab/>
      </w:r>
      <w:r>
        <w:rPr>
          <w:rFonts w:ascii="Courier New" w:cs="Courier New" w:eastAsia="Courier New" w:hAnsi="Courier New"/>
          <w:sz w:val="15"/>
          <w:szCs w:val="15"/>
          <w:color w:val="auto"/>
        </w:rPr>
        <w:t>Companies</w:t>
      </w:r>
    </w:p>
    <w:p>
      <w:pPr>
        <w:spacing w:after="0" w:line="1" w:lineRule="exact"/>
        <w:rPr>
          <w:sz w:val="20"/>
          <w:szCs w:val="20"/>
          <w:color w:val="auto"/>
        </w:rPr>
      </w:pPr>
    </w:p>
    <w:p>
      <w:pPr>
        <w:ind w:left="463"/>
        <w:spacing w:after="0"/>
        <w:tabs>
          <w:tab w:leader="none" w:pos="823" w:val="left"/>
          <w:tab w:leader="none" w:pos="1683" w:val="left"/>
          <w:tab w:leader="none" w:pos="2343" w:val="left"/>
          <w:tab w:leader="none" w:pos="2823" w:val="left"/>
          <w:tab w:leader="none" w:pos="3663" w:val="left"/>
          <w:tab w:leader="none" w:pos="4703" w:val="left"/>
          <w:tab w:leader="none" w:pos="5183" w:val="left"/>
          <w:tab w:leader="none" w:pos="6403" w:val="left"/>
          <w:tab w:leader="none" w:pos="6783" w:val="left"/>
        </w:tabs>
        <w:rPr>
          <w:sz w:val="20"/>
          <w:szCs w:val="20"/>
          <w:color w:val="auto"/>
        </w:rPr>
      </w:pPr>
      <w:r>
        <w:rPr>
          <w:rFonts w:ascii="Courier New" w:cs="Courier New" w:eastAsia="Courier New" w:hAnsi="Courier New"/>
          <w:sz w:val="16"/>
          <w:szCs w:val="16"/>
          <w:color w:val="auto"/>
        </w:rPr>
        <w:t>In</w:t>
        <w:tab/>
        <w:t>January</w:t>
        <w:tab/>
        <w:t>1995,</w:t>
        <w:tab/>
        <w:t>the</w:t>
        <w:tab/>
        <w:t>Company</w:t>
        <w:tab/>
        <w:t>exchanged</w:t>
        <w:tab/>
        <w:t>its</w:t>
        <w:tab/>
        <w:t>investments</w:t>
        <w:tab/>
        <w:t>in</w:t>
      </w:r>
      <w:r>
        <w:rPr>
          <w:sz w:val="20"/>
          <w:szCs w:val="20"/>
          <w:color w:val="auto"/>
        </w:rPr>
        <w:tab/>
      </w:r>
      <w:r>
        <w:rPr>
          <w:rFonts w:ascii="Courier New" w:cs="Courier New" w:eastAsia="Courier New" w:hAnsi="Courier New"/>
          <w:sz w:val="15"/>
          <w:szCs w:val="15"/>
          <w:color w:val="auto"/>
        </w:rPr>
        <w:t>Heritage</w:t>
      </w:r>
    </w:p>
    <w:p>
      <w:pPr>
        <w:spacing w:after="0" w:line="5"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Communications, Inc. with TCI for approximately 13.3 million publicly-traded Class A common shares of TCI with a fair market value of approximately $290.0 million. Shortly thereafter, the Company sold approximately 9.1 million unrestricted TCI shares for total proceeds of $188.1 million. As a result of these transactions, the Company recognized a pre-tax gain of $141.0 million as investment income in its condensed consolidated statement of operations and accumulated deficit in the first quarter of 1995.</w:t>
      </w:r>
    </w:p>
    <w:p>
      <w:pPr>
        <w:spacing w:after="0" w:line="183" w:lineRule="exact"/>
        <w:rPr>
          <w:sz w:val="20"/>
          <w:szCs w:val="20"/>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6" w:lineRule="exact"/>
        <w:rPr>
          <w:rFonts w:ascii="Courier New" w:cs="Courier New" w:eastAsia="Courier New" w:hAnsi="Courier New"/>
          <w:sz w:val="16"/>
          <w:szCs w:val="16"/>
          <w:color w:val="auto"/>
        </w:rPr>
      </w:pPr>
    </w:p>
    <w:p>
      <w:pPr>
        <w:ind w:left="463"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1995, the Company issued $250.0 million principal amount of its 9-3/8% senior subordinated debentures due 2005.</w:t>
      </w:r>
    </w:p>
    <w:p>
      <w:pPr>
        <w:spacing w:after="0" w:line="187"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1996, the Company expensed unamortized debt acquisition costs of $1.8 million in connection with the prepayment of a portion of a subsidiary's outstanding debt, resulting in an extraordinary loss, net of tax, of $1.0 million.</w:t>
      </w:r>
    </w:p>
    <w:p>
      <w:pPr>
        <w:spacing w:after="0" w:line="187"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incurred debt extinguishment costs totaling $8.3 million during the nine and three months ended September 30, 1995, as a result of refinancing the indebtedness of certain subsidiaries, resulting in an extraordinary loss, net of tax, of $5.4 million or $.02 per share.</w:t>
      </w:r>
    </w:p>
    <w:p>
      <w:pPr>
        <w:spacing w:after="0" w:line="36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477" w:right="1440" w:bottom="1440" w:gutter="0" w:footer="0" w:header="0"/>
        </w:sectPr>
      </w:pPr>
    </w:p>
    <w:bookmarkStart w:id="12" w:name="page13"/>
    <w:bookmarkEnd w:id="12"/>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w:t>
      </w:r>
    </w:p>
    <w:p>
      <w:pPr>
        <w:spacing w:after="0" w:line="186"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July 1996, in connection with the Sports Venture Acquisition (see Note 3), the Company issued 6,370 shares of Preferred Stock. Each holder of shares of the Preferred Stock is entitled to receive cumulative cash dividends at the annual rate of $250 per share, payable quarterly in arrears. The Preferred Stock is redeemable, at the option of the Company, beginning in July 1999 at a redemption price of $5,000 per share plus accrued and unpaid dividends, subject to certain conditions and conversion adjustments. The Preferred Stock is convertible, at the option of the holder, into shares of the Company's Class A Special Common Stock at a ratio of 209.1175 shares of Class A Special Common Stock for each share of Preferred Stock, subject to certain conditions. The holders of the Preferred Stock are not entitled to any voting rights except as otherwise provided by the Company's Articles of Incorporation or by applicable law.</w:t>
      </w:r>
    </w:p>
    <w:p>
      <w:pPr>
        <w:spacing w:after="0" w:line="176"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interest payments of $329.0 million, $334.4 million, $99.2 million and $124.3 million during the nine and three months ended September 30, 1996 and 1995, respectively.</w:t>
      </w:r>
    </w:p>
    <w:p>
      <w:pPr>
        <w:spacing w:after="0" w:line="188"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income taxes of $77.7 million, $24.4 million, $15.5 million, and $5.3 million during the nine and three months ended September 30, 1996 and 1995, respectively.</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claims which arise in the ordinary course of its business and other legal proceedings. In the opinion of management, the amount of ultimate liability with respect to these actions will not materially affect the financial position, results of operations or liquidity of the Company.</w:t>
      </w:r>
    </w:p>
    <w:p>
      <w:pPr>
        <w:spacing w:after="0" w:line="3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2"/>
          </w:cols>
          <w:pgMar w:left="237" w:top="659" w:right="1440" w:bottom="1440" w:gutter="0" w:footer="0" w:header="0"/>
        </w:sectPr>
      </w:pPr>
    </w:p>
    <w:bookmarkStart w:id="13" w:name="page14"/>
    <w:bookmarkEnd w:id="13"/>
    <w:p>
      <w:pPr>
        <w:jc w:val="center"/>
        <w:ind w:right="395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85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QUARTER ENDED SEPTEMBER 30, 1996</w:t>
      </w:r>
    </w:p>
    <w:p>
      <w:pPr>
        <w:spacing w:after="0" w:line="1"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p>
      <w:pPr>
        <w:jc w:val="center"/>
        <w:ind w:right="385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63" w:right="7840" w:hanging="463"/>
        <w:spacing w:after="0" w:line="237" w:lineRule="auto"/>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thousands)</w:t>
      </w:r>
    </w:p>
    <w:p>
      <w:pPr>
        <w:spacing w:after="0" w:line="36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Domestic</w:t>
            </w: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Cable</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Electronic</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Cellular</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Corporate</w:t>
            </w:r>
          </w:p>
        </w:tc>
        <w:tc>
          <w:tcPr>
            <w:tcW w:w="112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Communications</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Retailing</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Communications</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and Other (1)</w:t>
            </w: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September 30, 1996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$1,170,951</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$1,286,869</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$317,116</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$95,933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$2,870,869</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286,438</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78,904</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84,790</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40,858</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490,990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(loss).....................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292,442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129,742</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34,036</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(85,203)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371,017</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168,144</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50,458</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68,357</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116,776</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403,735</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203,841</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38,864</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69,026</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138,474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450,205</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Equity in</w:t>
            </w:r>
          </w:p>
        </w:tc>
        <w:tc>
          <w:tcPr>
            <w:tcW w:w="340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net (losses) income of</w:t>
            </w: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3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affiliates..............................</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(15,565)</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159</w:t>
            </w:r>
          </w:p>
        </w:tc>
        <w:tc>
          <w:tcPr>
            <w:tcW w:w="1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(73,792)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(89,198)</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September 30, 1996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$392,619</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$431,023</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$110,020</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$40,901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$974,563</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95,753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27,023</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28,017</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15,925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166,718</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(loss).....................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98,122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42,215</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19,722</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(30,967)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129,092</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57,490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15,405</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24,384</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38,463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135,742</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67,025</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19,317</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32,475</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52,483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171,300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Equity in</w:t>
            </w:r>
          </w:p>
        </w:tc>
        <w:tc>
          <w:tcPr>
            <w:tcW w:w="340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net (losses) income of</w:t>
            </w: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3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affiliates..............................</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(7,121)</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75</w:t>
            </w:r>
          </w:p>
        </w:tc>
        <w:tc>
          <w:tcPr>
            <w:tcW w:w="1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(21,831)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(28,877)</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As of September 30, 1996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$4,788,713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$2,092,483</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$1,361,983</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$1,586,129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$9,829,308</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debt, less current portion........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3,149,912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875,293</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1,100,985</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2,107,555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7,233,745</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September 30, 1995</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$1,078,033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$975,917</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$274,243</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$29,234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$2,357,427</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278,862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61,810</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177,205</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16,798</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534,675</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(loss).....................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250,793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93,266</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(66,469)</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(67,691)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209,899</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185,371</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55,275</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54,062</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93,659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388,367</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180,437</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15,937</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191,983</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88,214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476,571</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Equity in</w:t>
            </w:r>
          </w:p>
        </w:tc>
        <w:tc>
          <w:tcPr>
            <w:tcW w:w="340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net (losses) income of</w:t>
            </w: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3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affiliates..............................</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(12,143)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428</w:t>
            </w:r>
          </w:p>
        </w:tc>
        <w:tc>
          <w:tcPr>
            <w:tcW w:w="1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(51,819)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(63,534)</w:t>
            </w:r>
          </w:p>
        </w:tc>
      </w:tr>
      <w:tr>
        <w:trPr>
          <w:trHeight w:val="364"/>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September 30, 1995</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$368,453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$391,491</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$97,830</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$12,475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$870,249</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95,196</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24,804</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21,981</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5,651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147,632</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(loss).....................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86,759</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34,901</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17,974</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(23,122)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116,512</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61,467</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20,459</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18,485</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37,405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137,816</w:t>
            </w:r>
          </w:p>
        </w:tc>
      </w:tr>
      <w:tr>
        <w:trPr>
          <w:trHeight w:val="182"/>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69,395</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7,465</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24,020</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36,731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137,611</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Equity in</w:t>
            </w:r>
          </w:p>
        </w:tc>
        <w:tc>
          <w:tcPr>
            <w:tcW w:w="3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 losses of affiliates..........</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(5,222)</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w:t>
            </w:r>
          </w:p>
        </w:tc>
        <w:tc>
          <w:tcPr>
            <w:tcW w:w="1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(20,226)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(25,628)</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63" w:right="3960" w:hanging="463"/>
        <w:spacing w:after="0" w:line="237"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certain operating businesses and elimination entries related to the segments presented.</w:t>
      </w:r>
    </w:p>
    <w:p>
      <w:pPr>
        <w:spacing w:after="0" w:line="200" w:lineRule="exact"/>
        <w:rPr>
          <w:sz w:val="20"/>
          <w:szCs w:val="20"/>
          <w:color w:val="auto"/>
        </w:rPr>
      </w:pPr>
    </w:p>
    <w:p>
      <w:pPr>
        <w:spacing w:after="0" w:line="34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523"/>
          </w:cols>
          <w:pgMar w:left="237" w:top="659" w:right="139" w:bottom="1440" w:gutter="0" w:footer="0" w:header="0"/>
        </w:sectPr>
      </w:pPr>
    </w:p>
    <w:bookmarkStart w:id="14" w:name="page15"/>
    <w:bookmarkEnd w:id="14"/>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200" w:lineRule="exact"/>
        <w:rPr>
          <w:sz w:val="20"/>
          <w:szCs w:val="20"/>
          <w:color w:val="auto"/>
        </w:rPr>
      </w:pPr>
    </w:p>
    <w:p>
      <w:pPr>
        <w:spacing w:after="0" w:line="350" w:lineRule="exact"/>
        <w:rPr>
          <w:sz w:val="20"/>
          <w:szCs w:val="20"/>
          <w:color w:val="auto"/>
        </w:rPr>
      </w:pPr>
    </w:p>
    <w:p>
      <w:pPr>
        <w:ind w:left="840" w:right="3419" w:hanging="850"/>
        <w:spacing w:after="0" w:line="237" w:lineRule="auto"/>
        <w:tabs>
          <w:tab w:leader="none" w:pos="8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cash equivalents and short-term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Regional Sports Venture</w:t>
      </w:r>
    </w:p>
    <w:p>
      <w:pPr>
        <w:spacing w:after="0" w:line="5"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In July 1996, the Company completed its acquisition (the "Sports Venture Acquisition") of an interest of approximately 66%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w:t>
      </w:r>
    </w:p>
    <w:p>
      <w:pPr>
        <w:spacing w:after="0" w:line="3" w:lineRule="exact"/>
        <w:rPr>
          <w:sz w:val="20"/>
          <w:szCs w:val="20"/>
          <w:color w:val="auto"/>
        </w:rPr>
      </w:pPr>
    </w:p>
    <w:p>
      <w:pPr>
        <w:spacing w:after="0"/>
        <w:tabs>
          <w:tab w:leader="none" w:pos="1020" w:val="left"/>
          <w:tab w:leader="none" w:pos="2540" w:val="left"/>
          <w:tab w:leader="none" w:pos="3280" w:val="left"/>
          <w:tab w:leader="none" w:pos="3940" w:val="left"/>
          <w:tab w:leader="none" w:pos="4980" w:val="left"/>
          <w:tab w:leader="none" w:pos="7160" w:val="left"/>
        </w:tabs>
        <w:rPr>
          <w:sz w:val="20"/>
          <w:szCs w:val="20"/>
          <w:color w:val="auto"/>
        </w:rPr>
      </w:pPr>
      <w:r>
        <w:rPr>
          <w:rFonts w:ascii="Courier New" w:cs="Courier New" w:eastAsia="Courier New" w:hAnsi="Courier New"/>
          <w:sz w:val="16"/>
          <w:szCs w:val="16"/>
          <w:color w:val="auto"/>
        </w:rPr>
        <w:t>Venture</w:t>
      </w:r>
      <w:r>
        <w:rPr>
          <w:sz w:val="20"/>
          <w:szCs w:val="20"/>
          <w:color w:val="auto"/>
        </w:rPr>
        <w:tab/>
      </w:r>
      <w:r>
        <w:rPr>
          <w:rFonts w:ascii="Courier New" w:cs="Courier New" w:eastAsia="Courier New" w:hAnsi="Courier New"/>
          <w:sz w:val="16"/>
          <w:szCs w:val="16"/>
          <w:color w:val="auto"/>
        </w:rPr>
        <w:t>Acquisition,</w:t>
      </w:r>
      <w:r>
        <w:rPr>
          <w:sz w:val="20"/>
          <w:szCs w:val="20"/>
          <w:color w:val="auto"/>
        </w:rPr>
        <w:tab/>
      </w:r>
      <w:r>
        <w:rPr>
          <w:rFonts w:ascii="Courier New" w:cs="Courier New" w:eastAsia="Courier New" w:hAnsi="Courier New"/>
          <w:sz w:val="16"/>
          <w:szCs w:val="16"/>
          <w:color w:val="auto"/>
        </w:rPr>
        <w:t>PFLP</w:t>
      </w:r>
      <w:r>
        <w:rPr>
          <w:sz w:val="20"/>
          <w:szCs w:val="20"/>
          <w:color w:val="auto"/>
        </w:rPr>
        <w:tab/>
      </w:r>
      <w:r>
        <w:rPr>
          <w:rFonts w:ascii="Courier New" w:cs="Courier New" w:eastAsia="Courier New" w:hAnsi="Courier New"/>
          <w:sz w:val="16"/>
          <w:szCs w:val="16"/>
          <w:color w:val="auto"/>
        </w:rPr>
        <w:t>was</w:t>
      </w:r>
      <w:r>
        <w:rPr>
          <w:sz w:val="20"/>
          <w:szCs w:val="20"/>
          <w:color w:val="auto"/>
        </w:rPr>
        <w:tab/>
      </w:r>
      <w:r>
        <w:rPr>
          <w:rFonts w:ascii="Courier New" w:cs="Courier New" w:eastAsia="Courier New" w:hAnsi="Courier New"/>
          <w:sz w:val="16"/>
          <w:szCs w:val="16"/>
          <w:color w:val="auto"/>
        </w:rPr>
        <w:t>renamed</w:t>
      </w:r>
      <w:r>
        <w:rPr>
          <w:sz w:val="20"/>
          <w:szCs w:val="20"/>
          <w:color w:val="auto"/>
        </w:rPr>
        <w:tab/>
      </w:r>
      <w:r>
        <w:rPr>
          <w:rFonts w:ascii="Courier New" w:cs="Courier New" w:eastAsia="Courier New" w:hAnsi="Courier New"/>
          <w:sz w:val="16"/>
          <w:szCs w:val="16"/>
          <w:color w:val="auto"/>
        </w:rPr>
        <w:t>Comcast-Spectacor,</w:t>
      </w:r>
      <w:r>
        <w:rPr>
          <w:sz w:val="20"/>
          <w:szCs w:val="20"/>
          <w:color w:val="auto"/>
        </w:rPr>
        <w:tab/>
      </w:r>
      <w:r>
        <w:rPr>
          <w:rFonts w:ascii="Courier New" w:cs="Courier New" w:eastAsia="Courier New" w:hAnsi="Courier New"/>
          <w:sz w:val="15"/>
          <w:szCs w:val="15"/>
          <w:color w:val="auto"/>
        </w:rPr>
        <w:t>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("Comcast-Spectacor").</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Sports Venture Acquisition was completed in two steps. In April 1996, the Company purchased the Sixers for $125.0 million in cash plus assumed net liabilities of approximately $11.0 million through a partnership controlled by the Company. To complete the Sports Venture Acquisition, in July 1996, the Company contributed its interest in the Sixers, exchanged approximately 3.5 million shares of the Company's Class A Special Common Stock (the "Class A Special Common Stock") and 6,370 shares of the Company's newly issued 5% Series A Convertible Preferred Stock (the "Preferred Stock"), which is convertible into approximately 1.3 million shares of Class A Special Common Stock (subject to certain conversion adjustments) and paid $15.0 million in cash for its current interest in Comcast-Spectacor. The remaining interest of approximately 34%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approximately $155.0 million. The Company accounts for its interest in Comcast-Spectacor under the equity method.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Spectrum</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Effective as of January 1996, the Company, Tele-Communications, Inc. ("TCI"), Cox Communications, Inc. ("Cox") and Sprint Corporation (collectively, the "Parents"), and certain subsidiaries of the Parents (the "Partner Subsidiaries"), entered into a series of agreements relating to their previously announced joint venture (March 1995) to engage in the communications business. Under an Amended and Restated Agreement of Limited Partnership (the "Partnership Agreement") of MajorCo, L.P. (known as "Sprint Spectrum"), the business of Sprint Spectrum is to provide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5" w:name="page16"/>
    <w:bookmarkEnd w:id="15"/>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October 1995, the Company announced its agreement to acquire the cable television operations ("Scripps Cable") of The E.W. Scripps Company ("E.W. Scripps") in exchange for shares of the Company's Class A Special Common Stock worth $1.575 billion, subject to certain closing adjustments (the "Scripps Transaction"). For purposes of determining the number of shares of Class A Special Common Stock to be delivered in the Scripps Transaction, such stock will be valued on the basis of the average closing price of the Class A Special Common Stock on The Nasdaq Stock Market ("Nasdaq") for 15 trading days randomly selected from the 40 trading day period ending on the second trading day prior to the closing date (the "Comcast Share Price"); provided that the Comcast Share Price will be no greater than $23.09 and, except as provided below, no less than $17.06 (the "Minimum Price").</w:t>
      </w:r>
    </w:p>
    <w:p>
      <w:pPr>
        <w:spacing w:after="0" w:line="189"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closing price of the Class A Special Common Stock on Nasdaq on November 4, 1996 was $15.188 per share, which is below the Minimum Price. Since July 10, 1996, when the closing price of the Class A Special Common Stock was $16.75, the Class A Special Common Stock has traded at closing prices below the Minimum Price. If the Comcast Share Price is below the Minimum Price, E.W. Scripps has the right, but not the obligation, to terminate the agreement, subject to the right of the Company to increase the number of shares of Class A Special Common Stock to be delivered in the Scripps Transaction (i) to that number of shares that would have been delivered if the Comcast Share Price were not subject to the Minimum Price or (ii) by such lower number as E.W. Scripps and the Company may agree. The Company has informed E.W. Scripps that if the Comcast Share Price is less than the Minimum Price and if E.W. Scripps exercises its rights to terminate the agreement, the Company does not intend to elect to deliver any additional shares of Class A Special Common Stock. The E.W. Scripps Board of Directors (the "Scripps Board") has indicated that it will not proceed with the Scripps Transaction if the Comcast Share Price is below the Minimum Price and the number of shares of Class A Special Common Stock to be delivered by the Company is less than the number that would have been delivered if the Minimum Price were equal to the Comcast Share Price, unless, among other things, the Scripps Board receives an opinion from its financial advisor as to the fairness from a financial point of view to E.W. Scripps' stockholders of the consideration to be paid under such circumstances.</w:t>
      </w:r>
    </w:p>
    <w:p>
      <w:pPr>
        <w:spacing w:after="0" w:line="36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Scripps Cable passes more than 1.2 million homes and serves more than 800,000 subscribers, with over 60% of its subscribers located in Sacramento, California and Chattanooga and Knoxville, Tennessee. Subject to the foregoing and certain other conditions, the Scripps Transaction is scheduled to close in November 1996.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Repurchase Program</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Concurrent with the announcement of the Scripps Transaction in October 1995,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Pursuant to the Repurchase Program, the Company has repurchased shares of its common stock for aggregate consideration of $185.8 million through September 30, 1996, including $173.4 million and $56.8 million during the nine and three months ended September 30, 1996,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has accounted for the QVC Acquisition under the purchase method and QVC was consolidated with the Company effective February 1, 1995.</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16" w:name="page17"/>
    <w:bookmarkEnd w:id="16"/>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The Company has traditionally maintained significant levels of cash, cash equivalents and short-term investments to meet its short-term liquidity requirements. Cash, cash equivalents and short-term investments as of September 30, 1996 were $526.7 million. As of September 30, 1996, approximately $424.3 million of the Company's cash, cash equivalents and short-term investments was restricted to use by subsidiaries of the Company under contractual or other arrangements, including approximately $233.0 million which is restricted to use by Comcast UK Cable Partners Limited ("Comcast UK Cable").</w:t>
      </w:r>
    </w:p>
    <w:p>
      <w:pPr>
        <w:spacing w:after="0" w:line="17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Company's cash, cash equivalents and short-term investments are recorded at cost which approximates their fair value. As of September 30, 1996, the Company's short-term investments of $100.4 million had a weighted average maturity of approximately 12 months.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In connection with the Sports Venture Acquisition, the Company has agreed to lend up to $50.0 million to Comcast-Spectacor, on a subordinated basis, in the event that Comcast-Spectacor is unable to obtain financing from other sources.</w:t>
      </w:r>
    </w:p>
    <w:p>
      <w:pPr>
        <w:spacing w:after="0" w:line="188"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Under the provisions of the Partnership Agreement, the Partner Subsidiaries have committed to contribute $4.2 billion in cash to Sprint Spectrum through 1999, of which the Company's share is $630.0 million. Of this funding requirement, the Company has made total cash contributions to Sprint Spectrum of $446.8 million through September 30, 1996. The Company expects to fund its remaining share of the $4.2 billion commitment by the end of 1997. The Company anticipates that Sprint Spectrum's capital requirements over the next several years will be significant. Requirements in excess of committed capital are planned to be funded by Sprint Spectrum through external financing, including, but not limited to, vendor financing, bank financing and securities offered to the public. In August 1996, Sprint Spectrum sold $750.0 million principal amount at maturity of Senior Notes and Senior Discount Notes due in 2006 in a public offering. In October 1996, Sprint Spectrum closed three credit agreements providing a total of $5.1 billion in available financing, including $2.0 billion in bank financing and $3.1 billion in vendor financing. The timing of the Company's remaining capital contributions to Sprint Spectrum is dependent upon a number of factors, including Sprint Spectrum's working capital requirements. The Company anticipates funding its remaining capital commitments to Sprint Spectrum through its cash flows from operating activities, its existing cash, cash equivalents, short-term investments and lines of credit or other external financing, or by a combination of these sources.</w:t>
      </w:r>
    </w:p>
    <w:p>
      <w:pPr>
        <w:spacing w:after="0" w:line="36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February 1996, in connection with certain preemptive rights of the Company under previously existing agreements with Nextel Communications, Inc. ("Nextel"), the Company purchased approximately 8.16 million shares, classified as long-term investments available for sale, of Nextel common stock at $12.25 per share, for a total cost of $99.9 million. The Company continues to hold options, which expire in September 1997, to acquire an additional 25 million shares of Nextel common stock at $16 per share.</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During the nine and three months ended September 30, 1996, the Company sold 5.6 million shares and 1.2 million shares, respectively, of Nextel common stock for $105.4 million and $19.9 million, respectively, and recognized pre-tax gains of $35.4 million and $5.8 million, respectively, as investment income in its condensed consolidated statement of operations and accumulated deficit (the "1996 Nextel Gains"). During the nine and three months ended September 30, 1995, the Company sold 11.3 million shares of Nextel common stock for $212.6 million and recognized a pre-tax gain of $36.2 million as investment income in its condensed consolidated statement of operations and accumulated deficit (the "1995 Nextel Gain").</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As a result of the merger of Time Warner, Inc. ("Time Warner") and Turner Broadcasting System, Inc. ("TBS"), which was consummated on October 10, 1996 (the "Merger Date"), the Company received approximately 1.36 million shares of Time Warner common stock (the "Time Warner Stock") in exchange for all of the shares of TBS stock held by the Company as of the Merger Date. The closing market price of the Time Warner Stock on the Merger Date was $41.375 per share. The Company's investment in TBS, which was</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17" w:name="page18"/>
    <w:bookmarkEnd w:id="17"/>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8"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classified as a long-term investment available for sale, had an historical cost of approximately $8.9 million.</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As part of the Repurchase Program, the Company has sold put options on 4.0 million shares of its Class A Special Common Stock through September 30, 1996, including put options on 1.0 million of such shares sold during the nine months ended September 30, 1996. The put options give the holder the right to require the Company to repurchase such shares at specified prices on specific dates in January through March 1997. The amount the Company would be obligated to pay to repurchase such shares if all outstanding put options were exercised is $69.6 million. This amount has been reclassified to a temporary equity account in the Company's condensed consolidated balance sheet as of September 30, 1996.</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Company expects to recognize significant losses and to continue to pay dividends; therefore, it anticipates that it will continue to have a deficiency in stockholders' equity that will increase through the date of consummation of the Scripps Transaction. If the Scripps Transaction is consummated, the Company will no longer have a deficiency in stockholders' equity; however, the Company expects to recognize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significant losses and deficiency in stockholders' equity will not significantly affect its ability to obtain financing.</w:t>
      </w:r>
    </w:p>
    <w:p>
      <w:pPr>
        <w:spacing w:after="0" w:line="18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18" w:name="page19"/>
    <w:bookmarkEnd w:id="18"/>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6"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Cash and cash equivalents decreased $112.8 million as of September 30, 1996 from December 31, 1995 and increased $281.2 million as of September 30, 1995 from December 31, 1994. Changes in cash and cash equivalents resulted from cash flows from operating, financing and investing activities which are explained below.</w:t>
      </w:r>
    </w:p>
    <w:p>
      <w:pPr>
        <w:spacing w:after="0" w:line="173"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Net cash provided by operating activities amounted to $527.3 million and $371.7 million for the nine months ended September 30, 1996 and 1995, respectively. The increase of $155.6 million is due to changes in working capital as a result of the timing of receipts and disbursements, the increase in the Company's operating income before depreciation and amortization (see "Results of Operations") and the effects of the QVC Acquisition.</w:t>
      </w:r>
    </w:p>
    <w:p>
      <w:pPr>
        <w:spacing w:after="0" w:line="19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(used in) provided by financing activities was ($19.2) million and $1.9 billion for the nine months ended September 30, 1996 and 1995, respectively. During the nine months ended September 30, 1996, the Company borrowed $660.4 million under its existing lines of credit and repaid $486.8 million, including the effects of refinancings and $88.9 million of repayments under a vendor financing arrangement. In addition, the Company repurchased $173.4 million of its common stock during the nine months ended September 30, 1996. During the nine months ended September 30, 1995, the Company borrowed $3.1 billion consisting primarily of $1.1 billion in connection with the QVC Acquisition, $1.1 billion in connection with the refinancing of certain subsidiaries' indebtedness, $300.9 million for the funding of Sprint Spectrum and the Company's $250.0 million principal amount of 9-3/8% senior subordinated debentures due 2005. In addition, the Company redeemed and retired $1.2 billion of its long-term debt, including $904.8 million in connection with the refinancing of certain subsidiaries' indebtedness.</w:t>
      </w:r>
    </w:p>
    <w:p>
      <w:pPr>
        <w:spacing w:after="0" w:line="191"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Net cash used in investing activities was $620.9 million and $2.0 billion for the nine months ended September 30, 1996 and 1995, respectively. During the nine months ended September 30, 1996, net cash used in investing activities includes investments in affiliates of $447.6 million, including $159.5 million in connection with the Sports Venture Acquisition, capital contributions to Sprint Spectrum of $100.7 million and the purchase of Nextel shares of $99.9 million, and additions to property and equipment of $450.2 million, offset by proceeds from the sales of short-term and long-term investments of $381.8 million, including $105.4 million from the sale of Nextel shares. During the nine months ended September 30, 1995, net cash used in investing activities includes the QVC Acquisition, net of cash acquired, of $1.3 billion, investments in affiliates of $458.0 million, including capital contributions to Sprint Spectrum of $320.7 million, additions to property and equipment of $476.6 million and net purchases of short-term investments of $81.8 million. Such amounts were offset by proceeds from sales of long-term investments of $400.7 million.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effects of the Company's recent acquisitions were to increase significantly the Company's revenues and expenses resulting in substantial increases in its operating income before depreciation and amortization, depreciation expense, amortization expense and interest expense (see "Operating Results by Business Segment" following). As a result of the increases in depreciation expense, amortization expense and interest expense associated with these acquisitions and their financing, it is expected that the Company will recognize significant losses for the foreseeable future.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19" w:name="page20"/>
    <w:bookmarkEnd w:id="19"/>
    <w:p>
      <w:pPr>
        <w:jc w:val="center"/>
        <w:ind w:right="301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91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017"/>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8" w:lineRule="exact"/>
        <w:rPr>
          <w:sz w:val="20"/>
          <w:szCs w:val="20"/>
          <w:color w:val="auto"/>
        </w:rPr>
      </w:pPr>
    </w:p>
    <w:p>
      <w:pPr>
        <w:jc w:val="both"/>
        <w:ind w:left="3" w:right="3020"/>
        <w:spacing w:after="0" w:line="238" w:lineRule="auto"/>
        <w:rPr>
          <w:sz w:val="20"/>
          <w:szCs w:val="20"/>
          <w:color w:val="auto"/>
        </w:rPr>
      </w:pPr>
      <w:r>
        <w:rPr>
          <w:rFonts w:ascii="Courier New" w:cs="Courier New" w:eastAsia="Courier New" w:hAnsi="Courier New"/>
          <w:sz w:val="16"/>
          <w:szCs w:val="16"/>
          <w:color w:val="auto"/>
        </w:rPr>
        <w:t>Summarized consolidated financial information for the Company for the nine and three months ended September 30, 1996 and 1995 is as follows (dollars in millions, "NM" denotes percentage is not meaningful):</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Nine Months Ended</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September 30,</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364"/>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Revenues, net.............................................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$2,870.9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$2,357.4</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$513.5</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21.8%</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774.7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584.6</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190.1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1,234.2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1,028.2</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206.0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(1) ......................................</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862.0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744.6</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15.8</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278.6</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(54.9)</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(19.7)</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267.3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256.1</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Operating income</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371.0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209.9</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161.1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76.8</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Interest expense</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403.7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388.4</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(63.7)</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(202.3)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(138.6)</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(68.5)</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40.5</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Gain from equity offering of affiliate....................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(40.6)</w:t>
            </w:r>
          </w:p>
        </w:tc>
        <w:tc>
          <w:tcPr>
            <w:tcW w:w="1240" w:type="dxa"/>
            <w:vAlign w:val="bottom"/>
          </w:tcPr>
          <w:p>
            <w:pPr>
              <w:spacing w:after="0"/>
              <w:rPr>
                <w:sz w:val="15"/>
                <w:szCs w:val="15"/>
                <w:color w:val="auto"/>
              </w:rPr>
            </w:pP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40.6</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NM</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28.1</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NM</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(34.8)</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36.2</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(81.5)</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($27.7)</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(25.7%)</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Three Months Ended</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September 30,</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ind w:left="600"/>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364"/>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Revenues, net.............................................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$974.6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$870.2</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$104.4</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262.3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234.4</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11.9</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371.7</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12.1</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(1) ......................................</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295.8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264.1</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59.2</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32.3</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88.4</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Operating income</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116.5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10.8</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Interest expense</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137.8</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(44.7)</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(28.5)</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(63.8)</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12.9</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(94.9)</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(49.5)</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(12.8)</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43.0</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37.0%</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63" w:right="3020" w:hanging="463"/>
        <w:spacing w:after="0" w:line="258" w:lineRule="auto"/>
        <w:tabs>
          <w:tab w:leader="none" w:pos="46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w:t>
      </w:r>
    </w:p>
    <w:p>
      <w:pPr>
        <w:spacing w:after="0" w:line="17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583"/>
          </w:cols>
          <w:pgMar w:left="237" w:top="659" w:right="1079" w:bottom="1440" w:gutter="0" w:footer="0" w:header="0"/>
        </w:sectPr>
      </w:pPr>
    </w:p>
    <w:bookmarkStart w:id="20" w:name="page21"/>
    <w:bookmarkEnd w:id="20"/>
    <w:p>
      <w:pPr>
        <w:jc w:val="center"/>
        <w:ind w:right="1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8" w:lineRule="exact"/>
        <w:rPr>
          <w:sz w:val="20"/>
          <w:szCs w:val="20"/>
          <w:color w:val="auto"/>
        </w:rPr>
      </w:pPr>
    </w:p>
    <w:p>
      <w:pPr>
        <w:jc w:val="both"/>
        <w:ind w:left="460" w:right="140"/>
        <w:spacing w:after="0"/>
        <w:rPr>
          <w:sz w:val="20"/>
          <w:szCs w:val="20"/>
          <w:color w:val="auto"/>
        </w:rPr>
      </w:pPr>
      <w:r>
        <w:rPr>
          <w:rFonts w:ascii="Courier New" w:cs="Courier New" w:eastAsia="Courier New" w:hAnsi="Courier New"/>
          <w:sz w:val="16"/>
          <w:szCs w:val="16"/>
          <w:color w:val="auto"/>
        </w:rPr>
        <w:t>depreciation expense and amortization expense, operating cash flow is frequently used as one of the bases for evaluating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Cable Communications</w:t>
      </w:r>
    </w:p>
    <w:p>
      <w:pPr>
        <w:spacing w:after="0" w:line="186" w:lineRule="exact"/>
        <w:rPr>
          <w:sz w:val="20"/>
          <w:szCs w:val="20"/>
          <w:color w:val="auto"/>
        </w:rPr>
      </w:pPr>
    </w:p>
    <w:p>
      <w:pPr>
        <w:jc w:val="both"/>
        <w:ind w:right="140"/>
        <w:spacing w:after="0" w:line="237" w:lineRule="auto"/>
        <w:rPr>
          <w:sz w:val="20"/>
          <w:szCs w:val="20"/>
          <w:color w:val="auto"/>
        </w:rPr>
      </w:pPr>
      <w:r>
        <w:rPr>
          <w:rFonts w:ascii="Courier New" w:cs="Courier New" w:eastAsia="Courier New" w:hAnsi="Courier New"/>
          <w:sz w:val="16"/>
          <w:szCs w:val="16"/>
          <w:color w:val="auto"/>
        </w:rPr>
        <w:t>The following table sets forth operating results for the Company's domestic cable communications segment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260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4680" w:type="dxa"/>
            <w:vAlign w:val="bottom"/>
          </w:tcPr>
          <w:p>
            <w:pPr>
              <w:spacing w:after="0"/>
              <w:rPr>
                <w:sz w:val="15"/>
                <w:szCs w:val="15"/>
                <w:color w:val="auto"/>
              </w:rPr>
            </w:pPr>
          </w:p>
        </w:tc>
        <w:tc>
          <w:tcPr>
            <w:tcW w:w="2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4680" w:type="dxa"/>
            <w:vAlign w:val="bottom"/>
          </w:tcPr>
          <w:p>
            <w:pPr>
              <w:spacing w:after="0"/>
              <w:rPr>
                <w:sz w:val="15"/>
                <w:szCs w:val="15"/>
                <w:color w:val="auto"/>
              </w:rPr>
            </w:pP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$1,170.9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$1,078.0</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592.0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548.3</w:t>
            </w:r>
          </w:p>
        </w:tc>
      </w:tr>
      <w:tr>
        <w:trPr>
          <w:trHeight w:val="182"/>
        </w:trPr>
        <w:tc>
          <w:tcPr>
            <w:tcW w:w="468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$578.9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$529.7</w:t>
            </w:r>
          </w:p>
        </w:tc>
      </w:tr>
      <w:tr>
        <w:trPr>
          <w:trHeight w:val="182"/>
        </w:trPr>
        <w:tc>
          <w:tcPr>
            <w:tcW w:w="468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4"/>
                <w:szCs w:val="24"/>
                <w:color w:val="auto"/>
              </w:rPr>
            </w:pPr>
          </w:p>
        </w:tc>
        <w:tc>
          <w:tcPr>
            <w:tcW w:w="260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680" w:type="dxa"/>
            <w:vAlign w:val="bottom"/>
          </w:tcPr>
          <w:p>
            <w:pPr>
              <w:spacing w:after="0"/>
              <w:rPr>
                <w:sz w:val="15"/>
                <w:szCs w:val="15"/>
                <w:color w:val="auto"/>
              </w:rPr>
            </w:pPr>
          </w:p>
        </w:tc>
        <w:tc>
          <w:tcPr>
            <w:tcW w:w="2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468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$392.6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$368.5</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198.7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186.5</w:t>
            </w:r>
          </w:p>
        </w:tc>
      </w:tr>
      <w:tr>
        <w:trPr>
          <w:trHeight w:val="182"/>
        </w:trPr>
        <w:tc>
          <w:tcPr>
            <w:tcW w:w="468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$193.9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$182.0</w:t>
            </w:r>
          </w:p>
        </w:tc>
      </w:tr>
      <w:tr>
        <w:trPr>
          <w:trHeight w:val="182"/>
        </w:trPr>
        <w:tc>
          <w:tcPr>
            <w:tcW w:w="468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19.</w:t>
      </w:r>
    </w:p>
    <w:p>
      <w:pPr>
        <w:spacing w:after="0" w:line="200" w:lineRule="exact"/>
        <w:rPr>
          <w:sz w:val="20"/>
          <w:szCs w:val="20"/>
          <w:color w:val="auto"/>
        </w:rPr>
      </w:pPr>
    </w:p>
    <w:p>
      <w:pPr>
        <w:spacing w:after="0" w:line="350" w:lineRule="exact"/>
        <w:rPr>
          <w:sz w:val="20"/>
          <w:szCs w:val="20"/>
          <w:color w:val="auto"/>
        </w:rPr>
      </w:pPr>
    </w:p>
    <w:p>
      <w:pPr>
        <w:jc w:val="both"/>
        <w:ind w:right="140"/>
        <w:spacing w:after="0" w:line="239" w:lineRule="auto"/>
        <w:rPr>
          <w:sz w:val="20"/>
          <w:szCs w:val="20"/>
          <w:color w:val="auto"/>
        </w:rPr>
      </w:pPr>
      <w:r>
        <w:rPr>
          <w:rFonts w:ascii="Courier New" w:cs="Courier New" w:eastAsia="Courier New" w:hAnsi="Courier New"/>
          <w:sz w:val="16"/>
          <w:szCs w:val="16"/>
          <w:color w:val="auto"/>
        </w:rPr>
        <w:t>Of the increases in service income of $92.9 million and $24.1 million for the nine and three month periods from 1995 to 1996, $25.6 million and $8.2 million are attributable to subscriber growth, $57.5 million and $16.3 million relate to changes in rates, $4.7 million and $0.3 million are attributable to growth in advertising sales and $5.1 million and ($0.7) million relate to other product offerings.</w:t>
      </w:r>
    </w:p>
    <w:p>
      <w:pPr>
        <w:spacing w:after="0" w:line="190" w:lineRule="exact"/>
        <w:rPr>
          <w:sz w:val="20"/>
          <w:szCs w:val="20"/>
          <w:color w:val="auto"/>
        </w:rPr>
      </w:pPr>
    </w:p>
    <w:p>
      <w:pPr>
        <w:jc w:val="both"/>
        <w:ind w:right="140"/>
        <w:spacing w:after="0"/>
        <w:rPr>
          <w:sz w:val="20"/>
          <w:szCs w:val="20"/>
          <w:color w:val="auto"/>
        </w:rPr>
      </w:pPr>
      <w:r>
        <w:rPr>
          <w:rFonts w:ascii="Courier New" w:cs="Courier New" w:eastAsia="Courier New" w:hAnsi="Courier New"/>
          <w:sz w:val="16"/>
          <w:szCs w:val="16"/>
          <w:color w:val="auto"/>
        </w:rPr>
        <w:t>Of the $43.7 million and $12.2 million increases in operating, selling, general and administrative expenses for the nine and three month periods from 1995 to 1996, $20.9 million and $5.8 million are attributable to increases in the costs of cable programming as a result of subscriber growth, additional programming offerings and changes in rates and $22.8 million and $6.4 million result from increases in the cost of labor and other volume related expenses. It is anticipated that the Company's cost of cable programming will increase in the future as cable programming rates increase and additional sources of cable programming become available.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5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$92.9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364"/>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43.7</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w:t>
            </w:r>
          </w:p>
        </w:tc>
        <w:tc>
          <w:tcPr>
            <w:tcW w:w="1560" w:type="dxa"/>
            <w:vAlign w:val="bottom"/>
          </w:tcPr>
          <w:p>
            <w:pPr>
              <w:spacing w:after="0"/>
              <w:rPr>
                <w:sz w:val="15"/>
                <w:szCs w:val="15"/>
                <w:color w:val="auto"/>
              </w:rPr>
            </w:pPr>
          </w:p>
        </w:tc>
      </w:tr>
      <w:tr>
        <w:trPr>
          <w:trHeight w:val="364"/>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$49.2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w:t>
            </w:r>
          </w:p>
        </w:tc>
        <w:tc>
          <w:tcPr>
            <w:tcW w:w="1560" w:type="dxa"/>
            <w:vAlign w:val="bottom"/>
          </w:tcPr>
          <w:p>
            <w:pPr>
              <w:spacing w:after="0"/>
              <w:rPr>
                <w:sz w:val="15"/>
                <w:szCs w:val="15"/>
                <w:color w:val="auto"/>
              </w:rPr>
            </w:pPr>
          </w:p>
        </w:tc>
      </w:tr>
      <w:tr>
        <w:trPr>
          <w:trHeight w:val="546"/>
        </w:trPr>
        <w:tc>
          <w:tcPr>
            <w:tcW w:w="520" w:type="dxa"/>
            <w:vAlign w:val="bottom"/>
          </w:tcPr>
          <w:p>
            <w:pPr>
              <w:spacing w:after="0"/>
              <w:rPr>
                <w:sz w:val="24"/>
                <w:szCs w:val="24"/>
                <w:color w:val="auto"/>
              </w:rPr>
            </w:pPr>
          </w:p>
        </w:tc>
        <w:tc>
          <w:tcPr>
            <w:tcW w:w="15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$24.1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364"/>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w:t>
            </w:r>
          </w:p>
        </w:tc>
        <w:tc>
          <w:tcPr>
            <w:tcW w:w="1560" w:type="dxa"/>
            <w:vAlign w:val="bottom"/>
          </w:tcPr>
          <w:p>
            <w:pPr>
              <w:spacing w:after="0"/>
              <w:rPr>
                <w:sz w:val="15"/>
                <w:szCs w:val="15"/>
                <w:color w:val="auto"/>
              </w:rPr>
            </w:pPr>
          </w:p>
        </w:tc>
      </w:tr>
      <w:tr>
        <w:trPr>
          <w:trHeight w:val="364"/>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$11.9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w:t>
            </w:r>
          </w:p>
        </w:tc>
        <w:tc>
          <w:tcPr>
            <w:tcW w:w="1560" w:type="dxa"/>
            <w:vAlign w:val="bottom"/>
          </w:tcPr>
          <w:p>
            <w:pPr>
              <w:spacing w:after="0"/>
              <w:rPr>
                <w:sz w:val="15"/>
                <w:szCs w:val="15"/>
                <w:color w:val="auto"/>
              </w:rPr>
            </w:pPr>
          </w:p>
        </w:tc>
      </w:tr>
    </w:tbl>
    <w:p>
      <w:pPr>
        <w:sectPr>
          <w:pgSz w:w="11900" w:h="16838" w:orient="portrait"/>
          <w:cols w:equalWidth="0" w:num="2">
            <w:col w:w="7700" w:space="720"/>
            <w:col w:w="2080"/>
          </w:cols>
          <w:pgMar w:left="240" w:top="659" w:right="1159" w:bottom="1440" w:gutter="0" w:footer="0" w:header="0"/>
        </w:sectPr>
      </w:pPr>
    </w:p>
    <w:bookmarkStart w:id="21" w:name="page22"/>
    <w:bookmarkEnd w:id="21"/>
    <w:p>
      <w:pPr>
        <w:jc w:val="center"/>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6" w:lineRule="exact"/>
        <w:rPr>
          <w:sz w:val="20"/>
          <w:szCs w:val="20"/>
          <w:color w:val="auto"/>
        </w:rPr>
      </w:pPr>
    </w:p>
    <w:p>
      <w:pPr>
        <w:jc w:val="both"/>
        <w:spacing w:after="0"/>
        <w:rPr>
          <w:sz w:val="20"/>
          <w:szCs w:val="20"/>
          <w:color w:val="auto"/>
        </w:rPr>
      </w:pPr>
      <w:r>
        <w:rPr>
          <w:rFonts w:ascii="Courier New" w:cs="Courier New" w:eastAsia="Courier New" w:hAnsi="Courier New"/>
          <w:sz w:val="16"/>
          <w:szCs w:val="16"/>
          <w:color w:val="auto"/>
        </w:rPr>
        <w:t>As a result of the QVC Acquisition, the Company commenced consolidating the financial results of QVC effective February 1, 1995. The following table presents comparative financial information for the nine and three months ended September 30, 1996 and for the three months ended September 30, 1995 and pro forma financial information for the nine months ended September 30, 1995. Pro forma financial information is presented herein for purposes of analysis and may not reflect what actual operating results would have been had the Company owned QVC since January 1, 1995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74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4720" w:type="dxa"/>
            <w:vAlign w:val="bottom"/>
          </w:tcPr>
          <w:p>
            <w:pPr>
              <w:spacing w:after="0"/>
              <w:rPr>
                <w:sz w:val="15"/>
                <w:szCs w:val="15"/>
                <w:color w:val="auto"/>
              </w:rPr>
            </w:pPr>
          </w:p>
        </w:tc>
        <w:tc>
          <w:tcPr>
            <w:tcW w:w="274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4720" w:type="dxa"/>
            <w:vAlign w:val="bottom"/>
          </w:tcPr>
          <w:p>
            <w:pPr>
              <w:spacing w:after="0"/>
              <w:rPr>
                <w:sz w:val="15"/>
                <w:szCs w:val="15"/>
                <w:color w:val="auto"/>
              </w:rPr>
            </w:pPr>
          </w:p>
        </w:tc>
        <w:tc>
          <w:tcPr>
            <w:tcW w:w="14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$1,286.9</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$1,107.4</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774.7</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662.7</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303.6</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266.2</w:t>
            </w:r>
          </w:p>
        </w:tc>
      </w:tr>
      <w:tr>
        <w:trPr>
          <w:trHeight w:val="182"/>
        </w:trPr>
        <w:tc>
          <w:tcPr>
            <w:tcW w:w="472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$208.6</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$178.5</w:t>
            </w:r>
          </w:p>
        </w:tc>
      </w:tr>
      <w:tr>
        <w:trPr>
          <w:trHeight w:val="182"/>
        </w:trPr>
        <w:tc>
          <w:tcPr>
            <w:tcW w:w="472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40.2%</w:t>
            </w:r>
          </w:p>
        </w:tc>
      </w:tr>
      <w:tr>
        <w:trPr>
          <w:trHeight w:val="364"/>
        </w:trPr>
        <w:tc>
          <w:tcPr>
            <w:tcW w:w="4720" w:type="dxa"/>
            <w:vAlign w:val="bottom"/>
          </w:tcPr>
          <w:p>
            <w:pPr>
              <w:spacing w:after="0"/>
              <w:rPr>
                <w:sz w:val="24"/>
                <w:szCs w:val="24"/>
                <w:color w:val="auto"/>
              </w:rPr>
            </w:pPr>
          </w:p>
        </w:tc>
        <w:tc>
          <w:tcPr>
            <w:tcW w:w="274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720" w:type="dxa"/>
            <w:vAlign w:val="bottom"/>
          </w:tcPr>
          <w:p>
            <w:pPr>
              <w:spacing w:after="0"/>
              <w:rPr>
                <w:sz w:val="15"/>
                <w:szCs w:val="15"/>
                <w:color w:val="auto"/>
              </w:rPr>
            </w:pPr>
          </w:p>
        </w:tc>
        <w:tc>
          <w:tcPr>
            <w:tcW w:w="274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4720" w:type="dxa"/>
            <w:vAlign w:val="bottom"/>
          </w:tcPr>
          <w:p>
            <w:pPr>
              <w:spacing w:after="0"/>
              <w:rPr>
                <w:sz w:val="15"/>
                <w:szCs w:val="15"/>
                <w:color w:val="auto"/>
              </w:rPr>
            </w:pPr>
          </w:p>
        </w:tc>
        <w:tc>
          <w:tcPr>
            <w:tcW w:w="14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$431.0</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$391.5</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262.3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234.4</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99.5</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97.4</w:t>
            </w:r>
          </w:p>
        </w:tc>
      </w:tr>
      <w:tr>
        <w:trPr>
          <w:trHeight w:val="182"/>
        </w:trPr>
        <w:tc>
          <w:tcPr>
            <w:tcW w:w="472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$69.2</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$59.7</w:t>
            </w:r>
          </w:p>
        </w:tc>
      </w:tr>
      <w:tr>
        <w:trPr>
          <w:trHeight w:val="182"/>
        </w:trPr>
        <w:tc>
          <w:tcPr>
            <w:tcW w:w="472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40.1%</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(a) See footnote (1) on page 19.</w:t>
            </w: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200" w:lineRule="exact"/>
        <w:rPr>
          <w:sz w:val="20"/>
          <w:szCs w:val="20"/>
          <w:color w:val="auto"/>
        </w:rPr>
      </w:pPr>
    </w:p>
    <w:p>
      <w:pPr>
        <w:spacing w:after="0" w:line="350" w:lineRule="exact"/>
        <w:rPr>
          <w:sz w:val="20"/>
          <w:szCs w:val="20"/>
          <w:color w:val="auto"/>
        </w:rPr>
      </w:pPr>
    </w:p>
    <w:p>
      <w:pPr>
        <w:jc w:val="both"/>
        <w:spacing w:after="0" w:line="239" w:lineRule="auto"/>
        <w:rPr>
          <w:sz w:val="20"/>
          <w:szCs w:val="20"/>
          <w:color w:val="auto"/>
        </w:rPr>
      </w:pPr>
      <w:r>
        <w:rPr>
          <w:rFonts w:ascii="Courier New" w:cs="Courier New" w:eastAsia="Courier New" w:hAnsi="Courier New"/>
          <w:sz w:val="16"/>
          <w:szCs w:val="16"/>
          <w:color w:val="auto"/>
        </w:rPr>
        <w:t>The consolidation of QVC's United Kingdom ("UK") operations, effective April 1, 1995, resulted in increases in net sales from electronic retailing of $37.2 million and $7.3 million for the nine and three month periods from 1995 to 1996. The remaining increases of $142.3 million and $32.2 million are primarily attributable to the effects of increases of approximately 8.3% and 7.8% in the average number of QVC homes receiving QVC services in the United States for these periods, respectively.</w:t>
      </w:r>
    </w:p>
    <w:p>
      <w:pPr>
        <w:spacing w:after="0" w:line="192" w:lineRule="exact"/>
        <w:rPr>
          <w:sz w:val="20"/>
          <w:szCs w:val="20"/>
          <w:color w:val="auto"/>
        </w:rPr>
      </w:pPr>
    </w:p>
    <w:p>
      <w:pPr>
        <w:jc w:val="both"/>
        <w:spacing w:after="0" w:line="239" w:lineRule="auto"/>
        <w:rPr>
          <w:sz w:val="20"/>
          <w:szCs w:val="20"/>
          <w:color w:val="auto"/>
        </w:rPr>
      </w:pPr>
      <w:r>
        <w:rPr>
          <w:rFonts w:ascii="Courier New" w:cs="Courier New" w:eastAsia="Courier New" w:hAnsi="Courier New"/>
          <w:sz w:val="16"/>
          <w:szCs w:val="16"/>
          <w:color w:val="auto"/>
        </w:rPr>
        <w:t>The increase in cost of goods sold from electronic retailing is primarily related to the growth in net sales. The decline in gross margin from 1995 to the same periods in 1996 is a result of a change in product mix and an increase in shipping and handling costs.</w:t>
      </w:r>
    </w:p>
    <w:p>
      <w:pPr>
        <w:spacing w:after="0" w:line="187" w:lineRule="exact"/>
        <w:rPr>
          <w:sz w:val="20"/>
          <w:szCs w:val="20"/>
          <w:color w:val="auto"/>
        </w:rPr>
      </w:pPr>
    </w:p>
    <w:p>
      <w:pPr>
        <w:jc w:val="both"/>
        <w:spacing w:after="0" w:line="239" w:lineRule="auto"/>
        <w:rPr>
          <w:sz w:val="20"/>
          <w:szCs w:val="20"/>
          <w:color w:val="auto"/>
        </w:rPr>
      </w:pPr>
      <w:r>
        <w:rPr>
          <w:rFonts w:ascii="Courier New" w:cs="Courier New" w:eastAsia="Courier New" w:hAnsi="Courier New"/>
          <w:sz w:val="16"/>
          <w:szCs w:val="16"/>
          <w:color w:val="auto"/>
        </w:rPr>
        <w:t>The consolidation of QVC's UK operations, effective April 1, 1995, resulted in an increase in operating, selling, general and administrative expenses of $14.4 million and $2.1 million for the nine and three month periods from 1995 to 1996. The remaining increase of $23.0 million for the nine month period from 1995 to 1996 is attributable to higher sales volume and increases in advertising and administrative costs.</w:t>
      </w: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$179.5</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112.0</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16.9</w:t>
            </w:r>
          </w:p>
        </w:tc>
      </w:tr>
      <w:tr>
        <w:trPr>
          <w:trHeight w:val="364"/>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37.4</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364"/>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$30.1</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909"/>
        </w:trPr>
        <w:tc>
          <w:tcPr>
            <w:tcW w:w="660" w:type="dxa"/>
            <w:vAlign w:val="bottom"/>
          </w:tcPr>
          <w:p>
            <w:pPr>
              <w:spacing w:after="0"/>
              <w:rPr>
                <w:sz w:val="24"/>
                <w:szCs w:val="24"/>
                <w:color w:val="auto"/>
              </w:rPr>
            </w:pP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$39.5</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27.9</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w:t>
            </w:r>
          </w:p>
        </w:tc>
      </w:tr>
      <w:tr>
        <w:trPr>
          <w:trHeight w:val="364"/>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364"/>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r>
      <w:tr>
        <w:trPr>
          <w:trHeight w:val="182"/>
        </w:trPr>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bl>
    <w:p>
      <w:pPr>
        <w:sectPr>
          <w:pgSz w:w="11900" w:h="16838" w:orient="portrait"/>
          <w:cols w:equalWidth="0" w:num="2">
            <w:col w:w="7560" w:space="660"/>
            <w:col w:w="2280"/>
          </w:cols>
          <w:pgMar w:left="240" w:top="477" w:right="1159" w:bottom="1440" w:gutter="0" w:footer="0" w:header="0"/>
        </w:sectPr>
      </w:pPr>
    </w:p>
    <w:bookmarkStart w:id="22" w:name="page23"/>
    <w:bookmarkEnd w:id="22"/>
    <w:p>
      <w:pPr>
        <w:jc w:val="center"/>
        <w:ind w:right="2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QUARTER ENDED SEPTEMBER 30, 1996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6" w:lineRule="exact"/>
        <w:rPr>
          <w:sz w:val="20"/>
          <w:szCs w:val="20"/>
          <w:color w:val="auto"/>
        </w:rPr>
      </w:pPr>
    </w:p>
    <w:p>
      <w:pPr>
        <w:jc w:val="both"/>
        <w:ind w:right="220"/>
        <w:spacing w:after="0" w:line="237"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2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48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560" w:type="dxa"/>
            <w:vAlign w:val="bottom"/>
          </w:tcPr>
          <w:p>
            <w:pPr>
              <w:spacing w:after="0"/>
              <w:rPr>
                <w:sz w:val="15"/>
                <w:szCs w:val="15"/>
                <w:color w:val="auto"/>
              </w:rPr>
            </w:pPr>
          </w:p>
        </w:tc>
      </w:tr>
      <w:tr>
        <w:trPr>
          <w:trHeight w:val="182"/>
        </w:trPr>
        <w:tc>
          <w:tcPr>
            <w:tcW w:w="4820" w:type="dxa"/>
            <w:vAlign w:val="bottom"/>
          </w:tcPr>
          <w:p>
            <w:pPr>
              <w:spacing w:after="0"/>
              <w:rPr>
                <w:sz w:val="15"/>
                <w:szCs w:val="15"/>
                <w:color w:val="auto"/>
              </w:rPr>
            </w:pPr>
          </w:p>
        </w:tc>
        <w:tc>
          <w:tcPr>
            <w:tcW w:w="190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1996</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$317.1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$274.2</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198.3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163.5</w:t>
            </w:r>
          </w:p>
        </w:tc>
      </w:tr>
      <w:tr>
        <w:trPr>
          <w:trHeight w:val="182"/>
        </w:trPr>
        <w:tc>
          <w:tcPr>
            <w:tcW w:w="4820" w:type="dxa"/>
            <w:vAlign w:val="bottom"/>
          </w:tcPr>
          <w:p>
            <w:pPr>
              <w:spacing w:after="0"/>
              <w:rPr>
                <w:sz w:val="15"/>
                <w:szCs w:val="15"/>
                <w:color w:val="auto"/>
              </w:rPr>
            </w:pP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$118.8</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$110.7</w:t>
            </w:r>
          </w:p>
        </w:tc>
      </w:tr>
      <w:tr>
        <w:trPr>
          <w:trHeight w:val="182"/>
        </w:trPr>
        <w:tc>
          <w:tcPr>
            <w:tcW w:w="4820" w:type="dxa"/>
            <w:vAlign w:val="bottom"/>
          </w:tcPr>
          <w:p>
            <w:pPr>
              <w:spacing w:after="0"/>
              <w:rPr>
                <w:sz w:val="15"/>
                <w:szCs w:val="15"/>
                <w:color w:val="auto"/>
              </w:rPr>
            </w:pP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4820" w:type="dxa"/>
            <w:vAlign w:val="bottom"/>
          </w:tcPr>
          <w:p>
            <w:pPr>
              <w:spacing w:after="0"/>
              <w:rPr>
                <w:sz w:val="24"/>
                <w:szCs w:val="24"/>
                <w:color w:val="auto"/>
              </w:rPr>
            </w:pPr>
          </w:p>
        </w:tc>
        <w:tc>
          <w:tcPr>
            <w:tcW w:w="2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8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560" w:type="dxa"/>
            <w:vAlign w:val="bottom"/>
          </w:tcPr>
          <w:p>
            <w:pPr>
              <w:spacing w:after="0"/>
              <w:rPr>
                <w:sz w:val="15"/>
                <w:szCs w:val="15"/>
                <w:color w:val="auto"/>
              </w:rPr>
            </w:pPr>
          </w:p>
        </w:tc>
      </w:tr>
      <w:tr>
        <w:trPr>
          <w:trHeight w:val="182"/>
        </w:trPr>
        <w:tc>
          <w:tcPr>
            <w:tcW w:w="4820" w:type="dxa"/>
            <w:vAlign w:val="bottom"/>
          </w:tcPr>
          <w:p>
            <w:pPr>
              <w:spacing w:after="0"/>
              <w:rPr>
                <w:sz w:val="15"/>
                <w:szCs w:val="15"/>
                <w:color w:val="auto"/>
              </w:rPr>
            </w:pPr>
          </w:p>
        </w:tc>
        <w:tc>
          <w:tcPr>
            <w:tcW w:w="190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1996</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$110.0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$97.8</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62.3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57.8</w:t>
            </w:r>
          </w:p>
        </w:tc>
      </w:tr>
      <w:tr>
        <w:trPr>
          <w:trHeight w:val="182"/>
        </w:trPr>
        <w:tc>
          <w:tcPr>
            <w:tcW w:w="4820" w:type="dxa"/>
            <w:vAlign w:val="bottom"/>
          </w:tcPr>
          <w:p>
            <w:pPr>
              <w:spacing w:after="0"/>
              <w:rPr>
                <w:sz w:val="15"/>
                <w:szCs w:val="15"/>
                <w:color w:val="auto"/>
              </w:rPr>
            </w:pP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$47.7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r>
        <w:trPr>
          <w:trHeight w:val="182"/>
        </w:trPr>
        <w:tc>
          <w:tcPr>
            <w:tcW w:w="4820" w:type="dxa"/>
            <w:vAlign w:val="bottom"/>
          </w:tcPr>
          <w:p>
            <w:pPr>
              <w:spacing w:after="0"/>
              <w:rPr>
                <w:sz w:val="15"/>
                <w:szCs w:val="15"/>
                <w:color w:val="auto"/>
              </w:rPr>
            </w:pPr>
          </w:p>
        </w:tc>
        <w:tc>
          <w:tcPr>
            <w:tcW w:w="19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19.</w:t>
      </w:r>
    </w:p>
    <w:p>
      <w:pPr>
        <w:spacing w:after="0" w:line="200" w:lineRule="exact"/>
        <w:rPr>
          <w:sz w:val="20"/>
          <w:szCs w:val="20"/>
          <w:color w:val="auto"/>
        </w:rPr>
      </w:pPr>
    </w:p>
    <w:p>
      <w:pPr>
        <w:spacing w:after="0" w:line="350" w:lineRule="exact"/>
        <w:rPr>
          <w:sz w:val="20"/>
          <w:szCs w:val="20"/>
          <w:color w:val="auto"/>
        </w:rPr>
      </w:pPr>
    </w:p>
    <w:p>
      <w:pPr>
        <w:jc w:val="both"/>
        <w:ind w:right="220"/>
        <w:spacing w:after="0" w:line="259" w:lineRule="auto"/>
        <w:rPr>
          <w:sz w:val="20"/>
          <w:szCs w:val="20"/>
          <w:color w:val="auto"/>
        </w:rPr>
      </w:pPr>
      <w:r>
        <w:rPr>
          <w:rFonts w:ascii="Courier New" w:cs="Courier New" w:eastAsia="Courier New" w:hAnsi="Courier New"/>
          <w:sz w:val="15"/>
          <w:szCs w:val="15"/>
          <w:color w:val="auto"/>
        </w:rPr>
        <w:t>Of the $42.9 million and $12.2 million increases in service income for the nine and three month periods from 1995 to 1996, $58.1 million and $18.0 million are attributable to the Company's subscriber growth. Offsetting these increases are decreases of $15.2 million and $5.8 million resulting primarily from a reduction in the average rate per minute of use from 1995 to the same periods in 1996.</w:t>
      </w:r>
    </w:p>
    <w:p>
      <w:pPr>
        <w:spacing w:after="0" w:line="174" w:lineRule="exact"/>
        <w:rPr>
          <w:sz w:val="20"/>
          <w:szCs w:val="20"/>
          <w:color w:val="auto"/>
        </w:rPr>
      </w:pPr>
    </w:p>
    <w:p>
      <w:pPr>
        <w:jc w:val="both"/>
        <w:ind w:right="220"/>
        <w:spacing w:after="0"/>
        <w:rPr>
          <w:sz w:val="20"/>
          <w:szCs w:val="20"/>
          <w:color w:val="auto"/>
        </w:rPr>
      </w:pPr>
      <w:r>
        <w:rPr>
          <w:rFonts w:ascii="Courier New" w:cs="Courier New" w:eastAsia="Courier New" w:hAnsi="Courier New"/>
          <w:sz w:val="16"/>
          <w:szCs w:val="16"/>
          <w:color w:val="auto"/>
        </w:rPr>
        <w:t>Of the $34.8 million and $4.5 million increases in operating, selling, general and administrative expenses for the nine and three month periods from 1995 to 1996, $23.5 million and $5.5 million are related to subscriber growth, including the costs to acquire and service subscribers. The remaining increase of $11.3 million for the nine month period from 1995 to 1996 is due to increases in other expenses, including subscriber retention costs, administrative costs and theft of service in 1996. The remaining decrease of $1.0 million for the three month period from 1995 to 1996 is primarily due to a decrease in costs related to theft of service.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6" w:lineRule="exact"/>
        <w:rPr>
          <w:sz w:val="20"/>
          <w:szCs w:val="20"/>
          <w:color w:val="auto"/>
        </w:rPr>
      </w:pPr>
    </w:p>
    <w:p>
      <w:pPr>
        <w:jc w:val="both"/>
        <w:ind w:right="220"/>
        <w:spacing w:after="0" w:line="239" w:lineRule="auto"/>
        <w:rPr>
          <w:sz w:val="20"/>
          <w:szCs w:val="20"/>
          <w:color w:val="auto"/>
        </w:rPr>
      </w:pPr>
      <w:r>
        <w:rPr>
          <w:rFonts w:ascii="Courier New" w:cs="Courier New" w:eastAsia="Courier New" w:hAnsi="Courier New"/>
          <w:sz w:val="16"/>
          <w:szCs w:val="16"/>
          <w:color w:val="auto"/>
        </w:rPr>
        <w:t>The $54.9 million decrease in depreciation expense for the nine month period from 1995 to 1996 is attributable to the effects of the rebuild of certain of the Company's cellular equipment in 1995, as described below, partially offset by the effects of the QVC Acquisition and capital expenditures. The $19.1 million increase in depreciation expense for the three month period from 1995 to 1996 is primarily attributable to the effects of capital expenditures.</w:t>
      </w:r>
    </w:p>
    <w:p>
      <w:pPr>
        <w:spacing w:after="0" w:line="190" w:lineRule="exact"/>
        <w:rPr>
          <w:sz w:val="20"/>
          <w:szCs w:val="20"/>
          <w:color w:val="auto"/>
        </w:rPr>
      </w:pPr>
    </w:p>
    <w:p>
      <w:pPr>
        <w:jc w:val="both"/>
        <w:ind w:right="220"/>
        <w:spacing w:after="0" w:line="258"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"Cellular Rebuild"). The Company substantially completed the Cellular Rebuild during 1995. During the first quarter of 1995, the Company charged approximately $110.0 million to depreciation expense which represented the difference between the net book value of the equipment replaced and the residual value realized upon its disposal.</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Increase</w:t>
      </w:r>
    </w:p>
    <w:p>
      <w:pPr>
        <w:spacing w:after="0" w:line="1" w:lineRule="exact"/>
        <w:rPr>
          <w:sz w:val="20"/>
          <w:szCs w:val="20"/>
          <w:color w:val="auto"/>
        </w:rPr>
      </w:pPr>
    </w:p>
    <w:p>
      <w:pPr>
        <w:ind w:left="100"/>
        <w:spacing w:after="0"/>
        <w:tabs>
          <w:tab w:leader="none" w:pos="1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$42.9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15.6%</w:t>
            </w:r>
          </w:p>
        </w:tc>
      </w:tr>
      <w:tr>
        <w:trPr>
          <w:trHeight w:val="364"/>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520" w:type="dxa"/>
            <w:vAlign w:val="bottom"/>
          </w:tcPr>
          <w:p>
            <w:pPr>
              <w:spacing w:after="0"/>
              <w:rPr>
                <w:sz w:val="15"/>
                <w:szCs w:val="15"/>
                <w:color w:val="auto"/>
              </w:rPr>
            </w:pPr>
          </w:p>
        </w:tc>
      </w:tr>
      <w:tr>
        <w:trPr>
          <w:trHeight w:val="364"/>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r>
        <w:trPr>
          <w:trHeight w:val="546"/>
        </w:trPr>
        <w:tc>
          <w:tcPr>
            <w:tcW w:w="480" w:type="dxa"/>
            <w:vAlign w:val="bottom"/>
          </w:tcPr>
          <w:p>
            <w:pPr>
              <w:spacing w:after="0"/>
              <w:rPr>
                <w:sz w:val="24"/>
                <w:szCs w:val="24"/>
                <w:color w:val="auto"/>
              </w:rPr>
            </w:pP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6"/>
              </w:rPr>
              <w:t>Increase</w:t>
            </w:r>
          </w:p>
        </w:tc>
      </w:tr>
      <w:tr>
        <w:trPr>
          <w:trHeight w:val="182"/>
        </w:trPr>
        <w:tc>
          <w:tcPr>
            <w:tcW w:w="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$12.2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r>
        <w:trPr>
          <w:trHeight w:val="364"/>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520" w:type="dxa"/>
            <w:vAlign w:val="bottom"/>
          </w:tcPr>
          <w:p>
            <w:pPr>
              <w:spacing w:after="0"/>
              <w:rPr>
                <w:sz w:val="15"/>
                <w:szCs w:val="15"/>
                <w:color w:val="auto"/>
              </w:rPr>
            </w:pPr>
          </w:p>
        </w:tc>
      </w:tr>
      <w:tr>
        <w:trPr>
          <w:trHeight w:val="364"/>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bl>
    <w:p>
      <w:pPr>
        <w:sectPr>
          <w:pgSz w:w="11900" w:h="16838" w:orient="portrait"/>
          <w:cols w:equalWidth="0" w:num="2">
            <w:col w:w="7780" w:space="720"/>
            <w:col w:w="2000"/>
          </w:cols>
          <w:pgMar w:left="240" w:top="659" w:right="1159" w:bottom="1440" w:gutter="0" w:footer="0" w:header="0"/>
        </w:sectPr>
      </w:pPr>
    </w:p>
    <w:bookmarkStart w:id="23" w:name="page24"/>
    <w:bookmarkEnd w:id="23"/>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200" w:lineRule="exact"/>
        <w:rPr>
          <w:sz w:val="20"/>
          <w:szCs w:val="20"/>
          <w:color w:val="auto"/>
        </w:rPr>
      </w:pPr>
    </w:p>
    <w:p>
      <w:pPr>
        <w:spacing w:after="0" w:line="350"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$11.2 million increase in amortization expense for the nine month period from 1995 to 1996 is primarily attributable to the effects of the QVC Acquisition.</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$15.3 million increase in interest expense for the nine month period from 1995 to 1996 is due to increased levels of debt, offset by interest capitalized in 1996 and decreases in rates. The $2.1 million decrease in interest expense for the three month period from 1995 to 1996 is primarily attributable to interest capitalized in 1996, offset by increased levels of debt.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89"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5"/>
          <w:szCs w:val="15"/>
          <w:color w:val="auto"/>
        </w:rPr>
        <w:t>The $138.6 million decrease in investment income for the nine month period from 1995 to 1996 is primarily attributable to the effects of the Heritage Transaction (as defined below) in 1995. The $28.5 million decrease in investment income for the three month period from 1995 to 1996 is primarily attributable to the 1995 Nextel Gain, partially offset by the effects of the 1996 Nextel Gains.</w:t>
      </w:r>
    </w:p>
    <w:p>
      <w:pPr>
        <w:spacing w:after="0" w:line="174"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January 1995, the Company exchanged its investments in Heritage Communications, Inc. with TCI for approximately 13.3 million publicly-traded Class A common shares of TCI with a fair market value of approximately $290.0 million. Shortly thereafter, the Company sold approximately 9.1 million unrestricted TCI shares for total proceeds of $188.1 million (collectively, the "Heritage Transaction"). As a result of these transactions, the Company recognized a pre-tax gain of $141.0 million as investment income in its condensed consolidated statement of operations and accumulated deficit in the first quarter of 1995.</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$25.7 million and $3.3 million increases in equity in net losses of affiliates for the nine and three month periods from 1995 to 1996, respectively, are primarily due to the effects of increased losses incurred by Sprint Spectrum.</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Through June 27, 1996, the Company held investments in Teleport Communications Group Inc. ("TCGI"), TCG Partners and certain local joint ventures (the "Joint Ventures") managed by TCGI and TCG Partners. On June 27, 1996, TCGI sold approximately 27 million shares of its Class A Common Stock (the "TCGI Class A Stock") for $16 per share in an initial public offering (the "IPO"). In connection with the IPO, TCGI, the Company and subsidiaries of Cox, TCI and Continental Cablevision ("Continental" and collectively with Cox, TCI and the Company, the "Cable Stockholders") entered into a reorganization agreement pursuant to which TCGI was reorganized (the "Reorganization"). The Reorganization consisted of, among other things: (i) the acquisition by TCGI of TCG Partners; (ii) the acquisition by TCGI of additional interests in the Joint Ventures (including 100% of those interests held by the Company); and (iii) the contribution to TCGI of $269.0 million aggregate principal amount of indebtedness, plus accrued interest thereon, owed by TCGI to the Cable Stockholders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The Company recorded a $40.6 million increase in its proportionate share of TCGI's net assets as a gain from equity offering of affiliate in its condensed consolidated statement of operations and accumulated deficit for the nine months ended September 30, 1996. After giving effect to the Reorganization and the IPO, the Company owns 19.5% of the outstanding TCGI Class B Stock representing a 19.1% voting interest and a 16.1% equity interest. The Company continues to account for its interest in TCGI under the equity method.</w:t>
      </w:r>
    </w:p>
    <w:p>
      <w:pPr>
        <w:spacing w:after="0" w:line="199"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increase in other expenses for the nine month period from 1995 to 1996 is primarily attributable to the settlement of certain litigation during the nine months ended September 30, 1996.</w:t>
      </w:r>
    </w:p>
    <w:p>
      <w:pPr>
        <w:spacing w:after="0" w:line="188"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$9.1 million decrease in income tax expense for the three month period from 1995 to 1996 is primarily attributable to the tax effects of the 1995 Nextel Gain.</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065" w:gutter="0" w:footer="0" w:header="0"/>
        </w:sectPr>
      </w:pPr>
    </w:p>
    <w:bookmarkStart w:id="24" w:name="page25"/>
    <w:bookmarkEnd w:id="24"/>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368"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The $12.6 million and $5.5 million increases in minority interest for the nine and three month periods from 1995 to 1996, respectively, are primarily attributable to the effects of increases in the net losses of Comcast UK Cable.</w:t>
      </w:r>
    </w:p>
    <w:p>
      <w:pPr>
        <w:sectPr>
          <w:pgSz w:w="11900" w:h="16838" w:orient="portrait"/>
          <w:cols w:equalWidth="0" w:num="1">
            <w:col w:w="10219"/>
          </w:cols>
          <w:pgMar w:left="240" w:top="659" w:right="1440" w:bottom="1440" w:gutter="0" w:footer="0" w:header="0"/>
        </w:sectPr>
      </w:pPr>
    </w:p>
    <w:p>
      <w:pPr>
        <w:spacing w:after="0" w:line="171" w:lineRule="exact"/>
        <w:rPr>
          <w:sz w:val="20"/>
          <w:szCs w:val="20"/>
          <w:color w:val="auto"/>
        </w:rPr>
      </w:pPr>
    </w:p>
    <w:p>
      <w:pPr>
        <w:spacing w:after="0" w:line="239" w:lineRule="auto"/>
        <w:rPr>
          <w:sz w:val="20"/>
          <w:szCs w:val="20"/>
          <w:color w:val="auto"/>
        </w:rPr>
      </w:pPr>
      <w:r>
        <w:rPr>
          <w:rFonts w:ascii="Courier New" w:cs="Courier New" w:eastAsia="Courier New" w:hAnsi="Courier New"/>
          <w:sz w:val="16"/>
          <w:szCs w:val="16"/>
          <w:color w:val="auto"/>
        </w:rPr>
        <w:t>In May 1996, the Company expensed unamortized debt million in connection with the prepayment of a outstanding debt, resulting in an extraordinary million.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00"/>
        <w:spacing w:after="0"/>
        <w:tabs>
          <w:tab w:leader="none" w:pos="1320" w:val="left"/>
        </w:tabs>
        <w:rPr>
          <w:sz w:val="20"/>
          <w:szCs w:val="20"/>
          <w:color w:val="auto"/>
        </w:rPr>
      </w:pPr>
      <w:r>
        <w:rPr>
          <w:rFonts w:ascii="Courier New" w:cs="Courier New" w:eastAsia="Courier New" w:hAnsi="Courier New"/>
          <w:sz w:val="15"/>
          <w:szCs w:val="15"/>
          <w:color w:val="auto"/>
        </w:rPr>
        <w:t>acquisition</w:t>
        <w:tab/>
        <w:t>costs of $1.8</w:t>
      </w:r>
    </w:p>
    <w:p>
      <w:pPr>
        <w:spacing w:after="0" w:line="8" w:lineRule="exact"/>
        <w:rPr>
          <w:sz w:val="20"/>
          <w:szCs w:val="20"/>
          <w:color w:val="auto"/>
        </w:rPr>
      </w:pPr>
    </w:p>
    <w:p>
      <w:pPr>
        <w:spacing w:after="0"/>
        <w:tabs>
          <w:tab w:leader="none" w:pos="840" w:val="left"/>
          <w:tab w:leader="none" w:pos="1400" w:val="left"/>
        </w:tabs>
        <w:rPr>
          <w:sz w:val="20"/>
          <w:szCs w:val="20"/>
          <w:color w:val="auto"/>
        </w:rPr>
      </w:pPr>
      <w:r>
        <w:rPr>
          <w:rFonts w:ascii="Courier New" w:cs="Courier New" w:eastAsia="Courier New" w:hAnsi="Courier New"/>
          <w:sz w:val="16"/>
          <w:szCs w:val="16"/>
          <w:color w:val="auto"/>
        </w:rPr>
        <w:t>portion</w:t>
        <w:tab/>
        <w:t>of a</w:t>
      </w:r>
      <w:r>
        <w:rPr>
          <w:sz w:val="20"/>
          <w:szCs w:val="20"/>
          <w:color w:val="auto"/>
        </w:rPr>
        <w:tab/>
      </w:r>
      <w:r>
        <w:rPr>
          <w:rFonts w:ascii="Courier New" w:cs="Courier New" w:eastAsia="Courier New" w:hAnsi="Courier New"/>
          <w:sz w:val="15"/>
          <w:szCs w:val="15"/>
          <w:color w:val="auto"/>
        </w:rPr>
        <w:t>subsidiary's</w:t>
      </w:r>
    </w:p>
    <w:p>
      <w:pPr>
        <w:spacing w:after="0" w:line="1" w:lineRule="exact"/>
        <w:rPr>
          <w:sz w:val="20"/>
          <w:szCs w:val="20"/>
          <w:color w:val="auto"/>
        </w:rPr>
      </w:pPr>
    </w:p>
    <w:p>
      <w:pPr>
        <w:spacing w:after="0"/>
        <w:tabs>
          <w:tab w:leader="none" w:pos="660" w:val="left"/>
          <w:tab w:leader="none" w:pos="1880" w:val="left"/>
        </w:tabs>
        <w:rPr>
          <w:sz w:val="20"/>
          <w:szCs w:val="20"/>
          <w:color w:val="auto"/>
        </w:rPr>
      </w:pPr>
      <w:r>
        <w:rPr>
          <w:rFonts w:ascii="Courier New" w:cs="Courier New" w:eastAsia="Courier New" w:hAnsi="Courier New"/>
          <w:sz w:val="16"/>
          <w:szCs w:val="16"/>
          <w:color w:val="auto"/>
        </w:rPr>
        <w:t>loss,</w:t>
        <w:tab/>
        <w:t>net of tax,</w:t>
      </w:r>
      <w:r>
        <w:rPr>
          <w:sz w:val="20"/>
          <w:szCs w:val="20"/>
          <w:color w:val="auto"/>
        </w:rPr>
        <w:tab/>
      </w:r>
      <w:r>
        <w:rPr>
          <w:rFonts w:ascii="Courier New" w:cs="Courier New" w:eastAsia="Courier New" w:hAnsi="Courier New"/>
          <w:sz w:val="15"/>
          <w:szCs w:val="15"/>
          <w:color w:val="auto"/>
        </w:rPr>
        <w:t>of $1.0</w:t>
      </w:r>
    </w:p>
    <w:p>
      <w:pPr>
        <w:spacing w:after="0" w:line="367" w:lineRule="exact"/>
        <w:rPr>
          <w:sz w:val="20"/>
          <w:szCs w:val="20"/>
          <w:color w:val="auto"/>
        </w:rPr>
      </w:pPr>
    </w:p>
    <w:p>
      <w:pPr>
        <w:sectPr>
          <w:pgSz w:w="11900" w:h="16838" w:orient="portrait"/>
          <w:cols w:equalWidth="0" w:num="2">
            <w:col w:w="4920" w:space="80"/>
            <w:col w:w="5219"/>
          </w:cols>
          <w:pgMar w:left="240" w:top="659" w:right="1440" w:bottom="1440" w:gutter="0" w:footer="0" w:header="0"/>
          <w:type w:val="continuous"/>
        </w:sect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incurred debt extinguishment costs totaling $8.3 million during the nine and three months ended September 30, 1995, as a result of refinancing the indebtedness of certain subsidiaries, resulting in an extraordinary loss, net of tax, of $5.4 million or $.02 per share.</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For the nine and three months ended September 30, 1996 and 1995, the Company's earnings before extraordinary items, minority interest, income tax expense, equity in net losses of affiliates and fixed charges (interest expense) were $452.7 million, $417.7 million, $145.6 million and $167.1 million, respectively. Excluding the impact of non-recurring net investment gains of $62.7 million, $162.7 million, $5.8 million and $29.6 million for the nine and three months ended September 30, 1996 and 1995, respectively, such earnings were not adequate to cover the Company's fixed charges, including interest capitalized of $23.3 million and $8.6 million for the nine and three months ended September 30, 1996, respectively, of $427.0 million, $388.4 million, $144.3 million and $137.8 million for the nine and three months ended September 30, 1996 and 1995, respectively. Fixed charges include non-cash interest, net of interest capitalized, of $48.1 million, $41.4 million, $15.9 million and $14.0 million for the nine and three months ended September 30, 1996 and 1995, respectively. The inadequacy of these earnings to cover fixed charges is primarily due to the substantial non-cash charges for depreciation expense, including the first quarter 1995 charge associated with the Cellular Rebuild, and amortization expense.</w:t>
      </w:r>
    </w:p>
    <w:p>
      <w:pPr>
        <w:spacing w:after="0" w:line="193"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its losses and inadequacy of earnings to cover fixed charges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89"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9" w:right="1440" w:bottom="1440" w:gutter="0" w:footer="0" w:header="0"/>
          <w:type w:val="continuous"/>
        </w:sectPr>
      </w:pPr>
    </w:p>
    <w:bookmarkStart w:id="25" w:name="page26"/>
    <w:bookmarkEnd w:id="25"/>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jc w:val="both"/>
        <w:ind w:left="460" w:right="2659"/>
        <w:spacing w:after="0" w:line="238" w:lineRule="auto"/>
        <w:rPr>
          <w:sz w:val="20"/>
          <w:szCs w:val="20"/>
          <w:color w:val="auto"/>
        </w:rPr>
      </w:pPr>
      <w:r>
        <w:rPr>
          <w:rFonts w:ascii="Courier New" w:cs="Courier New" w:eastAsia="Courier New" w:hAnsi="Courier New"/>
          <w:sz w:val="16"/>
          <w:szCs w:val="16"/>
          <w:color w:val="auto"/>
        </w:rPr>
        <w:t>The Company is not party to litigation which, in the opinion of the Company's management, will have a material adverse effect on the Company's financial position, results of operations or liquidity.</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6" w:lineRule="exact"/>
        <w:rPr>
          <w:rFonts w:ascii="Courier New" w:cs="Courier New" w:eastAsia="Courier New" w:hAnsi="Courier New"/>
          <w:sz w:val="16"/>
          <w:szCs w:val="16"/>
          <w:color w:val="auto"/>
        </w:rPr>
      </w:pPr>
    </w:p>
    <w:p>
      <w:pPr>
        <w:ind w:left="1420" w:right="2659" w:hanging="473"/>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Form of Statement of Designations, Preferences and Rights of 5% Series A Convertible Preferred Stock of the Company (incorporated by reference to Exhibit 4.1(e) to the Company's Registration Statement on Form S-3 filed on July 16, 1996).</w:t>
      </w:r>
    </w:p>
    <w:p>
      <w:pPr>
        <w:spacing w:after="0" w:line="183"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 Financial Data Schedule.</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jc w:val="both"/>
        <w:ind w:left="1420" w:right="2659" w:hanging="477"/>
        <w:spacing w:after="0" w:line="239" w:lineRule="auto"/>
        <w:tabs>
          <w:tab w:leader="none" w:pos="142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8-K/A on July 22, 1996 which amended the Current Report on Form 8-K filed on May 28, 1996, relating to its agreement to purchase the cable television operations of The E.W. Scripps Company.</w:t>
      </w:r>
    </w:p>
    <w:p>
      <w:pPr>
        <w:spacing w:after="0" w:line="187" w:lineRule="exact"/>
        <w:rPr>
          <w:rFonts w:ascii="Courier New" w:cs="Courier New" w:eastAsia="Courier New" w:hAnsi="Courier New"/>
          <w:sz w:val="16"/>
          <w:szCs w:val="16"/>
          <w:color w:val="auto"/>
        </w:rPr>
      </w:pPr>
    </w:p>
    <w:p>
      <w:pPr>
        <w:jc w:val="both"/>
        <w:ind w:left="1420" w:right="2659" w:hanging="477"/>
        <w:spacing w:after="0" w:line="239" w:lineRule="auto"/>
        <w:tabs>
          <w:tab w:leader="none" w:pos="142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under Item 5 on August 21, 1996 relating to its agreement to purchase the cable television operations of The E.W. Scripps Company, which included the Company's Unaudited Pro Forma Condensed Consolidated Financial Statements as of and for the six months ended June 30, 1996 and for the year ended December 31, 1995.</w:t>
      </w: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26" w:name="page27"/>
    <w:bookmarkEnd w:id="26"/>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1996</w:t>
      </w: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JOHN R. ALCHIN</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John R. Alchin</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Senior Vice President and</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Treasurer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5, 1996</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20" w:right="319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9-MOS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SEP-30-1996</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426,226</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100,436</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433,574</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(82,899)</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256,251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1,257,336</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3,143,170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(1,091,608)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9,829,308</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1,140,964</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7,233,745</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31,850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233,313</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(1,203,876)</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9,829,308</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2,870,869</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2,870,869</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(774,718)</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(2,499,852)</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(89,198)</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(403,735)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(40,245)</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(33,894)</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(26,716)</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(1,013)</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(27,729)</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$47,423.</w:t>
      </w:r>
    </w:p>
    <w:sectPr>
      <w:pgSz w:w="11900" w:h="16838" w:orient="portrait"/>
      <w:cols w:equalWidth="0" w:num="1">
        <w:col w:w="10219"/>
      </w:cols>
      <w:pgMar w:left="2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2019-12-12T05:51:17Z</dcterms:created>
  <dcterms:modified xsi:type="dcterms:W3CDTF">2019-12-12T05:51:17Z</dcterms:modified>
</cp:coreProperties>
</file>