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Date of report (Date of earliest event reported): May 14, 2019</w:t>
            </w:r>
          </w:p>
        </w:tc>
        <w:tc>
          <w:tcPr>
            <w:tcW w:w="328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8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Incorporation; Address and</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Telephone Number of Principal</w:t>
            </w:r>
          </w:p>
        </w:tc>
        <w:tc>
          <w:tcPr>
            <w:tcW w:w="3280" w:type="dxa"/>
            <w:vAlign w:val="bottom"/>
          </w:tcPr>
          <w:p>
            <w:pPr>
              <w:spacing w:after="0"/>
              <w:rPr>
                <w:sz w:val="18"/>
                <w:szCs w:val="18"/>
                <w:color w:val="auto"/>
              </w:rPr>
            </w:pPr>
          </w:p>
        </w:tc>
      </w:tr>
      <w:tr>
        <w:trPr>
          <w:trHeight w:val="234"/>
        </w:trPr>
        <w:tc>
          <w:tcPr>
            <w:tcW w:w="31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1"/>
              </w:rPr>
              <w:t>Commission File Number</w:t>
            </w:r>
          </w:p>
        </w:tc>
        <w:tc>
          <w:tcPr>
            <w:tcW w:w="50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Executive Offices</w:t>
            </w:r>
          </w:p>
        </w:tc>
        <w:tc>
          <w:tcPr>
            <w:tcW w:w="32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120" w:type="dxa"/>
            <w:vAlign w:val="bottom"/>
          </w:tcPr>
          <w:p>
            <w:pPr>
              <w:jc w:val="center"/>
              <w:ind w:left="570"/>
              <w:spacing w:after="0" w:line="195" w:lineRule="exact"/>
              <w:rPr>
                <w:sz w:val="20"/>
                <w:szCs w:val="20"/>
                <w:color w:val="auto"/>
              </w:rPr>
            </w:pPr>
            <w:r>
              <w:rPr>
                <w:rFonts w:ascii="Arial" w:cs="Arial" w:eastAsia="Arial" w:hAnsi="Arial"/>
                <w:sz w:val="18"/>
                <w:szCs w:val="18"/>
                <w:color w:val="auto"/>
                <w:w w:val="90"/>
              </w:rPr>
              <w:t>001-32871</w:t>
            </w:r>
          </w:p>
        </w:tc>
        <w:tc>
          <w:tcPr>
            <w:tcW w:w="5020" w:type="dxa"/>
            <w:vAlign w:val="bottom"/>
          </w:tcPr>
          <w:p>
            <w:pPr>
              <w:jc w:val="center"/>
              <w:ind w:left="90"/>
              <w:spacing w:after="0" w:line="195" w:lineRule="exact"/>
              <w:rPr>
                <w:sz w:val="20"/>
                <w:szCs w:val="20"/>
                <w:color w:val="auto"/>
              </w:rPr>
            </w:pPr>
            <w:r>
              <w:rPr>
                <w:rFonts w:ascii="Arial" w:cs="Arial" w:eastAsia="Arial" w:hAnsi="Arial"/>
                <w:sz w:val="18"/>
                <w:szCs w:val="18"/>
                <w:b w:val="1"/>
                <w:bCs w:val="1"/>
                <w:color w:val="auto"/>
              </w:rPr>
              <w:t>COMCAST CORPORATION</w:t>
            </w:r>
          </w:p>
        </w:tc>
        <w:tc>
          <w:tcPr>
            <w:tcW w:w="3280" w:type="dxa"/>
            <w:vAlign w:val="bottom"/>
          </w:tcPr>
          <w:p>
            <w:pPr>
              <w:jc w:val="center"/>
              <w:ind w:right="39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8"/>
              </w:rPr>
              <w:t>PENNSYLVANIA</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110"/>
              <w:spacing w:after="0"/>
              <w:rPr>
                <w:sz w:val="20"/>
                <w:szCs w:val="20"/>
                <w:color w:val="auto"/>
              </w:rPr>
            </w:pPr>
            <w:r>
              <w:rPr>
                <w:rFonts w:ascii="Arial" w:cs="Arial" w:eastAsia="Arial" w:hAnsi="Arial"/>
                <w:sz w:val="18"/>
                <w:szCs w:val="18"/>
                <w:color w:val="auto"/>
                <w:w w:val="88"/>
              </w:rPr>
              <w:t>One Comcast Center</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Philadelphia, PA 19103-2838</w:t>
            </w:r>
          </w:p>
        </w:tc>
        <w:tc>
          <w:tcPr>
            <w:tcW w:w="328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(215) 286-1700</w:t>
            </w:r>
          </w:p>
        </w:tc>
        <w:tc>
          <w:tcPr>
            <w:tcW w:w="3280" w:type="dxa"/>
            <w:vAlign w:val="bottom"/>
          </w:tcPr>
          <w:p>
            <w:pPr>
              <w:spacing w:after="0"/>
              <w:rPr>
                <w:sz w:val="20"/>
                <w:szCs w:val="20"/>
                <w:color w:val="auto"/>
              </w:rPr>
            </w:pPr>
          </w:p>
        </w:tc>
      </w:tr>
      <w:tr>
        <w:trPr>
          <w:trHeight w:val="418"/>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90"/>
              </w:rPr>
              <w:t>001-36438</w:t>
            </w: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rPr>
              <w:t>NBCUNIVERSAL MEDIA, LLC</w:t>
            </w: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91"/>
              </w:rPr>
              <w:t>14-1682529</w:t>
            </w: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4"/>
              </w:rPr>
              <w:t>DELAWARE</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110"/>
              <w:spacing w:after="0"/>
              <w:rPr>
                <w:sz w:val="20"/>
                <w:szCs w:val="20"/>
                <w:color w:val="auto"/>
              </w:rPr>
            </w:pPr>
            <w:r>
              <w:rPr>
                <w:rFonts w:ascii="Arial" w:cs="Arial" w:eastAsia="Arial" w:hAnsi="Arial"/>
                <w:sz w:val="18"/>
                <w:szCs w:val="18"/>
                <w:color w:val="auto"/>
                <w:w w:val="90"/>
              </w:rPr>
              <w:t>30 Rockefeller Plaza</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3"/>
              </w:rPr>
              <w:t>New York, NY 10112-0015</w:t>
            </w:r>
          </w:p>
        </w:tc>
        <w:tc>
          <w:tcPr>
            <w:tcW w:w="328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(212) 664-4444</w:t>
            </w:r>
          </w:p>
        </w:tc>
        <w:tc>
          <w:tcPr>
            <w:tcW w:w="3280" w:type="dxa"/>
            <w:vAlign w:val="bottom"/>
          </w:tcPr>
          <w:p>
            <w:pPr>
              <w:spacing w:after="0"/>
              <w:rPr>
                <w:sz w:val="20"/>
                <w:szCs w:val="20"/>
                <w:color w:val="auto"/>
              </w:rPr>
            </w:pPr>
          </w:p>
        </w:tc>
      </w:tr>
    </w:tbl>
    <w:p>
      <w:pPr>
        <w:spacing w:after="0" w:line="202"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108"/>
        </w:trPr>
        <w:tc>
          <w:tcPr>
            <w:tcW w:w="2720" w:type="dxa"/>
            <w:vAlign w:val="bottom"/>
            <w:tcBorders>
              <w:bottom w:val="single" w:sz="8" w:color="auto"/>
            </w:tcBorders>
          </w:tcPr>
          <w:p>
            <w:pPr>
              <w:spacing w:after="0"/>
              <w:rPr>
                <w:sz w:val="9"/>
                <w:szCs w:val="9"/>
                <w:color w:val="auto"/>
              </w:rPr>
            </w:pPr>
          </w:p>
        </w:tc>
        <w:tc>
          <w:tcPr>
            <w:tcW w:w="87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738" w:right="239" w:bottom="1440" w:gutter="0" w:footer="0" w:header="0"/>
        </w:sectPr>
      </w:pPr>
    </w:p>
    <w:bookmarkStart w:id="1" w:name="page2"/>
    <w:bookmarkEnd w:id="1"/>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243"/>
        </w:trPr>
        <w:tc>
          <w:tcPr>
            <w:tcW w:w="272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81"/>
        </w:trPr>
        <w:tc>
          <w:tcPr>
            <w:tcW w:w="2720" w:type="dxa"/>
            <w:vAlign w:val="bottom"/>
            <w:shd w:val="clear" w:color="auto" w:fill="000000"/>
          </w:tcPr>
          <w:p>
            <w:pPr>
              <w:spacing w:after="0"/>
              <w:rPr>
                <w:sz w:val="7"/>
                <w:szCs w:val="7"/>
                <w:color w:val="auto"/>
              </w:rPr>
            </w:pPr>
          </w:p>
        </w:tc>
        <w:tc>
          <w:tcPr>
            <w:tcW w:w="870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14, 2019, Comcast Corporation (“Comcast”) and The Walt Disney Company (“Disney”) issued a joint press release announcing that Disney will immediately assume operational control of Hulu, LLC (“Hulu”). Under a put/call arrangement, as early as January 2024, Disney can require NBCUniversal to sell, and Comcast can require Disney to buy, NBCUniversal’s 33% ownership interest in Hulu, in either case, for fair market value at that future time. Hulu’s fair market value will be assessed by independent experts, subject to a floor that represents a minimum total equity value of Hulu at that time of $27.5 billion.</w:t>
      </w:r>
    </w:p>
    <w:p>
      <w:pPr>
        <w:spacing w:after="0" w:line="18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Disney and Comcast have agreed to fund Hulu’s recent purchase of AT&amp;T Inc.’s 9.5% interest in Hulu, pro rata to their current two thirds/one third ownership interests. Going forward, Comcast may fund its proportionate share of Hulu’s future capital calls and will be diluted if it elects not to fund, subject to a 21% ownership interest floor. Hulu’s capital calls will be subject to a $1.5 billion per year cap.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and Hulu have agreed to extend the Hulu+ license of NBCUniversal content until late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dated May 14, 2019, jointly issued by The Walt Disney Company, Comcast Corporation, and Hulu,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Date:  May 14, 2019</w:t>
            </w:r>
          </w:p>
        </w:tc>
        <w:tc>
          <w:tcPr>
            <w:tcW w:w="7980" w:type="dxa"/>
            <w:vAlign w:val="bottom"/>
            <w:gridSpan w:val="3"/>
          </w:tcPr>
          <w:p>
            <w:pPr>
              <w:ind w:left="1840"/>
              <w:spacing w:after="0"/>
              <w:rPr>
                <w:sz w:val="20"/>
                <w:szCs w:val="20"/>
                <w:color w:val="auto"/>
              </w:rPr>
            </w:pPr>
            <w:r>
              <w:rPr>
                <w:rFonts w:ascii="Arial" w:cs="Arial" w:eastAsia="Arial" w:hAnsi="Arial"/>
                <w:sz w:val="18"/>
                <w:szCs w:val="18"/>
                <w:color w:val="auto"/>
              </w:rPr>
              <w:t>By:    /s/ Thomas J. Reid</w:t>
            </w:r>
          </w:p>
        </w:tc>
      </w:tr>
      <w:tr>
        <w:trPr>
          <w:trHeight w:val="195"/>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w w:val="94"/>
              </w:rPr>
              <w:t>Senior Executive Vice President, General Counsel and Secretary</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Date:  May 14, 2019</w:t>
            </w:r>
          </w:p>
        </w:tc>
        <w:tc>
          <w:tcPr>
            <w:tcW w:w="7980" w:type="dxa"/>
            <w:vAlign w:val="bottom"/>
            <w:gridSpan w:val="3"/>
          </w:tcPr>
          <w:p>
            <w:pPr>
              <w:ind w:left="1840"/>
              <w:spacing w:after="0"/>
              <w:rPr>
                <w:sz w:val="20"/>
                <w:szCs w:val="20"/>
                <w:color w:val="auto"/>
              </w:rPr>
            </w:pPr>
            <w:r>
              <w:rPr>
                <w:rFonts w:ascii="Arial" w:cs="Arial" w:eastAsia="Arial" w:hAnsi="Arial"/>
                <w:sz w:val="18"/>
                <w:szCs w:val="18"/>
                <w:color w:val="auto"/>
              </w:rPr>
              <w:t>By:    /s/ Thomas J. Reid</w:t>
            </w:r>
          </w:p>
        </w:tc>
      </w:tr>
      <w:tr>
        <w:trPr>
          <w:trHeight w:val="195"/>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Senior Executive Vice President</w:t>
            </w:r>
          </w:p>
        </w:tc>
      </w:tr>
      <w:tr>
        <w:trPr>
          <w:trHeight w:val="837"/>
        </w:trPr>
        <w:tc>
          <w:tcPr>
            <w:tcW w:w="3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474345</wp:posOffset>
            </wp:positionV>
            <wp:extent cx="245237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62611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474345</wp:posOffset>
            </wp:positionV>
            <wp:extent cx="1732280" cy="69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THE WALT DISNEY COMPANY AND COMCAST ANNOUNCE AGREEMENT ON HULU’S FUTURE GOVERNANCE AND OWNERSHIP</w:t>
      </w:r>
    </w:p>
    <w:p>
      <w:pPr>
        <w:spacing w:after="0" w:line="19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b w:val="1"/>
          <w:bCs w:val="1"/>
          <w:color w:val="auto"/>
        </w:rPr>
        <w:t>BURBANK, CA and PHILADELPHIA, PA—MAY 14, 2019—</w:t>
      </w:r>
      <w:r>
        <w:rPr>
          <w:rFonts w:ascii="Arial" w:cs="Arial" w:eastAsia="Arial" w:hAnsi="Arial"/>
          <w:sz w:val="22"/>
          <w:szCs w:val="22"/>
          <w:color w:val="auto"/>
        </w:rPr>
        <w:t>The Walt Disney Company (NYSE: DIS) and Comcast</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(NASDAQ: CMCSA) announced today that Disney will assume full operational control of Hulu, effective immediately, in return for Disney and Comcast entering into a “put/call” agreement regarding NBCUniversal’s 33% ownership interest in Hulu. Under the put/call agreement, as early as January 2024, Comcast can require Disney to buy NBCUniversal’s interest in Hulu and Disney can require NBCUniversal to sell that interest to Disney for its fair market value at that future time. Hulu’s fair market value will be assessed by independent experts but Disney has guaranteed a sale price for Comcast that represents a minimum total equity value of Hulu at that time of $27.5 billion.</w:t>
      </w:r>
    </w:p>
    <w:p>
      <w:pPr>
        <w:spacing w:after="0" w:line="217"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Disney and Comcast have agreed to fund Hulu’s recent purchase of AT&amp;T Inc.’s 9.5% interest in Hulu, pro rata to their current two thirds/one third ownership interests and, going forward, Comcast will have the option but not the obligation to fund its proportionate share of Hulu’s future capital calls and will be diluted if it elects not to fund. Disney has agreed that only $1.5 billion of any year’s capital calls can be funded through further equity investments with any capital in excess of that annual amount being funded by non-diluting debt. Whether Comcast funds its share of those equity capital calls or not, Disney has agreed that Comcast’s ownership interest in Hulu will never be less than 21% such that Comcast is guaranteed to receive at least $5.8 billion under the put/call agreement.</w:t>
      </w:r>
    </w:p>
    <w:p>
      <w:pPr>
        <w:spacing w:after="0" w:line="21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 addition to the put/call agreement, Comcast has agreed with Hulu to extend the Hulu license of NBCUniversal content and the Hulu Live carriage agreement for NBCUniversal channels until late 2024 and to distribute Hulu on its Xfinity X1 platform. NBCUniversal can terminate most of its content license agreements with Hulu in three years’ time, and in one year’s time NBCUniversal will have the right to exhibit on its own OTT service certain content that it currently licenses exclusively to Hulu in return for reducing the license fee payable by Hulu.</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333333"/>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333333"/>
        </w:rPr>
        <w:t>About The Walt Disney Company: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Disney, together with its subsidiaries, is a diversified worldwide entertainment company with operations in four business segments: Media Networks; Parks, Experiences and Products; Studio Entertainment; and Direct-to-Consumer and International. Disney is a Dow 30 company and had annual revenues of $59.4 billion in its Fiscal Year 2018. For more information about Disney, please visit </w:t>
      </w:r>
      <w:r>
        <w:rPr>
          <w:rFonts w:ascii="Arial" w:cs="Arial" w:eastAsia="Arial" w:hAnsi="Arial"/>
          <w:sz w:val="22"/>
          <w:szCs w:val="22"/>
          <w:u w:val="single" w:color="auto"/>
          <w:color w:val="0000FF"/>
        </w:rPr>
        <w:t>www.thewaltdisneycompany.com</w:t>
      </w:r>
      <w:r>
        <w:rPr>
          <w:rFonts w:ascii="Arial" w:cs="Arial" w:eastAsia="Arial" w:hAnsi="Arial"/>
          <w:sz w:val="22"/>
          <w:szCs w:val="22"/>
          <w:color w:val="000000"/>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Comcast Corporation:</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Comcast Corporation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w:t>
      </w:r>
    </w:p>
    <w:p>
      <w:pPr>
        <w:spacing w:after="0" w:line="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 xml:space="preserve">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t>
      </w:r>
      <w:r>
        <w:rPr>
          <w:rFonts w:ascii="Arial" w:cs="Arial" w:eastAsia="Arial" w:hAnsi="Arial"/>
          <w:sz w:val="22"/>
          <w:szCs w:val="22"/>
          <w:u w:val="single" w:color="auto"/>
          <w:color w:val="0000FF"/>
        </w:rPr>
        <w:t>www.comcastcorporation.com</w:t>
      </w:r>
      <w:r>
        <w:rPr>
          <w:rFonts w:ascii="Arial" w:cs="Arial" w:eastAsia="Arial" w:hAnsi="Arial"/>
          <w:sz w:val="22"/>
          <w:szCs w:val="22"/>
          <w:color w:val="auto"/>
        </w:rPr>
        <w:t xml:space="preserve">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Hulu:</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Hulu is the leading premium streaming service offering live and on-demand TV and movies, with and without commercials, both in and outside the home. Launched in 2008, Hulu has grown to more than 28 million customers in the U.S. and is the only service that gives viewers instant access to current shows from every major U.S. broadcast network; libraries of hit TV series and films; and acclaimed Hulu Originals like Emmy® and Golden Globe Award-winning series </w:t>
      </w:r>
      <w:r>
        <w:rPr>
          <w:rFonts w:ascii="Arial" w:cs="Arial" w:eastAsia="Arial" w:hAnsi="Arial"/>
          <w:sz w:val="19"/>
          <w:szCs w:val="19"/>
          <w:i w:val="1"/>
          <w:iCs w:val="1"/>
          <w:color w:val="auto"/>
        </w:rPr>
        <w:t>The Handmaid’s Tale,</w:t>
      </w:r>
      <w:r>
        <w:rPr>
          <w:rFonts w:ascii="Arial" w:cs="Arial" w:eastAsia="Arial" w:hAnsi="Arial"/>
          <w:sz w:val="19"/>
          <w:szCs w:val="19"/>
          <w:color w:val="auto"/>
        </w:rPr>
        <w:t xml:space="preserve"> Emmy® Award-nominated </w:t>
      </w:r>
      <w:r>
        <w:rPr>
          <w:rFonts w:ascii="Arial" w:cs="Arial" w:eastAsia="Arial" w:hAnsi="Arial"/>
          <w:sz w:val="19"/>
          <w:szCs w:val="19"/>
          <w:i w:val="1"/>
          <w:iCs w:val="1"/>
          <w:color w:val="auto"/>
        </w:rPr>
        <w:t xml:space="preserve">The Looming Tower, Shrill, The Act, Marvel’s Runaways and Castle Rock, </w:t>
      </w:r>
      <w:r>
        <w:rPr>
          <w:rFonts w:ascii="Arial" w:cs="Arial" w:eastAsia="Arial" w:hAnsi="Arial"/>
          <w:sz w:val="19"/>
          <w:szCs w:val="19"/>
          <w:color w:val="auto"/>
        </w:rPr>
        <w:t>and Oscar®-nominated documentary film</w:t>
      </w:r>
      <w:r>
        <w:rPr>
          <w:rFonts w:ascii="Arial" w:cs="Arial" w:eastAsia="Arial" w:hAnsi="Arial"/>
          <w:sz w:val="19"/>
          <w:szCs w:val="19"/>
          <w:i w:val="1"/>
          <w:iCs w:val="1"/>
          <w:color w:val="auto"/>
        </w:rPr>
        <w:t xml:space="preserve"> Minding the Gap</w:t>
      </w:r>
      <w:r>
        <w:rPr>
          <w:rFonts w:ascii="Arial" w:cs="Arial" w:eastAsia="Arial" w:hAnsi="Arial"/>
          <w:sz w:val="19"/>
          <w:szCs w:val="19"/>
          <w:color w:val="auto"/>
        </w:rPr>
        <w:t>, as well as live news, entertainment and sports from 21st Century Fox, The Walt Disney Company, NBCUniversal, CBS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Corporation, The CW, Turner Networks, A+E Networks and Discovery Networks – all in one place. Upcoming Hulu Originals include </w:t>
      </w:r>
      <w:r>
        <w:rPr>
          <w:rFonts w:ascii="Arial" w:cs="Arial" w:eastAsia="Arial" w:hAnsi="Arial"/>
          <w:sz w:val="19"/>
          <w:szCs w:val="19"/>
          <w:i w:val="1"/>
          <w:iCs w:val="1"/>
          <w:color w:val="auto"/>
        </w:rPr>
        <w:t>Catch-22</w:t>
      </w:r>
      <w:r>
        <w:rPr>
          <w:rFonts w:ascii="Arial" w:cs="Arial" w:eastAsia="Arial" w:hAnsi="Arial"/>
          <w:sz w:val="19"/>
          <w:szCs w:val="19"/>
          <w:color w:val="auto"/>
        </w:rPr>
        <w:t xml:space="preserve"> from George Clooney</w:t>
      </w:r>
      <w:r>
        <w:rPr>
          <w:rFonts w:ascii="Arial" w:cs="Arial" w:eastAsia="Arial" w:hAnsi="Arial"/>
          <w:sz w:val="19"/>
          <w:szCs w:val="19"/>
          <w:i w:val="1"/>
          <w:iCs w:val="1"/>
          <w:color w:val="auto"/>
        </w:rPr>
        <w:t>; Four Weddings and a Funeral</w:t>
      </w:r>
      <w:r>
        <w:rPr>
          <w:rFonts w:ascii="Arial" w:cs="Arial" w:eastAsia="Arial" w:hAnsi="Arial"/>
          <w:sz w:val="19"/>
          <w:szCs w:val="19"/>
          <w:color w:val="auto"/>
        </w:rPr>
        <w:t xml:space="preserve"> from Mindy Kaling</w:t>
      </w:r>
      <w:r>
        <w:rPr>
          <w:rFonts w:ascii="Arial" w:cs="Arial" w:eastAsia="Arial" w:hAnsi="Arial"/>
          <w:sz w:val="19"/>
          <w:szCs w:val="19"/>
          <w:i w:val="1"/>
          <w:iCs w:val="1"/>
          <w:color w:val="auto"/>
        </w:rPr>
        <w:t>; Wu-Tang: An American Saga</w:t>
      </w:r>
      <w:r>
        <w:rPr>
          <w:rFonts w:ascii="Arial" w:cs="Arial" w:eastAsia="Arial" w:hAnsi="Arial"/>
          <w:sz w:val="19"/>
          <w:szCs w:val="19"/>
          <w:color w:val="auto"/>
        </w:rPr>
        <w:t xml:space="preserve"> from Brian Grazer and The RZA; and </w:t>
      </w:r>
      <w:r>
        <w:rPr>
          <w:rFonts w:ascii="Arial" w:cs="Arial" w:eastAsia="Arial" w:hAnsi="Arial"/>
          <w:sz w:val="19"/>
          <w:szCs w:val="19"/>
          <w:i w:val="1"/>
          <w:iCs w:val="1"/>
          <w:color w:val="auto"/>
        </w:rPr>
        <w:t>Little Fires Everywhere</w:t>
      </w:r>
      <w:r>
        <w:rPr>
          <w:rFonts w:ascii="Arial" w:cs="Arial" w:eastAsia="Arial" w:hAnsi="Arial"/>
          <w:sz w:val="19"/>
          <w:szCs w:val="19"/>
          <w:color w:val="auto"/>
        </w:rPr>
        <w:t xml:space="preserve"> from Reese Witherspoon and Kerry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333333"/>
        </w:rPr>
        <w:t>Forward Looking Statements: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333333"/>
        </w:rPr>
        <w:t>Certain statements in this press release may constitute “forward-looking statements” within the meaning of the Private Securities Litigation Reform Act of 1995. Such forward-looking statements may include expectations regarding our business plans, products, expectations regarding growth and performance, and other statements. Forward-looking statements herein may contain words such as “will,” “may,” “expect,” “believe,” similar expressions, and variations or negatives of these words. These statements are made on the basis of management’s views and assumptions regarding future events and business performance as of the time the statements are made. Management does not undertake any obligation to update these statements. Actual events may differ materially from those expressed or implied. Such differences may result from actions taken by the Company, as well as from developments beyond the Company’s control, including changes in competitive conditions; consumer preferences; international, political, regulatory, health concern and military developments; and changes in domestic and global economic conditions that may affect our businesses generally. Additional factors are set forth in the Company’s Annual Report on Form 10-K for the year ended September 29, 2018 under Item 1A, “Risk Factors,” and subsequent reports.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3333"/>
        </w:rPr>
        <w:t># #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The Walt Disney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333333"/>
        </w:rPr>
        <w:t>Media 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33333"/>
        </w:rPr>
        <w:t>Zenia Mucha</w:t>
      </w:r>
    </w:p>
    <w:p>
      <w:pPr>
        <w:spacing w:after="0" w:line="8" w:lineRule="exact"/>
        <w:rPr>
          <w:sz w:val="20"/>
          <w:szCs w:val="20"/>
          <w:color w:val="auto"/>
        </w:rPr>
      </w:pPr>
    </w:p>
    <w:p>
      <w:pPr>
        <w:ind w:right="9160" w:firstLine="8"/>
        <w:spacing w:after="0" w:line="308" w:lineRule="auto"/>
        <w:tabs>
          <w:tab w:leader="none" w:pos="522" w:val="left"/>
        </w:tabs>
        <w:numPr>
          <w:ilvl w:val="0"/>
          <w:numId w:val="3"/>
        </w:numPr>
        <w:rPr>
          <w:rFonts w:ascii="Arial" w:cs="Arial" w:eastAsia="Arial" w:hAnsi="Arial"/>
          <w:sz w:val="19"/>
          <w:szCs w:val="19"/>
          <w:color w:val="333333"/>
        </w:rPr>
      </w:pPr>
      <w:r>
        <w:rPr>
          <w:rFonts w:ascii="Arial" w:cs="Arial" w:eastAsia="Arial" w:hAnsi="Arial"/>
          <w:sz w:val="19"/>
          <w:szCs w:val="19"/>
          <w:color w:val="333333"/>
        </w:rPr>
        <w:t xml:space="preserve">560-5300 </w:t>
      </w:r>
      <w:r>
        <w:rPr>
          <w:rFonts w:ascii="Arial" w:cs="Arial" w:eastAsia="Arial" w:hAnsi="Arial"/>
          <w:sz w:val="19"/>
          <w:szCs w:val="19"/>
          <w:u w:val="single" w:color="auto"/>
          <w:color w:val="0000FF"/>
        </w:rPr>
        <w:t>zenia.mucha@disney.com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333333"/>
        </w:rPr>
        <w:t>David Jefferson</w:t>
      </w:r>
    </w:p>
    <w:p>
      <w:pPr>
        <w:spacing w:after="0" w:line="8" w:lineRule="exact"/>
        <w:rPr>
          <w:sz w:val="20"/>
          <w:szCs w:val="20"/>
          <w:color w:val="auto"/>
        </w:rPr>
      </w:pPr>
    </w:p>
    <w:p>
      <w:pPr>
        <w:ind w:right="8820" w:firstLine="8"/>
        <w:spacing w:after="0" w:line="308" w:lineRule="auto"/>
        <w:tabs>
          <w:tab w:leader="none" w:pos="522" w:val="left"/>
        </w:tabs>
        <w:numPr>
          <w:ilvl w:val="0"/>
          <w:numId w:val="4"/>
        </w:numPr>
        <w:rPr>
          <w:rFonts w:ascii="Arial" w:cs="Arial" w:eastAsia="Arial" w:hAnsi="Arial"/>
          <w:sz w:val="19"/>
          <w:szCs w:val="19"/>
          <w:color w:val="333333"/>
        </w:rPr>
      </w:pPr>
      <w:r>
        <w:rPr>
          <w:rFonts w:ascii="Arial" w:cs="Arial" w:eastAsia="Arial" w:hAnsi="Arial"/>
          <w:sz w:val="19"/>
          <w:szCs w:val="19"/>
          <w:color w:val="333333"/>
        </w:rPr>
        <w:t xml:space="preserve">560-4832 </w:t>
      </w:r>
      <w:r>
        <w:rPr>
          <w:rFonts w:ascii="Arial" w:cs="Arial" w:eastAsia="Arial" w:hAnsi="Arial"/>
          <w:sz w:val="19"/>
          <w:szCs w:val="19"/>
          <w:u w:val="single" w:color="auto"/>
          <w:color w:val="0000FF"/>
        </w:rPr>
        <w:t>david.j.jefferson@disney.com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333333"/>
        </w:rPr>
        <w:t>Karen Hobson</w:t>
      </w:r>
    </w:p>
    <w:p>
      <w:pPr>
        <w:spacing w:after="0" w:line="8" w:lineRule="exact"/>
        <w:rPr>
          <w:sz w:val="20"/>
          <w:szCs w:val="20"/>
          <w:color w:val="auto"/>
        </w:rPr>
      </w:pPr>
    </w:p>
    <w:p>
      <w:pPr>
        <w:ind w:right="9080" w:firstLine="8"/>
        <w:spacing w:after="0" w:line="308" w:lineRule="auto"/>
        <w:tabs>
          <w:tab w:leader="none" w:pos="522" w:val="left"/>
        </w:tabs>
        <w:numPr>
          <w:ilvl w:val="0"/>
          <w:numId w:val="5"/>
        </w:numPr>
        <w:rPr>
          <w:rFonts w:ascii="Arial" w:cs="Arial" w:eastAsia="Arial" w:hAnsi="Arial"/>
          <w:sz w:val="19"/>
          <w:szCs w:val="19"/>
          <w:color w:val="333333"/>
        </w:rPr>
      </w:pPr>
      <w:r>
        <w:rPr>
          <w:rFonts w:ascii="Arial" w:cs="Arial" w:eastAsia="Arial" w:hAnsi="Arial"/>
          <w:sz w:val="19"/>
          <w:szCs w:val="19"/>
          <w:color w:val="333333"/>
        </w:rPr>
        <w:t xml:space="preserve">560-4057 </w:t>
      </w:r>
      <w:r>
        <w:rPr>
          <w:rFonts w:ascii="Arial" w:cs="Arial" w:eastAsia="Arial" w:hAnsi="Arial"/>
          <w:sz w:val="19"/>
          <w:szCs w:val="19"/>
          <w:u w:val="single" w:color="auto"/>
          <w:color w:val="0000FF"/>
        </w:rPr>
        <w:t>karen.hobson@disney.com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333333"/>
        </w:rPr>
        <w:t>Investor 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33333"/>
        </w:rPr>
        <w:t>Lowell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 w:name="page7"/>
    <w:bookmarkEnd w:id="6"/>
    <w:p>
      <w:pPr>
        <w:ind w:right="7919" w:firstLine="8"/>
        <w:spacing w:after="0" w:line="328" w:lineRule="auto"/>
        <w:tabs>
          <w:tab w:leader="none" w:pos="522" w:val="left"/>
        </w:tabs>
        <w:numPr>
          <w:ilvl w:val="0"/>
          <w:numId w:val="6"/>
        </w:numPr>
        <w:rPr>
          <w:rFonts w:ascii="Arial" w:cs="Arial" w:eastAsia="Arial" w:hAnsi="Arial"/>
          <w:sz w:val="19"/>
          <w:szCs w:val="19"/>
          <w:color w:val="333333"/>
        </w:rPr>
      </w:pPr>
      <w:r>
        <w:rPr>
          <w:rFonts w:ascii="Arial" w:cs="Arial" w:eastAsia="Arial" w:hAnsi="Arial"/>
          <w:sz w:val="19"/>
          <w:szCs w:val="19"/>
          <w:color w:val="333333"/>
        </w:rPr>
        <w:t xml:space="preserve">560-6601 </w:t>
      </w:r>
      <w:r>
        <w:rPr>
          <w:rFonts w:ascii="Arial" w:cs="Arial" w:eastAsia="Arial" w:hAnsi="Arial"/>
          <w:sz w:val="19"/>
          <w:szCs w:val="19"/>
          <w:u w:val="single" w:color="auto"/>
          <w:color w:val="0000FF"/>
        </w:rPr>
        <w:t>lowell.singer@disney.com</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NBCUniversal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333333"/>
        </w:rPr>
        <w:t>Media 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33333"/>
        </w:rPr>
        <w:t>Hilary Smith</w:t>
      </w:r>
    </w:p>
    <w:p>
      <w:pPr>
        <w:spacing w:after="0" w:line="8" w:lineRule="exact"/>
        <w:rPr>
          <w:sz w:val="20"/>
          <w:szCs w:val="20"/>
          <w:color w:val="auto"/>
        </w:rPr>
      </w:pPr>
    </w:p>
    <w:p>
      <w:pPr>
        <w:ind w:right="7459" w:firstLine="8"/>
        <w:spacing w:after="0" w:line="308" w:lineRule="auto"/>
        <w:tabs>
          <w:tab w:leader="none" w:pos="522" w:val="left"/>
        </w:tabs>
        <w:numPr>
          <w:ilvl w:val="0"/>
          <w:numId w:val="7"/>
        </w:numPr>
        <w:rPr>
          <w:rFonts w:ascii="Arial" w:cs="Arial" w:eastAsia="Arial" w:hAnsi="Arial"/>
          <w:sz w:val="19"/>
          <w:szCs w:val="19"/>
          <w:color w:val="333333"/>
        </w:rPr>
      </w:pPr>
      <w:r>
        <w:rPr>
          <w:rFonts w:ascii="Arial" w:cs="Arial" w:eastAsia="Arial" w:hAnsi="Arial"/>
          <w:sz w:val="19"/>
          <w:szCs w:val="19"/>
          <w:color w:val="333333"/>
        </w:rPr>
        <w:t xml:space="preserve">664-2617 </w:t>
      </w:r>
      <w:r>
        <w:rPr>
          <w:rFonts w:ascii="Arial" w:cs="Arial" w:eastAsia="Arial" w:hAnsi="Arial"/>
          <w:sz w:val="19"/>
          <w:szCs w:val="19"/>
          <w:u w:val="single" w:color="auto"/>
          <w:color w:val="0000FF"/>
        </w:rPr>
        <w:t>hilary.smith@nbcuniversal.com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Comcast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333333"/>
        </w:rPr>
        <w:t>Media 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33333"/>
        </w:rPr>
        <w:t>John Demming</w:t>
      </w:r>
    </w:p>
    <w:p>
      <w:pPr>
        <w:spacing w:after="0" w:line="238" w:lineRule="auto"/>
        <w:rPr>
          <w:sz w:val="20"/>
          <w:szCs w:val="20"/>
          <w:color w:val="auto"/>
        </w:rPr>
      </w:pPr>
      <w:r>
        <w:rPr>
          <w:rFonts w:ascii="Arial" w:cs="Arial" w:eastAsia="Arial" w:hAnsi="Arial"/>
          <w:sz w:val="22"/>
          <w:szCs w:val="22"/>
          <w:color w:val="333333"/>
        </w:rPr>
        <w:t>(215) 286-8011</w:t>
      </w:r>
    </w:p>
    <w:p>
      <w:pPr>
        <w:spacing w:after="0"/>
        <w:rPr>
          <w:sz w:val="20"/>
          <w:szCs w:val="20"/>
          <w:color w:val="auto"/>
        </w:rPr>
      </w:pPr>
      <w:r>
        <w:rPr>
          <w:rFonts w:ascii="Arial" w:cs="Arial" w:eastAsia="Arial" w:hAnsi="Arial"/>
          <w:sz w:val="19"/>
          <w:szCs w:val="19"/>
          <w:u w:val="single" w:color="auto"/>
          <w:color w:val="0000FF"/>
        </w:rPr>
        <w:t>john_demming@comcast.com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333333"/>
        </w:rPr>
        <w:t>Investor 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33333"/>
        </w:rPr>
        <w:t>Jason Armstrong</w:t>
      </w:r>
    </w:p>
    <w:p>
      <w:pPr>
        <w:spacing w:after="0" w:line="238" w:lineRule="auto"/>
        <w:rPr>
          <w:sz w:val="20"/>
          <w:szCs w:val="20"/>
          <w:color w:val="auto"/>
        </w:rPr>
      </w:pPr>
      <w:r>
        <w:rPr>
          <w:rFonts w:ascii="Arial" w:cs="Arial" w:eastAsia="Arial" w:hAnsi="Arial"/>
          <w:sz w:val="22"/>
          <w:szCs w:val="22"/>
          <w:color w:val="333333"/>
        </w:rPr>
        <w:t>(215) 286-7972</w:t>
      </w:r>
    </w:p>
    <w:p>
      <w:pPr>
        <w:spacing w:after="0"/>
        <w:rPr>
          <w:sz w:val="20"/>
          <w:szCs w:val="20"/>
          <w:color w:val="auto"/>
        </w:rPr>
      </w:pPr>
      <w:r>
        <w:rPr>
          <w:rFonts w:ascii="Arial" w:cs="Arial" w:eastAsia="Arial" w:hAnsi="Arial"/>
          <w:sz w:val="19"/>
          <w:szCs w:val="19"/>
          <w:u w:val="single" w:color="auto"/>
          <w:color w:val="0000FF"/>
        </w:rPr>
        <w:t>jason_armstrong@comcast.com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5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818"/>
    </w:lvl>
  </w:abstractNum>
  <w:abstractNum w:abstractNumId="3">
    <w:nsid w:val="3D1B58BA"/>
    <w:multiLevelType w:val="hybridMultilevel"/>
    <w:lvl w:ilvl="0">
      <w:lvlJc w:val="left"/>
      <w:lvlText w:val="(%1)"/>
      <w:numFmt w:val="decimal"/>
      <w:start w:val="818"/>
    </w:lvl>
  </w:abstractNum>
  <w:abstractNum w:abstractNumId="4">
    <w:nsid w:val="507ED7AB"/>
    <w:multiLevelType w:val="hybridMultilevel"/>
    <w:lvl w:ilvl="0">
      <w:lvlJc w:val="left"/>
      <w:lvlText w:val="(%1)"/>
      <w:numFmt w:val="decimal"/>
      <w:start w:val="818"/>
    </w:lvl>
  </w:abstractNum>
  <w:abstractNum w:abstractNumId="5">
    <w:nsid w:val="2EB141F2"/>
    <w:multiLevelType w:val="hybridMultilevel"/>
    <w:lvl w:ilvl="0">
      <w:lvlJc w:val="left"/>
      <w:lvlText w:val="(%1)"/>
      <w:numFmt w:val="decimal"/>
      <w:start w:val="818"/>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2019-12-28T11:47:26Z</dcterms:created>
  <dcterms:modified xsi:type="dcterms:W3CDTF">2019-12-28T11:47:26Z</dcterms:modified>
</cp:coreProperties>
</file>