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208280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330"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CURRENT REPORT</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Pursuant to Section 13 OR 15(d) of</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The Securities Exchange Act of 1934</w:t>
      </w:r>
    </w:p>
    <w:p>
      <w:pPr>
        <w:spacing w:after="0" w:line="31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January 28, 2014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Comcast Corporation</w:t>
      </w:r>
    </w:p>
    <w:p>
      <w:pPr>
        <w:spacing w:after="0" w:line="17" w:lineRule="exact"/>
        <w:rPr>
          <w:sz w:val="24"/>
          <w:szCs w:val="24"/>
          <w:color w:val="auto"/>
        </w:rPr>
      </w:pPr>
    </w:p>
    <w:p>
      <w:pPr>
        <w:ind w:left="4940"/>
        <w:spacing w:after="0"/>
        <w:rPr>
          <w:sz w:val="20"/>
          <w:szCs w:val="20"/>
          <w:color w:val="auto"/>
        </w:rPr>
      </w:pPr>
      <w:r>
        <w:rPr>
          <w:rFonts w:ascii="Arial" w:cs="Arial" w:eastAsia="Arial" w:hAnsi="Arial"/>
          <w:sz w:val="14"/>
          <w:szCs w:val="14"/>
          <w:color w:val="auto"/>
        </w:rPr>
        <w:t>(Exact Name of Registrant</w:t>
      </w:r>
    </w:p>
    <w:p>
      <w:pPr>
        <w:ind w:left="4940"/>
        <w:spacing w:after="0"/>
        <w:rPr>
          <w:sz w:val="20"/>
          <w:szCs w:val="20"/>
          <w:color w:val="auto"/>
        </w:rPr>
      </w:pPr>
      <w:r>
        <w:rPr>
          <w:rFonts w:ascii="Arial" w:cs="Arial" w:eastAsia="Arial" w:hAnsi="Arial"/>
          <w:sz w:val="14"/>
          <w:szCs w:val="14"/>
          <w:color w:val="auto"/>
        </w:rPr>
        <w:t>as Specified in its Charter)</w:t>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Pennsylvania</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(State or Other Jurisdiction of Incorporation)</w:t>
      </w:r>
    </w:p>
    <w:p>
      <w:pPr>
        <w:spacing w:after="0" w:line="192" w:lineRule="exact"/>
        <w:rPr>
          <w:sz w:val="24"/>
          <w:szCs w:val="24"/>
          <w:color w:val="auto"/>
        </w:rPr>
      </w:pPr>
    </w:p>
    <w:tbl>
      <w:tblPr>
        <w:tblLayout w:type="fixed"/>
        <w:tblInd w:w="1120" w:type="dxa"/>
        <w:tblCellMar>
          <w:top w:w="0" w:type="dxa"/>
          <w:left w:w="0" w:type="dxa"/>
          <w:bottom w:w="0" w:type="dxa"/>
          <w:right w:w="0" w:type="dxa"/>
        </w:tblCellMar>
      </w:tblPr>
      <w:tr>
        <w:trPr>
          <w:trHeight w:val="216"/>
        </w:trPr>
        <w:tc>
          <w:tcPr>
            <w:tcW w:w="4680" w:type="dxa"/>
            <w:vAlign w:val="bottom"/>
          </w:tcPr>
          <w:p>
            <w:pPr>
              <w:jc w:val="center"/>
              <w:ind w:right="2257"/>
              <w:spacing w:after="0"/>
              <w:rPr>
                <w:sz w:val="20"/>
                <w:szCs w:val="20"/>
                <w:color w:val="auto"/>
              </w:rPr>
            </w:pPr>
            <w:r>
              <w:rPr>
                <w:rFonts w:ascii="Arial" w:cs="Arial" w:eastAsia="Arial" w:hAnsi="Arial"/>
                <w:sz w:val="18"/>
                <w:szCs w:val="18"/>
                <w:b w:val="1"/>
                <w:bCs w:val="1"/>
                <w:color w:val="auto"/>
                <w:w w:val="90"/>
              </w:rPr>
              <w:t>001-32871</w:t>
            </w:r>
          </w:p>
        </w:tc>
        <w:tc>
          <w:tcPr>
            <w:tcW w:w="4320" w:type="dxa"/>
            <w:vAlign w:val="bottom"/>
          </w:tcPr>
          <w:p>
            <w:pPr>
              <w:jc w:val="center"/>
              <w:ind w:left="2279"/>
              <w:spacing w:after="0"/>
              <w:rPr>
                <w:sz w:val="20"/>
                <w:szCs w:val="20"/>
                <w:color w:val="auto"/>
              </w:rPr>
            </w:pPr>
            <w:r>
              <w:rPr>
                <w:rFonts w:ascii="Arial" w:cs="Arial" w:eastAsia="Arial" w:hAnsi="Arial"/>
                <w:sz w:val="18"/>
                <w:szCs w:val="18"/>
                <w:b w:val="1"/>
                <w:bCs w:val="1"/>
                <w:color w:val="auto"/>
                <w:w w:val="91"/>
              </w:rPr>
              <w:t>27-0000798</w:t>
            </w:r>
          </w:p>
        </w:tc>
      </w:tr>
      <w:tr>
        <w:trPr>
          <w:trHeight w:val="182"/>
        </w:trPr>
        <w:tc>
          <w:tcPr>
            <w:tcW w:w="4680" w:type="dxa"/>
            <w:vAlign w:val="bottom"/>
          </w:tcPr>
          <w:p>
            <w:pPr>
              <w:jc w:val="center"/>
              <w:ind w:right="2257"/>
              <w:spacing w:after="0"/>
              <w:rPr>
                <w:sz w:val="20"/>
                <w:szCs w:val="20"/>
                <w:color w:val="auto"/>
              </w:rPr>
            </w:pPr>
            <w:r>
              <w:rPr>
                <w:rFonts w:ascii="Arial" w:cs="Arial" w:eastAsia="Arial" w:hAnsi="Arial"/>
                <w:sz w:val="14"/>
                <w:szCs w:val="14"/>
                <w:color w:val="auto"/>
                <w:w w:val="94"/>
              </w:rPr>
              <w:t>(Commission File Number)</w:t>
            </w:r>
          </w:p>
        </w:tc>
        <w:tc>
          <w:tcPr>
            <w:tcW w:w="4320" w:type="dxa"/>
            <w:vAlign w:val="bottom"/>
          </w:tcPr>
          <w:p>
            <w:pPr>
              <w:jc w:val="center"/>
              <w:ind w:left="2259"/>
              <w:spacing w:after="0"/>
              <w:rPr>
                <w:sz w:val="20"/>
                <w:szCs w:val="20"/>
                <w:color w:val="auto"/>
              </w:rPr>
            </w:pPr>
            <w:r>
              <w:rPr>
                <w:rFonts w:ascii="Arial" w:cs="Arial" w:eastAsia="Arial" w:hAnsi="Arial"/>
                <w:sz w:val="14"/>
                <w:szCs w:val="14"/>
                <w:color w:val="auto"/>
                <w:w w:val="97"/>
              </w:rPr>
              <w:t>(IRS Employer Identification No.)</w:t>
            </w:r>
          </w:p>
        </w:tc>
      </w:tr>
      <w:tr>
        <w:trPr>
          <w:trHeight w:val="507"/>
        </w:trPr>
        <w:tc>
          <w:tcPr>
            <w:tcW w:w="4680" w:type="dxa"/>
            <w:vAlign w:val="bottom"/>
          </w:tcPr>
          <w:p>
            <w:pPr>
              <w:jc w:val="center"/>
              <w:ind w:right="2257"/>
              <w:spacing w:after="0"/>
              <w:rPr>
                <w:sz w:val="20"/>
                <w:szCs w:val="20"/>
                <w:color w:val="auto"/>
              </w:rPr>
            </w:pPr>
            <w:r>
              <w:rPr>
                <w:rFonts w:ascii="Arial" w:cs="Arial" w:eastAsia="Arial" w:hAnsi="Arial"/>
                <w:sz w:val="18"/>
                <w:szCs w:val="18"/>
                <w:b w:val="1"/>
                <w:bCs w:val="1"/>
                <w:color w:val="auto"/>
                <w:w w:val="90"/>
              </w:rPr>
              <w:t>One Comcast Center</w:t>
            </w:r>
          </w:p>
        </w:tc>
        <w:tc>
          <w:tcPr>
            <w:tcW w:w="4320" w:type="dxa"/>
            <w:vAlign w:val="bottom"/>
          </w:tcPr>
          <w:p>
            <w:pPr>
              <w:spacing w:after="0"/>
              <w:rPr>
                <w:sz w:val="24"/>
                <w:szCs w:val="24"/>
                <w:color w:val="auto"/>
              </w:rPr>
            </w:pPr>
          </w:p>
        </w:tc>
      </w:tr>
      <w:tr>
        <w:trPr>
          <w:trHeight w:val="216"/>
        </w:trPr>
        <w:tc>
          <w:tcPr>
            <w:tcW w:w="4680" w:type="dxa"/>
            <w:vAlign w:val="bottom"/>
          </w:tcPr>
          <w:p>
            <w:pPr>
              <w:jc w:val="center"/>
              <w:ind w:right="2257"/>
              <w:spacing w:after="0"/>
              <w:rPr>
                <w:sz w:val="20"/>
                <w:szCs w:val="20"/>
                <w:color w:val="auto"/>
              </w:rPr>
            </w:pPr>
            <w:r>
              <w:rPr>
                <w:rFonts w:ascii="Arial" w:cs="Arial" w:eastAsia="Arial" w:hAnsi="Arial"/>
                <w:sz w:val="18"/>
                <w:szCs w:val="18"/>
                <w:b w:val="1"/>
                <w:bCs w:val="1"/>
                <w:color w:val="auto"/>
                <w:w w:val="92"/>
              </w:rPr>
              <w:t>Philadelphia, PA</w:t>
            </w:r>
          </w:p>
        </w:tc>
        <w:tc>
          <w:tcPr>
            <w:tcW w:w="4320" w:type="dxa"/>
            <w:vAlign w:val="bottom"/>
          </w:tcPr>
          <w:p>
            <w:pPr>
              <w:jc w:val="center"/>
              <w:ind w:left="2279"/>
              <w:spacing w:after="0"/>
              <w:rPr>
                <w:sz w:val="20"/>
                <w:szCs w:val="20"/>
                <w:color w:val="auto"/>
              </w:rPr>
            </w:pPr>
            <w:r>
              <w:rPr>
                <w:rFonts w:ascii="Arial" w:cs="Arial" w:eastAsia="Arial" w:hAnsi="Arial"/>
                <w:sz w:val="18"/>
                <w:szCs w:val="18"/>
                <w:b w:val="1"/>
                <w:bCs w:val="1"/>
                <w:color w:val="auto"/>
                <w:w w:val="91"/>
              </w:rPr>
              <w:t>19103-2838</w:t>
            </w:r>
          </w:p>
        </w:tc>
      </w:tr>
      <w:tr>
        <w:trPr>
          <w:trHeight w:val="182"/>
        </w:trPr>
        <w:tc>
          <w:tcPr>
            <w:tcW w:w="4680" w:type="dxa"/>
            <w:vAlign w:val="bottom"/>
          </w:tcPr>
          <w:p>
            <w:pPr>
              <w:jc w:val="center"/>
              <w:ind w:right="2257"/>
              <w:spacing w:after="0"/>
              <w:rPr>
                <w:sz w:val="20"/>
                <w:szCs w:val="20"/>
                <w:color w:val="auto"/>
              </w:rPr>
            </w:pPr>
            <w:r>
              <w:rPr>
                <w:rFonts w:ascii="Arial" w:cs="Arial" w:eastAsia="Arial" w:hAnsi="Arial"/>
                <w:sz w:val="14"/>
                <w:szCs w:val="14"/>
                <w:color w:val="auto"/>
                <w:w w:val="95"/>
              </w:rPr>
              <w:t>(Address of Principal Executive Offices)</w:t>
            </w:r>
          </w:p>
        </w:tc>
        <w:tc>
          <w:tcPr>
            <w:tcW w:w="4320" w:type="dxa"/>
            <w:vAlign w:val="bottom"/>
          </w:tcPr>
          <w:p>
            <w:pPr>
              <w:jc w:val="center"/>
              <w:ind w:left="2279"/>
              <w:spacing w:after="0"/>
              <w:rPr>
                <w:sz w:val="20"/>
                <w:szCs w:val="20"/>
                <w:color w:val="auto"/>
              </w:rPr>
            </w:pPr>
            <w:r>
              <w:rPr>
                <w:rFonts w:ascii="Arial" w:cs="Arial" w:eastAsia="Arial" w:hAnsi="Arial"/>
                <w:sz w:val="14"/>
                <w:szCs w:val="14"/>
                <w:color w:val="auto"/>
                <w:w w:val="96"/>
              </w:rPr>
              <w:t>(Zip Code)</w:t>
            </w:r>
          </w:p>
        </w:tc>
      </w:tr>
    </w:tbl>
    <w:p>
      <w:pPr>
        <w:spacing w:after="0" w:line="399"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8"/>
          <w:szCs w:val="18"/>
          <w:b w:val="1"/>
          <w:bCs w:val="1"/>
          <w:color w:val="auto"/>
        </w:rPr>
        <w:t>(215) 286-1700</w:t>
      </w:r>
    </w:p>
    <w:p>
      <w:pPr>
        <w:spacing w:after="0" w:line="200" w:lineRule="exact"/>
        <w:rPr>
          <w:sz w:val="24"/>
          <w:szCs w:val="24"/>
          <w:color w:val="auto"/>
        </w:rPr>
      </w:pPr>
    </w:p>
    <w:p>
      <w:pPr>
        <w:spacing w:after="0" w:line="24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208" w:lineRule="exact"/>
        <w:rPr>
          <w:sz w:val="24"/>
          <w:szCs w:val="24"/>
          <w:color w:val="auto"/>
        </w:rPr>
      </w:pPr>
    </w:p>
    <w:p>
      <w:pPr>
        <w:ind w:right="540"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u w:val="single" w:color="auto"/>
          <w:color w:val="auto"/>
        </w:rPr>
        <w:t>see</w:t>
      </w:r>
      <w:r>
        <w:rPr>
          <w:rFonts w:ascii="Arial" w:cs="Arial" w:eastAsia="Arial" w:hAnsi="Arial"/>
          <w:sz w:val="18"/>
          <w:szCs w:val="18"/>
          <w:color w:val="auto"/>
        </w:rPr>
        <w:t xml:space="preserve"> General Instruction A.2. below):</w:t>
      </w:r>
    </w:p>
    <w:p>
      <w:pPr>
        <w:spacing w:after="0" w:line="175" w:lineRule="exact"/>
        <w:rPr>
          <w:sz w:val="24"/>
          <w:szCs w:val="24"/>
          <w:color w:val="auto"/>
        </w:rPr>
      </w:pPr>
    </w:p>
    <w:p>
      <w:pPr>
        <w:ind w:left="640" w:hanging="308"/>
        <w:spacing w:after="0"/>
        <w:tabs>
          <w:tab w:leader="none" w:pos="640" w:val="left"/>
        </w:tabs>
        <w:numPr>
          <w:ilvl w:val="0"/>
          <w:numId w:val="1"/>
        </w:numPr>
        <w:rPr>
          <w:rFonts w:ascii="Arial" w:cs="Arial" w:eastAsia="Arial" w:hAnsi="Arial"/>
          <w:sz w:val="22"/>
          <w:szCs w:val="22"/>
          <w:color w:val="auto"/>
        </w:rPr>
      </w:pPr>
      <w:r>
        <w:rPr>
          <w:rFonts w:ascii="Arial" w:cs="Arial" w:eastAsia="Arial" w:hAnsi="Arial"/>
          <w:sz w:val="18"/>
          <w:szCs w:val="18"/>
          <w:color w:val="auto"/>
        </w:rPr>
        <w:t>Written communications pursuant to Rule 425 under the Securities Act (17 CFR 230.425)</w:t>
      </w:r>
    </w:p>
    <w:p>
      <w:pPr>
        <w:spacing w:after="0" w:line="206" w:lineRule="exact"/>
        <w:rPr>
          <w:rFonts w:ascii="Arial" w:cs="Arial" w:eastAsia="Arial" w:hAnsi="Arial"/>
          <w:sz w:val="22"/>
          <w:szCs w:val="22"/>
          <w:color w:val="auto"/>
        </w:rPr>
      </w:pPr>
    </w:p>
    <w:p>
      <w:pPr>
        <w:ind w:left="640" w:hanging="308"/>
        <w:spacing w:after="0"/>
        <w:tabs>
          <w:tab w:leader="none" w:pos="640" w:val="left"/>
        </w:tabs>
        <w:numPr>
          <w:ilvl w:val="0"/>
          <w:numId w:val="1"/>
        </w:numPr>
        <w:rPr>
          <w:rFonts w:ascii="Arial" w:cs="Arial" w:eastAsia="Arial" w:hAnsi="Arial"/>
          <w:sz w:val="22"/>
          <w:szCs w:val="22"/>
          <w:color w:val="auto"/>
        </w:rPr>
      </w:pPr>
      <w:r>
        <w:rPr>
          <w:rFonts w:ascii="Arial" w:cs="Arial" w:eastAsia="Arial" w:hAnsi="Arial"/>
          <w:sz w:val="18"/>
          <w:szCs w:val="18"/>
          <w:color w:val="auto"/>
        </w:rPr>
        <w:t>Soliciting material pursuant to Rule 14a-12 under the Exchange Act (17 CFR 240.14a-12)</w:t>
      </w:r>
    </w:p>
    <w:p>
      <w:pPr>
        <w:spacing w:after="0" w:line="206" w:lineRule="exact"/>
        <w:rPr>
          <w:rFonts w:ascii="Arial" w:cs="Arial" w:eastAsia="Arial" w:hAnsi="Arial"/>
          <w:sz w:val="22"/>
          <w:szCs w:val="22"/>
          <w:color w:val="auto"/>
        </w:rPr>
      </w:pPr>
    </w:p>
    <w:p>
      <w:pPr>
        <w:ind w:left="640" w:hanging="308"/>
        <w:spacing w:after="0"/>
        <w:tabs>
          <w:tab w:leader="none" w:pos="640" w:val="left"/>
        </w:tabs>
        <w:numPr>
          <w:ilvl w:val="0"/>
          <w:numId w:val="1"/>
        </w:numPr>
        <w:rPr>
          <w:rFonts w:ascii="Arial" w:cs="Arial" w:eastAsia="Arial" w:hAnsi="Arial"/>
          <w:sz w:val="22"/>
          <w:szCs w:val="22"/>
          <w:color w:val="auto"/>
        </w:rPr>
      </w:pPr>
      <w:r>
        <w:rPr>
          <w:rFonts w:ascii="Arial" w:cs="Arial" w:eastAsia="Arial" w:hAnsi="Arial"/>
          <w:sz w:val="18"/>
          <w:szCs w:val="18"/>
          <w:color w:val="auto"/>
        </w:rPr>
        <w:t>Pre-commencement communications pursuant to Rule 14d-2(b) under the Exchange Act (17 CFR 240.14d-2(b))</w:t>
      </w:r>
    </w:p>
    <w:p>
      <w:pPr>
        <w:spacing w:after="0" w:line="206" w:lineRule="exact"/>
        <w:rPr>
          <w:rFonts w:ascii="Arial" w:cs="Arial" w:eastAsia="Arial" w:hAnsi="Arial"/>
          <w:sz w:val="22"/>
          <w:szCs w:val="22"/>
          <w:color w:val="auto"/>
        </w:rPr>
      </w:pPr>
    </w:p>
    <w:p>
      <w:pPr>
        <w:ind w:left="640" w:hanging="308"/>
        <w:spacing w:after="0"/>
        <w:tabs>
          <w:tab w:leader="none" w:pos="640" w:val="left"/>
        </w:tabs>
        <w:numPr>
          <w:ilvl w:val="0"/>
          <w:numId w:val="1"/>
        </w:numPr>
        <w:rPr>
          <w:rFonts w:ascii="Arial" w:cs="Arial" w:eastAsia="Arial" w:hAnsi="Arial"/>
          <w:sz w:val="22"/>
          <w:szCs w:val="22"/>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675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4"/>
          <w:szCs w:val="24"/>
          <w:color w:val="auto"/>
        </w:rPr>
      </w:pPr>
    </w:p>
    <w:p>
      <w:pPr>
        <w:jc w:val="both"/>
        <w:spacing w:after="0" w:line="272" w:lineRule="auto"/>
        <w:rPr>
          <w:sz w:val="20"/>
          <w:szCs w:val="20"/>
          <w:color w:val="auto"/>
        </w:rPr>
      </w:pPr>
      <w:r>
        <w:rPr>
          <w:rFonts w:ascii="Arial" w:cs="Arial" w:eastAsia="Arial" w:hAnsi="Arial"/>
          <w:sz w:val="17"/>
          <w:szCs w:val="17"/>
          <w:color w:val="auto"/>
        </w:rPr>
        <w:t>On January 28, 2014, Comcast Corporation (“Comcast”) issued a press release reporting the results of its operations for the three and twelve months ended December 31, 2013. The press release is attached hereto as Exhibit 99.1. Exhibit 99.2 sets forth the reasons Comcast believes that presentation of the non-GAAP financial measures contained in the press release provides useful information to investors regarding Comcast’s financial condition and results of operations. To the extent material, Exhibit 99.2 also discloses the additional purposes, if any, for which Comcast’s management uses these non-GAAP financial measures. A reconciliation of these non-GAAP financial measures with the most directly comparable GAAP financial measures is included in the press release itself. Comcast does not intend for this Item 2.02 or Exhibit 99.1 or Exhibit 99.2 to be treated as “filed” under the Securities Exchange Act of 1934, as amended, or incorporated by reference into its filings under the Securities Act of 1933, as amended.</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9.01. Exhibits</w:t>
      </w:r>
    </w:p>
    <w:p>
      <w:pPr>
        <w:spacing w:after="0" w:line="333" w:lineRule="exact"/>
        <w:rPr>
          <w:sz w:val="24"/>
          <w:szCs w:val="24"/>
          <w:color w:val="auto"/>
        </w:rPr>
      </w:pPr>
    </w:p>
    <w:p>
      <w:pPr>
        <w:ind w:left="24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4"/>
          <w:szCs w:val="24"/>
          <w:color w:val="auto"/>
        </w:rPr>
      </w:pPr>
    </w:p>
    <w:p>
      <w:pPr>
        <w:ind w:left="200"/>
        <w:spacing w:after="0"/>
        <w:tabs>
          <w:tab w:leader="none" w:pos="1240" w:val="left"/>
        </w:tabs>
        <w:rPr>
          <w:sz w:val="20"/>
          <w:szCs w:val="20"/>
          <w:color w:val="auto"/>
        </w:rPr>
      </w:pPr>
      <w:r>
        <w:rPr>
          <w:rFonts w:ascii="Arial" w:cs="Arial" w:eastAsia="Arial" w:hAnsi="Arial"/>
          <w:sz w:val="18"/>
          <w:szCs w:val="18"/>
          <w:b w:val="1"/>
          <w:bCs w:val="1"/>
          <w:u w:val="single" w:color="auto"/>
          <w:color w:val="auto"/>
        </w:rPr>
        <w:t>Number</w:t>
      </w:r>
      <w:r>
        <w:rPr>
          <w:sz w:val="20"/>
          <w:szCs w:val="20"/>
          <w:color w:val="auto"/>
        </w:rPr>
        <w:tab/>
      </w:r>
      <w:r>
        <w:rPr>
          <w:rFonts w:ascii="Arial" w:cs="Arial" w:eastAsia="Arial" w:hAnsi="Arial"/>
          <w:sz w:val="18"/>
          <w:szCs w:val="18"/>
          <w:b w:val="1"/>
          <w:bCs w:val="1"/>
          <w:u w:val="single" w:color="auto"/>
          <w:color w:val="auto"/>
        </w:rPr>
        <w:t>Description</w:t>
      </w:r>
    </w:p>
    <w:p>
      <w:pPr>
        <w:spacing w:after="0" w:line="211" w:lineRule="exact"/>
        <w:rPr>
          <w:sz w:val="24"/>
          <w:szCs w:val="24"/>
          <w:color w:val="auto"/>
        </w:rPr>
      </w:pPr>
    </w:p>
    <w:p>
      <w:pPr>
        <w:ind w:left="360"/>
        <w:spacing w:after="0"/>
        <w:tabs>
          <w:tab w:leader="none" w:pos="12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Comcast Corporation press release dated January 28, 2014.</w:t>
      </w:r>
    </w:p>
    <w:p>
      <w:pPr>
        <w:spacing w:after="0" w:line="23" w:lineRule="exact"/>
        <w:rPr>
          <w:sz w:val="24"/>
          <w:szCs w:val="24"/>
          <w:color w:val="auto"/>
        </w:rPr>
      </w:pPr>
    </w:p>
    <w:p>
      <w:pPr>
        <w:ind w:left="360"/>
        <w:spacing w:after="0"/>
        <w:tabs>
          <w:tab w:leader="none" w:pos="124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6"/>
          <w:szCs w:val="16"/>
          <w:color w:val="auto"/>
        </w:rPr>
        <w:t>Explanation of Non-GAAP and Other Financial Measures.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53" w:right="239" w:bottom="4"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6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7680" w:type="dxa"/>
            <w:vAlign w:val="bottom"/>
            <w:gridSpan w:val="2"/>
          </w:tcPr>
          <w:p>
            <w:pPr>
              <w:ind w:left="1980"/>
              <w:spacing w:after="0"/>
              <w:rPr>
                <w:sz w:val="20"/>
                <w:szCs w:val="20"/>
                <w:color w:val="auto"/>
              </w:rPr>
            </w:pPr>
            <w:r>
              <w:rPr>
                <w:rFonts w:ascii="Arial" w:cs="Arial" w:eastAsia="Arial" w:hAnsi="Arial"/>
                <w:sz w:val="18"/>
                <w:szCs w:val="18"/>
                <w:b w:val="1"/>
                <w:bCs w:val="1"/>
                <w:color w:val="auto"/>
              </w:rPr>
              <w:t>COMCAST CORPORATION</w:t>
            </w:r>
          </w:p>
        </w:tc>
        <w:tc>
          <w:tcPr>
            <w:tcW w:w="40" w:type="dxa"/>
            <w:vAlign w:val="bottom"/>
          </w:tcPr>
          <w:p>
            <w:pPr>
              <w:spacing w:after="0"/>
              <w:rPr>
                <w:sz w:val="20"/>
                <w:szCs w:val="20"/>
                <w:color w:val="auto"/>
              </w:rPr>
            </w:pPr>
          </w:p>
        </w:tc>
      </w:tr>
      <w:tr>
        <w:trPr>
          <w:trHeight w:val="648"/>
        </w:trPr>
        <w:tc>
          <w:tcPr>
            <w:tcW w:w="3740" w:type="dxa"/>
            <w:vAlign w:val="bottom"/>
          </w:tcPr>
          <w:p>
            <w:pPr>
              <w:spacing w:after="0"/>
              <w:rPr>
                <w:sz w:val="20"/>
                <w:szCs w:val="20"/>
                <w:color w:val="auto"/>
              </w:rPr>
            </w:pPr>
            <w:r>
              <w:rPr>
                <w:rFonts w:ascii="Arial" w:cs="Arial" w:eastAsia="Arial" w:hAnsi="Arial"/>
                <w:sz w:val="18"/>
                <w:szCs w:val="18"/>
                <w:color w:val="auto"/>
              </w:rPr>
              <w:t>Date:  January 28, 2014</w:t>
            </w:r>
          </w:p>
        </w:tc>
        <w:tc>
          <w:tcPr>
            <w:tcW w:w="7680" w:type="dxa"/>
            <w:vAlign w:val="bottom"/>
            <w:gridSpan w:val="2"/>
          </w:tcPr>
          <w:p>
            <w:pPr>
              <w:ind w:left="1980"/>
              <w:spacing w:after="0"/>
              <w:rPr>
                <w:sz w:val="20"/>
                <w:szCs w:val="20"/>
                <w:color w:val="auto"/>
              </w:rPr>
            </w:pPr>
            <w:r>
              <w:rPr>
                <w:rFonts w:ascii="Arial" w:cs="Arial" w:eastAsia="Arial" w:hAnsi="Arial"/>
                <w:sz w:val="18"/>
                <w:szCs w:val="18"/>
                <w:color w:val="auto"/>
              </w:rPr>
              <w:t>By:  /s/ Lawrence J. Salva</w:t>
            </w:r>
          </w:p>
        </w:tc>
        <w:tc>
          <w:tcPr>
            <w:tcW w:w="40" w:type="dxa"/>
            <w:vAlign w:val="bottom"/>
          </w:tcPr>
          <w:p>
            <w:pPr>
              <w:spacing w:after="0"/>
              <w:rPr>
                <w:sz w:val="24"/>
                <w:szCs w:val="24"/>
                <w:color w:val="auto"/>
              </w:rPr>
            </w:pPr>
          </w:p>
        </w:tc>
      </w:tr>
      <w:tr>
        <w:trPr>
          <w:trHeight w:val="195"/>
        </w:trPr>
        <w:tc>
          <w:tcPr>
            <w:tcW w:w="37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5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Lawrence J. Salva</w:t>
            </w:r>
          </w:p>
        </w:tc>
        <w:tc>
          <w:tcPr>
            <w:tcW w:w="40" w:type="dxa"/>
            <w:vAlign w:val="bottom"/>
          </w:tcPr>
          <w:p>
            <w:pPr>
              <w:spacing w:after="0"/>
              <w:rPr>
                <w:sz w:val="16"/>
                <w:szCs w:val="16"/>
                <w:color w:val="auto"/>
              </w:rPr>
            </w:pPr>
          </w:p>
        </w:tc>
      </w:tr>
      <w:tr>
        <w:trPr>
          <w:trHeight w:val="216"/>
        </w:trPr>
        <w:tc>
          <w:tcPr>
            <w:tcW w:w="37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Senior Vice President, Chief Accounting Officer</w:t>
            </w:r>
          </w:p>
        </w:tc>
        <w:tc>
          <w:tcPr>
            <w:tcW w:w="40" w:type="dxa"/>
            <w:vAlign w:val="bottom"/>
          </w:tcPr>
          <w:p>
            <w:pPr>
              <w:spacing w:after="0"/>
              <w:rPr>
                <w:sz w:val="18"/>
                <w:szCs w:val="18"/>
                <w:color w:val="auto"/>
              </w:rPr>
            </w:pPr>
          </w:p>
        </w:tc>
      </w:tr>
      <w:tr>
        <w:trPr>
          <w:trHeight w:val="216"/>
        </w:trPr>
        <w:tc>
          <w:tcPr>
            <w:tcW w:w="37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and Controller</w:t>
            </w:r>
          </w:p>
        </w:tc>
        <w:tc>
          <w:tcPr>
            <w:tcW w:w="40" w:type="dxa"/>
            <w:vAlign w:val="bottom"/>
          </w:tcPr>
          <w:p>
            <w:pPr>
              <w:spacing w:after="0"/>
              <w:rPr>
                <w:sz w:val="18"/>
                <w:szCs w:val="18"/>
                <w:color w:val="auto"/>
              </w:rPr>
            </w:pPr>
          </w:p>
        </w:tc>
      </w:tr>
      <w:tr>
        <w:trPr>
          <w:trHeight w:val="230"/>
        </w:trPr>
        <w:tc>
          <w:tcPr>
            <w:tcW w:w="37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(Principal Accounting Officer)</w:t>
            </w:r>
          </w:p>
        </w:tc>
        <w:tc>
          <w:tcPr>
            <w:tcW w:w="40" w:type="dxa"/>
            <w:vAlign w:val="bottom"/>
          </w:tcPr>
          <w:p>
            <w:pPr>
              <w:spacing w:after="0"/>
              <w:rPr>
                <w:sz w:val="20"/>
                <w:szCs w:val="20"/>
                <w:color w:val="auto"/>
              </w:rPr>
            </w:pPr>
          </w:p>
        </w:tc>
      </w:tr>
      <w:tr>
        <w:trPr>
          <w:trHeight w:val="348"/>
        </w:trPr>
        <w:tc>
          <w:tcPr>
            <w:tcW w:w="3740" w:type="dxa"/>
            <w:vAlign w:val="bottom"/>
            <w:tcBorders>
              <w:bottom w:val="single" w:sz="8" w:color="010101"/>
            </w:tcBorders>
          </w:tcPr>
          <w:p>
            <w:pPr>
              <w:spacing w:after="0"/>
              <w:rPr>
                <w:sz w:val="24"/>
                <w:szCs w:val="24"/>
                <w:color w:val="auto"/>
              </w:rPr>
            </w:pPr>
          </w:p>
        </w:tc>
        <w:tc>
          <w:tcPr>
            <w:tcW w:w="2440" w:type="dxa"/>
            <w:vAlign w:val="bottom"/>
            <w:tcBorders>
              <w:bottom w:val="single" w:sz="8" w:color="010101"/>
            </w:tcBorders>
          </w:tcPr>
          <w:p>
            <w:pPr>
              <w:spacing w:after="0"/>
              <w:rPr>
                <w:sz w:val="24"/>
                <w:szCs w:val="24"/>
                <w:color w:val="auto"/>
              </w:rPr>
            </w:pPr>
          </w:p>
        </w:tc>
        <w:tc>
          <w:tcPr>
            <w:tcW w:w="52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580" w:right="19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157605" cy="4800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57605" cy="480060"/>
                    </a:xfrm>
                    <a:prstGeom prst="rect">
                      <a:avLst/>
                    </a:prstGeom>
                    <a:noFill/>
                  </pic:spPr>
                </pic:pic>
              </a:graphicData>
            </a:graphic>
          </wp:anchor>
        </w:drawing>
      </w:r>
    </w:p>
    <w:p>
      <w:pPr>
        <w:spacing w:after="0" w:line="353" w:lineRule="exact"/>
        <w:rPr>
          <w:sz w:val="20"/>
          <w:szCs w:val="20"/>
          <w:color w:val="auto"/>
        </w:rPr>
      </w:pPr>
    </w:p>
    <w:p>
      <w:pPr>
        <w:ind w:left="8840"/>
        <w:spacing w:after="0"/>
        <w:rPr>
          <w:sz w:val="20"/>
          <w:szCs w:val="20"/>
          <w:color w:val="auto"/>
        </w:rPr>
      </w:pPr>
      <w:r>
        <w:rPr>
          <w:rFonts w:ascii="Arial" w:cs="Arial" w:eastAsia="Arial" w:hAnsi="Arial"/>
          <w:sz w:val="18"/>
          <w:szCs w:val="18"/>
          <w:b w:val="1"/>
          <w:b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u w:val="single" w:color="auto"/>
          <w:color w:val="auto"/>
        </w:rPr>
        <w:t>COMCAST REPORTS 4th QUARTER AND YEAR END 2013 RESULTS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2013 Highlights:</w:t>
      </w:r>
    </w:p>
    <w:p>
      <w:pPr>
        <w:spacing w:after="0" w:line="220" w:lineRule="exact"/>
        <w:rPr>
          <w:sz w:val="20"/>
          <w:szCs w:val="20"/>
          <w:color w:val="auto"/>
        </w:rPr>
      </w:pPr>
    </w:p>
    <w:p>
      <w:pPr>
        <w:ind w:left="660" w:right="180" w:hanging="328"/>
        <w:spacing w:after="0" w:line="262" w:lineRule="auto"/>
        <w:tabs>
          <w:tab w:leader="none" w:pos="624"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Consolidated Revenue Increased 5.8% and Operating Cash Flow Increased 8.3%, Excluding the 2012 London Olympics, 2012 Super Bowl and 2013 Pension Termination Costs</w:t>
      </w:r>
    </w:p>
    <w:p>
      <w:pPr>
        <w:spacing w:after="0" w:line="128" w:lineRule="exact"/>
        <w:rPr>
          <w:rFonts w:ascii="Arial" w:cs="Arial" w:eastAsia="Arial" w:hAnsi="Arial"/>
          <w:sz w:val="18"/>
          <w:szCs w:val="18"/>
          <w:color w:val="auto"/>
        </w:rPr>
      </w:pP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Consolidated Revenue Increased 3.3%, Operating Cash Flow Increased 7.3% and Operating Income Increased 11.4%</w:t>
      </w:r>
    </w:p>
    <w:p>
      <w:pPr>
        <w:spacing w:after="0" w:line="171" w:lineRule="exact"/>
        <w:rPr>
          <w:rFonts w:ascii="Arial" w:cs="Arial" w:eastAsia="Arial" w:hAnsi="Arial"/>
          <w:sz w:val="18"/>
          <w:szCs w:val="18"/>
          <w:color w:val="auto"/>
        </w:rPr>
      </w:pP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Free Cash Flow Increased 6.9% to $8.5 Billion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w:t>
      </w:r>
      <w:r>
        <w:rPr>
          <w:rFonts w:ascii="Arial" w:cs="Arial" w:eastAsia="Arial" w:hAnsi="Arial"/>
          <w:sz w:val="8"/>
          <w:szCs w:val="8"/>
          <w:b w:val="1"/>
          <w:bCs w:val="1"/>
          <w:color w:val="auto"/>
        </w:rPr>
        <w:t>th</w:t>
      </w:r>
      <w:r>
        <w:rPr>
          <w:rFonts w:ascii="Arial" w:cs="Arial" w:eastAsia="Arial" w:hAnsi="Arial"/>
          <w:sz w:val="18"/>
          <w:szCs w:val="18"/>
          <w:b w:val="1"/>
          <w:bCs w:val="1"/>
          <w:color w:val="auto"/>
        </w:rPr>
        <w:t xml:space="preserve"> Quarter 2013 Highlights:</w:t>
      </w:r>
    </w:p>
    <w:p>
      <w:pPr>
        <w:spacing w:after="0" w:line="220" w:lineRule="exact"/>
        <w:rPr>
          <w:sz w:val="20"/>
          <w:szCs w:val="20"/>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Consolidated Revenue Increased 6.2%, Operating Cash Flow Increased 7.0% and Operating Income Increased 10.7%</w:t>
      </w:r>
    </w:p>
    <w:p>
      <w:pPr>
        <w:spacing w:after="0" w:line="171"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Earnings per Share Increased 28.6% to $0.72; Excluding Favorable Tax Adjustments, EPS Increased 26.9% to $0.66</w:t>
      </w:r>
    </w:p>
    <w:p>
      <w:pPr>
        <w:spacing w:after="0" w:line="171"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Cable Communications Revenue Increased 5.2% and Operating Cash Flow Increased 4.8%</w:t>
      </w:r>
    </w:p>
    <w:p>
      <w:pPr>
        <w:spacing w:after="0" w:line="171" w:lineRule="exact"/>
        <w:rPr>
          <w:rFonts w:ascii="Arial" w:cs="Arial" w:eastAsia="Arial" w:hAnsi="Arial"/>
          <w:sz w:val="18"/>
          <w:szCs w:val="18"/>
          <w:color w:val="auto"/>
        </w:rPr>
      </w:pPr>
    </w:p>
    <w:p>
      <w:pPr>
        <w:ind w:left="660" w:right="280" w:hanging="328"/>
        <w:spacing w:after="0" w:line="262" w:lineRule="auto"/>
        <w:tabs>
          <w:tab w:leader="none" w:pos="624" w:val="left"/>
        </w:tabs>
        <w:numPr>
          <w:ilvl w:val="0"/>
          <w:numId w:val="3"/>
        </w:numPr>
        <w:rPr>
          <w:rFonts w:ascii="Arial" w:cs="Arial" w:eastAsia="Arial" w:hAnsi="Arial"/>
          <w:sz w:val="18"/>
          <w:szCs w:val="18"/>
          <w:color w:val="auto"/>
        </w:rPr>
      </w:pPr>
      <w:r>
        <w:rPr>
          <w:rFonts w:ascii="Arial" w:cs="Arial" w:eastAsia="Arial" w:hAnsi="Arial"/>
          <w:sz w:val="18"/>
          <w:szCs w:val="18"/>
          <w:color w:val="auto"/>
        </w:rPr>
        <w:t>Cable Communications Combined Video, High-Speed Internet and Voice Customers Increased by 649,000, a 29.0% Increase in Net Additions Compared to Fourth Quarter 2012</w:t>
      </w:r>
    </w:p>
    <w:p>
      <w:pPr>
        <w:spacing w:after="0" w:line="128"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Video Customers Increased by 43,000</w:t>
      </w:r>
    </w:p>
    <w:p>
      <w:pPr>
        <w:spacing w:after="0" w:line="171"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NBCUniversal Revenue Increased 7.5% and Operating Cash Flow Increased 14.3%</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and Share Repurchase:</w:t>
      </w:r>
    </w:p>
    <w:p>
      <w:pPr>
        <w:spacing w:after="0" w:line="220" w:lineRule="exact"/>
        <w:rPr>
          <w:sz w:val="20"/>
          <w:szCs w:val="20"/>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Dividends and Share Repurchases Totaled $4.0 Billion in 2013</w:t>
      </w:r>
    </w:p>
    <w:p>
      <w:pPr>
        <w:spacing w:after="0" w:line="171" w:lineRule="exact"/>
        <w:rPr>
          <w:rFonts w:ascii="Arial" w:cs="Arial" w:eastAsia="Arial" w:hAnsi="Arial"/>
          <w:sz w:val="18"/>
          <w:szCs w:val="18"/>
          <w:color w:val="auto"/>
        </w:rPr>
      </w:pPr>
    </w:p>
    <w:p>
      <w:pPr>
        <w:ind w:left="660" w:right="300" w:hanging="328"/>
        <w:spacing w:after="0" w:line="262" w:lineRule="auto"/>
        <w:tabs>
          <w:tab w:leader="none" w:pos="624" w:val="left"/>
        </w:tabs>
        <w:numPr>
          <w:ilvl w:val="0"/>
          <w:numId w:val="4"/>
        </w:numPr>
        <w:rPr>
          <w:rFonts w:ascii="Arial" w:cs="Arial" w:eastAsia="Arial" w:hAnsi="Arial"/>
          <w:sz w:val="18"/>
          <w:szCs w:val="18"/>
          <w:color w:val="auto"/>
        </w:rPr>
      </w:pPr>
      <w:r>
        <w:rPr>
          <w:rFonts w:ascii="Arial" w:cs="Arial" w:eastAsia="Arial" w:hAnsi="Arial"/>
          <w:sz w:val="18"/>
          <w:szCs w:val="18"/>
          <w:color w:val="auto"/>
        </w:rPr>
        <w:t>Dividend to Increase 15.4% to $0.90 per Share on an Annualized Basis; Share Repurchase Authorization to Increase to $7.5 Billion, with $3.0 Billion to be Repurchased in 2014</w:t>
      </w:r>
    </w:p>
    <w:p>
      <w:pPr>
        <w:spacing w:after="0" w:line="16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PHILADELPHIA – January 28, 2014… Comcast Corporation (NASDAQ: CMCSA, CMCSK) today reported results for the quarter and year ended December 31, 2013.</w:t>
      </w:r>
    </w:p>
    <w:p>
      <w:pPr>
        <w:spacing w:after="0" w:line="18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Brian L. Roberts, Chairman and Chief Executive Officer of Comcast Corporation, said, “I am very pleased to report strong results for the 4th quarter and the full year 2013. Our optimism and confidence in the future is demonstrated by our decision to increase our dividend 15% and our plan to repurchase $3 billion of our stock during 2014. Our results highlight the momentum we have achieved and how we are benefitting from scale, our investment in innovative products, and from our focus on operational excellence. Cable’s operating metrics improved across video, high-speed Internet and voice for both the 4th quarter and full year, with a return to video subscriber growth in the 4th quarter. NBCUniversal had an outstanding year, with growth in Broadcast, Cable, Film and Parks. As we begin 2014, we remain excited about our businesses and intend to continue to prudently invest to enhance our strategic differentiation and to drive growth.”</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Financial Results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3640" w:type="dxa"/>
            <w:vAlign w:val="bottom"/>
            <w:tcBorders>
              <w:top w:val="single" w:sz="8" w:color="004EA8"/>
            </w:tcBorders>
          </w:tcPr>
          <w:p>
            <w:pPr>
              <w:spacing w:after="0"/>
              <w:rPr>
                <w:sz w:val="22"/>
                <w:szCs w:val="22"/>
                <w:color w:val="auto"/>
              </w:rPr>
            </w:pPr>
          </w:p>
        </w:tc>
        <w:tc>
          <w:tcPr>
            <w:tcW w:w="3100" w:type="dxa"/>
            <w:vAlign w:val="bottom"/>
            <w:tcBorders>
              <w:top w:val="single" w:sz="8" w:color="004EA8"/>
            </w:tcBorders>
            <w:gridSpan w:val="2"/>
          </w:tcPr>
          <w:p>
            <w:pPr>
              <w:jc w:val="right"/>
              <w:ind w:right="708"/>
              <w:spacing w:after="0"/>
              <w:rPr>
                <w:sz w:val="20"/>
                <w:szCs w:val="20"/>
                <w:color w:val="auto"/>
              </w:rPr>
            </w:pPr>
            <w:r>
              <w:rPr>
                <w:rFonts w:ascii="Arial" w:cs="Arial" w:eastAsia="Arial" w:hAnsi="Arial"/>
                <w:sz w:val="14"/>
                <w:szCs w:val="14"/>
                <w:color w:val="auto"/>
              </w:rPr>
              <w:t>4th Quarter</w:t>
            </w:r>
          </w:p>
        </w:tc>
        <w:tc>
          <w:tcPr>
            <w:tcW w:w="1400" w:type="dxa"/>
            <w:vAlign w:val="bottom"/>
            <w:tcBorders>
              <w:top w:val="single" w:sz="8" w:color="004EA8"/>
              <w:right w:val="single" w:sz="8" w:color="auto"/>
            </w:tcBorders>
          </w:tcPr>
          <w:p>
            <w:pPr>
              <w:spacing w:after="0"/>
              <w:rPr>
                <w:sz w:val="22"/>
                <w:szCs w:val="22"/>
                <w:color w:val="auto"/>
              </w:rPr>
            </w:pPr>
          </w:p>
        </w:tc>
        <w:tc>
          <w:tcPr>
            <w:tcW w:w="1620" w:type="dxa"/>
            <w:vAlign w:val="bottom"/>
            <w:tcBorders>
              <w:top w:val="single" w:sz="8" w:color="004EA8"/>
            </w:tcBorders>
          </w:tcPr>
          <w:p>
            <w:pPr>
              <w:jc w:val="right"/>
              <w:spacing w:after="0"/>
              <w:rPr>
                <w:sz w:val="20"/>
                <w:szCs w:val="20"/>
                <w:color w:val="auto"/>
              </w:rPr>
            </w:pPr>
            <w:r>
              <w:rPr>
                <w:rFonts w:ascii="Arial" w:cs="Arial" w:eastAsia="Arial" w:hAnsi="Arial"/>
                <w:sz w:val="14"/>
                <w:szCs w:val="14"/>
                <w:color w:val="auto"/>
              </w:rPr>
              <w:t>Full Year</w:t>
            </w:r>
          </w:p>
        </w:tc>
        <w:tc>
          <w:tcPr>
            <w:tcW w:w="840" w:type="dxa"/>
            <w:vAlign w:val="bottom"/>
            <w:tcBorders>
              <w:top w:val="single" w:sz="8" w:color="004EA8"/>
            </w:tcBorders>
          </w:tcPr>
          <w:p>
            <w:pPr>
              <w:spacing w:after="0"/>
              <w:rPr>
                <w:sz w:val="22"/>
                <w:szCs w:val="22"/>
                <w:color w:val="auto"/>
              </w:rPr>
            </w:pPr>
          </w:p>
        </w:tc>
        <w:tc>
          <w:tcPr>
            <w:tcW w:w="820" w:type="dxa"/>
            <w:vAlign w:val="bottom"/>
            <w:tcBorders>
              <w:top w:val="single" w:sz="8" w:color="004EA8"/>
            </w:tcBorders>
          </w:tcPr>
          <w:p>
            <w:pPr>
              <w:spacing w:after="0"/>
              <w:rPr>
                <w:sz w:val="22"/>
                <w:szCs w:val="22"/>
                <w:color w:val="auto"/>
              </w:rPr>
            </w:pPr>
          </w:p>
        </w:tc>
      </w:tr>
      <w:tr>
        <w:trPr>
          <w:trHeight w:val="208"/>
        </w:trPr>
        <w:tc>
          <w:tcPr>
            <w:tcW w:w="3640" w:type="dxa"/>
            <w:vAlign w:val="bottom"/>
            <w:tcBorders>
              <w:bottom w:val="single" w:sz="8" w:color="auto"/>
            </w:tcBorders>
          </w:tcPr>
          <w:p>
            <w:pPr>
              <w:ind w:left="40"/>
              <w:spacing w:after="0"/>
              <w:rPr>
                <w:sz w:val="20"/>
                <w:szCs w:val="20"/>
                <w:color w:val="auto"/>
              </w:rPr>
            </w:pPr>
            <w:r>
              <w:rPr>
                <w:rFonts w:ascii="Arial" w:cs="Arial" w:eastAsia="Arial" w:hAnsi="Arial"/>
                <w:sz w:val="11"/>
                <w:szCs w:val="11"/>
                <w:i w:val="1"/>
                <w:iCs w:val="1"/>
                <w:color w:val="auto"/>
              </w:rPr>
              <w:t>($ in millions)</w:t>
            </w:r>
          </w:p>
        </w:tc>
        <w:tc>
          <w:tcPr>
            <w:tcW w:w="20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2012</w:t>
            </w:r>
          </w:p>
        </w:tc>
        <w:tc>
          <w:tcPr>
            <w:tcW w:w="11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2013</w:t>
            </w:r>
          </w:p>
        </w:tc>
        <w:tc>
          <w:tcPr>
            <w:tcW w:w="1400" w:type="dxa"/>
            <w:vAlign w:val="bottom"/>
            <w:tcBorders>
              <w:bottom w:val="single" w:sz="8" w:color="auto"/>
              <w:right w:val="single" w:sz="8" w:color="auto"/>
            </w:tcBorders>
          </w:tcPr>
          <w:p>
            <w:pPr>
              <w:jc w:val="right"/>
              <w:ind w:right="508"/>
              <w:spacing w:after="0"/>
              <w:rPr>
                <w:sz w:val="20"/>
                <w:szCs w:val="20"/>
                <w:color w:val="auto"/>
              </w:rPr>
            </w:pPr>
            <w:r>
              <w:rPr>
                <w:rFonts w:ascii="Arial" w:cs="Arial" w:eastAsia="Arial" w:hAnsi="Arial"/>
                <w:sz w:val="14"/>
                <w:szCs w:val="14"/>
                <w:color w:val="auto"/>
              </w:rPr>
              <w:t>Growth</w:t>
            </w:r>
          </w:p>
        </w:tc>
        <w:tc>
          <w:tcPr>
            <w:tcW w:w="16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2012</w:t>
            </w:r>
          </w:p>
        </w:tc>
        <w:tc>
          <w:tcPr>
            <w:tcW w:w="8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2013</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Growth</w:t>
            </w:r>
          </w:p>
        </w:tc>
      </w:tr>
      <w:tr>
        <w:trPr>
          <w:trHeight w:val="231"/>
        </w:trPr>
        <w:tc>
          <w:tcPr>
            <w:tcW w:w="3640" w:type="dxa"/>
            <w:vAlign w:val="bottom"/>
          </w:tcPr>
          <w:p>
            <w:pPr>
              <w:ind w:left="40"/>
              <w:spacing w:after="0"/>
              <w:rPr>
                <w:sz w:val="20"/>
                <w:szCs w:val="20"/>
                <w:color w:val="auto"/>
              </w:rPr>
            </w:pPr>
            <w:r>
              <w:rPr>
                <w:rFonts w:ascii="Arial" w:cs="Arial" w:eastAsia="Arial" w:hAnsi="Arial"/>
                <w:sz w:val="14"/>
                <w:szCs w:val="14"/>
                <w:color w:val="auto"/>
              </w:rPr>
              <w:t>Revenue</w:t>
            </w:r>
          </w:p>
        </w:tc>
        <w:tc>
          <w:tcPr>
            <w:tcW w:w="2000" w:type="dxa"/>
            <w:vAlign w:val="bottom"/>
          </w:tcPr>
          <w:p>
            <w:pPr>
              <w:jc w:val="right"/>
              <w:ind w:right="188"/>
              <w:spacing w:after="0"/>
              <w:rPr>
                <w:sz w:val="20"/>
                <w:szCs w:val="20"/>
                <w:color w:val="auto"/>
              </w:rPr>
            </w:pPr>
            <w:r>
              <w:rPr>
                <w:rFonts w:ascii="Arial" w:cs="Arial" w:eastAsia="Arial" w:hAnsi="Arial"/>
                <w:sz w:val="14"/>
                <w:szCs w:val="14"/>
                <w:color w:val="auto"/>
              </w:rPr>
              <w:t>$15,937</w:t>
            </w:r>
          </w:p>
        </w:tc>
        <w:tc>
          <w:tcPr>
            <w:tcW w:w="1100" w:type="dxa"/>
            <w:vAlign w:val="bottom"/>
          </w:tcPr>
          <w:p>
            <w:pPr>
              <w:jc w:val="right"/>
              <w:ind w:right="248"/>
              <w:spacing w:after="0"/>
              <w:rPr>
                <w:sz w:val="20"/>
                <w:szCs w:val="20"/>
                <w:color w:val="auto"/>
              </w:rPr>
            </w:pPr>
            <w:r>
              <w:rPr>
                <w:rFonts w:ascii="Arial" w:cs="Arial" w:eastAsia="Arial" w:hAnsi="Arial"/>
                <w:sz w:val="14"/>
                <w:szCs w:val="14"/>
                <w:color w:val="auto"/>
              </w:rPr>
              <w:t>$16,926</w:t>
            </w:r>
          </w:p>
        </w:tc>
        <w:tc>
          <w:tcPr>
            <w:tcW w:w="1400" w:type="dxa"/>
            <w:vAlign w:val="bottom"/>
            <w:tcBorders>
              <w:right w:val="single" w:sz="8" w:color="auto"/>
            </w:tcBorders>
          </w:tcPr>
          <w:p>
            <w:pPr>
              <w:jc w:val="right"/>
              <w:ind w:right="508"/>
              <w:spacing w:after="0"/>
              <w:rPr>
                <w:sz w:val="20"/>
                <w:szCs w:val="20"/>
                <w:color w:val="auto"/>
              </w:rPr>
            </w:pPr>
            <w:r>
              <w:rPr>
                <w:rFonts w:ascii="Arial" w:cs="Arial" w:eastAsia="Arial" w:hAnsi="Arial"/>
                <w:sz w:val="14"/>
                <w:szCs w:val="14"/>
                <w:color w:val="auto"/>
              </w:rPr>
              <w:t>6.2%</w:t>
            </w:r>
          </w:p>
        </w:tc>
        <w:tc>
          <w:tcPr>
            <w:tcW w:w="1620" w:type="dxa"/>
            <w:vAlign w:val="bottom"/>
          </w:tcPr>
          <w:p>
            <w:pPr>
              <w:jc w:val="right"/>
              <w:ind w:right="428"/>
              <w:spacing w:after="0"/>
              <w:rPr>
                <w:sz w:val="20"/>
                <w:szCs w:val="20"/>
                <w:color w:val="auto"/>
              </w:rPr>
            </w:pPr>
            <w:r>
              <w:rPr>
                <w:rFonts w:ascii="Arial" w:cs="Arial" w:eastAsia="Arial" w:hAnsi="Arial"/>
                <w:sz w:val="14"/>
                <w:szCs w:val="14"/>
                <w:color w:val="auto"/>
              </w:rPr>
              <w:t>$62,570</w:t>
            </w:r>
          </w:p>
        </w:tc>
        <w:tc>
          <w:tcPr>
            <w:tcW w:w="840" w:type="dxa"/>
            <w:vAlign w:val="bottom"/>
          </w:tcPr>
          <w:p>
            <w:pPr>
              <w:jc w:val="right"/>
              <w:ind w:right="248"/>
              <w:spacing w:after="0"/>
              <w:rPr>
                <w:sz w:val="20"/>
                <w:szCs w:val="20"/>
                <w:color w:val="auto"/>
              </w:rPr>
            </w:pPr>
            <w:r>
              <w:rPr>
                <w:rFonts w:ascii="Arial" w:cs="Arial" w:eastAsia="Arial" w:hAnsi="Arial"/>
                <w:sz w:val="14"/>
                <w:szCs w:val="14"/>
                <w:color w:val="auto"/>
                <w:w w:val="98"/>
              </w:rPr>
              <w:t>$64,657</w:t>
            </w:r>
          </w:p>
        </w:tc>
        <w:tc>
          <w:tcPr>
            <w:tcW w:w="82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188"/>
        </w:trPr>
        <w:tc>
          <w:tcPr>
            <w:tcW w:w="364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Excluding Super Bowl &amp; Olympics</w:t>
            </w:r>
          </w:p>
        </w:tc>
        <w:tc>
          <w:tcPr>
            <w:tcW w:w="20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400" w:type="dxa"/>
            <w:vAlign w:val="bottom"/>
            <w:tcBorders>
              <w:bottom w:val="single" w:sz="8" w:color="auto"/>
              <w:right w:val="single" w:sz="8" w:color="auto"/>
            </w:tcBorders>
          </w:tcPr>
          <w:p>
            <w:pPr>
              <w:spacing w:after="0"/>
              <w:rPr>
                <w:sz w:val="16"/>
                <w:szCs w:val="16"/>
                <w:color w:val="auto"/>
              </w:rPr>
            </w:pPr>
          </w:p>
        </w:tc>
        <w:tc>
          <w:tcPr>
            <w:tcW w:w="16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i w:val="1"/>
                <w:iCs w:val="1"/>
                <w:color w:val="auto"/>
              </w:rPr>
              <w:t>$61,123</w:t>
            </w:r>
          </w:p>
        </w:tc>
        <w:tc>
          <w:tcPr>
            <w:tcW w:w="8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i w:val="1"/>
                <w:iCs w:val="1"/>
                <w:color w:val="auto"/>
                <w:w w:val="98"/>
              </w:rPr>
              <w:t>$64,657</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i w:val="1"/>
                <w:iCs w:val="1"/>
                <w:color w:val="auto"/>
              </w:rPr>
              <w:t>5.8%</w:t>
            </w:r>
          </w:p>
        </w:tc>
      </w:tr>
      <w:tr>
        <w:trPr>
          <w:trHeight w:val="179"/>
        </w:trPr>
        <w:tc>
          <w:tcPr>
            <w:tcW w:w="3640" w:type="dxa"/>
            <w:vAlign w:val="bottom"/>
          </w:tcPr>
          <w:p>
            <w:pPr>
              <w:ind w:left="40"/>
              <w:spacing w:after="0"/>
              <w:rPr>
                <w:sz w:val="20"/>
                <w:szCs w:val="20"/>
                <w:color w:val="auto"/>
              </w:rPr>
            </w:pPr>
            <w:r>
              <w:rPr>
                <w:rFonts w:ascii="Arial" w:cs="Arial" w:eastAsia="Arial" w:hAnsi="Arial"/>
                <w:sz w:val="14"/>
                <w:szCs w:val="14"/>
                <w:color w:val="auto"/>
              </w:rPr>
              <w:t>Operating Cash Flow (OCF)</w:t>
            </w:r>
            <w:r>
              <w:rPr>
                <w:rFonts w:ascii="Arial" w:cs="Arial" w:eastAsia="Arial" w:hAnsi="Arial"/>
                <w:sz w:val="14"/>
                <w:szCs w:val="14"/>
                <w:color w:val="auto"/>
                <w:vertAlign w:val="superscript"/>
              </w:rPr>
              <w:t>1</w:t>
            </w:r>
          </w:p>
        </w:tc>
        <w:tc>
          <w:tcPr>
            <w:tcW w:w="2000" w:type="dxa"/>
            <w:vAlign w:val="bottom"/>
          </w:tcPr>
          <w:p>
            <w:pPr>
              <w:jc w:val="right"/>
              <w:ind w:right="188"/>
              <w:spacing w:after="0"/>
              <w:rPr>
                <w:sz w:val="20"/>
                <w:szCs w:val="20"/>
                <w:color w:val="auto"/>
              </w:rPr>
            </w:pPr>
            <w:r>
              <w:rPr>
                <w:rFonts w:ascii="Arial" w:cs="Arial" w:eastAsia="Arial" w:hAnsi="Arial"/>
                <w:sz w:val="14"/>
                <w:szCs w:val="14"/>
                <w:color w:val="auto"/>
              </w:rPr>
              <w:t>$5,277</w:t>
            </w:r>
          </w:p>
        </w:tc>
        <w:tc>
          <w:tcPr>
            <w:tcW w:w="1100" w:type="dxa"/>
            <w:vAlign w:val="bottom"/>
          </w:tcPr>
          <w:p>
            <w:pPr>
              <w:jc w:val="right"/>
              <w:ind w:right="248"/>
              <w:spacing w:after="0"/>
              <w:rPr>
                <w:sz w:val="20"/>
                <w:szCs w:val="20"/>
                <w:color w:val="auto"/>
              </w:rPr>
            </w:pPr>
            <w:r>
              <w:rPr>
                <w:rFonts w:ascii="Arial" w:cs="Arial" w:eastAsia="Arial" w:hAnsi="Arial"/>
                <w:sz w:val="14"/>
                <w:szCs w:val="14"/>
                <w:color w:val="auto"/>
              </w:rPr>
              <w:t>$5,645</w:t>
            </w:r>
          </w:p>
        </w:tc>
        <w:tc>
          <w:tcPr>
            <w:tcW w:w="1400" w:type="dxa"/>
            <w:vAlign w:val="bottom"/>
            <w:tcBorders>
              <w:right w:val="single" w:sz="8" w:color="auto"/>
            </w:tcBorders>
          </w:tcPr>
          <w:p>
            <w:pPr>
              <w:jc w:val="right"/>
              <w:ind w:right="508"/>
              <w:spacing w:after="0"/>
              <w:rPr>
                <w:sz w:val="20"/>
                <w:szCs w:val="20"/>
                <w:color w:val="auto"/>
              </w:rPr>
            </w:pPr>
            <w:r>
              <w:rPr>
                <w:rFonts w:ascii="Arial" w:cs="Arial" w:eastAsia="Arial" w:hAnsi="Arial"/>
                <w:sz w:val="14"/>
                <w:szCs w:val="14"/>
                <w:color w:val="auto"/>
              </w:rPr>
              <w:t>7.0%</w:t>
            </w:r>
          </w:p>
        </w:tc>
        <w:tc>
          <w:tcPr>
            <w:tcW w:w="1620" w:type="dxa"/>
            <w:vAlign w:val="bottom"/>
          </w:tcPr>
          <w:p>
            <w:pPr>
              <w:jc w:val="right"/>
              <w:ind w:right="428"/>
              <w:spacing w:after="0"/>
              <w:rPr>
                <w:sz w:val="20"/>
                <w:szCs w:val="20"/>
                <w:color w:val="auto"/>
              </w:rPr>
            </w:pPr>
            <w:r>
              <w:rPr>
                <w:rFonts w:ascii="Arial" w:cs="Arial" w:eastAsia="Arial" w:hAnsi="Arial"/>
                <w:sz w:val="14"/>
                <w:szCs w:val="14"/>
                <w:color w:val="auto"/>
              </w:rPr>
              <w:t>$19,977</w:t>
            </w:r>
          </w:p>
        </w:tc>
        <w:tc>
          <w:tcPr>
            <w:tcW w:w="840" w:type="dxa"/>
            <w:vAlign w:val="bottom"/>
          </w:tcPr>
          <w:p>
            <w:pPr>
              <w:jc w:val="right"/>
              <w:ind w:right="248"/>
              <w:spacing w:after="0"/>
              <w:rPr>
                <w:sz w:val="20"/>
                <w:szCs w:val="20"/>
                <w:color w:val="auto"/>
              </w:rPr>
            </w:pPr>
            <w:r>
              <w:rPr>
                <w:rFonts w:ascii="Arial" w:cs="Arial" w:eastAsia="Arial" w:hAnsi="Arial"/>
                <w:sz w:val="14"/>
                <w:szCs w:val="14"/>
                <w:color w:val="auto"/>
                <w:w w:val="98"/>
              </w:rPr>
              <w:t>$21,434</w:t>
            </w:r>
          </w:p>
        </w:tc>
        <w:tc>
          <w:tcPr>
            <w:tcW w:w="820" w:type="dxa"/>
            <w:vAlign w:val="bottom"/>
          </w:tcPr>
          <w:p>
            <w:pPr>
              <w:jc w:val="right"/>
              <w:spacing w:after="0"/>
              <w:rPr>
                <w:sz w:val="20"/>
                <w:szCs w:val="20"/>
                <w:color w:val="auto"/>
              </w:rPr>
            </w:pPr>
            <w:r>
              <w:rPr>
                <w:rFonts w:ascii="Arial" w:cs="Arial" w:eastAsia="Arial" w:hAnsi="Arial"/>
                <w:sz w:val="14"/>
                <w:szCs w:val="14"/>
                <w:color w:val="auto"/>
              </w:rPr>
              <w:t>7.3%</w:t>
            </w:r>
          </w:p>
        </w:tc>
      </w:tr>
      <w:tr>
        <w:trPr>
          <w:trHeight w:val="179"/>
        </w:trPr>
        <w:tc>
          <w:tcPr>
            <w:tcW w:w="364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Excluding Olympics &amp; Pension Costs</w:t>
            </w:r>
          </w:p>
        </w:tc>
        <w:tc>
          <w:tcPr>
            <w:tcW w:w="20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400" w:type="dxa"/>
            <w:vAlign w:val="bottom"/>
            <w:tcBorders>
              <w:bottom w:val="single" w:sz="8" w:color="auto"/>
              <w:right w:val="single" w:sz="8" w:color="auto"/>
            </w:tcBorders>
          </w:tcPr>
          <w:p>
            <w:pPr>
              <w:spacing w:after="0"/>
              <w:rPr>
                <w:sz w:val="15"/>
                <w:szCs w:val="15"/>
                <w:color w:val="auto"/>
              </w:rPr>
            </w:pPr>
          </w:p>
        </w:tc>
        <w:tc>
          <w:tcPr>
            <w:tcW w:w="16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i w:val="1"/>
                <w:iCs w:val="1"/>
                <w:color w:val="auto"/>
              </w:rPr>
              <w:t>$19,857</w:t>
            </w:r>
          </w:p>
        </w:tc>
        <w:tc>
          <w:tcPr>
            <w:tcW w:w="8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i w:val="1"/>
                <w:iCs w:val="1"/>
                <w:color w:val="auto"/>
                <w:w w:val="98"/>
              </w:rPr>
              <w:t>$21,508</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i w:val="1"/>
                <w:iCs w:val="1"/>
                <w:color w:val="auto"/>
              </w:rPr>
              <w:t>8.3%</w:t>
            </w:r>
          </w:p>
        </w:tc>
      </w:tr>
      <w:tr>
        <w:trPr>
          <w:trHeight w:val="156"/>
        </w:trPr>
        <w:tc>
          <w:tcPr>
            <w:tcW w:w="364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color w:val="auto"/>
              </w:rPr>
              <w:t>Operating Income</w:t>
            </w:r>
          </w:p>
        </w:tc>
        <w:tc>
          <w:tcPr>
            <w:tcW w:w="2000" w:type="dxa"/>
            <w:vAlign w:val="bottom"/>
            <w:tcBorders>
              <w:bottom w:val="single" w:sz="8" w:color="auto"/>
            </w:tcBorders>
          </w:tcPr>
          <w:p>
            <w:pPr>
              <w:jc w:val="right"/>
              <w:ind w:right="188"/>
              <w:spacing w:after="0" w:line="155" w:lineRule="exact"/>
              <w:rPr>
                <w:sz w:val="20"/>
                <w:szCs w:val="20"/>
                <w:color w:val="auto"/>
              </w:rPr>
            </w:pPr>
            <w:r>
              <w:rPr>
                <w:rFonts w:ascii="Arial" w:cs="Arial" w:eastAsia="Arial" w:hAnsi="Arial"/>
                <w:sz w:val="14"/>
                <w:szCs w:val="14"/>
                <w:color w:val="auto"/>
              </w:rPr>
              <w:t>$3,294</w:t>
            </w:r>
          </w:p>
        </w:tc>
        <w:tc>
          <w:tcPr>
            <w:tcW w:w="1100" w:type="dxa"/>
            <w:vAlign w:val="bottom"/>
            <w:tcBorders>
              <w:bottom w:val="single" w:sz="8" w:color="auto"/>
            </w:tcBorders>
          </w:tcPr>
          <w:p>
            <w:pPr>
              <w:jc w:val="right"/>
              <w:ind w:right="248"/>
              <w:spacing w:after="0" w:line="155" w:lineRule="exact"/>
              <w:rPr>
                <w:sz w:val="20"/>
                <w:szCs w:val="20"/>
                <w:color w:val="auto"/>
              </w:rPr>
            </w:pPr>
            <w:r>
              <w:rPr>
                <w:rFonts w:ascii="Arial" w:cs="Arial" w:eastAsia="Arial" w:hAnsi="Arial"/>
                <w:sz w:val="14"/>
                <w:szCs w:val="14"/>
                <w:color w:val="auto"/>
              </w:rPr>
              <w:t>$3,647</w:t>
            </w:r>
          </w:p>
        </w:tc>
        <w:tc>
          <w:tcPr>
            <w:tcW w:w="1400" w:type="dxa"/>
            <w:vAlign w:val="bottom"/>
            <w:tcBorders>
              <w:bottom w:val="single" w:sz="8" w:color="auto"/>
              <w:right w:val="single" w:sz="8" w:color="auto"/>
            </w:tcBorders>
          </w:tcPr>
          <w:p>
            <w:pPr>
              <w:jc w:val="right"/>
              <w:ind w:right="508"/>
              <w:spacing w:after="0" w:line="155" w:lineRule="exact"/>
              <w:rPr>
                <w:sz w:val="20"/>
                <w:szCs w:val="20"/>
                <w:color w:val="auto"/>
              </w:rPr>
            </w:pPr>
            <w:r>
              <w:rPr>
                <w:rFonts w:ascii="Arial" w:cs="Arial" w:eastAsia="Arial" w:hAnsi="Arial"/>
                <w:sz w:val="14"/>
                <w:szCs w:val="14"/>
                <w:color w:val="auto"/>
              </w:rPr>
              <w:t>10.7%</w:t>
            </w:r>
          </w:p>
        </w:tc>
        <w:tc>
          <w:tcPr>
            <w:tcW w:w="1620" w:type="dxa"/>
            <w:vAlign w:val="bottom"/>
            <w:tcBorders>
              <w:bottom w:val="single" w:sz="8" w:color="auto"/>
            </w:tcBorders>
          </w:tcPr>
          <w:p>
            <w:pPr>
              <w:jc w:val="right"/>
              <w:ind w:right="428"/>
              <w:spacing w:after="0" w:line="155" w:lineRule="exact"/>
              <w:rPr>
                <w:sz w:val="20"/>
                <w:szCs w:val="20"/>
                <w:color w:val="auto"/>
              </w:rPr>
            </w:pPr>
            <w:r>
              <w:rPr>
                <w:rFonts w:ascii="Arial" w:cs="Arial" w:eastAsia="Arial" w:hAnsi="Arial"/>
                <w:sz w:val="14"/>
                <w:szCs w:val="14"/>
                <w:color w:val="auto"/>
              </w:rPr>
              <w:t>$12,179</w:t>
            </w:r>
          </w:p>
        </w:tc>
        <w:tc>
          <w:tcPr>
            <w:tcW w:w="840" w:type="dxa"/>
            <w:vAlign w:val="bottom"/>
            <w:tcBorders>
              <w:bottom w:val="single" w:sz="8" w:color="auto"/>
            </w:tcBorders>
          </w:tcPr>
          <w:p>
            <w:pPr>
              <w:jc w:val="right"/>
              <w:ind w:right="248"/>
              <w:spacing w:after="0" w:line="155" w:lineRule="exact"/>
              <w:rPr>
                <w:sz w:val="20"/>
                <w:szCs w:val="20"/>
                <w:color w:val="auto"/>
              </w:rPr>
            </w:pPr>
            <w:r>
              <w:rPr>
                <w:rFonts w:ascii="Arial" w:cs="Arial" w:eastAsia="Arial" w:hAnsi="Arial"/>
                <w:sz w:val="14"/>
                <w:szCs w:val="14"/>
                <w:color w:val="auto"/>
                <w:w w:val="98"/>
              </w:rPr>
              <w:t>$13,563</w:t>
            </w: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11.4%</w:t>
            </w:r>
          </w:p>
        </w:tc>
      </w:tr>
      <w:tr>
        <w:trPr>
          <w:trHeight w:val="200"/>
        </w:trPr>
        <w:tc>
          <w:tcPr>
            <w:tcW w:w="3640" w:type="dxa"/>
            <w:vAlign w:val="bottom"/>
          </w:tcPr>
          <w:p>
            <w:pPr>
              <w:ind w:left="40"/>
              <w:spacing w:after="0"/>
              <w:rPr>
                <w:sz w:val="20"/>
                <w:szCs w:val="20"/>
                <w:color w:val="auto"/>
              </w:rPr>
            </w:pPr>
            <w:r>
              <w:rPr>
                <w:rFonts w:ascii="Arial" w:cs="Arial" w:eastAsia="Arial" w:hAnsi="Arial"/>
                <w:sz w:val="14"/>
                <w:szCs w:val="14"/>
                <w:color w:val="auto"/>
              </w:rPr>
              <w:t>Earnings per Share</w:t>
            </w:r>
            <w:r>
              <w:rPr>
                <w:rFonts w:ascii="Arial" w:cs="Arial" w:eastAsia="Arial" w:hAnsi="Arial"/>
                <w:sz w:val="14"/>
                <w:szCs w:val="14"/>
                <w:color w:val="auto"/>
                <w:vertAlign w:val="superscript"/>
              </w:rPr>
              <w:t>2</w:t>
            </w:r>
          </w:p>
        </w:tc>
        <w:tc>
          <w:tcPr>
            <w:tcW w:w="2000" w:type="dxa"/>
            <w:vAlign w:val="bottom"/>
          </w:tcPr>
          <w:p>
            <w:pPr>
              <w:jc w:val="right"/>
              <w:ind w:right="188"/>
              <w:spacing w:after="0"/>
              <w:rPr>
                <w:sz w:val="20"/>
                <w:szCs w:val="20"/>
                <w:color w:val="auto"/>
              </w:rPr>
            </w:pPr>
            <w:r>
              <w:rPr>
                <w:rFonts w:ascii="Arial" w:cs="Arial" w:eastAsia="Arial" w:hAnsi="Arial"/>
                <w:sz w:val="14"/>
                <w:szCs w:val="14"/>
                <w:color w:val="auto"/>
              </w:rPr>
              <w:t>$0.56</w:t>
            </w:r>
          </w:p>
        </w:tc>
        <w:tc>
          <w:tcPr>
            <w:tcW w:w="1100" w:type="dxa"/>
            <w:vAlign w:val="bottom"/>
          </w:tcPr>
          <w:p>
            <w:pPr>
              <w:jc w:val="right"/>
              <w:ind w:right="248"/>
              <w:spacing w:after="0"/>
              <w:rPr>
                <w:sz w:val="20"/>
                <w:szCs w:val="20"/>
                <w:color w:val="auto"/>
              </w:rPr>
            </w:pPr>
            <w:r>
              <w:rPr>
                <w:rFonts w:ascii="Arial" w:cs="Arial" w:eastAsia="Arial" w:hAnsi="Arial"/>
                <w:sz w:val="14"/>
                <w:szCs w:val="14"/>
                <w:color w:val="auto"/>
              </w:rPr>
              <w:t>$0.72</w:t>
            </w:r>
          </w:p>
        </w:tc>
        <w:tc>
          <w:tcPr>
            <w:tcW w:w="1400" w:type="dxa"/>
            <w:vAlign w:val="bottom"/>
            <w:tcBorders>
              <w:right w:val="single" w:sz="8" w:color="auto"/>
            </w:tcBorders>
          </w:tcPr>
          <w:p>
            <w:pPr>
              <w:jc w:val="right"/>
              <w:ind w:right="508"/>
              <w:spacing w:after="0"/>
              <w:rPr>
                <w:sz w:val="20"/>
                <w:szCs w:val="20"/>
                <w:color w:val="auto"/>
              </w:rPr>
            </w:pPr>
            <w:r>
              <w:rPr>
                <w:rFonts w:ascii="Arial" w:cs="Arial" w:eastAsia="Arial" w:hAnsi="Arial"/>
                <w:sz w:val="14"/>
                <w:szCs w:val="14"/>
                <w:color w:val="auto"/>
              </w:rPr>
              <w:t>28.6%</w:t>
            </w:r>
          </w:p>
        </w:tc>
        <w:tc>
          <w:tcPr>
            <w:tcW w:w="1620" w:type="dxa"/>
            <w:vAlign w:val="bottom"/>
          </w:tcPr>
          <w:p>
            <w:pPr>
              <w:jc w:val="right"/>
              <w:ind w:right="428"/>
              <w:spacing w:after="0"/>
              <w:rPr>
                <w:sz w:val="20"/>
                <w:szCs w:val="20"/>
                <w:color w:val="auto"/>
              </w:rPr>
            </w:pPr>
            <w:r>
              <w:rPr>
                <w:rFonts w:ascii="Arial" w:cs="Arial" w:eastAsia="Arial" w:hAnsi="Arial"/>
                <w:sz w:val="14"/>
                <w:szCs w:val="14"/>
                <w:color w:val="auto"/>
              </w:rPr>
              <w:t>$2.28</w:t>
            </w:r>
          </w:p>
        </w:tc>
        <w:tc>
          <w:tcPr>
            <w:tcW w:w="840" w:type="dxa"/>
            <w:vAlign w:val="bottom"/>
          </w:tcPr>
          <w:p>
            <w:pPr>
              <w:jc w:val="right"/>
              <w:ind w:right="248"/>
              <w:spacing w:after="0"/>
              <w:rPr>
                <w:sz w:val="20"/>
                <w:szCs w:val="20"/>
                <w:color w:val="auto"/>
              </w:rPr>
            </w:pPr>
            <w:r>
              <w:rPr>
                <w:rFonts w:ascii="Arial" w:cs="Arial" w:eastAsia="Arial" w:hAnsi="Arial"/>
                <w:sz w:val="14"/>
                <w:szCs w:val="14"/>
                <w:color w:val="auto"/>
              </w:rPr>
              <w:t>$2.56</w:t>
            </w:r>
          </w:p>
        </w:tc>
        <w:tc>
          <w:tcPr>
            <w:tcW w:w="820" w:type="dxa"/>
            <w:vAlign w:val="bottom"/>
          </w:tcPr>
          <w:p>
            <w:pPr>
              <w:jc w:val="right"/>
              <w:spacing w:after="0"/>
              <w:rPr>
                <w:sz w:val="20"/>
                <w:szCs w:val="20"/>
                <w:color w:val="auto"/>
              </w:rPr>
            </w:pPr>
            <w:r>
              <w:rPr>
                <w:rFonts w:ascii="Arial" w:cs="Arial" w:eastAsia="Arial" w:hAnsi="Arial"/>
                <w:sz w:val="14"/>
                <w:szCs w:val="14"/>
                <w:color w:val="auto"/>
              </w:rPr>
              <w:t>12.3%</w:t>
            </w:r>
          </w:p>
        </w:tc>
      </w:tr>
      <w:tr>
        <w:trPr>
          <w:trHeight w:val="171"/>
        </w:trPr>
        <w:tc>
          <w:tcPr>
            <w:tcW w:w="364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Excluding Adjustments (see Table 4)</w:t>
            </w:r>
          </w:p>
        </w:tc>
        <w:tc>
          <w:tcPr>
            <w:tcW w:w="20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i w:val="1"/>
                <w:iCs w:val="1"/>
                <w:color w:val="auto"/>
              </w:rPr>
              <w:t>$0.52</w:t>
            </w:r>
          </w:p>
        </w:tc>
        <w:tc>
          <w:tcPr>
            <w:tcW w:w="11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i w:val="1"/>
                <w:iCs w:val="1"/>
                <w:color w:val="auto"/>
              </w:rPr>
              <w:t>$0.66</w:t>
            </w:r>
          </w:p>
        </w:tc>
        <w:tc>
          <w:tcPr>
            <w:tcW w:w="1400" w:type="dxa"/>
            <w:vAlign w:val="bottom"/>
            <w:tcBorders>
              <w:bottom w:val="single" w:sz="8" w:color="auto"/>
              <w:right w:val="single" w:sz="8" w:color="auto"/>
            </w:tcBorders>
          </w:tcPr>
          <w:p>
            <w:pPr>
              <w:jc w:val="right"/>
              <w:ind w:right="508"/>
              <w:spacing w:after="0"/>
              <w:rPr>
                <w:sz w:val="20"/>
                <w:szCs w:val="20"/>
                <w:color w:val="auto"/>
              </w:rPr>
            </w:pPr>
            <w:r>
              <w:rPr>
                <w:rFonts w:ascii="Arial" w:cs="Arial" w:eastAsia="Arial" w:hAnsi="Arial"/>
                <w:sz w:val="14"/>
                <w:szCs w:val="14"/>
                <w:i w:val="1"/>
                <w:iCs w:val="1"/>
                <w:color w:val="auto"/>
              </w:rPr>
              <w:t>26.9%</w:t>
            </w:r>
          </w:p>
        </w:tc>
        <w:tc>
          <w:tcPr>
            <w:tcW w:w="16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i w:val="1"/>
                <w:iCs w:val="1"/>
                <w:color w:val="auto"/>
              </w:rPr>
              <w:t>$1.93</w:t>
            </w:r>
          </w:p>
        </w:tc>
        <w:tc>
          <w:tcPr>
            <w:tcW w:w="8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i w:val="1"/>
                <w:iCs w:val="1"/>
                <w:color w:val="auto"/>
              </w:rPr>
              <w:t>$2.47</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i w:val="1"/>
                <w:iCs w:val="1"/>
                <w:color w:val="auto"/>
              </w:rPr>
              <w:t>28.0%</w:t>
            </w:r>
          </w:p>
        </w:tc>
      </w:tr>
      <w:tr>
        <w:trPr>
          <w:trHeight w:val="210"/>
        </w:trPr>
        <w:tc>
          <w:tcPr>
            <w:tcW w:w="3640" w:type="dxa"/>
            <w:vAlign w:val="bottom"/>
          </w:tcPr>
          <w:p>
            <w:pPr>
              <w:ind w:left="40"/>
              <w:spacing w:after="0"/>
              <w:rPr>
                <w:sz w:val="20"/>
                <w:szCs w:val="20"/>
                <w:color w:val="auto"/>
              </w:rPr>
            </w:pPr>
            <w:r>
              <w:rPr>
                <w:rFonts w:ascii="Arial" w:cs="Arial" w:eastAsia="Arial" w:hAnsi="Arial"/>
                <w:sz w:val="14"/>
                <w:szCs w:val="14"/>
                <w:color w:val="auto"/>
              </w:rPr>
              <w:t>Free Cash Flow</w:t>
            </w:r>
            <w:r>
              <w:rPr>
                <w:rFonts w:ascii="Arial" w:cs="Arial" w:eastAsia="Arial" w:hAnsi="Arial"/>
                <w:sz w:val="14"/>
                <w:szCs w:val="14"/>
                <w:color w:val="auto"/>
                <w:vertAlign w:val="superscript"/>
              </w:rPr>
              <w:t>3</w:t>
            </w:r>
          </w:p>
        </w:tc>
        <w:tc>
          <w:tcPr>
            <w:tcW w:w="2000" w:type="dxa"/>
            <w:vAlign w:val="bottom"/>
          </w:tcPr>
          <w:p>
            <w:pPr>
              <w:jc w:val="right"/>
              <w:ind w:right="188"/>
              <w:spacing w:after="0"/>
              <w:rPr>
                <w:sz w:val="20"/>
                <w:szCs w:val="20"/>
                <w:color w:val="auto"/>
              </w:rPr>
            </w:pPr>
            <w:r>
              <w:rPr>
                <w:rFonts w:ascii="Arial" w:cs="Arial" w:eastAsia="Arial" w:hAnsi="Arial"/>
                <w:sz w:val="14"/>
                <w:szCs w:val="14"/>
                <w:color w:val="auto"/>
              </w:rPr>
              <w:t>$1,832</w:t>
            </w:r>
          </w:p>
        </w:tc>
        <w:tc>
          <w:tcPr>
            <w:tcW w:w="1100" w:type="dxa"/>
            <w:vAlign w:val="bottom"/>
          </w:tcPr>
          <w:p>
            <w:pPr>
              <w:jc w:val="right"/>
              <w:ind w:right="248"/>
              <w:spacing w:after="0"/>
              <w:rPr>
                <w:sz w:val="20"/>
                <w:szCs w:val="20"/>
                <w:color w:val="auto"/>
              </w:rPr>
            </w:pPr>
            <w:r>
              <w:rPr>
                <w:rFonts w:ascii="Arial" w:cs="Arial" w:eastAsia="Arial" w:hAnsi="Arial"/>
                <w:sz w:val="14"/>
                <w:szCs w:val="14"/>
                <w:color w:val="auto"/>
              </w:rPr>
              <w:t>$1,435</w:t>
            </w:r>
          </w:p>
        </w:tc>
        <w:tc>
          <w:tcPr>
            <w:tcW w:w="1400" w:type="dxa"/>
            <w:vAlign w:val="bottom"/>
            <w:tcBorders>
              <w:right w:val="single" w:sz="8" w:color="auto"/>
            </w:tcBorders>
          </w:tcPr>
          <w:p>
            <w:pPr>
              <w:jc w:val="right"/>
              <w:ind w:right="508"/>
              <w:spacing w:after="0"/>
              <w:rPr>
                <w:sz w:val="20"/>
                <w:szCs w:val="20"/>
                <w:color w:val="auto"/>
              </w:rPr>
            </w:pPr>
            <w:r>
              <w:rPr>
                <w:rFonts w:ascii="Arial" w:cs="Arial" w:eastAsia="Arial" w:hAnsi="Arial"/>
                <w:sz w:val="14"/>
                <w:szCs w:val="14"/>
                <w:color w:val="auto"/>
              </w:rPr>
              <w:t>(21.7%)</w:t>
            </w:r>
          </w:p>
        </w:tc>
        <w:tc>
          <w:tcPr>
            <w:tcW w:w="1620" w:type="dxa"/>
            <w:vAlign w:val="bottom"/>
          </w:tcPr>
          <w:p>
            <w:pPr>
              <w:jc w:val="right"/>
              <w:ind w:right="428"/>
              <w:spacing w:after="0"/>
              <w:rPr>
                <w:sz w:val="20"/>
                <w:szCs w:val="20"/>
                <w:color w:val="auto"/>
              </w:rPr>
            </w:pPr>
            <w:r>
              <w:rPr>
                <w:rFonts w:ascii="Arial" w:cs="Arial" w:eastAsia="Arial" w:hAnsi="Arial"/>
                <w:sz w:val="14"/>
                <w:szCs w:val="14"/>
                <w:color w:val="auto"/>
              </w:rPr>
              <w:t>$7,939</w:t>
            </w:r>
          </w:p>
        </w:tc>
        <w:tc>
          <w:tcPr>
            <w:tcW w:w="840" w:type="dxa"/>
            <w:vAlign w:val="bottom"/>
          </w:tcPr>
          <w:p>
            <w:pPr>
              <w:jc w:val="right"/>
              <w:ind w:right="248"/>
              <w:spacing w:after="0"/>
              <w:rPr>
                <w:sz w:val="20"/>
                <w:szCs w:val="20"/>
                <w:color w:val="auto"/>
              </w:rPr>
            </w:pPr>
            <w:r>
              <w:rPr>
                <w:rFonts w:ascii="Arial" w:cs="Arial" w:eastAsia="Arial" w:hAnsi="Arial"/>
                <w:sz w:val="14"/>
                <w:szCs w:val="14"/>
                <w:color w:val="auto"/>
              </w:rPr>
              <w:t>$8,489</w:t>
            </w:r>
          </w:p>
        </w:tc>
        <w:tc>
          <w:tcPr>
            <w:tcW w:w="820" w:type="dxa"/>
            <w:vAlign w:val="bottom"/>
          </w:tcPr>
          <w:p>
            <w:pPr>
              <w:jc w:val="right"/>
              <w:spacing w:after="0"/>
              <w:rPr>
                <w:sz w:val="20"/>
                <w:szCs w:val="20"/>
                <w:color w:val="auto"/>
              </w:rPr>
            </w:pPr>
            <w:r>
              <w:rPr>
                <w:rFonts w:ascii="Arial" w:cs="Arial" w:eastAsia="Arial" w:hAnsi="Arial"/>
                <w:sz w:val="14"/>
                <w:szCs w:val="14"/>
                <w:color w:val="auto"/>
              </w:rPr>
              <w:t>6.9%</w:t>
            </w:r>
          </w:p>
        </w:tc>
      </w:tr>
    </w:tbl>
    <w:p>
      <w:pPr>
        <w:spacing w:after="0" w:line="207"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For additional detail on segment revenue and expenses, customer metrics, capital expenditures, and free cash flow, please refer to the trending schedules on Comcast’s Investor Relations website at www.cmcsa.com or www.cmcsk.com.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178435</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the fourth quarter of 2013 increased 6.2% to $16.9 billion.</w:t>
      </w:r>
      <w:r>
        <w:rPr>
          <w:rFonts w:ascii="Arial" w:cs="Arial" w:eastAsia="Arial" w:hAnsi="Arial"/>
          <w:sz w:val="18"/>
          <w:szCs w:val="18"/>
          <w:b w:val="1"/>
          <w:bCs w:val="1"/>
          <w:i w:val="1"/>
          <w:iCs w:val="1"/>
          <w:color w:val="auto"/>
        </w:rPr>
        <w:t xml:space="preserve"> Operating Cash Flow </w:t>
      </w:r>
      <w:r>
        <w:rPr>
          <w:rFonts w:ascii="Arial" w:cs="Arial" w:eastAsia="Arial" w:hAnsi="Arial"/>
          <w:sz w:val="18"/>
          <w:szCs w:val="18"/>
          <w:color w:val="auto"/>
        </w:rPr>
        <w:t>increased 7.0% to $5.6 billion.</w:t>
      </w:r>
      <w:r>
        <w:rPr>
          <w:rFonts w:ascii="Arial" w:cs="Arial" w:eastAsia="Arial" w:hAnsi="Arial"/>
          <w:sz w:val="18"/>
          <w:szCs w:val="18"/>
          <w:b w:val="1"/>
          <w:bCs w:val="1"/>
          <w:i w:val="1"/>
          <w:iCs w:val="1"/>
          <w:color w:val="auto"/>
        </w:rPr>
        <w:t xml:space="preserve"> Operating Income </w:t>
      </w:r>
      <w:r>
        <w:rPr>
          <w:rFonts w:ascii="Arial" w:cs="Arial" w:eastAsia="Arial" w:hAnsi="Arial"/>
          <w:sz w:val="18"/>
          <w:szCs w:val="18"/>
          <w:color w:val="auto"/>
        </w:rPr>
        <w:t>increased 10.7% to $3.6 billion.</w:t>
      </w:r>
    </w:p>
    <w:p>
      <w:pPr>
        <w:spacing w:after="0" w:line="16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For the year ended December 31, 2013, revenue increased 3.3% to $64.7 billion. Excluding $259 million of revenue generated by the NFL’s Super Bowl in the first quarter of 2012 and $1.2 billion of revenue generated by the Olympics in the third quarter of 2012, revenue increased 5.8%. Operating cash flow increased 7.3% to $21.4 billion. Excluding operating cash flow generated by the Olympics in the third quarter of 2012 and pension termination costs in the third quarter of 2013, operating cash flow increased 8.3% (see Table 5). Operating income increased 11.4% to $13.6 billion.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Earnings per Share (EPS) </w:t>
      </w:r>
      <w:r>
        <w:rPr>
          <w:rFonts w:ascii="Arial" w:cs="Arial" w:eastAsia="Arial" w:hAnsi="Arial"/>
          <w:sz w:val="18"/>
          <w:szCs w:val="18"/>
          <w:color w:val="auto"/>
        </w:rPr>
        <w:t>for the fourth quarter of 2013 was $0.72, a 28.6% increase from the $0.56 reported in the fourth quarter of 2012.</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Excluding favorable tax adjustments in the fourth quarter of 2013 and 2012, EPS increased 26.9% in the fourth quarter of 2013 (see Table 4).</w:t>
      </w:r>
    </w:p>
    <w:p>
      <w:pPr>
        <w:sectPr>
          <w:pgSz w:w="11900" w:h="16838" w:orient="portrait"/>
          <w:cols w:equalWidth="0" w:num="1">
            <w:col w:w="11420"/>
          </w:cols>
          <w:pgMar w:left="240" w:top="118" w:right="239" w:bottom="5" w:gutter="0" w:footer="0" w:header="0"/>
        </w:sectPr>
      </w:pPr>
    </w:p>
    <w:bookmarkStart w:id="3" w:name="page4"/>
    <w:bookmarkEnd w:id="3"/>
    <w:p>
      <w:pPr>
        <w:jc w:val="both"/>
        <w:spacing w:after="0" w:line="245" w:lineRule="auto"/>
        <w:rPr>
          <w:sz w:val="20"/>
          <w:szCs w:val="20"/>
          <w:color w:val="auto"/>
        </w:rPr>
      </w:pPr>
      <w:r>
        <w:rPr>
          <w:rFonts w:ascii="Arial" w:cs="Arial" w:eastAsia="Arial" w:hAnsi="Arial"/>
          <w:sz w:val="18"/>
          <w:szCs w:val="18"/>
          <w:color w:val="auto"/>
        </w:rPr>
        <w:t>EPS for the year ended December 31, 2013 was $2.56, a 12.3% increase from the $2.28 reported in the prior year. Excluding gains on asset sales, favorable tax adjustments, investment losses and pension termination costs, EPS increased 28.0% (see Table 4).</w:t>
      </w:r>
    </w:p>
    <w:p>
      <w:pPr>
        <w:spacing w:after="0" w:line="16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i w:val="1"/>
          <w:iCs w:val="1"/>
          <w:color w:val="auto"/>
        </w:rPr>
        <w:t xml:space="preserve">Capital Expenditures </w:t>
      </w:r>
      <w:r>
        <w:rPr>
          <w:rFonts w:ascii="Arial" w:cs="Arial" w:eastAsia="Arial" w:hAnsi="Arial"/>
          <w:sz w:val="18"/>
          <w:szCs w:val="18"/>
          <w:color w:val="auto"/>
        </w:rPr>
        <w:t>increased 19.9% to $2.0 billion in the fourth quarter of 2013 compared to the fourth quarter of 2012. Cable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Communications’ capital expenditures increased $260 million, or 18.9%, to $1.6 billion in the fourth quarter of 2013, primarily reflecting increased spending on customer premise equipment, such as advanced digital boxes, including X1, and wireless gateways. NBCUniversal’s capital expenditures increased $66 million to $353 million in the fourth quarter of 2013, primarily reflecting increased investments in Theme Parks and facilities.</w:t>
      </w:r>
    </w:p>
    <w:p>
      <w:pPr>
        <w:spacing w:after="0" w:line="18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For the year ended December 31, 2013, capital expenditures increased 15.4% to $6.6 billion compared to the prior year. Cable Communications capital expenditures increased $482 million, or 9.8%, to $5.4 billion, primarily reflecting increased spending on customer premise equipment, the continued investment in our network and the expansion of Business Services and Xfinity Home. For the year, Cable capital expenditures represented 12.9% of Cable revenue compared to 12.4% in 2012. NBCUniversal’s capital expenditures increased $397 million to $1.2 billion in 2013, primarily reflecting increased investments in Theme Parks.</w:t>
      </w:r>
    </w:p>
    <w:p>
      <w:pPr>
        <w:spacing w:after="0" w:line="167"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i w:val="1"/>
          <w:iCs w:val="1"/>
          <w:color w:val="auto"/>
        </w:rPr>
        <w:t xml:space="preserve">Free Cash Flow </w:t>
      </w:r>
      <w:r>
        <w:rPr>
          <w:rFonts w:ascii="Arial" w:cs="Arial" w:eastAsia="Arial" w:hAnsi="Arial"/>
          <w:sz w:val="18"/>
          <w:szCs w:val="18"/>
          <w:color w:val="auto"/>
        </w:rPr>
        <w:t>(excluding any impact from the Economic Stimulus packages) decreased 21.7% to $1.4 billion in the fourth quarter of 2013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$1.8 billion in the fourth quarter of 2012, reflecting growth in consolidated operating cash flow, impacted by higher capital expenditures and working capital. Free cash flow for the year ended December 31, 2013 increased 6.9% to $8.5 billion compared to $7.9 billion in 2012, reflecting growth in consolidated operating cash flow and improvements in working capital, partially offset by higher capital expenditures and cash taxes.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20" w:type="dxa"/>
            <w:vAlign w:val="bottom"/>
          </w:tcPr>
          <w:p>
            <w:pPr>
              <w:spacing w:after="0"/>
              <w:rPr>
                <w:sz w:val="16"/>
                <w:szCs w:val="16"/>
                <w:color w:val="auto"/>
              </w:rPr>
            </w:pPr>
          </w:p>
        </w:tc>
        <w:tc>
          <w:tcPr>
            <w:tcW w:w="2320" w:type="dxa"/>
            <w:vAlign w:val="bottom"/>
            <w:gridSpan w:val="2"/>
          </w:tcPr>
          <w:p>
            <w:pPr>
              <w:jc w:val="right"/>
              <w:ind w:right="528"/>
              <w:spacing w:after="0"/>
              <w:rPr>
                <w:sz w:val="20"/>
                <w:szCs w:val="20"/>
                <w:color w:val="auto"/>
              </w:rPr>
            </w:pPr>
            <w:r>
              <w:rPr>
                <w:rFonts w:ascii="Arial" w:cs="Arial" w:eastAsia="Arial" w:hAnsi="Arial"/>
                <w:sz w:val="14"/>
                <w:szCs w:val="14"/>
                <w:color w:val="auto"/>
              </w:rPr>
              <w:t>4th Quarter</w:t>
            </w:r>
          </w:p>
        </w:tc>
        <w:tc>
          <w:tcPr>
            <w:tcW w:w="960" w:type="dxa"/>
            <w:vAlign w:val="bottom"/>
            <w:tcBorders>
              <w:right w:val="single" w:sz="8" w:color="auto"/>
            </w:tcBorders>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Full Year</w:t>
            </w: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06"/>
        </w:trPr>
        <w:tc>
          <w:tcPr>
            <w:tcW w:w="4820" w:type="dxa"/>
            <w:vAlign w:val="bottom"/>
            <w:tcBorders>
              <w:bottom w:val="single" w:sz="8" w:color="auto"/>
            </w:tcBorders>
          </w:tcPr>
          <w:p>
            <w:pPr>
              <w:ind w:left="40"/>
              <w:spacing w:after="0"/>
              <w:rPr>
                <w:sz w:val="20"/>
                <w:szCs w:val="20"/>
                <w:color w:val="auto"/>
              </w:rPr>
            </w:pPr>
            <w:r>
              <w:rPr>
                <w:rFonts w:ascii="Arial" w:cs="Arial" w:eastAsia="Arial" w:hAnsi="Arial"/>
                <w:sz w:val="11"/>
                <w:szCs w:val="11"/>
                <w:i w:val="1"/>
                <w:iCs w:val="1"/>
                <w:color w:val="auto"/>
              </w:rPr>
              <w:t>($ in millions)</w:t>
            </w:r>
          </w:p>
        </w:tc>
        <w:tc>
          <w:tcPr>
            <w:tcW w:w="14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2012</w:t>
            </w:r>
          </w:p>
        </w:tc>
        <w:tc>
          <w:tcPr>
            <w:tcW w:w="9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2013</w:t>
            </w:r>
          </w:p>
        </w:tc>
        <w:tc>
          <w:tcPr>
            <w:tcW w:w="96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color w:val="auto"/>
              </w:rPr>
              <w:t>Growth</w:t>
            </w:r>
          </w:p>
        </w:tc>
        <w:tc>
          <w:tcPr>
            <w:tcW w:w="16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2012</w:t>
            </w:r>
          </w:p>
        </w:tc>
        <w:tc>
          <w:tcPr>
            <w:tcW w:w="8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2013</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Growth</w:t>
            </w:r>
          </w:p>
        </w:tc>
      </w:tr>
      <w:tr>
        <w:trPr>
          <w:trHeight w:val="203"/>
        </w:trPr>
        <w:tc>
          <w:tcPr>
            <w:tcW w:w="48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Operating Cash Flow</w:t>
            </w:r>
          </w:p>
        </w:tc>
        <w:tc>
          <w:tcPr>
            <w:tcW w:w="14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$5,277</w:t>
            </w:r>
          </w:p>
        </w:tc>
        <w:tc>
          <w:tcPr>
            <w:tcW w:w="9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$5,645</w:t>
            </w:r>
          </w:p>
        </w:tc>
        <w:tc>
          <w:tcPr>
            <w:tcW w:w="96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color w:val="auto"/>
              </w:rPr>
              <w:t>7.0%</w:t>
            </w:r>
          </w:p>
        </w:tc>
        <w:tc>
          <w:tcPr>
            <w:tcW w:w="16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$19,977</w:t>
            </w:r>
          </w:p>
        </w:tc>
        <w:tc>
          <w:tcPr>
            <w:tcW w:w="8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w w:val="98"/>
              </w:rPr>
              <w:t>$21,434</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w:t>
            </w:r>
          </w:p>
        </w:tc>
      </w:tr>
      <w:tr>
        <w:trPr>
          <w:trHeight w:val="196"/>
        </w:trPr>
        <w:tc>
          <w:tcPr>
            <w:tcW w:w="48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Capital Expenditures</w:t>
            </w:r>
          </w:p>
        </w:tc>
        <w:tc>
          <w:tcPr>
            <w:tcW w:w="14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(1,671)</w:t>
            </w:r>
          </w:p>
        </w:tc>
        <w:tc>
          <w:tcPr>
            <w:tcW w:w="9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(2,003)</w:t>
            </w:r>
          </w:p>
        </w:tc>
        <w:tc>
          <w:tcPr>
            <w:tcW w:w="96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color w:val="auto"/>
              </w:rPr>
              <w:t>19.9%</w:t>
            </w:r>
          </w:p>
        </w:tc>
        <w:tc>
          <w:tcPr>
            <w:tcW w:w="16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(5,714)</w:t>
            </w:r>
          </w:p>
        </w:tc>
        <w:tc>
          <w:tcPr>
            <w:tcW w:w="8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(6,596)</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w:t>
            </w:r>
          </w:p>
        </w:tc>
      </w:tr>
      <w:tr>
        <w:trPr>
          <w:trHeight w:val="196"/>
        </w:trPr>
        <w:tc>
          <w:tcPr>
            <w:tcW w:w="48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Cash Paid for Capitalized Software and Other Intangible Assets</w:t>
            </w:r>
          </w:p>
        </w:tc>
        <w:tc>
          <w:tcPr>
            <w:tcW w:w="14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(318)</w:t>
            </w:r>
          </w:p>
        </w:tc>
        <w:tc>
          <w:tcPr>
            <w:tcW w:w="9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(315)</w:t>
            </w:r>
          </w:p>
        </w:tc>
        <w:tc>
          <w:tcPr>
            <w:tcW w:w="96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color w:val="auto"/>
              </w:rPr>
              <w:t>(0.9%)</w:t>
            </w:r>
          </w:p>
        </w:tc>
        <w:tc>
          <w:tcPr>
            <w:tcW w:w="16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(923)</w:t>
            </w:r>
          </w:p>
        </w:tc>
        <w:tc>
          <w:tcPr>
            <w:tcW w:w="8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(1,009)</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w:t>
            </w:r>
          </w:p>
        </w:tc>
      </w:tr>
      <w:tr>
        <w:trPr>
          <w:trHeight w:val="196"/>
        </w:trPr>
        <w:tc>
          <w:tcPr>
            <w:tcW w:w="48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Cash Interest Expense</w:t>
            </w:r>
          </w:p>
        </w:tc>
        <w:tc>
          <w:tcPr>
            <w:tcW w:w="14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(589)</w:t>
            </w:r>
          </w:p>
        </w:tc>
        <w:tc>
          <w:tcPr>
            <w:tcW w:w="9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(587)</w:t>
            </w:r>
          </w:p>
        </w:tc>
        <w:tc>
          <w:tcPr>
            <w:tcW w:w="96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color w:val="auto"/>
              </w:rPr>
              <w:t>(0.3%)</w:t>
            </w:r>
          </w:p>
        </w:tc>
        <w:tc>
          <w:tcPr>
            <w:tcW w:w="16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(2,314)</w:t>
            </w:r>
          </w:p>
        </w:tc>
        <w:tc>
          <w:tcPr>
            <w:tcW w:w="8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(2,355)</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r>
      <w:tr>
        <w:trPr>
          <w:trHeight w:val="196"/>
        </w:trPr>
        <w:tc>
          <w:tcPr>
            <w:tcW w:w="48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Cash Taxes</w:t>
            </w:r>
          </w:p>
        </w:tc>
        <w:tc>
          <w:tcPr>
            <w:tcW w:w="14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(986)</w:t>
            </w:r>
          </w:p>
        </w:tc>
        <w:tc>
          <w:tcPr>
            <w:tcW w:w="9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(766)</w:t>
            </w:r>
          </w:p>
        </w:tc>
        <w:tc>
          <w:tcPr>
            <w:tcW w:w="96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color w:val="auto"/>
              </w:rPr>
              <w:t>(22.3%)</w:t>
            </w:r>
          </w:p>
        </w:tc>
        <w:tc>
          <w:tcPr>
            <w:tcW w:w="16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(2,841)</w:t>
            </w:r>
          </w:p>
        </w:tc>
        <w:tc>
          <w:tcPr>
            <w:tcW w:w="8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(3,946)</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38.9%</w:t>
            </w:r>
          </w:p>
        </w:tc>
      </w:tr>
      <w:tr>
        <w:trPr>
          <w:trHeight w:val="196"/>
        </w:trPr>
        <w:tc>
          <w:tcPr>
            <w:tcW w:w="48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Changes in Operating Assets and Liabilities</w:t>
            </w:r>
          </w:p>
        </w:tc>
        <w:tc>
          <w:tcPr>
            <w:tcW w:w="14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(164)</w:t>
            </w:r>
          </w:p>
        </w:tc>
        <w:tc>
          <w:tcPr>
            <w:tcW w:w="9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(490)</w:t>
            </w:r>
          </w:p>
        </w:tc>
        <w:tc>
          <w:tcPr>
            <w:tcW w:w="96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color w:val="auto"/>
              </w:rPr>
              <w:t>NM</w:t>
            </w:r>
          </w:p>
        </w:tc>
        <w:tc>
          <w:tcPr>
            <w:tcW w:w="16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(418)</w:t>
            </w:r>
          </w:p>
        </w:tc>
        <w:tc>
          <w:tcPr>
            <w:tcW w:w="8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93</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NM</w:t>
            </w:r>
          </w:p>
        </w:tc>
      </w:tr>
      <w:tr>
        <w:trPr>
          <w:trHeight w:val="203"/>
        </w:trPr>
        <w:tc>
          <w:tcPr>
            <w:tcW w:w="48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Other</w:t>
            </w:r>
          </w:p>
        </w:tc>
        <w:tc>
          <w:tcPr>
            <w:tcW w:w="14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(25)</w:t>
            </w:r>
          </w:p>
        </w:tc>
        <w:tc>
          <w:tcPr>
            <w:tcW w:w="9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(171)</w:t>
            </w:r>
          </w:p>
        </w:tc>
        <w:tc>
          <w:tcPr>
            <w:tcW w:w="96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color w:val="auto"/>
              </w:rPr>
              <w:t>NM</w:t>
            </w:r>
          </w:p>
        </w:tc>
        <w:tc>
          <w:tcPr>
            <w:tcW w:w="16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120</w:t>
            </w:r>
          </w:p>
        </w:tc>
        <w:tc>
          <w:tcPr>
            <w:tcW w:w="8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746</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NM</w:t>
            </w:r>
          </w:p>
        </w:tc>
      </w:tr>
      <w:tr>
        <w:trPr>
          <w:trHeight w:val="203"/>
        </w:trPr>
        <w:tc>
          <w:tcPr>
            <w:tcW w:w="48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Free Cash Flow (Incl. Economic Stimulus Packages)</w:t>
            </w:r>
          </w:p>
        </w:tc>
        <w:tc>
          <w:tcPr>
            <w:tcW w:w="14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$1,524</w:t>
            </w:r>
          </w:p>
        </w:tc>
        <w:tc>
          <w:tcPr>
            <w:tcW w:w="9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$1,313</w:t>
            </w:r>
          </w:p>
        </w:tc>
        <w:tc>
          <w:tcPr>
            <w:tcW w:w="96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color w:val="auto"/>
              </w:rPr>
              <w:t>(13.8%)</w:t>
            </w:r>
          </w:p>
        </w:tc>
        <w:tc>
          <w:tcPr>
            <w:tcW w:w="16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$7,887</w:t>
            </w:r>
          </w:p>
        </w:tc>
        <w:tc>
          <w:tcPr>
            <w:tcW w:w="8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$8,367</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w:t>
            </w:r>
          </w:p>
        </w:tc>
      </w:tr>
      <w:tr>
        <w:trPr>
          <w:trHeight w:val="203"/>
        </w:trPr>
        <w:tc>
          <w:tcPr>
            <w:tcW w:w="48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Economic Stimulus Packages</w:t>
            </w:r>
          </w:p>
        </w:tc>
        <w:tc>
          <w:tcPr>
            <w:tcW w:w="14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308</w:t>
            </w:r>
          </w:p>
        </w:tc>
        <w:tc>
          <w:tcPr>
            <w:tcW w:w="9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122</w:t>
            </w:r>
          </w:p>
        </w:tc>
        <w:tc>
          <w:tcPr>
            <w:tcW w:w="96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color w:val="auto"/>
              </w:rPr>
              <w:t>NM</w:t>
            </w:r>
          </w:p>
        </w:tc>
        <w:tc>
          <w:tcPr>
            <w:tcW w:w="16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52</w:t>
            </w:r>
          </w:p>
        </w:tc>
        <w:tc>
          <w:tcPr>
            <w:tcW w:w="8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122</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NM</w:t>
            </w:r>
          </w:p>
        </w:tc>
      </w:tr>
      <w:tr>
        <w:trPr>
          <w:trHeight w:val="203"/>
        </w:trPr>
        <w:tc>
          <w:tcPr>
            <w:tcW w:w="4820" w:type="dxa"/>
            <w:vAlign w:val="bottom"/>
          </w:tcPr>
          <w:p>
            <w:pPr>
              <w:ind w:left="40"/>
              <w:spacing w:after="0"/>
              <w:rPr>
                <w:sz w:val="20"/>
                <w:szCs w:val="20"/>
                <w:color w:val="auto"/>
              </w:rPr>
            </w:pPr>
            <w:r>
              <w:rPr>
                <w:rFonts w:ascii="Arial" w:cs="Arial" w:eastAsia="Arial" w:hAnsi="Arial"/>
                <w:sz w:val="14"/>
                <w:szCs w:val="14"/>
                <w:color w:val="auto"/>
              </w:rPr>
              <w:t>Free Cash Flow</w:t>
            </w:r>
          </w:p>
        </w:tc>
        <w:tc>
          <w:tcPr>
            <w:tcW w:w="1420" w:type="dxa"/>
            <w:vAlign w:val="bottom"/>
          </w:tcPr>
          <w:p>
            <w:pPr>
              <w:jc w:val="right"/>
              <w:ind w:right="168"/>
              <w:spacing w:after="0"/>
              <w:rPr>
                <w:sz w:val="20"/>
                <w:szCs w:val="20"/>
                <w:color w:val="auto"/>
              </w:rPr>
            </w:pPr>
            <w:r>
              <w:rPr>
                <w:rFonts w:ascii="Arial" w:cs="Arial" w:eastAsia="Arial" w:hAnsi="Arial"/>
                <w:sz w:val="14"/>
                <w:szCs w:val="14"/>
                <w:color w:val="auto"/>
              </w:rPr>
              <w:t>$1,832</w:t>
            </w: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$1,435</w:t>
            </w:r>
          </w:p>
        </w:tc>
        <w:tc>
          <w:tcPr>
            <w:tcW w:w="96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(21.7%)</w:t>
            </w:r>
          </w:p>
        </w:tc>
        <w:tc>
          <w:tcPr>
            <w:tcW w:w="1660" w:type="dxa"/>
            <w:vAlign w:val="bottom"/>
          </w:tcPr>
          <w:p>
            <w:pPr>
              <w:jc w:val="right"/>
              <w:ind w:right="428"/>
              <w:spacing w:after="0"/>
              <w:rPr>
                <w:sz w:val="20"/>
                <w:szCs w:val="20"/>
                <w:color w:val="auto"/>
              </w:rPr>
            </w:pPr>
            <w:r>
              <w:rPr>
                <w:rFonts w:ascii="Arial" w:cs="Arial" w:eastAsia="Arial" w:hAnsi="Arial"/>
                <w:sz w:val="14"/>
                <w:szCs w:val="14"/>
                <w:color w:val="auto"/>
              </w:rPr>
              <w:t>$7,939</w:t>
            </w:r>
          </w:p>
        </w:tc>
        <w:tc>
          <w:tcPr>
            <w:tcW w:w="840" w:type="dxa"/>
            <w:vAlign w:val="bottom"/>
          </w:tcPr>
          <w:p>
            <w:pPr>
              <w:jc w:val="right"/>
              <w:ind w:right="248"/>
              <w:spacing w:after="0"/>
              <w:rPr>
                <w:sz w:val="20"/>
                <w:szCs w:val="20"/>
                <w:color w:val="auto"/>
              </w:rPr>
            </w:pPr>
            <w:r>
              <w:rPr>
                <w:rFonts w:ascii="Arial" w:cs="Arial" w:eastAsia="Arial" w:hAnsi="Arial"/>
                <w:sz w:val="14"/>
                <w:szCs w:val="14"/>
                <w:color w:val="auto"/>
              </w:rPr>
              <w:t>$8,489</w:t>
            </w:r>
          </w:p>
        </w:tc>
        <w:tc>
          <w:tcPr>
            <w:tcW w:w="820" w:type="dxa"/>
            <w:vAlign w:val="bottom"/>
          </w:tcPr>
          <w:p>
            <w:pPr>
              <w:jc w:val="right"/>
              <w:spacing w:after="0"/>
              <w:rPr>
                <w:sz w:val="20"/>
                <w:szCs w:val="20"/>
                <w:color w:val="auto"/>
              </w:rPr>
            </w:pPr>
            <w:r>
              <w:rPr>
                <w:rFonts w:ascii="Arial" w:cs="Arial" w:eastAsia="Arial" w:hAnsi="Arial"/>
                <w:sz w:val="14"/>
                <w:szCs w:val="14"/>
                <w:color w:val="auto"/>
              </w:rPr>
              <w:t>6.9%</w:t>
            </w:r>
          </w:p>
        </w:tc>
      </w:tr>
    </w:tbl>
    <w:p>
      <w:pPr>
        <w:spacing w:after="0" w:line="207" w:lineRule="exact"/>
        <w:rPr>
          <w:sz w:val="20"/>
          <w:szCs w:val="20"/>
          <w:color w:val="auto"/>
        </w:rPr>
      </w:pPr>
    </w:p>
    <w:p>
      <w:pPr>
        <w:jc w:val="both"/>
        <w:spacing w:after="0" w:line="250" w:lineRule="auto"/>
        <w:rPr>
          <w:sz w:val="20"/>
          <w:szCs w:val="20"/>
          <w:color w:val="auto"/>
        </w:rPr>
      </w:pPr>
      <w:r>
        <w:rPr>
          <w:rFonts w:ascii="Arial" w:cs="Arial" w:eastAsia="Arial" w:hAnsi="Arial"/>
          <w:sz w:val="14"/>
          <w:szCs w:val="14"/>
          <w:color w:val="auto"/>
        </w:rPr>
        <w:t>Note: The definition of Free Cash Flow excludes any impact from Economic Stimulus packages. These amounts have been excluded from Free Cash Flow to provide an appropriate comparison. “Other” is primarily comprised of adjustments for cash taxes paid related to certain nonoperating transactions, to reflect cash taxes paid in the year of the related taxable income, and in 2013 for payments associated with a pension termination. NM=comparison not meaningful.</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 xml:space="preserve">Dividends and Share Repurchases. </w:t>
      </w:r>
      <w:r>
        <w:rPr>
          <w:rFonts w:ascii="Arial" w:cs="Arial" w:eastAsia="Arial" w:hAnsi="Arial"/>
          <w:sz w:val="18"/>
          <w:szCs w:val="18"/>
          <w:color w:val="auto"/>
        </w:rPr>
        <w:t>During the fourth quarter of 2013, Comcast paid dividends totaling $510 million and repurchased 10.8</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of its common shares for $500 million. For the full year, Comcast repurchased 48.7 million of its common shares for $2.0 billion and made four cash dividend payments totaling $2.0 billion, resulting in a total return of capital to shareholders of $4.0 billion for 2013.</w:t>
      </w:r>
    </w:p>
    <w:p>
      <w:pPr>
        <w:spacing w:after="0" w:line="178"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Today, Comcast announced that its Board of Directors has increased its stock repurchase program authorization to $7.5 billion. Comcast plans to repurchase $3.0 billion during 2014, subject to market conditions.</w:t>
      </w:r>
    </w:p>
    <w:p>
      <w:pPr>
        <w:spacing w:after="0" w:line="183"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addition, Comcast announced that it increased its dividend by 15.4% to $0.90 per share on an annualized basis. In accordance with the increase, the Board of Directors declared a quarterly cash dividend of $0.225 a share on the company’s common stock, payable on April 23, 2014 to shareholders of record as of the close of business on April 2, 2014.</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000" w:type="dxa"/>
            <w:vAlign w:val="bottom"/>
            <w:tcBorders>
              <w:top w:val="single" w:sz="8" w:color="C9C9C9"/>
            </w:tcBorders>
          </w:tcPr>
          <w:p>
            <w:pPr>
              <w:spacing w:after="0"/>
              <w:rPr>
                <w:sz w:val="18"/>
                <w:szCs w:val="18"/>
                <w:color w:val="auto"/>
              </w:rPr>
            </w:pPr>
          </w:p>
        </w:tc>
        <w:tc>
          <w:tcPr>
            <w:tcW w:w="3000" w:type="dxa"/>
            <w:vAlign w:val="bottom"/>
            <w:tcBorders>
              <w:top w:val="single" w:sz="8" w:color="C9C9C9"/>
            </w:tcBorders>
            <w:gridSpan w:val="2"/>
          </w:tcPr>
          <w:p>
            <w:pPr>
              <w:jc w:val="right"/>
              <w:ind w:right="688"/>
              <w:spacing w:after="0"/>
              <w:rPr>
                <w:sz w:val="20"/>
                <w:szCs w:val="20"/>
                <w:color w:val="auto"/>
              </w:rPr>
            </w:pPr>
            <w:r>
              <w:rPr>
                <w:rFonts w:ascii="Arial" w:cs="Arial" w:eastAsia="Arial" w:hAnsi="Arial"/>
                <w:sz w:val="14"/>
                <w:szCs w:val="14"/>
                <w:color w:val="auto"/>
              </w:rPr>
              <w:t>4th Quarter</w:t>
            </w:r>
          </w:p>
        </w:tc>
        <w:tc>
          <w:tcPr>
            <w:tcW w:w="1040" w:type="dxa"/>
            <w:vAlign w:val="bottom"/>
            <w:tcBorders>
              <w:top w:val="single" w:sz="8" w:color="C9C9C9"/>
              <w:right w:val="single" w:sz="8" w:color="auto"/>
            </w:tcBorders>
          </w:tcPr>
          <w:p>
            <w:pPr>
              <w:spacing w:after="0"/>
              <w:rPr>
                <w:sz w:val="18"/>
                <w:szCs w:val="18"/>
                <w:color w:val="auto"/>
              </w:rPr>
            </w:pPr>
          </w:p>
        </w:tc>
        <w:tc>
          <w:tcPr>
            <w:tcW w:w="1720" w:type="dxa"/>
            <w:vAlign w:val="bottom"/>
            <w:tcBorders>
              <w:top w:val="single" w:sz="8" w:color="C9C9C9"/>
            </w:tcBorders>
          </w:tcPr>
          <w:p>
            <w:pPr>
              <w:jc w:val="right"/>
              <w:spacing w:after="0"/>
              <w:rPr>
                <w:sz w:val="20"/>
                <w:szCs w:val="20"/>
                <w:color w:val="auto"/>
              </w:rPr>
            </w:pPr>
            <w:r>
              <w:rPr>
                <w:rFonts w:ascii="Arial" w:cs="Arial" w:eastAsia="Arial" w:hAnsi="Arial"/>
                <w:sz w:val="14"/>
                <w:szCs w:val="14"/>
                <w:color w:val="auto"/>
              </w:rPr>
              <w:t>Full Year</w:t>
            </w:r>
          </w:p>
        </w:tc>
        <w:tc>
          <w:tcPr>
            <w:tcW w:w="840" w:type="dxa"/>
            <w:vAlign w:val="bottom"/>
            <w:tcBorders>
              <w:top w:val="single" w:sz="8" w:color="C9C9C9"/>
            </w:tcBorders>
          </w:tcPr>
          <w:p>
            <w:pPr>
              <w:spacing w:after="0"/>
              <w:rPr>
                <w:sz w:val="18"/>
                <w:szCs w:val="18"/>
                <w:color w:val="auto"/>
              </w:rPr>
            </w:pPr>
          </w:p>
        </w:tc>
        <w:tc>
          <w:tcPr>
            <w:tcW w:w="820" w:type="dxa"/>
            <w:vAlign w:val="bottom"/>
            <w:tcBorders>
              <w:top w:val="single" w:sz="8" w:color="C9C9C9"/>
            </w:tcBorders>
          </w:tcPr>
          <w:p>
            <w:pPr>
              <w:spacing w:after="0"/>
              <w:rPr>
                <w:sz w:val="18"/>
                <w:szCs w:val="18"/>
                <w:color w:val="auto"/>
              </w:rPr>
            </w:pPr>
          </w:p>
        </w:tc>
      </w:tr>
      <w:tr>
        <w:trPr>
          <w:trHeight w:val="208"/>
        </w:trPr>
        <w:tc>
          <w:tcPr>
            <w:tcW w:w="4000" w:type="dxa"/>
            <w:vAlign w:val="bottom"/>
            <w:tcBorders>
              <w:bottom w:val="single" w:sz="8" w:color="auto"/>
            </w:tcBorders>
          </w:tcPr>
          <w:p>
            <w:pPr>
              <w:ind w:left="40"/>
              <w:spacing w:after="0"/>
              <w:rPr>
                <w:sz w:val="20"/>
                <w:szCs w:val="20"/>
                <w:color w:val="auto"/>
              </w:rPr>
            </w:pPr>
            <w:r>
              <w:rPr>
                <w:rFonts w:ascii="Arial" w:cs="Arial" w:eastAsia="Arial" w:hAnsi="Arial"/>
                <w:sz w:val="11"/>
                <w:szCs w:val="11"/>
                <w:i w:val="1"/>
                <w:iCs w:val="1"/>
                <w:color w:val="auto"/>
              </w:rPr>
              <w:t>($ in millions)</w:t>
            </w:r>
          </w:p>
        </w:tc>
        <w:tc>
          <w:tcPr>
            <w:tcW w:w="18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2012</w:t>
            </w:r>
          </w:p>
        </w:tc>
        <w:tc>
          <w:tcPr>
            <w:tcW w:w="11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2013</w:t>
            </w:r>
          </w:p>
        </w:tc>
        <w:tc>
          <w:tcPr>
            <w:tcW w:w="104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color w:val="auto"/>
              </w:rPr>
              <w:t>Growth</w:t>
            </w:r>
          </w:p>
        </w:tc>
        <w:tc>
          <w:tcPr>
            <w:tcW w:w="17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2012</w:t>
            </w:r>
          </w:p>
        </w:tc>
        <w:tc>
          <w:tcPr>
            <w:tcW w:w="8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2013</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Growth</w:t>
            </w:r>
          </w:p>
        </w:tc>
      </w:tr>
      <w:tr>
        <w:trPr>
          <w:trHeight w:val="203"/>
        </w:trPr>
        <w:tc>
          <w:tcPr>
            <w:tcW w:w="40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Cable Communications Revenue</w:t>
            </w:r>
          </w:p>
        </w:tc>
        <w:tc>
          <w:tcPr>
            <w:tcW w:w="18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040" w:type="dxa"/>
            <w:vAlign w:val="bottom"/>
            <w:tcBorders>
              <w:bottom w:val="single" w:sz="8" w:color="auto"/>
              <w:right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r>
      <w:tr>
        <w:trPr>
          <w:trHeight w:val="196"/>
        </w:trPr>
        <w:tc>
          <w:tcPr>
            <w:tcW w:w="40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Video</w:t>
            </w:r>
          </w:p>
        </w:tc>
        <w:tc>
          <w:tcPr>
            <w:tcW w:w="18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$5,003</w:t>
            </w:r>
          </w:p>
        </w:tc>
        <w:tc>
          <w:tcPr>
            <w:tcW w:w="11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$5,120</w:t>
            </w:r>
          </w:p>
        </w:tc>
        <w:tc>
          <w:tcPr>
            <w:tcW w:w="104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color w:val="auto"/>
              </w:rPr>
              <w:t>2.3%</w:t>
            </w:r>
          </w:p>
        </w:tc>
        <w:tc>
          <w:tcPr>
            <w:tcW w:w="17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$19,952</w:t>
            </w:r>
          </w:p>
        </w:tc>
        <w:tc>
          <w:tcPr>
            <w:tcW w:w="8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w w:val="98"/>
              </w:rPr>
              <w:t>$20,535</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w:t>
            </w:r>
          </w:p>
        </w:tc>
      </w:tr>
      <w:tr>
        <w:trPr>
          <w:trHeight w:val="196"/>
        </w:trPr>
        <w:tc>
          <w:tcPr>
            <w:tcW w:w="40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High-Speed Internet</w:t>
            </w:r>
          </w:p>
        </w:tc>
        <w:tc>
          <w:tcPr>
            <w:tcW w:w="18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2,438</w:t>
            </w:r>
          </w:p>
        </w:tc>
        <w:tc>
          <w:tcPr>
            <w:tcW w:w="11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2,650</w:t>
            </w:r>
          </w:p>
        </w:tc>
        <w:tc>
          <w:tcPr>
            <w:tcW w:w="104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color w:val="auto"/>
              </w:rPr>
              <w:t>8.7%</w:t>
            </w:r>
          </w:p>
        </w:tc>
        <w:tc>
          <w:tcPr>
            <w:tcW w:w="17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9,544</w:t>
            </w:r>
          </w:p>
        </w:tc>
        <w:tc>
          <w:tcPr>
            <w:tcW w:w="8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10,334</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w:t>
            </w:r>
          </w:p>
        </w:tc>
      </w:tr>
      <w:tr>
        <w:trPr>
          <w:trHeight w:val="196"/>
        </w:trPr>
        <w:tc>
          <w:tcPr>
            <w:tcW w:w="40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Voice</w:t>
            </w:r>
          </w:p>
        </w:tc>
        <w:tc>
          <w:tcPr>
            <w:tcW w:w="18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895</w:t>
            </w:r>
          </w:p>
        </w:tc>
        <w:tc>
          <w:tcPr>
            <w:tcW w:w="11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928</w:t>
            </w:r>
          </w:p>
        </w:tc>
        <w:tc>
          <w:tcPr>
            <w:tcW w:w="104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color w:val="auto"/>
              </w:rPr>
              <w:t>3.7%</w:t>
            </w:r>
          </w:p>
        </w:tc>
        <w:tc>
          <w:tcPr>
            <w:tcW w:w="17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3,557</w:t>
            </w:r>
          </w:p>
        </w:tc>
        <w:tc>
          <w:tcPr>
            <w:tcW w:w="8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3,657</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w:t>
            </w:r>
          </w:p>
        </w:tc>
      </w:tr>
      <w:tr>
        <w:trPr>
          <w:trHeight w:val="196"/>
        </w:trPr>
        <w:tc>
          <w:tcPr>
            <w:tcW w:w="40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Business Services</w:t>
            </w:r>
          </w:p>
        </w:tc>
        <w:tc>
          <w:tcPr>
            <w:tcW w:w="18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699</w:t>
            </w:r>
          </w:p>
        </w:tc>
        <w:tc>
          <w:tcPr>
            <w:tcW w:w="11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876</w:t>
            </w:r>
          </w:p>
        </w:tc>
        <w:tc>
          <w:tcPr>
            <w:tcW w:w="104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color w:val="auto"/>
              </w:rPr>
              <w:t>25.3%</w:t>
            </w:r>
          </w:p>
        </w:tc>
        <w:tc>
          <w:tcPr>
            <w:tcW w:w="17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2,565</w:t>
            </w:r>
          </w:p>
        </w:tc>
        <w:tc>
          <w:tcPr>
            <w:tcW w:w="8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3,241</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26.4%</w:t>
            </w:r>
          </w:p>
        </w:tc>
      </w:tr>
      <w:tr>
        <w:trPr>
          <w:trHeight w:val="196"/>
        </w:trPr>
        <w:tc>
          <w:tcPr>
            <w:tcW w:w="40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Advertising</w:t>
            </w:r>
          </w:p>
        </w:tc>
        <w:tc>
          <w:tcPr>
            <w:tcW w:w="18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651</w:t>
            </w:r>
          </w:p>
        </w:tc>
        <w:tc>
          <w:tcPr>
            <w:tcW w:w="11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602</w:t>
            </w:r>
          </w:p>
        </w:tc>
        <w:tc>
          <w:tcPr>
            <w:tcW w:w="104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color w:val="auto"/>
              </w:rPr>
              <w:t>(7.5%)</w:t>
            </w:r>
          </w:p>
        </w:tc>
        <w:tc>
          <w:tcPr>
            <w:tcW w:w="17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2,284</w:t>
            </w:r>
          </w:p>
        </w:tc>
        <w:tc>
          <w:tcPr>
            <w:tcW w:w="8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2,189</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w:t>
            </w:r>
          </w:p>
        </w:tc>
      </w:tr>
      <w:tr>
        <w:trPr>
          <w:trHeight w:val="203"/>
        </w:trPr>
        <w:tc>
          <w:tcPr>
            <w:tcW w:w="40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Other</w:t>
            </w:r>
          </w:p>
        </w:tc>
        <w:tc>
          <w:tcPr>
            <w:tcW w:w="18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446</w:t>
            </w:r>
          </w:p>
        </w:tc>
        <w:tc>
          <w:tcPr>
            <w:tcW w:w="11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485</w:t>
            </w:r>
          </w:p>
        </w:tc>
        <w:tc>
          <w:tcPr>
            <w:tcW w:w="104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color w:val="auto"/>
              </w:rPr>
              <w:t>8.5%</w:t>
            </w:r>
          </w:p>
        </w:tc>
        <w:tc>
          <w:tcPr>
            <w:tcW w:w="17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1,702</w:t>
            </w:r>
          </w:p>
        </w:tc>
        <w:tc>
          <w:tcPr>
            <w:tcW w:w="8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1,880</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w:t>
            </w:r>
          </w:p>
        </w:tc>
      </w:tr>
      <w:tr>
        <w:trPr>
          <w:trHeight w:val="218"/>
        </w:trPr>
        <w:tc>
          <w:tcPr>
            <w:tcW w:w="4000" w:type="dxa"/>
            <w:vAlign w:val="bottom"/>
          </w:tcPr>
          <w:p>
            <w:pPr>
              <w:ind w:left="40"/>
              <w:spacing w:after="0"/>
              <w:rPr>
                <w:sz w:val="20"/>
                <w:szCs w:val="20"/>
                <w:color w:val="auto"/>
              </w:rPr>
            </w:pPr>
            <w:r>
              <w:rPr>
                <w:rFonts w:ascii="Arial" w:cs="Arial" w:eastAsia="Arial" w:hAnsi="Arial"/>
                <w:sz w:val="14"/>
                <w:szCs w:val="14"/>
                <w:b w:val="1"/>
                <w:bCs w:val="1"/>
                <w:color w:val="auto"/>
              </w:rPr>
              <w:t>Cable Communications Revenue</w:t>
            </w:r>
          </w:p>
        </w:tc>
        <w:tc>
          <w:tcPr>
            <w:tcW w:w="1880" w:type="dxa"/>
            <w:vAlign w:val="bottom"/>
          </w:tcPr>
          <w:p>
            <w:pPr>
              <w:jc w:val="right"/>
              <w:ind w:right="188"/>
              <w:spacing w:after="0"/>
              <w:rPr>
                <w:sz w:val="20"/>
                <w:szCs w:val="20"/>
                <w:color w:val="auto"/>
              </w:rPr>
            </w:pPr>
            <w:r>
              <w:rPr>
                <w:rFonts w:ascii="Arial" w:cs="Arial" w:eastAsia="Arial" w:hAnsi="Arial"/>
                <w:sz w:val="14"/>
                <w:szCs w:val="14"/>
                <w:b w:val="1"/>
                <w:bCs w:val="1"/>
                <w:color w:val="auto"/>
              </w:rPr>
              <w:t>$10,132</w:t>
            </w:r>
          </w:p>
        </w:tc>
        <w:tc>
          <w:tcPr>
            <w:tcW w:w="1120" w:type="dxa"/>
            <w:vAlign w:val="bottom"/>
          </w:tcPr>
          <w:p>
            <w:pPr>
              <w:jc w:val="right"/>
              <w:ind w:right="268"/>
              <w:spacing w:after="0"/>
              <w:rPr>
                <w:sz w:val="20"/>
                <w:szCs w:val="20"/>
                <w:color w:val="auto"/>
              </w:rPr>
            </w:pPr>
            <w:r>
              <w:rPr>
                <w:rFonts w:ascii="Arial" w:cs="Arial" w:eastAsia="Arial" w:hAnsi="Arial"/>
                <w:sz w:val="14"/>
                <w:szCs w:val="14"/>
                <w:b w:val="1"/>
                <w:bCs w:val="1"/>
                <w:color w:val="auto"/>
              </w:rPr>
              <w:t>$10,661</w:t>
            </w:r>
          </w:p>
        </w:tc>
        <w:tc>
          <w:tcPr>
            <w:tcW w:w="104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5.2%</w:t>
            </w:r>
          </w:p>
        </w:tc>
        <w:tc>
          <w:tcPr>
            <w:tcW w:w="1720" w:type="dxa"/>
            <w:vAlign w:val="bottom"/>
          </w:tcPr>
          <w:p>
            <w:pPr>
              <w:jc w:val="right"/>
              <w:ind w:right="428"/>
              <w:spacing w:after="0"/>
              <w:rPr>
                <w:sz w:val="20"/>
                <w:szCs w:val="20"/>
                <w:color w:val="auto"/>
              </w:rPr>
            </w:pPr>
            <w:r>
              <w:rPr>
                <w:rFonts w:ascii="Arial" w:cs="Arial" w:eastAsia="Arial" w:hAnsi="Arial"/>
                <w:sz w:val="14"/>
                <w:szCs w:val="14"/>
                <w:b w:val="1"/>
                <w:bCs w:val="1"/>
                <w:color w:val="auto"/>
              </w:rPr>
              <w:t>$39,604</w:t>
            </w:r>
          </w:p>
        </w:tc>
        <w:tc>
          <w:tcPr>
            <w:tcW w:w="840" w:type="dxa"/>
            <w:vAlign w:val="bottom"/>
          </w:tcPr>
          <w:p>
            <w:pPr>
              <w:jc w:val="right"/>
              <w:ind w:right="248"/>
              <w:spacing w:after="0"/>
              <w:rPr>
                <w:sz w:val="20"/>
                <w:szCs w:val="20"/>
                <w:color w:val="auto"/>
              </w:rPr>
            </w:pPr>
            <w:r>
              <w:rPr>
                <w:rFonts w:ascii="Arial" w:cs="Arial" w:eastAsia="Arial" w:hAnsi="Arial"/>
                <w:sz w:val="14"/>
                <w:szCs w:val="14"/>
                <w:b w:val="1"/>
                <w:bCs w:val="1"/>
                <w:color w:val="auto"/>
                <w:w w:val="98"/>
              </w:rPr>
              <w:t>$41,836</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5.6%</w:t>
            </w:r>
          </w:p>
        </w:tc>
      </w:tr>
      <w:tr>
        <w:trPr>
          <w:trHeight w:val="195"/>
        </w:trPr>
        <w:tc>
          <w:tcPr>
            <w:tcW w:w="40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4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r>
      <w:tr>
        <w:trPr>
          <w:trHeight w:val="203"/>
        </w:trPr>
        <w:tc>
          <w:tcPr>
            <w:tcW w:w="40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Cable Communications OCF</w:t>
            </w:r>
          </w:p>
        </w:tc>
        <w:tc>
          <w:tcPr>
            <w:tcW w:w="18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$4,201</w:t>
            </w:r>
          </w:p>
        </w:tc>
        <w:tc>
          <w:tcPr>
            <w:tcW w:w="11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$4,405</w:t>
            </w:r>
          </w:p>
        </w:tc>
        <w:tc>
          <w:tcPr>
            <w:tcW w:w="104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4.8%</w:t>
            </w:r>
          </w:p>
        </w:tc>
        <w:tc>
          <w:tcPr>
            <w:tcW w:w="17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$16,255</w:t>
            </w:r>
          </w:p>
        </w:tc>
        <w:tc>
          <w:tcPr>
            <w:tcW w:w="8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w w:val="98"/>
              </w:rPr>
              <w:t>$17,205</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5.8%</w:t>
            </w:r>
          </w:p>
        </w:tc>
      </w:tr>
      <w:tr>
        <w:trPr>
          <w:trHeight w:val="211"/>
        </w:trPr>
        <w:tc>
          <w:tcPr>
            <w:tcW w:w="4000" w:type="dxa"/>
            <w:vAlign w:val="bottom"/>
          </w:tcPr>
          <w:p>
            <w:pPr>
              <w:ind w:left="40"/>
              <w:spacing w:after="0"/>
              <w:rPr>
                <w:sz w:val="20"/>
                <w:szCs w:val="20"/>
                <w:color w:val="auto"/>
              </w:rPr>
            </w:pPr>
            <w:r>
              <w:rPr>
                <w:rFonts w:ascii="Arial" w:cs="Arial" w:eastAsia="Arial" w:hAnsi="Arial"/>
                <w:sz w:val="14"/>
                <w:szCs w:val="14"/>
                <w:i w:val="1"/>
                <w:iCs w:val="1"/>
                <w:color w:val="auto"/>
              </w:rPr>
              <w:t>OCF Margin</w:t>
            </w:r>
          </w:p>
        </w:tc>
        <w:tc>
          <w:tcPr>
            <w:tcW w:w="1880" w:type="dxa"/>
            <w:vAlign w:val="bottom"/>
          </w:tcPr>
          <w:p>
            <w:pPr>
              <w:jc w:val="right"/>
              <w:ind w:right="188"/>
              <w:spacing w:after="0"/>
              <w:rPr>
                <w:sz w:val="20"/>
                <w:szCs w:val="20"/>
                <w:color w:val="auto"/>
              </w:rPr>
            </w:pPr>
            <w:r>
              <w:rPr>
                <w:rFonts w:ascii="Arial" w:cs="Arial" w:eastAsia="Arial" w:hAnsi="Arial"/>
                <w:sz w:val="14"/>
                <w:szCs w:val="14"/>
                <w:i w:val="1"/>
                <w:iCs w:val="1"/>
                <w:color w:val="auto"/>
              </w:rPr>
              <w:t>41.5%</w:t>
            </w:r>
          </w:p>
        </w:tc>
        <w:tc>
          <w:tcPr>
            <w:tcW w:w="1120" w:type="dxa"/>
            <w:vAlign w:val="bottom"/>
          </w:tcPr>
          <w:p>
            <w:pPr>
              <w:jc w:val="right"/>
              <w:ind w:right="268"/>
              <w:spacing w:after="0"/>
              <w:rPr>
                <w:sz w:val="20"/>
                <w:szCs w:val="20"/>
                <w:color w:val="auto"/>
              </w:rPr>
            </w:pPr>
            <w:r>
              <w:rPr>
                <w:rFonts w:ascii="Arial" w:cs="Arial" w:eastAsia="Arial" w:hAnsi="Arial"/>
                <w:sz w:val="14"/>
                <w:szCs w:val="14"/>
                <w:i w:val="1"/>
                <w:iCs w:val="1"/>
                <w:color w:val="auto"/>
              </w:rPr>
              <w:t>41.3%</w:t>
            </w:r>
          </w:p>
        </w:tc>
        <w:tc>
          <w:tcPr>
            <w:tcW w:w="1040" w:type="dxa"/>
            <w:vAlign w:val="bottom"/>
            <w:tcBorders>
              <w:right w:val="single" w:sz="8" w:color="auto"/>
            </w:tcBorders>
          </w:tcPr>
          <w:p>
            <w:pPr>
              <w:spacing w:after="0"/>
              <w:rPr>
                <w:sz w:val="18"/>
                <w:szCs w:val="18"/>
                <w:color w:val="auto"/>
              </w:rPr>
            </w:pPr>
          </w:p>
        </w:tc>
        <w:tc>
          <w:tcPr>
            <w:tcW w:w="1720" w:type="dxa"/>
            <w:vAlign w:val="bottom"/>
          </w:tcPr>
          <w:p>
            <w:pPr>
              <w:jc w:val="right"/>
              <w:ind w:right="428"/>
              <w:spacing w:after="0"/>
              <w:rPr>
                <w:sz w:val="20"/>
                <w:szCs w:val="20"/>
                <w:color w:val="auto"/>
              </w:rPr>
            </w:pPr>
            <w:r>
              <w:rPr>
                <w:rFonts w:ascii="Arial" w:cs="Arial" w:eastAsia="Arial" w:hAnsi="Arial"/>
                <w:sz w:val="14"/>
                <w:szCs w:val="14"/>
                <w:i w:val="1"/>
                <w:iCs w:val="1"/>
                <w:color w:val="auto"/>
              </w:rPr>
              <w:t>41.0%</w:t>
            </w:r>
          </w:p>
        </w:tc>
        <w:tc>
          <w:tcPr>
            <w:tcW w:w="840" w:type="dxa"/>
            <w:vAlign w:val="bottom"/>
          </w:tcPr>
          <w:p>
            <w:pPr>
              <w:jc w:val="right"/>
              <w:ind w:right="248"/>
              <w:spacing w:after="0"/>
              <w:rPr>
                <w:sz w:val="20"/>
                <w:szCs w:val="20"/>
                <w:color w:val="auto"/>
              </w:rPr>
            </w:pPr>
            <w:r>
              <w:rPr>
                <w:rFonts w:ascii="Arial" w:cs="Arial" w:eastAsia="Arial" w:hAnsi="Arial"/>
                <w:sz w:val="14"/>
                <w:szCs w:val="14"/>
                <w:i w:val="1"/>
                <w:iCs w:val="1"/>
                <w:color w:val="auto"/>
              </w:rPr>
              <w:t>41.1%</w:t>
            </w:r>
          </w:p>
        </w:tc>
        <w:tc>
          <w:tcPr>
            <w:tcW w:w="820" w:type="dxa"/>
            <w:vAlign w:val="bottom"/>
          </w:tcPr>
          <w:p>
            <w:pPr>
              <w:spacing w:after="0"/>
              <w:rPr>
                <w:sz w:val="18"/>
                <w:szCs w:val="18"/>
                <w:color w:val="auto"/>
              </w:rPr>
            </w:pPr>
          </w:p>
        </w:tc>
      </w:tr>
      <w:tr>
        <w:trPr>
          <w:trHeight w:val="195"/>
        </w:trPr>
        <w:tc>
          <w:tcPr>
            <w:tcW w:w="40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4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r>
      <w:tr>
        <w:trPr>
          <w:trHeight w:val="203"/>
        </w:trPr>
        <w:tc>
          <w:tcPr>
            <w:tcW w:w="40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Cable Communications Capital Expenditures</w:t>
            </w:r>
          </w:p>
        </w:tc>
        <w:tc>
          <w:tcPr>
            <w:tcW w:w="18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$1,377</w:t>
            </w:r>
          </w:p>
        </w:tc>
        <w:tc>
          <w:tcPr>
            <w:tcW w:w="11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$1,637</w:t>
            </w:r>
          </w:p>
        </w:tc>
        <w:tc>
          <w:tcPr>
            <w:tcW w:w="104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color w:val="auto"/>
              </w:rPr>
              <w:t>18.9%</w:t>
            </w:r>
          </w:p>
        </w:tc>
        <w:tc>
          <w:tcPr>
            <w:tcW w:w="17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$4,921</w:t>
            </w:r>
          </w:p>
        </w:tc>
        <w:tc>
          <w:tcPr>
            <w:tcW w:w="8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$5,403</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w:t>
            </w:r>
          </w:p>
        </w:tc>
      </w:tr>
      <w:tr>
        <w:trPr>
          <w:trHeight w:val="196"/>
        </w:trPr>
        <w:tc>
          <w:tcPr>
            <w:tcW w:w="400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Percent of Cable Communications Revenue</w:t>
            </w:r>
          </w:p>
        </w:tc>
        <w:tc>
          <w:tcPr>
            <w:tcW w:w="18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i w:val="1"/>
                <w:iCs w:val="1"/>
                <w:color w:val="auto"/>
              </w:rPr>
              <w:t>13.6%</w:t>
            </w:r>
          </w:p>
        </w:tc>
        <w:tc>
          <w:tcPr>
            <w:tcW w:w="11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i w:val="1"/>
                <w:iCs w:val="1"/>
                <w:color w:val="auto"/>
              </w:rPr>
              <w:t>15.4%</w:t>
            </w:r>
          </w:p>
        </w:tc>
        <w:tc>
          <w:tcPr>
            <w:tcW w:w="1040" w:type="dxa"/>
            <w:vAlign w:val="bottom"/>
            <w:tcBorders>
              <w:bottom w:val="single" w:sz="8" w:color="auto"/>
              <w:right w:val="single" w:sz="8" w:color="auto"/>
            </w:tcBorders>
          </w:tcPr>
          <w:p>
            <w:pPr>
              <w:spacing w:after="0"/>
              <w:rPr>
                <w:sz w:val="17"/>
                <w:szCs w:val="17"/>
                <w:color w:val="auto"/>
              </w:rPr>
            </w:pPr>
          </w:p>
        </w:tc>
        <w:tc>
          <w:tcPr>
            <w:tcW w:w="17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i w:val="1"/>
                <w:iCs w:val="1"/>
                <w:color w:val="auto"/>
              </w:rPr>
              <w:t>12.4%</w:t>
            </w:r>
          </w:p>
        </w:tc>
        <w:tc>
          <w:tcPr>
            <w:tcW w:w="8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i w:val="1"/>
                <w:iCs w:val="1"/>
                <w:color w:val="auto"/>
              </w:rPr>
              <w:t>12.9%</w:t>
            </w:r>
          </w:p>
        </w:tc>
        <w:tc>
          <w:tcPr>
            <w:tcW w:w="820" w:type="dxa"/>
            <w:vAlign w:val="bottom"/>
            <w:tcBorders>
              <w:bottom w:val="single" w:sz="8" w:color="auto"/>
            </w:tcBorders>
          </w:tcPr>
          <w:p>
            <w:pPr>
              <w:spacing w:after="0"/>
              <w:rPr>
                <w:sz w:val="17"/>
                <w:szCs w:val="17"/>
                <w:color w:val="auto"/>
              </w:rPr>
            </w:pPr>
          </w:p>
        </w:tc>
      </w:tr>
    </w:tbl>
    <w:p>
      <w:pPr>
        <w:spacing w:after="0" w:line="18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Cable Communications increased 5.2% to $10.7 billion in the fourth quarter of 2013 compared to $10.1 billion in the fourth quarter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2012, driven by increases of 8.7% in high-speed Internet, 25.3% in business services and 2.3% in video, partially offset by a 7.5% decline in advertising due to lower political advertising revenue. The increase in Cable revenue reflects rate adjustments, customers receiving higher levels of services and customer growth (see below).</w:t>
      </w:r>
    </w:p>
    <w:p>
      <w:pPr>
        <w:spacing w:after="0" w:line="183"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For the year ended December 31, 2013, Cable revenue increased 5.6% to $41.8 billion compared to $39.6 billion in 2012, driven by growth in high-speed Internet, business services, video and voice services, partially offset by a decline in advertising.</w:t>
      </w:r>
    </w:p>
    <w:p>
      <w:pPr>
        <w:sectPr>
          <w:pgSz w:w="11900" w:h="16838" w:orient="portrait"/>
          <w:cols w:equalWidth="0" w:num="1">
            <w:col w:w="11420"/>
          </w:cols>
          <w:pgMar w:left="240" w:top="140" w:right="239" w:bottom="0" w:gutter="0" w:footer="0" w:header="0"/>
        </w:sectPr>
      </w:pPr>
    </w:p>
    <w:bookmarkStart w:id="4" w:name="page5"/>
    <w:bookmarkEnd w:id="4"/>
    <w:p>
      <w:pPr>
        <w:jc w:val="both"/>
        <w:ind w:right="60"/>
        <w:spacing w:after="0" w:line="270" w:lineRule="auto"/>
        <w:rPr>
          <w:sz w:val="20"/>
          <w:szCs w:val="20"/>
          <w:color w:val="auto"/>
        </w:rPr>
      </w:pPr>
      <w:r>
        <w:rPr>
          <w:rFonts w:ascii="Arial" w:cs="Arial" w:eastAsia="Arial" w:hAnsi="Arial"/>
          <w:sz w:val="18"/>
          <w:szCs w:val="18"/>
          <w:b w:val="1"/>
          <w:bCs w:val="1"/>
          <w:i w:val="1"/>
          <w:iCs w:val="1"/>
          <w:color w:val="auto"/>
        </w:rPr>
        <w:t xml:space="preserve">Combined Video, High-Speed Internet and Voice Customers </w:t>
      </w:r>
      <w:r>
        <w:rPr>
          <w:rFonts w:ascii="Arial" w:cs="Arial" w:eastAsia="Arial" w:hAnsi="Arial"/>
          <w:sz w:val="18"/>
          <w:szCs w:val="18"/>
          <w:color w:val="auto"/>
        </w:rPr>
        <w:t>increased by 649,000 in the fourth quarter of 2013, a 29.0% increase in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additions compared to fourth quarter 2012, driven by growth in high-speed Internet, voice and video customers.</w:t>
      </w:r>
    </w:p>
    <w:p>
      <w:pPr>
        <w:spacing w:after="0" w:line="163" w:lineRule="exact"/>
        <w:rPr>
          <w:sz w:val="20"/>
          <w:szCs w:val="20"/>
          <w:color w:val="auto"/>
        </w:rPr>
      </w:pPr>
    </w:p>
    <w:p>
      <w:pPr>
        <w:jc w:val="both"/>
        <w:ind w:right="60"/>
        <w:spacing w:after="0" w:line="246" w:lineRule="auto"/>
        <w:rPr>
          <w:sz w:val="20"/>
          <w:szCs w:val="20"/>
          <w:color w:val="auto"/>
        </w:rPr>
      </w:pPr>
      <w:r>
        <w:rPr>
          <w:rFonts w:ascii="Arial" w:cs="Arial" w:eastAsia="Arial" w:hAnsi="Arial"/>
          <w:sz w:val="18"/>
          <w:szCs w:val="18"/>
          <w:color w:val="auto"/>
        </w:rPr>
        <w:t>As of December 31, 2013, video, high-speed Internet and voice customers totaled 53.1 million, an increase of 1.8 million or 3.4% over the prior year, reflecting increased high-speed Internet and voice customer additions and reduced video customer losses.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60" w:type="dxa"/>
            <w:vAlign w:val="bottom"/>
          </w:tcPr>
          <w:p>
            <w:pPr>
              <w:spacing w:after="0"/>
              <w:rPr>
                <w:sz w:val="14"/>
                <w:szCs w:val="14"/>
                <w:color w:val="auto"/>
              </w:rPr>
            </w:pPr>
          </w:p>
        </w:tc>
        <w:tc>
          <w:tcPr>
            <w:tcW w:w="2580" w:type="dxa"/>
            <w:vAlign w:val="bottom"/>
          </w:tcPr>
          <w:p>
            <w:pPr>
              <w:jc w:val="right"/>
              <w:spacing w:after="0"/>
              <w:rPr>
                <w:sz w:val="20"/>
                <w:szCs w:val="20"/>
                <w:color w:val="auto"/>
              </w:rPr>
            </w:pPr>
            <w:r>
              <w:rPr>
                <w:rFonts w:ascii="Arial" w:cs="Arial" w:eastAsia="Arial" w:hAnsi="Arial"/>
                <w:sz w:val="14"/>
                <w:szCs w:val="14"/>
                <w:color w:val="auto"/>
              </w:rPr>
              <w:t>Customers</w:t>
            </w:r>
          </w:p>
        </w:tc>
        <w:tc>
          <w:tcPr>
            <w:tcW w:w="960" w:type="dxa"/>
            <w:vAlign w:val="bottom"/>
            <w:tcBorders>
              <w:right w:val="single" w:sz="8" w:color="auto"/>
            </w:tcBorders>
          </w:tcPr>
          <w:p>
            <w:pPr>
              <w:spacing w:after="0"/>
              <w:rPr>
                <w:sz w:val="14"/>
                <w:szCs w:val="14"/>
                <w:color w:val="auto"/>
              </w:rPr>
            </w:pPr>
          </w:p>
        </w:tc>
        <w:tc>
          <w:tcPr>
            <w:tcW w:w="1360" w:type="dxa"/>
            <w:vAlign w:val="bottom"/>
          </w:tcPr>
          <w:p>
            <w:pPr>
              <w:spacing w:after="0"/>
              <w:rPr>
                <w:sz w:val="14"/>
                <w:szCs w:val="14"/>
                <w:color w:val="auto"/>
              </w:rPr>
            </w:pPr>
          </w:p>
        </w:tc>
        <w:tc>
          <w:tcPr>
            <w:tcW w:w="1680" w:type="dxa"/>
            <w:vAlign w:val="bottom"/>
            <w:gridSpan w:val="2"/>
          </w:tcPr>
          <w:p>
            <w:pPr>
              <w:jc w:val="right"/>
              <w:ind w:right="408"/>
              <w:spacing w:after="0"/>
              <w:rPr>
                <w:sz w:val="20"/>
                <w:szCs w:val="20"/>
                <w:color w:val="auto"/>
              </w:rPr>
            </w:pPr>
            <w:r>
              <w:rPr>
                <w:rFonts w:ascii="Arial" w:cs="Arial" w:eastAsia="Arial" w:hAnsi="Arial"/>
                <w:sz w:val="14"/>
                <w:szCs w:val="14"/>
                <w:color w:val="auto"/>
              </w:rPr>
              <w:t>Net Additions</w:t>
            </w: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0"/>
        </w:trPr>
        <w:tc>
          <w:tcPr>
            <w:tcW w:w="4260" w:type="dxa"/>
            <w:vAlign w:val="bottom"/>
            <w:tcBorders>
              <w:bottom w:val="single" w:sz="8" w:color="auto"/>
            </w:tcBorders>
          </w:tcPr>
          <w:p>
            <w:pPr>
              <w:ind w:left="40"/>
              <w:spacing w:after="0"/>
              <w:rPr>
                <w:sz w:val="20"/>
                <w:szCs w:val="20"/>
                <w:color w:val="auto"/>
              </w:rPr>
            </w:pPr>
            <w:r>
              <w:rPr>
                <w:rFonts w:ascii="Arial" w:cs="Arial" w:eastAsia="Arial" w:hAnsi="Arial"/>
                <w:sz w:val="11"/>
                <w:szCs w:val="11"/>
                <w:i w:val="1"/>
                <w:iCs w:val="1"/>
                <w:color w:val="auto"/>
              </w:rPr>
              <w:t>(in thousands)</w:t>
            </w:r>
          </w:p>
        </w:tc>
        <w:tc>
          <w:tcPr>
            <w:tcW w:w="258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rPr>
              <w:t>YE12</w:t>
            </w:r>
          </w:p>
        </w:tc>
        <w:tc>
          <w:tcPr>
            <w:tcW w:w="960" w:type="dxa"/>
            <w:vAlign w:val="bottom"/>
            <w:tcBorders>
              <w:bottom w:val="single" w:sz="8" w:color="auto"/>
              <w:right w:val="single" w:sz="8" w:color="auto"/>
            </w:tcBorders>
          </w:tcPr>
          <w:p>
            <w:pPr>
              <w:jc w:val="right"/>
              <w:ind w:right="408"/>
              <w:spacing w:after="0"/>
              <w:rPr>
                <w:sz w:val="20"/>
                <w:szCs w:val="20"/>
                <w:color w:val="auto"/>
              </w:rPr>
            </w:pPr>
            <w:r>
              <w:rPr>
                <w:rFonts w:ascii="Arial" w:cs="Arial" w:eastAsia="Arial" w:hAnsi="Arial"/>
                <w:sz w:val="14"/>
                <w:szCs w:val="14"/>
                <w:color w:val="auto"/>
              </w:rPr>
              <w:t>YE13</w:t>
            </w:r>
          </w:p>
        </w:tc>
        <w:tc>
          <w:tcPr>
            <w:tcW w:w="13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4Q12</w:t>
            </w:r>
          </w:p>
        </w:tc>
        <w:tc>
          <w:tcPr>
            <w:tcW w:w="80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color w:val="auto"/>
              </w:rPr>
              <w:t>4Q13</w:t>
            </w:r>
          </w:p>
        </w:tc>
        <w:tc>
          <w:tcPr>
            <w:tcW w:w="8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2012</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2013</w:t>
            </w:r>
          </w:p>
        </w:tc>
        <w:tc>
          <w:tcPr>
            <w:tcW w:w="40" w:type="dxa"/>
            <w:vAlign w:val="bottom"/>
          </w:tcPr>
          <w:p>
            <w:pPr>
              <w:spacing w:after="0"/>
              <w:rPr>
                <w:sz w:val="18"/>
                <w:szCs w:val="18"/>
                <w:color w:val="auto"/>
              </w:rPr>
            </w:pPr>
          </w:p>
        </w:tc>
      </w:tr>
      <w:tr>
        <w:trPr>
          <w:trHeight w:val="203"/>
        </w:trPr>
        <w:tc>
          <w:tcPr>
            <w:tcW w:w="4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Video Customers</w:t>
            </w:r>
          </w:p>
        </w:tc>
        <w:tc>
          <w:tcPr>
            <w:tcW w:w="258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rPr>
              <w:t>21,995</w:t>
            </w:r>
          </w:p>
        </w:tc>
        <w:tc>
          <w:tcPr>
            <w:tcW w:w="960" w:type="dxa"/>
            <w:vAlign w:val="bottom"/>
            <w:tcBorders>
              <w:bottom w:val="single" w:sz="8" w:color="auto"/>
              <w:right w:val="single" w:sz="8" w:color="auto"/>
            </w:tcBorders>
          </w:tcPr>
          <w:p>
            <w:pPr>
              <w:jc w:val="right"/>
              <w:ind w:right="408"/>
              <w:spacing w:after="0"/>
              <w:rPr>
                <w:sz w:val="20"/>
                <w:szCs w:val="20"/>
                <w:color w:val="auto"/>
              </w:rPr>
            </w:pPr>
            <w:r>
              <w:rPr>
                <w:rFonts w:ascii="Arial" w:cs="Arial" w:eastAsia="Arial" w:hAnsi="Arial"/>
                <w:sz w:val="14"/>
                <w:szCs w:val="14"/>
                <w:color w:val="auto"/>
              </w:rPr>
              <w:t>21,690</w:t>
            </w:r>
          </w:p>
        </w:tc>
        <w:tc>
          <w:tcPr>
            <w:tcW w:w="13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(7)</w:t>
            </w:r>
          </w:p>
        </w:tc>
        <w:tc>
          <w:tcPr>
            <w:tcW w:w="80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color w:val="auto"/>
              </w:rPr>
              <w:t>43</w:t>
            </w:r>
          </w:p>
        </w:tc>
        <w:tc>
          <w:tcPr>
            <w:tcW w:w="8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(336)</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(305)</w:t>
            </w:r>
          </w:p>
        </w:tc>
        <w:tc>
          <w:tcPr>
            <w:tcW w:w="40" w:type="dxa"/>
            <w:vAlign w:val="bottom"/>
          </w:tcPr>
          <w:p>
            <w:pPr>
              <w:spacing w:after="0"/>
              <w:rPr>
                <w:sz w:val="17"/>
                <w:szCs w:val="17"/>
                <w:color w:val="auto"/>
              </w:rPr>
            </w:pPr>
          </w:p>
        </w:tc>
      </w:tr>
      <w:tr>
        <w:trPr>
          <w:trHeight w:val="196"/>
        </w:trPr>
        <w:tc>
          <w:tcPr>
            <w:tcW w:w="4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High-Speed Internet Customers</w:t>
            </w:r>
          </w:p>
        </w:tc>
        <w:tc>
          <w:tcPr>
            <w:tcW w:w="258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rPr>
              <w:t>19,367</w:t>
            </w:r>
          </w:p>
        </w:tc>
        <w:tc>
          <w:tcPr>
            <w:tcW w:w="960" w:type="dxa"/>
            <w:vAlign w:val="bottom"/>
            <w:tcBorders>
              <w:bottom w:val="single" w:sz="8" w:color="auto"/>
              <w:right w:val="single" w:sz="8" w:color="auto"/>
            </w:tcBorders>
          </w:tcPr>
          <w:p>
            <w:pPr>
              <w:jc w:val="right"/>
              <w:ind w:right="408"/>
              <w:spacing w:after="0"/>
              <w:rPr>
                <w:sz w:val="20"/>
                <w:szCs w:val="20"/>
                <w:color w:val="auto"/>
              </w:rPr>
            </w:pPr>
            <w:r>
              <w:rPr>
                <w:rFonts w:ascii="Arial" w:cs="Arial" w:eastAsia="Arial" w:hAnsi="Arial"/>
                <w:sz w:val="14"/>
                <w:szCs w:val="14"/>
                <w:color w:val="auto"/>
              </w:rPr>
              <w:t>20,662</w:t>
            </w:r>
          </w:p>
        </w:tc>
        <w:tc>
          <w:tcPr>
            <w:tcW w:w="13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341</w:t>
            </w:r>
          </w:p>
        </w:tc>
        <w:tc>
          <w:tcPr>
            <w:tcW w:w="80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color w:val="auto"/>
              </w:rPr>
              <w:t>379</w:t>
            </w:r>
          </w:p>
        </w:tc>
        <w:tc>
          <w:tcPr>
            <w:tcW w:w="8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1,223</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1,296</w:t>
            </w:r>
          </w:p>
        </w:tc>
        <w:tc>
          <w:tcPr>
            <w:tcW w:w="40" w:type="dxa"/>
            <w:vAlign w:val="bottom"/>
          </w:tcPr>
          <w:p>
            <w:pPr>
              <w:spacing w:after="0"/>
              <w:rPr>
                <w:sz w:val="17"/>
                <w:szCs w:val="17"/>
                <w:color w:val="auto"/>
              </w:rPr>
            </w:pPr>
          </w:p>
        </w:tc>
      </w:tr>
      <w:tr>
        <w:trPr>
          <w:trHeight w:val="203"/>
        </w:trPr>
        <w:tc>
          <w:tcPr>
            <w:tcW w:w="4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Voice Customers</w:t>
            </w:r>
          </w:p>
        </w:tc>
        <w:tc>
          <w:tcPr>
            <w:tcW w:w="258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rPr>
              <w:t>9,955</w:t>
            </w:r>
          </w:p>
        </w:tc>
        <w:tc>
          <w:tcPr>
            <w:tcW w:w="960" w:type="dxa"/>
            <w:vAlign w:val="bottom"/>
            <w:tcBorders>
              <w:bottom w:val="single" w:sz="8" w:color="auto"/>
              <w:right w:val="single" w:sz="8" w:color="auto"/>
            </w:tcBorders>
          </w:tcPr>
          <w:p>
            <w:pPr>
              <w:jc w:val="right"/>
              <w:ind w:right="408"/>
              <w:spacing w:after="0"/>
              <w:rPr>
                <w:sz w:val="20"/>
                <w:szCs w:val="20"/>
                <w:color w:val="auto"/>
              </w:rPr>
            </w:pPr>
            <w:r>
              <w:rPr>
                <w:rFonts w:ascii="Arial" w:cs="Arial" w:eastAsia="Arial" w:hAnsi="Arial"/>
                <w:sz w:val="14"/>
                <w:szCs w:val="14"/>
                <w:color w:val="auto"/>
              </w:rPr>
              <w:t>10,723</w:t>
            </w:r>
          </w:p>
        </w:tc>
        <w:tc>
          <w:tcPr>
            <w:tcW w:w="13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168</w:t>
            </w:r>
          </w:p>
        </w:tc>
        <w:tc>
          <w:tcPr>
            <w:tcW w:w="80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color w:val="auto"/>
              </w:rPr>
              <w:t>227</w:t>
            </w:r>
          </w:p>
        </w:tc>
        <w:tc>
          <w:tcPr>
            <w:tcW w:w="8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613</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768</w:t>
            </w:r>
          </w:p>
        </w:tc>
        <w:tc>
          <w:tcPr>
            <w:tcW w:w="40" w:type="dxa"/>
            <w:vAlign w:val="bottom"/>
          </w:tcPr>
          <w:p>
            <w:pPr>
              <w:spacing w:after="0"/>
              <w:rPr>
                <w:sz w:val="17"/>
                <w:szCs w:val="17"/>
                <w:color w:val="auto"/>
              </w:rPr>
            </w:pPr>
          </w:p>
        </w:tc>
      </w:tr>
      <w:tr>
        <w:trPr>
          <w:trHeight w:val="203"/>
        </w:trPr>
        <w:tc>
          <w:tcPr>
            <w:tcW w:w="4260" w:type="dxa"/>
            <w:vAlign w:val="bottom"/>
          </w:tcPr>
          <w:p>
            <w:pPr>
              <w:ind w:left="40"/>
              <w:spacing w:after="0"/>
              <w:rPr>
                <w:sz w:val="20"/>
                <w:szCs w:val="20"/>
                <w:color w:val="auto"/>
              </w:rPr>
            </w:pPr>
            <w:r>
              <w:rPr>
                <w:rFonts w:ascii="Arial" w:cs="Arial" w:eastAsia="Arial" w:hAnsi="Arial"/>
                <w:sz w:val="14"/>
                <w:szCs w:val="14"/>
                <w:color w:val="auto"/>
              </w:rPr>
              <w:t>Combined Video, HSI and Voice Customers</w:t>
            </w:r>
          </w:p>
        </w:tc>
        <w:tc>
          <w:tcPr>
            <w:tcW w:w="2580" w:type="dxa"/>
            <w:vAlign w:val="bottom"/>
          </w:tcPr>
          <w:p>
            <w:pPr>
              <w:jc w:val="right"/>
              <w:ind w:right="588"/>
              <w:spacing w:after="0"/>
              <w:rPr>
                <w:sz w:val="20"/>
                <w:szCs w:val="20"/>
                <w:color w:val="auto"/>
              </w:rPr>
            </w:pPr>
            <w:r>
              <w:rPr>
                <w:rFonts w:ascii="Arial" w:cs="Arial" w:eastAsia="Arial" w:hAnsi="Arial"/>
                <w:sz w:val="14"/>
                <w:szCs w:val="14"/>
                <w:color w:val="auto"/>
              </w:rPr>
              <w:t>51,317</w:t>
            </w:r>
          </w:p>
        </w:tc>
        <w:tc>
          <w:tcPr>
            <w:tcW w:w="960" w:type="dxa"/>
            <w:vAlign w:val="bottom"/>
            <w:tcBorders>
              <w:right w:val="single" w:sz="8" w:color="auto"/>
            </w:tcBorders>
          </w:tcPr>
          <w:p>
            <w:pPr>
              <w:jc w:val="right"/>
              <w:ind w:right="408"/>
              <w:spacing w:after="0"/>
              <w:rPr>
                <w:sz w:val="20"/>
                <w:szCs w:val="20"/>
                <w:color w:val="auto"/>
              </w:rPr>
            </w:pPr>
            <w:r>
              <w:rPr>
                <w:rFonts w:ascii="Arial" w:cs="Arial" w:eastAsia="Arial" w:hAnsi="Arial"/>
                <w:sz w:val="14"/>
                <w:szCs w:val="14"/>
                <w:color w:val="auto"/>
              </w:rPr>
              <w:t>53,075</w:t>
            </w:r>
          </w:p>
        </w:tc>
        <w:tc>
          <w:tcPr>
            <w:tcW w:w="1360" w:type="dxa"/>
            <w:vAlign w:val="bottom"/>
          </w:tcPr>
          <w:p>
            <w:pPr>
              <w:jc w:val="right"/>
              <w:ind w:right="148"/>
              <w:spacing w:after="0"/>
              <w:rPr>
                <w:sz w:val="20"/>
                <w:szCs w:val="20"/>
                <w:color w:val="auto"/>
              </w:rPr>
            </w:pPr>
            <w:r>
              <w:rPr>
                <w:rFonts w:ascii="Arial" w:cs="Arial" w:eastAsia="Arial" w:hAnsi="Arial"/>
                <w:sz w:val="14"/>
                <w:szCs w:val="14"/>
                <w:color w:val="auto"/>
              </w:rPr>
              <w:t>503</w:t>
            </w:r>
          </w:p>
        </w:tc>
        <w:tc>
          <w:tcPr>
            <w:tcW w:w="80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649</w:t>
            </w: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1,500</w:t>
            </w:r>
          </w:p>
        </w:tc>
        <w:tc>
          <w:tcPr>
            <w:tcW w:w="580" w:type="dxa"/>
            <w:vAlign w:val="bottom"/>
          </w:tcPr>
          <w:p>
            <w:pPr>
              <w:jc w:val="right"/>
              <w:spacing w:after="0"/>
              <w:rPr>
                <w:sz w:val="20"/>
                <w:szCs w:val="20"/>
                <w:color w:val="auto"/>
              </w:rPr>
            </w:pPr>
            <w:r>
              <w:rPr>
                <w:rFonts w:ascii="Arial" w:cs="Arial" w:eastAsia="Arial" w:hAnsi="Arial"/>
                <w:sz w:val="14"/>
                <w:szCs w:val="14"/>
                <w:color w:val="auto"/>
              </w:rPr>
              <w:t>1,758</w:t>
            </w:r>
          </w:p>
        </w:tc>
        <w:tc>
          <w:tcPr>
            <w:tcW w:w="40" w:type="dxa"/>
            <w:vAlign w:val="bottom"/>
          </w:tcPr>
          <w:p>
            <w:pPr>
              <w:spacing w:after="0"/>
              <w:rPr>
                <w:sz w:val="17"/>
                <w:szCs w:val="17"/>
                <w:color w:val="auto"/>
              </w:rPr>
            </w:pPr>
          </w:p>
        </w:tc>
      </w:tr>
      <w:tr>
        <w:trPr>
          <w:trHeight w:val="380"/>
        </w:trPr>
        <w:tc>
          <w:tcPr>
            <w:tcW w:w="4260" w:type="dxa"/>
            <w:vAlign w:val="bottom"/>
          </w:tcPr>
          <w:p>
            <w:pPr>
              <w:spacing w:after="0"/>
              <w:rPr>
                <w:sz w:val="24"/>
                <w:szCs w:val="24"/>
                <w:color w:val="auto"/>
              </w:rPr>
            </w:pPr>
          </w:p>
        </w:tc>
        <w:tc>
          <w:tcPr>
            <w:tcW w:w="2580" w:type="dxa"/>
            <w:vAlign w:val="bottom"/>
          </w:tcPr>
          <w:p>
            <w:pPr>
              <w:jc w:val="right"/>
              <w:ind w:right="1008"/>
              <w:spacing w:after="0"/>
              <w:rPr>
                <w:sz w:val="20"/>
                <w:szCs w:val="20"/>
                <w:color w:val="auto"/>
              </w:rPr>
            </w:pPr>
            <w:r>
              <w:rPr>
                <w:rFonts w:ascii="Arial" w:cs="Arial" w:eastAsia="Arial" w:hAnsi="Arial"/>
                <w:sz w:val="14"/>
                <w:szCs w:val="14"/>
                <w:color w:val="auto"/>
              </w:rPr>
              <w:t>3</w:t>
            </w:r>
          </w:p>
        </w:tc>
        <w:tc>
          <w:tcPr>
            <w:tcW w:w="9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7"/>
        </w:trPr>
        <w:tc>
          <w:tcPr>
            <w:tcW w:w="4260" w:type="dxa"/>
            <w:vAlign w:val="bottom"/>
            <w:tcBorders>
              <w:bottom w:val="single" w:sz="8" w:color="010101"/>
            </w:tcBorders>
          </w:tcPr>
          <w:p>
            <w:pPr>
              <w:spacing w:after="0"/>
              <w:rPr>
                <w:sz w:val="10"/>
                <w:szCs w:val="10"/>
                <w:color w:val="auto"/>
              </w:rPr>
            </w:pPr>
          </w:p>
        </w:tc>
        <w:tc>
          <w:tcPr>
            <w:tcW w:w="2580" w:type="dxa"/>
            <w:vAlign w:val="bottom"/>
            <w:tcBorders>
              <w:bottom w:val="single" w:sz="8" w:color="010101"/>
            </w:tcBorders>
          </w:tcPr>
          <w:p>
            <w:pPr>
              <w:spacing w:after="0"/>
              <w:rPr>
                <w:sz w:val="10"/>
                <w:szCs w:val="10"/>
                <w:color w:val="auto"/>
              </w:rPr>
            </w:pPr>
          </w:p>
        </w:tc>
        <w:tc>
          <w:tcPr>
            <w:tcW w:w="960" w:type="dxa"/>
            <w:vAlign w:val="bottom"/>
            <w:tcBorders>
              <w:bottom w:val="single" w:sz="8" w:color="010101"/>
            </w:tcBorders>
          </w:tcPr>
          <w:p>
            <w:pPr>
              <w:spacing w:after="0"/>
              <w:rPr>
                <w:sz w:val="10"/>
                <w:szCs w:val="10"/>
                <w:color w:val="auto"/>
              </w:rPr>
            </w:pPr>
          </w:p>
        </w:tc>
        <w:tc>
          <w:tcPr>
            <w:tcW w:w="1360" w:type="dxa"/>
            <w:vAlign w:val="bottom"/>
            <w:tcBorders>
              <w:bottom w:val="single" w:sz="8" w:color="010101"/>
            </w:tcBorders>
          </w:tcPr>
          <w:p>
            <w:pPr>
              <w:spacing w:after="0"/>
              <w:rPr>
                <w:sz w:val="10"/>
                <w:szCs w:val="10"/>
                <w:color w:val="auto"/>
              </w:rPr>
            </w:pPr>
          </w:p>
        </w:tc>
        <w:tc>
          <w:tcPr>
            <w:tcW w:w="800" w:type="dxa"/>
            <w:vAlign w:val="bottom"/>
            <w:tcBorders>
              <w:bottom w:val="single" w:sz="8" w:color="010101"/>
            </w:tcBorders>
          </w:tcPr>
          <w:p>
            <w:pPr>
              <w:spacing w:after="0"/>
              <w:rPr>
                <w:sz w:val="10"/>
                <w:szCs w:val="10"/>
                <w:color w:val="auto"/>
              </w:rPr>
            </w:pPr>
          </w:p>
        </w:tc>
        <w:tc>
          <w:tcPr>
            <w:tcW w:w="880" w:type="dxa"/>
            <w:vAlign w:val="bottom"/>
            <w:tcBorders>
              <w:bottom w:val="single" w:sz="8" w:color="010101"/>
            </w:tcBorders>
          </w:tcPr>
          <w:p>
            <w:pPr>
              <w:spacing w:after="0"/>
              <w:rPr>
                <w:sz w:val="10"/>
                <w:szCs w:val="10"/>
                <w:color w:val="auto"/>
              </w:rPr>
            </w:pPr>
          </w:p>
        </w:tc>
        <w:tc>
          <w:tcPr>
            <w:tcW w:w="580" w:type="dxa"/>
            <w:vAlign w:val="bottom"/>
            <w:tcBorders>
              <w:bottom w:val="single" w:sz="8" w:color="010101"/>
            </w:tcBorders>
          </w:tcPr>
          <w:p>
            <w:pPr>
              <w:spacing w:after="0"/>
              <w:rPr>
                <w:sz w:val="10"/>
                <w:szCs w:val="10"/>
                <w:color w:val="auto"/>
              </w:rPr>
            </w:pPr>
          </w:p>
        </w:tc>
        <w:tc>
          <w:tcPr>
            <w:tcW w:w="40" w:type="dxa"/>
            <w:vAlign w:val="bottom"/>
            <w:tcBorders>
              <w:bottom w:val="single" w:sz="8" w:color="010101"/>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jc w:val="both"/>
        <w:ind w:right="40"/>
        <w:spacing w:after="0" w:line="247" w:lineRule="auto"/>
        <w:rPr>
          <w:sz w:val="20"/>
          <w:szCs w:val="20"/>
          <w:color w:val="auto"/>
        </w:rPr>
      </w:pPr>
      <w:r>
        <w:rPr>
          <w:rFonts w:ascii="Arial" w:cs="Arial" w:eastAsia="Arial" w:hAnsi="Arial"/>
          <w:sz w:val="18"/>
          <w:szCs w:val="18"/>
          <w:b w:val="1"/>
          <w:bCs w:val="1"/>
          <w:i w:val="1"/>
          <w:iCs w:val="1"/>
          <w:color w:val="auto"/>
        </w:rPr>
        <w:t xml:space="preserve">Operating Cash Flow </w:t>
      </w:r>
      <w:r>
        <w:rPr>
          <w:rFonts w:ascii="Arial" w:cs="Arial" w:eastAsia="Arial" w:hAnsi="Arial"/>
          <w:sz w:val="18"/>
          <w:szCs w:val="18"/>
          <w:color w:val="auto"/>
        </w:rPr>
        <w:t>for Cable Communications increased 4.8% to $4.4 billion in the fourth quarter of 2013 compared to $4.2 billion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fourth quarter of 2012, reflecting higher revenue, partially offset by increased costs related to video programming and higher advertising, marketing and promotion expense to support growth and enhance our competitive position in both residential and commercial markets. This quarter’s operating cash flow margin was 41.3%, compared to 41.5% in the prior year period.</w:t>
      </w:r>
    </w:p>
    <w:p>
      <w:pPr>
        <w:spacing w:after="0" w:line="183" w:lineRule="exact"/>
        <w:rPr>
          <w:sz w:val="20"/>
          <w:szCs w:val="20"/>
          <w:color w:val="auto"/>
        </w:rPr>
      </w:pPr>
    </w:p>
    <w:p>
      <w:pPr>
        <w:jc w:val="both"/>
        <w:ind w:right="40"/>
        <w:spacing w:after="0"/>
        <w:rPr>
          <w:sz w:val="20"/>
          <w:szCs w:val="20"/>
          <w:color w:val="auto"/>
        </w:rPr>
      </w:pPr>
      <w:r>
        <w:rPr>
          <w:rFonts w:ascii="Arial" w:cs="Arial" w:eastAsia="Arial" w:hAnsi="Arial"/>
          <w:sz w:val="18"/>
          <w:szCs w:val="18"/>
          <w:color w:val="auto"/>
        </w:rPr>
        <w:t>For the year ended December 31, 2013, Cable operating cash flow increased 5.8% to $17.2 billion compared to $16.3 billion in 2012, driven by higher revenue, partially offset by a 5.5% increase in operating expenses primarily related to an 8.6% increase in programming costs. For the year, operating cash flow margin was 41.1% compared to 41.0% in 2012.</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440" w:type="dxa"/>
            <w:vAlign w:val="bottom"/>
            <w:tcBorders>
              <w:top w:val="single" w:sz="8" w:color="C9C9C9"/>
            </w:tcBorders>
          </w:tcPr>
          <w:p>
            <w:pPr>
              <w:spacing w:after="0"/>
              <w:rPr>
                <w:sz w:val="18"/>
                <w:szCs w:val="18"/>
                <w:color w:val="auto"/>
              </w:rPr>
            </w:pPr>
          </w:p>
        </w:tc>
        <w:tc>
          <w:tcPr>
            <w:tcW w:w="2660" w:type="dxa"/>
            <w:vAlign w:val="bottom"/>
            <w:tcBorders>
              <w:top w:val="single" w:sz="8" w:color="C9C9C9"/>
            </w:tcBorders>
            <w:gridSpan w:val="2"/>
          </w:tcPr>
          <w:p>
            <w:pPr>
              <w:jc w:val="right"/>
              <w:ind w:right="668"/>
              <w:spacing w:after="0"/>
              <w:rPr>
                <w:sz w:val="20"/>
                <w:szCs w:val="20"/>
                <w:color w:val="auto"/>
              </w:rPr>
            </w:pPr>
            <w:r>
              <w:rPr>
                <w:rFonts w:ascii="Arial" w:cs="Arial" w:eastAsia="Arial" w:hAnsi="Arial"/>
                <w:sz w:val="14"/>
                <w:szCs w:val="14"/>
                <w:color w:val="auto"/>
              </w:rPr>
              <w:t>4th Quarter</w:t>
            </w:r>
          </w:p>
        </w:tc>
        <w:tc>
          <w:tcPr>
            <w:tcW w:w="1040" w:type="dxa"/>
            <w:vAlign w:val="bottom"/>
            <w:tcBorders>
              <w:top w:val="single" w:sz="8" w:color="C9C9C9"/>
              <w:right w:val="single" w:sz="8" w:color="auto"/>
            </w:tcBorders>
          </w:tcPr>
          <w:p>
            <w:pPr>
              <w:spacing w:after="0"/>
              <w:rPr>
                <w:sz w:val="18"/>
                <w:szCs w:val="18"/>
                <w:color w:val="auto"/>
              </w:rPr>
            </w:pPr>
          </w:p>
        </w:tc>
        <w:tc>
          <w:tcPr>
            <w:tcW w:w="1620" w:type="dxa"/>
            <w:vAlign w:val="bottom"/>
            <w:tcBorders>
              <w:top w:val="single" w:sz="8" w:color="C9C9C9"/>
            </w:tcBorders>
          </w:tcPr>
          <w:p>
            <w:pPr>
              <w:jc w:val="right"/>
              <w:spacing w:after="0"/>
              <w:rPr>
                <w:sz w:val="20"/>
                <w:szCs w:val="20"/>
                <w:color w:val="auto"/>
              </w:rPr>
            </w:pPr>
            <w:r>
              <w:rPr>
                <w:rFonts w:ascii="Arial" w:cs="Arial" w:eastAsia="Arial" w:hAnsi="Arial"/>
                <w:sz w:val="14"/>
                <w:szCs w:val="14"/>
                <w:color w:val="auto"/>
              </w:rPr>
              <w:t>Full Year</w:t>
            </w:r>
          </w:p>
        </w:tc>
        <w:tc>
          <w:tcPr>
            <w:tcW w:w="800" w:type="dxa"/>
            <w:vAlign w:val="bottom"/>
            <w:tcBorders>
              <w:top w:val="single" w:sz="8" w:color="C9C9C9"/>
            </w:tcBorders>
          </w:tcPr>
          <w:p>
            <w:pPr>
              <w:spacing w:after="0"/>
              <w:rPr>
                <w:sz w:val="18"/>
                <w:szCs w:val="18"/>
                <w:color w:val="auto"/>
              </w:rPr>
            </w:pPr>
          </w:p>
        </w:tc>
        <w:tc>
          <w:tcPr>
            <w:tcW w:w="860" w:type="dxa"/>
            <w:vAlign w:val="bottom"/>
            <w:tcBorders>
              <w:top w:val="single" w:sz="8" w:color="C9C9C9"/>
            </w:tcBorders>
          </w:tcPr>
          <w:p>
            <w:pPr>
              <w:spacing w:after="0"/>
              <w:rPr>
                <w:sz w:val="18"/>
                <w:szCs w:val="18"/>
                <w:color w:val="auto"/>
              </w:rPr>
            </w:pPr>
          </w:p>
        </w:tc>
      </w:tr>
      <w:tr>
        <w:trPr>
          <w:trHeight w:val="262"/>
        </w:trPr>
        <w:tc>
          <w:tcPr>
            <w:tcW w:w="4440" w:type="dxa"/>
            <w:vAlign w:val="bottom"/>
            <w:tcBorders>
              <w:bottom w:val="single" w:sz="8" w:color="auto"/>
            </w:tcBorders>
          </w:tcPr>
          <w:p>
            <w:pPr>
              <w:ind w:left="40"/>
              <w:spacing w:after="0"/>
              <w:rPr>
                <w:sz w:val="20"/>
                <w:szCs w:val="20"/>
                <w:color w:val="auto"/>
              </w:rPr>
            </w:pPr>
            <w:r>
              <w:rPr>
                <w:rFonts w:ascii="Arial" w:cs="Arial" w:eastAsia="Arial" w:hAnsi="Arial"/>
                <w:sz w:val="11"/>
                <w:szCs w:val="11"/>
                <w:i w:val="1"/>
                <w:iCs w:val="1"/>
                <w:color w:val="auto"/>
              </w:rPr>
              <w:t>($ in millions)</w:t>
            </w:r>
          </w:p>
        </w:tc>
        <w:tc>
          <w:tcPr>
            <w:tcW w:w="16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2012</w:t>
            </w:r>
          </w:p>
        </w:tc>
        <w:tc>
          <w:tcPr>
            <w:tcW w:w="10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2013</w:t>
            </w:r>
          </w:p>
        </w:tc>
        <w:tc>
          <w:tcPr>
            <w:tcW w:w="104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color w:val="auto"/>
              </w:rPr>
              <w:t>Growth</w:t>
            </w:r>
          </w:p>
        </w:tc>
        <w:tc>
          <w:tcPr>
            <w:tcW w:w="16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2012</w:t>
            </w:r>
          </w:p>
        </w:tc>
        <w:tc>
          <w:tcPr>
            <w:tcW w:w="8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2013</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Growth</w:t>
            </w:r>
          </w:p>
        </w:tc>
      </w:tr>
      <w:tr>
        <w:trPr>
          <w:trHeight w:val="203"/>
        </w:trPr>
        <w:tc>
          <w:tcPr>
            <w:tcW w:w="44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NBCUniversal Revenue</w:t>
            </w:r>
          </w:p>
        </w:tc>
        <w:tc>
          <w:tcPr>
            <w:tcW w:w="16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spacing w:after="0"/>
              <w:rPr>
                <w:sz w:val="17"/>
                <w:szCs w:val="17"/>
                <w:color w:val="auto"/>
              </w:rPr>
            </w:pPr>
          </w:p>
        </w:tc>
        <w:tc>
          <w:tcPr>
            <w:tcW w:w="1040" w:type="dxa"/>
            <w:vAlign w:val="bottom"/>
            <w:tcBorders>
              <w:bottom w:val="single" w:sz="8" w:color="auto"/>
              <w:right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r>
      <w:tr>
        <w:trPr>
          <w:trHeight w:val="196"/>
        </w:trPr>
        <w:tc>
          <w:tcPr>
            <w:tcW w:w="44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Cable Networks</w:t>
            </w:r>
          </w:p>
        </w:tc>
        <w:tc>
          <w:tcPr>
            <w:tcW w:w="16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$2,207</w:t>
            </w:r>
          </w:p>
        </w:tc>
        <w:tc>
          <w:tcPr>
            <w:tcW w:w="10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$2,324</w:t>
            </w:r>
          </w:p>
        </w:tc>
        <w:tc>
          <w:tcPr>
            <w:tcW w:w="104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color w:val="auto"/>
              </w:rPr>
              <w:t>5.3%</w:t>
            </w:r>
          </w:p>
        </w:tc>
        <w:tc>
          <w:tcPr>
            <w:tcW w:w="16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$8,727</w:t>
            </w:r>
          </w:p>
        </w:tc>
        <w:tc>
          <w:tcPr>
            <w:tcW w:w="8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$9,201</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w:t>
            </w:r>
          </w:p>
        </w:tc>
      </w:tr>
      <w:tr>
        <w:trPr>
          <w:trHeight w:val="196"/>
        </w:trPr>
        <w:tc>
          <w:tcPr>
            <w:tcW w:w="44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Broadcast Television</w:t>
            </w:r>
          </w:p>
        </w:tc>
        <w:tc>
          <w:tcPr>
            <w:tcW w:w="16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1,997</w:t>
            </w:r>
          </w:p>
        </w:tc>
        <w:tc>
          <w:tcPr>
            <w:tcW w:w="10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2,227</w:t>
            </w:r>
          </w:p>
        </w:tc>
        <w:tc>
          <w:tcPr>
            <w:tcW w:w="104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color w:val="auto"/>
              </w:rPr>
              <w:t>11.5%</w:t>
            </w:r>
          </w:p>
        </w:tc>
        <w:tc>
          <w:tcPr>
            <w:tcW w:w="16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8,200</w:t>
            </w:r>
          </w:p>
        </w:tc>
        <w:tc>
          <w:tcPr>
            <w:tcW w:w="8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7,120</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w:t>
            </w:r>
          </w:p>
        </w:tc>
      </w:tr>
      <w:tr>
        <w:trPr>
          <w:trHeight w:val="196"/>
        </w:trPr>
        <w:tc>
          <w:tcPr>
            <w:tcW w:w="44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Filmed Entertainment</w:t>
            </w:r>
          </w:p>
        </w:tc>
        <w:tc>
          <w:tcPr>
            <w:tcW w:w="16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1,381</w:t>
            </w:r>
          </w:p>
        </w:tc>
        <w:tc>
          <w:tcPr>
            <w:tcW w:w="10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1,448</w:t>
            </w:r>
          </w:p>
        </w:tc>
        <w:tc>
          <w:tcPr>
            <w:tcW w:w="104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color w:val="auto"/>
              </w:rPr>
              <w:t>4.9%</w:t>
            </w:r>
          </w:p>
        </w:tc>
        <w:tc>
          <w:tcPr>
            <w:tcW w:w="16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5,159</w:t>
            </w:r>
          </w:p>
        </w:tc>
        <w:tc>
          <w:tcPr>
            <w:tcW w:w="8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5,452</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w:t>
            </w:r>
          </w:p>
        </w:tc>
      </w:tr>
      <w:tr>
        <w:trPr>
          <w:trHeight w:val="196"/>
        </w:trPr>
        <w:tc>
          <w:tcPr>
            <w:tcW w:w="44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Theme Parks</w:t>
            </w:r>
          </w:p>
        </w:tc>
        <w:tc>
          <w:tcPr>
            <w:tcW w:w="16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520</w:t>
            </w:r>
          </w:p>
        </w:tc>
        <w:tc>
          <w:tcPr>
            <w:tcW w:w="10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566</w:t>
            </w:r>
          </w:p>
        </w:tc>
        <w:tc>
          <w:tcPr>
            <w:tcW w:w="104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color w:val="auto"/>
              </w:rPr>
              <w:t>8.8%</w:t>
            </w:r>
          </w:p>
        </w:tc>
        <w:tc>
          <w:tcPr>
            <w:tcW w:w="16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2,085</w:t>
            </w:r>
          </w:p>
        </w:tc>
        <w:tc>
          <w:tcPr>
            <w:tcW w:w="8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2,235</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w:t>
            </w:r>
          </w:p>
        </w:tc>
      </w:tr>
      <w:tr>
        <w:trPr>
          <w:trHeight w:val="203"/>
        </w:trPr>
        <w:tc>
          <w:tcPr>
            <w:tcW w:w="44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Headquarters, Other and Eliminations</w:t>
            </w:r>
          </w:p>
        </w:tc>
        <w:tc>
          <w:tcPr>
            <w:tcW w:w="16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(91)</w:t>
            </w:r>
          </w:p>
        </w:tc>
        <w:tc>
          <w:tcPr>
            <w:tcW w:w="10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(101)</w:t>
            </w:r>
          </w:p>
        </w:tc>
        <w:tc>
          <w:tcPr>
            <w:tcW w:w="104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color w:val="auto"/>
              </w:rPr>
              <w:t>NM</w:t>
            </w:r>
          </w:p>
        </w:tc>
        <w:tc>
          <w:tcPr>
            <w:tcW w:w="16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(359)</w:t>
            </w:r>
          </w:p>
        </w:tc>
        <w:tc>
          <w:tcPr>
            <w:tcW w:w="8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(358)</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NM</w:t>
            </w:r>
          </w:p>
        </w:tc>
      </w:tr>
      <w:tr>
        <w:trPr>
          <w:trHeight w:val="218"/>
        </w:trPr>
        <w:tc>
          <w:tcPr>
            <w:tcW w:w="4440" w:type="dxa"/>
            <w:vAlign w:val="bottom"/>
          </w:tcPr>
          <w:p>
            <w:pPr>
              <w:ind w:left="40"/>
              <w:spacing w:after="0"/>
              <w:rPr>
                <w:sz w:val="20"/>
                <w:szCs w:val="20"/>
                <w:color w:val="auto"/>
              </w:rPr>
            </w:pPr>
            <w:r>
              <w:rPr>
                <w:rFonts w:ascii="Arial" w:cs="Arial" w:eastAsia="Arial" w:hAnsi="Arial"/>
                <w:sz w:val="14"/>
                <w:szCs w:val="14"/>
                <w:b w:val="1"/>
                <w:bCs w:val="1"/>
                <w:color w:val="auto"/>
              </w:rPr>
              <w:t>NBCUniversal Revenue</w:t>
            </w:r>
          </w:p>
        </w:tc>
        <w:tc>
          <w:tcPr>
            <w:tcW w:w="1600" w:type="dxa"/>
            <w:vAlign w:val="bottom"/>
          </w:tcPr>
          <w:p>
            <w:pPr>
              <w:jc w:val="right"/>
              <w:ind w:right="228"/>
              <w:spacing w:after="0"/>
              <w:rPr>
                <w:sz w:val="20"/>
                <w:szCs w:val="20"/>
                <w:color w:val="auto"/>
              </w:rPr>
            </w:pPr>
            <w:r>
              <w:rPr>
                <w:rFonts w:ascii="Arial" w:cs="Arial" w:eastAsia="Arial" w:hAnsi="Arial"/>
                <w:sz w:val="14"/>
                <w:szCs w:val="14"/>
                <w:b w:val="1"/>
                <w:bCs w:val="1"/>
                <w:color w:val="auto"/>
              </w:rPr>
              <w:t>$6,014</w:t>
            </w:r>
          </w:p>
        </w:tc>
        <w:tc>
          <w:tcPr>
            <w:tcW w:w="1060" w:type="dxa"/>
            <w:vAlign w:val="bottom"/>
          </w:tcPr>
          <w:p>
            <w:pPr>
              <w:jc w:val="right"/>
              <w:ind w:right="248"/>
              <w:spacing w:after="0"/>
              <w:rPr>
                <w:sz w:val="20"/>
                <w:szCs w:val="20"/>
                <w:color w:val="auto"/>
              </w:rPr>
            </w:pPr>
            <w:r>
              <w:rPr>
                <w:rFonts w:ascii="Arial" w:cs="Arial" w:eastAsia="Arial" w:hAnsi="Arial"/>
                <w:sz w:val="14"/>
                <w:szCs w:val="14"/>
                <w:b w:val="1"/>
                <w:bCs w:val="1"/>
                <w:color w:val="auto"/>
              </w:rPr>
              <w:t>$6,464</w:t>
            </w:r>
          </w:p>
        </w:tc>
        <w:tc>
          <w:tcPr>
            <w:tcW w:w="104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7.5%</w:t>
            </w:r>
          </w:p>
        </w:tc>
        <w:tc>
          <w:tcPr>
            <w:tcW w:w="1620" w:type="dxa"/>
            <w:vAlign w:val="bottom"/>
          </w:tcPr>
          <w:p>
            <w:pPr>
              <w:jc w:val="right"/>
              <w:ind w:right="428"/>
              <w:spacing w:after="0"/>
              <w:rPr>
                <w:sz w:val="20"/>
                <w:szCs w:val="20"/>
                <w:color w:val="auto"/>
              </w:rPr>
            </w:pPr>
            <w:r>
              <w:rPr>
                <w:rFonts w:ascii="Arial" w:cs="Arial" w:eastAsia="Arial" w:hAnsi="Arial"/>
                <w:sz w:val="14"/>
                <w:szCs w:val="14"/>
                <w:b w:val="1"/>
                <w:bCs w:val="1"/>
                <w:color w:val="auto"/>
              </w:rPr>
              <w:t>$23,812</w:t>
            </w:r>
          </w:p>
        </w:tc>
        <w:tc>
          <w:tcPr>
            <w:tcW w:w="800" w:type="dxa"/>
            <w:vAlign w:val="bottom"/>
          </w:tcPr>
          <w:p>
            <w:pPr>
              <w:jc w:val="right"/>
              <w:ind w:right="208"/>
              <w:spacing w:after="0"/>
              <w:rPr>
                <w:sz w:val="20"/>
                <w:szCs w:val="20"/>
                <w:color w:val="auto"/>
              </w:rPr>
            </w:pPr>
            <w:r>
              <w:rPr>
                <w:rFonts w:ascii="Arial" w:cs="Arial" w:eastAsia="Arial" w:hAnsi="Arial"/>
                <w:sz w:val="14"/>
                <w:szCs w:val="14"/>
                <w:b w:val="1"/>
                <w:bCs w:val="1"/>
                <w:color w:val="auto"/>
                <w:w w:val="98"/>
              </w:rPr>
              <w:t>$23,650</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(0.7%)</w:t>
            </w:r>
          </w:p>
        </w:tc>
      </w:tr>
      <w:tr>
        <w:trPr>
          <w:trHeight w:val="270"/>
        </w:trPr>
        <w:tc>
          <w:tcPr>
            <w:tcW w:w="44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growth excluding 2012 Olympics and Super Bowl</w:t>
            </w:r>
          </w:p>
        </w:tc>
        <w:tc>
          <w:tcPr>
            <w:tcW w:w="16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40" w:type="dxa"/>
            <w:vAlign w:val="bottom"/>
            <w:tcBorders>
              <w:right w:val="single" w:sz="8" w:color="auto"/>
            </w:tcBorders>
          </w:tcPr>
          <w:p>
            <w:pPr>
              <w:spacing w:after="0"/>
              <w:rPr>
                <w:sz w:val="23"/>
                <w:szCs w:val="23"/>
                <w:color w:val="auto"/>
              </w:rPr>
            </w:pPr>
          </w:p>
        </w:tc>
        <w:tc>
          <w:tcPr>
            <w:tcW w:w="16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5.7%</w:t>
            </w:r>
          </w:p>
        </w:tc>
      </w:tr>
      <w:tr>
        <w:trPr>
          <w:trHeight w:val="195"/>
        </w:trPr>
        <w:tc>
          <w:tcPr>
            <w:tcW w:w="44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40" w:type="dxa"/>
            <w:vAlign w:val="bottom"/>
            <w:tcBorders>
              <w:bottom w:val="single" w:sz="8" w:color="auto"/>
              <w:right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203"/>
        </w:trPr>
        <w:tc>
          <w:tcPr>
            <w:tcW w:w="44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NBCUniversal OCF</w:t>
            </w:r>
          </w:p>
        </w:tc>
        <w:tc>
          <w:tcPr>
            <w:tcW w:w="16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040" w:type="dxa"/>
            <w:vAlign w:val="bottom"/>
            <w:tcBorders>
              <w:bottom w:val="single" w:sz="8" w:color="auto"/>
              <w:right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r>
      <w:tr>
        <w:trPr>
          <w:trHeight w:val="196"/>
        </w:trPr>
        <w:tc>
          <w:tcPr>
            <w:tcW w:w="44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Cable Networks</w:t>
            </w:r>
          </w:p>
        </w:tc>
        <w:tc>
          <w:tcPr>
            <w:tcW w:w="16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$895</w:t>
            </w:r>
          </w:p>
        </w:tc>
        <w:tc>
          <w:tcPr>
            <w:tcW w:w="10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$929</w:t>
            </w:r>
          </w:p>
        </w:tc>
        <w:tc>
          <w:tcPr>
            <w:tcW w:w="104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color w:val="auto"/>
              </w:rPr>
              <w:t>3.8%</w:t>
            </w:r>
          </w:p>
        </w:tc>
        <w:tc>
          <w:tcPr>
            <w:tcW w:w="16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$3,303</w:t>
            </w:r>
          </w:p>
        </w:tc>
        <w:tc>
          <w:tcPr>
            <w:tcW w:w="8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$3,501</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w:t>
            </w:r>
          </w:p>
        </w:tc>
      </w:tr>
      <w:tr>
        <w:trPr>
          <w:trHeight w:val="196"/>
        </w:trPr>
        <w:tc>
          <w:tcPr>
            <w:tcW w:w="44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Broadcast Television</w:t>
            </w:r>
          </w:p>
        </w:tc>
        <w:tc>
          <w:tcPr>
            <w:tcW w:w="16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90</w:t>
            </w:r>
          </w:p>
        </w:tc>
        <w:tc>
          <w:tcPr>
            <w:tcW w:w="10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140</w:t>
            </w:r>
          </w:p>
        </w:tc>
        <w:tc>
          <w:tcPr>
            <w:tcW w:w="104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color w:val="auto"/>
              </w:rPr>
              <w:t>54.8%</w:t>
            </w:r>
          </w:p>
        </w:tc>
        <w:tc>
          <w:tcPr>
            <w:tcW w:w="16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358</w:t>
            </w:r>
          </w:p>
        </w:tc>
        <w:tc>
          <w:tcPr>
            <w:tcW w:w="8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345</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w:t>
            </w:r>
          </w:p>
        </w:tc>
      </w:tr>
      <w:tr>
        <w:trPr>
          <w:trHeight w:val="196"/>
        </w:trPr>
        <w:tc>
          <w:tcPr>
            <w:tcW w:w="44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Filmed Entertainment</w:t>
            </w:r>
          </w:p>
        </w:tc>
        <w:tc>
          <w:tcPr>
            <w:tcW w:w="16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84</w:t>
            </w:r>
          </w:p>
        </w:tc>
        <w:tc>
          <w:tcPr>
            <w:tcW w:w="10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192</w:t>
            </w:r>
          </w:p>
        </w:tc>
        <w:tc>
          <w:tcPr>
            <w:tcW w:w="104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color w:val="auto"/>
              </w:rPr>
              <w:t>127.4%</w:t>
            </w:r>
          </w:p>
        </w:tc>
        <w:tc>
          <w:tcPr>
            <w:tcW w:w="16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79</w:t>
            </w:r>
          </w:p>
        </w:tc>
        <w:tc>
          <w:tcPr>
            <w:tcW w:w="8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483</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509.7%</w:t>
            </w:r>
          </w:p>
        </w:tc>
      </w:tr>
      <w:tr>
        <w:trPr>
          <w:trHeight w:val="196"/>
        </w:trPr>
        <w:tc>
          <w:tcPr>
            <w:tcW w:w="44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Theme Parks</w:t>
            </w:r>
          </w:p>
        </w:tc>
        <w:tc>
          <w:tcPr>
            <w:tcW w:w="16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245</w:t>
            </w:r>
          </w:p>
        </w:tc>
        <w:tc>
          <w:tcPr>
            <w:tcW w:w="10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257</w:t>
            </w:r>
          </w:p>
        </w:tc>
        <w:tc>
          <w:tcPr>
            <w:tcW w:w="104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color w:val="auto"/>
              </w:rPr>
              <w:t>4.6%</w:t>
            </w:r>
          </w:p>
        </w:tc>
        <w:tc>
          <w:tcPr>
            <w:tcW w:w="16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953</w:t>
            </w:r>
          </w:p>
        </w:tc>
        <w:tc>
          <w:tcPr>
            <w:tcW w:w="8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1,004</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w:t>
            </w:r>
          </w:p>
        </w:tc>
      </w:tr>
      <w:tr>
        <w:trPr>
          <w:trHeight w:val="203"/>
        </w:trPr>
        <w:tc>
          <w:tcPr>
            <w:tcW w:w="44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Headquarters, Other and Eliminations</w:t>
            </w:r>
          </w:p>
        </w:tc>
        <w:tc>
          <w:tcPr>
            <w:tcW w:w="16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(142)</w:t>
            </w:r>
          </w:p>
        </w:tc>
        <w:tc>
          <w:tcPr>
            <w:tcW w:w="10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(180)</w:t>
            </w:r>
          </w:p>
        </w:tc>
        <w:tc>
          <w:tcPr>
            <w:tcW w:w="104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color w:val="auto"/>
              </w:rPr>
              <w:t>NM</w:t>
            </w:r>
          </w:p>
        </w:tc>
        <w:tc>
          <w:tcPr>
            <w:tcW w:w="16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(586)</w:t>
            </w:r>
          </w:p>
        </w:tc>
        <w:tc>
          <w:tcPr>
            <w:tcW w:w="8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(601)</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NM</w:t>
            </w:r>
          </w:p>
        </w:tc>
      </w:tr>
      <w:tr>
        <w:trPr>
          <w:trHeight w:val="218"/>
        </w:trPr>
        <w:tc>
          <w:tcPr>
            <w:tcW w:w="4440" w:type="dxa"/>
            <w:vAlign w:val="bottom"/>
          </w:tcPr>
          <w:p>
            <w:pPr>
              <w:ind w:left="40"/>
              <w:spacing w:after="0"/>
              <w:rPr>
                <w:sz w:val="20"/>
                <w:szCs w:val="20"/>
                <w:color w:val="auto"/>
              </w:rPr>
            </w:pPr>
            <w:r>
              <w:rPr>
                <w:rFonts w:ascii="Arial" w:cs="Arial" w:eastAsia="Arial" w:hAnsi="Arial"/>
                <w:sz w:val="14"/>
                <w:szCs w:val="14"/>
                <w:b w:val="1"/>
                <w:bCs w:val="1"/>
                <w:color w:val="auto"/>
              </w:rPr>
              <w:t>NBCUniversal OCF</w:t>
            </w:r>
          </w:p>
        </w:tc>
        <w:tc>
          <w:tcPr>
            <w:tcW w:w="1600" w:type="dxa"/>
            <w:vAlign w:val="bottom"/>
          </w:tcPr>
          <w:p>
            <w:pPr>
              <w:jc w:val="right"/>
              <w:ind w:right="228"/>
              <w:spacing w:after="0"/>
              <w:rPr>
                <w:sz w:val="20"/>
                <w:szCs w:val="20"/>
                <w:color w:val="auto"/>
              </w:rPr>
            </w:pPr>
            <w:r>
              <w:rPr>
                <w:rFonts w:ascii="Arial" w:cs="Arial" w:eastAsia="Arial" w:hAnsi="Arial"/>
                <w:sz w:val="14"/>
                <w:szCs w:val="14"/>
                <w:b w:val="1"/>
                <w:bCs w:val="1"/>
                <w:color w:val="auto"/>
              </w:rPr>
              <w:t>$1,172</w:t>
            </w:r>
          </w:p>
        </w:tc>
        <w:tc>
          <w:tcPr>
            <w:tcW w:w="1060" w:type="dxa"/>
            <w:vAlign w:val="bottom"/>
          </w:tcPr>
          <w:p>
            <w:pPr>
              <w:jc w:val="right"/>
              <w:ind w:right="248"/>
              <w:spacing w:after="0"/>
              <w:rPr>
                <w:sz w:val="20"/>
                <w:szCs w:val="20"/>
                <w:color w:val="auto"/>
              </w:rPr>
            </w:pPr>
            <w:r>
              <w:rPr>
                <w:rFonts w:ascii="Arial" w:cs="Arial" w:eastAsia="Arial" w:hAnsi="Arial"/>
                <w:sz w:val="14"/>
                <w:szCs w:val="14"/>
                <w:b w:val="1"/>
                <w:bCs w:val="1"/>
                <w:color w:val="auto"/>
              </w:rPr>
              <w:t>$1,338</w:t>
            </w:r>
          </w:p>
        </w:tc>
        <w:tc>
          <w:tcPr>
            <w:tcW w:w="104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14.3%</w:t>
            </w:r>
          </w:p>
        </w:tc>
        <w:tc>
          <w:tcPr>
            <w:tcW w:w="1620" w:type="dxa"/>
            <w:vAlign w:val="bottom"/>
          </w:tcPr>
          <w:p>
            <w:pPr>
              <w:jc w:val="right"/>
              <w:ind w:right="428"/>
              <w:spacing w:after="0"/>
              <w:rPr>
                <w:sz w:val="20"/>
                <w:szCs w:val="20"/>
                <w:color w:val="auto"/>
              </w:rPr>
            </w:pPr>
            <w:r>
              <w:rPr>
                <w:rFonts w:ascii="Arial" w:cs="Arial" w:eastAsia="Arial" w:hAnsi="Arial"/>
                <w:sz w:val="14"/>
                <w:szCs w:val="14"/>
                <w:b w:val="1"/>
                <w:bCs w:val="1"/>
                <w:color w:val="auto"/>
              </w:rPr>
              <w:t>$4,107</w:t>
            </w:r>
          </w:p>
        </w:tc>
        <w:tc>
          <w:tcPr>
            <w:tcW w:w="800" w:type="dxa"/>
            <w:vAlign w:val="bottom"/>
          </w:tcPr>
          <w:p>
            <w:pPr>
              <w:jc w:val="right"/>
              <w:ind w:right="208"/>
              <w:spacing w:after="0"/>
              <w:rPr>
                <w:sz w:val="20"/>
                <w:szCs w:val="20"/>
                <w:color w:val="auto"/>
              </w:rPr>
            </w:pPr>
            <w:r>
              <w:rPr>
                <w:rFonts w:ascii="Arial" w:cs="Arial" w:eastAsia="Arial" w:hAnsi="Arial"/>
                <w:sz w:val="14"/>
                <w:szCs w:val="14"/>
                <w:b w:val="1"/>
                <w:bCs w:val="1"/>
                <w:color w:val="auto"/>
              </w:rPr>
              <w:t>$4,732</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15.2%</w:t>
            </w:r>
          </w:p>
        </w:tc>
      </w:tr>
      <w:tr>
        <w:trPr>
          <w:trHeight w:val="255"/>
        </w:trPr>
        <w:tc>
          <w:tcPr>
            <w:tcW w:w="44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growth excluding 2012 Olympics</w:t>
            </w:r>
          </w:p>
        </w:tc>
        <w:tc>
          <w:tcPr>
            <w:tcW w:w="16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40" w:type="dxa"/>
            <w:vAlign w:val="bottom"/>
            <w:tcBorders>
              <w:right w:val="single" w:sz="8" w:color="auto"/>
            </w:tcBorders>
          </w:tcPr>
          <w:p>
            <w:pPr>
              <w:spacing w:after="0"/>
              <w:rPr>
                <w:sz w:val="22"/>
                <w:szCs w:val="22"/>
                <w:color w:val="auto"/>
              </w:rPr>
            </w:pPr>
          </w:p>
        </w:tc>
        <w:tc>
          <w:tcPr>
            <w:tcW w:w="16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18.7%</w:t>
            </w:r>
          </w:p>
        </w:tc>
      </w:tr>
    </w:tbl>
    <w:p>
      <w:pPr>
        <w:spacing w:after="0" w:line="382" w:lineRule="exact"/>
        <w:rPr>
          <w:sz w:val="20"/>
          <w:szCs w:val="20"/>
          <w:color w:val="auto"/>
        </w:rPr>
      </w:pPr>
    </w:p>
    <w:p>
      <w:pPr>
        <w:jc w:val="both"/>
        <w:ind w:right="60"/>
        <w:spacing w:after="0" w:line="253"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NBCUniversal increased 7.5% to $6.5 billion in the fourth quarter of 2013 compared to $6.0 billion in the fourth quarter of 2012.</w:t>
      </w:r>
      <w:r>
        <w:rPr>
          <w:rFonts w:ascii="Arial" w:cs="Arial" w:eastAsia="Arial" w:hAnsi="Arial"/>
          <w:sz w:val="18"/>
          <w:szCs w:val="18"/>
          <w:b w:val="1"/>
          <w:bCs w:val="1"/>
          <w:i w:val="1"/>
          <w:iCs w:val="1"/>
          <w:color w:val="auto"/>
        </w:rPr>
        <w:t xml:space="preserve"> Operating Cash Flow </w:t>
      </w:r>
      <w:r>
        <w:rPr>
          <w:rFonts w:ascii="Arial" w:cs="Arial" w:eastAsia="Arial" w:hAnsi="Arial"/>
          <w:sz w:val="18"/>
          <w:szCs w:val="18"/>
          <w:color w:val="auto"/>
        </w:rPr>
        <w:t>increased 14.3% to $1.3 billion compared to $1.2 billion in the fourth quarter of 2012, reflecting improved operating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performance in all segments.</w:t>
      </w:r>
    </w:p>
    <w:p>
      <w:pPr>
        <w:spacing w:after="0" w:line="178" w:lineRule="exact"/>
        <w:rPr>
          <w:sz w:val="20"/>
          <w:szCs w:val="20"/>
          <w:color w:val="auto"/>
        </w:rPr>
      </w:pPr>
    </w:p>
    <w:p>
      <w:pPr>
        <w:jc w:val="both"/>
        <w:ind w:right="40"/>
        <w:spacing w:after="0" w:line="238" w:lineRule="auto"/>
        <w:rPr>
          <w:sz w:val="20"/>
          <w:szCs w:val="20"/>
          <w:color w:val="auto"/>
        </w:rPr>
      </w:pPr>
      <w:r>
        <w:rPr>
          <w:rFonts w:ascii="Arial" w:cs="Arial" w:eastAsia="Arial" w:hAnsi="Arial"/>
          <w:sz w:val="18"/>
          <w:szCs w:val="18"/>
          <w:color w:val="auto"/>
        </w:rPr>
        <w:t>For the year ended December 31, 2013, NBCUniversal revenue decreased 0.7% to $ 23.7 billion compared to $23.8 billion in 2012. Excluding $259 million of revenue generated by the NFL’s Super Bowl in the first quarter of 2012 and $1.2 billion of revenue generated by the Olympics in the third quarter of 2012, revenue increased 5.7%. Operating cash flow increased 15.2% to $4.7 billion compared to $4.1 billion in 2012. Excluding operating cash flow generated by the Olympics in the third quarter of 2012, operating cash flow increased 18.7%, reflecting solid results at each business segment (see Table 5).</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w:t>
      </w:r>
    </w:p>
    <w:p>
      <w:pPr>
        <w:spacing w:after="0" w:line="18" w:lineRule="exact"/>
        <w:rPr>
          <w:sz w:val="20"/>
          <w:szCs w:val="20"/>
          <w:color w:val="auto"/>
        </w:rPr>
      </w:pPr>
    </w:p>
    <w:p>
      <w:pPr>
        <w:jc w:val="both"/>
        <w:ind w:right="40"/>
        <w:spacing w:after="0" w:line="237" w:lineRule="auto"/>
        <w:rPr>
          <w:sz w:val="20"/>
          <w:szCs w:val="20"/>
          <w:color w:val="auto"/>
        </w:rPr>
      </w:pPr>
      <w:r>
        <w:rPr>
          <w:rFonts w:ascii="Arial" w:cs="Arial" w:eastAsia="Arial" w:hAnsi="Arial"/>
          <w:sz w:val="18"/>
          <w:szCs w:val="18"/>
          <w:color w:val="auto"/>
        </w:rPr>
        <w:t>For the fourth quarter of 2013, revenue from the Cable Networks segment increased 5.3% to $2.3 billion compared to the fourth quarter of 2012, reflecting a 7.8% increase in distribution revenue and a 4.3% increase in advertising revenue, partially offset by a 4.6% decline in content licensing and other revenue. Operating cash flow increased 3.8% to $929 million compared to $895 million in the fourth quarter of 2012, reflecting higher revenue, partially offset by increased programming and production costs from our continued investment in original programming and higher sports programming costs, as well as higher advertising, marketing and promotion expenses to support the launch of new shows and events.</w:t>
      </w:r>
    </w:p>
    <w:p>
      <w:pPr>
        <w:spacing w:after="0" w:line="192" w:lineRule="exact"/>
        <w:rPr>
          <w:sz w:val="20"/>
          <w:szCs w:val="20"/>
          <w:color w:val="auto"/>
        </w:rPr>
      </w:pPr>
    </w:p>
    <w:p>
      <w:pPr>
        <w:jc w:val="both"/>
        <w:ind w:right="40"/>
        <w:spacing w:after="0" w:line="239" w:lineRule="auto"/>
        <w:rPr>
          <w:sz w:val="20"/>
          <w:szCs w:val="20"/>
          <w:color w:val="auto"/>
        </w:rPr>
      </w:pPr>
      <w:r>
        <w:rPr>
          <w:rFonts w:ascii="Arial" w:cs="Arial" w:eastAsia="Arial" w:hAnsi="Arial"/>
          <w:sz w:val="18"/>
          <w:szCs w:val="18"/>
          <w:color w:val="auto"/>
        </w:rPr>
        <w:t>For the year ended December 31, 2013, revenue from the Cable Networks segment increased 5.4% to $9.2 billion compared to $8.7 billion in 2012, reflecting a 6.5% increase in distribution revenue and a 4.3% increase in advertising revenue. Operating cash flow increased 6.0% to $3.5 billion compared to $3.3 billion in 2012 reflecting higher revenue, partially offset by higher programming and production costs from our continued investment in original and sports programming.</w:t>
      </w:r>
    </w:p>
    <w:p>
      <w:pPr>
        <w:spacing w:after="0" w:line="194"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18" w:right="1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w:t>
      </w:r>
    </w:p>
    <w:p>
      <w:pPr>
        <w:spacing w:after="0" w:line="18"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For the fourth quarter of 2013, revenue from the Broadcast Television segment increased 11.5% to $2.2 billion compared to $2.0 billion in the fourth quarter of 2012, driven by an 8.3% increase in advertising revenue due to strong primetime ratings at the NBC broadcast network, as</w:t>
      </w:r>
    </w:p>
    <w:p>
      <w:pPr>
        <w:sectPr>
          <w:pgSz w:w="11900" w:h="16838" w:orient="portrait"/>
          <w:cols w:equalWidth="0" w:num="1">
            <w:col w:w="11460"/>
          </w:cols>
          <w:pgMar w:left="240" w:top="118" w:right="199" w:bottom="0" w:gutter="0" w:footer="0" w:header="0"/>
          <w:type w:val="continuous"/>
        </w:sectPr>
      </w:pPr>
    </w:p>
    <w:bookmarkStart w:id="5" w:name="page6"/>
    <w:bookmarkEnd w:id="5"/>
    <w:p>
      <w:pPr>
        <w:jc w:val="both"/>
        <w:spacing w:after="0"/>
        <w:rPr>
          <w:sz w:val="20"/>
          <w:szCs w:val="20"/>
          <w:color w:val="auto"/>
        </w:rPr>
      </w:pPr>
      <w:r>
        <w:rPr>
          <w:rFonts w:ascii="Arial" w:cs="Arial" w:eastAsia="Arial" w:hAnsi="Arial"/>
          <w:sz w:val="18"/>
          <w:szCs w:val="18"/>
          <w:color w:val="auto"/>
        </w:rPr>
        <w:t>well as higher retransmission consent fees and an increase in content licensing revenue reflecting the timing of content availability. Operating cash flow increased 54.8% to $140 million compared to $ 90 million in the fourth quarter of 2012 reflecting higher revenue, partially offset by an increase in programming and production costs to support the primetime schedule.</w:t>
      </w:r>
    </w:p>
    <w:p>
      <w:pPr>
        <w:spacing w:after="0" w:line="18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For the year ended December 31, 2013, revenue from the Broadcast Television segment decreased 13.2% to $7.1 billion compared to $8.2 billion in 2012. Excluding $259 million of revenue generated by the NFL’s Super Bowl in the first quarter of 2012 and $1.2 billion of revenue generated by the Olympics in the third quarter of 2012, revenue increased 5.4%, reflecting higher advertising and retransmission consent fees. Operating cash flow decreased 3.6% to $345 million compared to $358 million in 2012. Excluding operating cash flow generated by the Olympics in the third quarter of 2012, operating cash flow increased 44.9%, reflecting higher revenue and a modest decrease in programming and production costs (see Table 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w:t>
      </w:r>
    </w:p>
    <w:p>
      <w:pPr>
        <w:spacing w:after="0" w:line="1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 xml:space="preserve">For the fourth quarter of 2013, revenue from the Filmed Entertainment segment increased 4.9% to $1.4 billion compared to the fourth quarter of 2012, driven by higher home entertainment revenue from the strong performance of </w:t>
      </w:r>
      <w:r>
        <w:rPr>
          <w:rFonts w:ascii="Arial" w:cs="Arial" w:eastAsia="Arial" w:hAnsi="Arial"/>
          <w:sz w:val="18"/>
          <w:szCs w:val="18"/>
          <w:i w:val="1"/>
          <w:iCs w:val="1"/>
          <w:color w:val="auto"/>
        </w:rPr>
        <w:t>Despicable Me 2</w:t>
      </w:r>
      <w:r>
        <w:rPr>
          <w:rFonts w:ascii="Arial" w:cs="Arial" w:eastAsia="Arial" w:hAnsi="Arial"/>
          <w:sz w:val="18"/>
          <w:szCs w:val="18"/>
          <w:color w:val="auto"/>
        </w:rPr>
        <w:t>, partially offset by a decrease in theatrical revenue. Operating cash flow increased $108 million to $192 million compared to $84 million in the fourth quarter of 2012, reflecting higher revenue and a decrease in the amortization of film costs.</w:t>
      </w:r>
    </w:p>
    <w:p>
      <w:pPr>
        <w:spacing w:after="0" w:line="18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 xml:space="preserve">For the year ended December 31, 2013, revenue from the Filmed Entertainment segment increased 5.7% to $ 5.5 billion compared to $5.2 billion in 2012, reflecting higher theatrical and content licensing revenue driven by the strong performances of </w:t>
      </w:r>
      <w:r>
        <w:rPr>
          <w:rFonts w:ascii="Arial" w:cs="Arial" w:eastAsia="Arial" w:hAnsi="Arial"/>
          <w:sz w:val="18"/>
          <w:szCs w:val="18"/>
          <w:i w:val="1"/>
          <w:iCs w:val="1"/>
          <w:color w:val="auto"/>
        </w:rPr>
        <w:t>Despicable Me 2, Fast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Furious 6 and Les Miserables. </w:t>
      </w:r>
      <w:r>
        <w:rPr>
          <w:rFonts w:ascii="Arial" w:cs="Arial" w:eastAsia="Arial" w:hAnsi="Arial"/>
          <w:sz w:val="18"/>
          <w:szCs w:val="18"/>
          <w:color w:val="auto"/>
        </w:rPr>
        <w:t>Operating cash flow increased $404 million to $483 million compared to $79 million in 2012, reflecting the strong</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of the film slate and lower advertising, marketing and promotion expense.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w:t>
      </w:r>
    </w:p>
    <w:p>
      <w:pPr>
        <w:spacing w:after="0" w:line="1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For the fourth quarter of 2013, revenue from the Theme Parks segment increased 8.8% to $ 566 million compared to $520 million in the fourth quarter of 2012, driven by higher guest attendance and increases in per capita spending at the Orlando and Hollywood theme parks. Fourth quarter operating cash flow increased 4.6% to $257 million compared to $245 million in the fourth quarter of 2012, primarily reflecting higher revenue, partially offset by increased operating costs to support new attractions.</w:t>
      </w:r>
    </w:p>
    <w:p>
      <w:pPr>
        <w:spacing w:after="0" w:line="188"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For the year ended December 31, 2013, revenue from the Theme Parks segment increased 7.2% to $2.2 billion compared to $2.1 billion in 2012. Operating cash flow increased 5.3% to $1.0 billion compared to $953 million in 2012, driven by the continued success of </w:t>
      </w:r>
      <w:r>
        <w:rPr>
          <w:rFonts w:ascii="Arial" w:cs="Arial" w:eastAsia="Arial" w:hAnsi="Arial"/>
          <w:sz w:val="18"/>
          <w:szCs w:val="18"/>
          <w:i w:val="1"/>
          <w:iCs w:val="1"/>
          <w:color w:val="auto"/>
        </w:rPr>
        <w:t>The Wizarding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World of Harry Potter </w:t>
      </w:r>
      <w:r>
        <w:rPr>
          <w:rFonts w:ascii="Arial" w:cs="Arial" w:eastAsia="Arial" w:hAnsi="Arial"/>
          <w:sz w:val="18"/>
          <w:szCs w:val="18"/>
          <w:color w:val="auto"/>
        </w:rPr>
        <w:t>and</w:t>
      </w:r>
      <w:r>
        <w:rPr>
          <w:rFonts w:ascii="Arial" w:cs="Arial" w:eastAsia="Arial" w:hAnsi="Arial"/>
          <w:sz w:val="18"/>
          <w:szCs w:val="18"/>
          <w:i w:val="1"/>
          <w:iCs w:val="1"/>
          <w:color w:val="auto"/>
        </w:rPr>
        <w:t xml:space="preserve"> Transformers </w:t>
      </w:r>
      <w:r>
        <w:rPr>
          <w:rFonts w:ascii="Arial" w:cs="Arial" w:eastAsia="Arial" w:hAnsi="Arial"/>
          <w:sz w:val="18"/>
          <w:szCs w:val="18"/>
          <w:color w:val="auto"/>
        </w:rPr>
        <w:t>attractions.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Headquarters, Other and Eliminations</w:t>
      </w:r>
    </w:p>
    <w:p>
      <w:pPr>
        <w:spacing w:after="0" w:line="18" w:lineRule="exact"/>
        <w:rPr>
          <w:sz w:val="20"/>
          <w:szCs w:val="20"/>
          <w:color w:val="auto"/>
        </w:rPr>
      </w:pPr>
    </w:p>
    <w:p>
      <w:pPr>
        <w:jc w:val="both"/>
        <w:spacing w:after="0"/>
        <w:rPr>
          <w:sz w:val="20"/>
          <w:szCs w:val="20"/>
          <w:color w:val="auto"/>
        </w:rPr>
      </w:pPr>
      <w:r>
        <w:rPr>
          <w:rFonts w:ascii="Arial" w:cs="Arial" w:eastAsia="Arial" w:hAnsi="Arial"/>
          <w:sz w:val="18"/>
          <w:szCs w:val="18"/>
          <w:color w:val="auto"/>
        </w:rPr>
        <w:t>NBCUniversal Headquarters, Other and Eliminations include overhead and eliminations among the NBCUniversal businesses. For the quarter ended December 31, 2013, NBCUniversal Headquarters, Other and Eliminations operating cash flow loss was $180 million compared to a loss of $142 million in the fourth quarter of 2012, reflecting higher employee costs.</w:t>
      </w:r>
    </w:p>
    <w:p>
      <w:pPr>
        <w:spacing w:after="0" w:line="18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For the year ended December 31, 2013, NBCUniversal Headquarters, Other and Eliminations operating cash flow loss was $601 million compared to a loss of $586 million in 2012 due to higher employee costs.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Other and Eliminations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1" w:lineRule="exact"/>
        <w:rPr>
          <w:sz w:val="20"/>
          <w:szCs w:val="20"/>
          <w:color w:val="auto"/>
        </w:rPr>
      </w:pPr>
    </w:p>
    <w:p>
      <w:pPr>
        <w:jc w:val="both"/>
        <w:spacing w:after="0"/>
        <w:rPr>
          <w:sz w:val="20"/>
          <w:szCs w:val="20"/>
          <w:color w:val="auto"/>
        </w:rPr>
      </w:pPr>
      <w:r>
        <w:rPr>
          <w:rFonts w:ascii="Arial" w:cs="Arial" w:eastAsia="Arial" w:hAnsi="Arial"/>
          <w:sz w:val="18"/>
          <w:szCs w:val="18"/>
          <w:color w:val="auto"/>
        </w:rPr>
        <w:t>Corporate, Other and Eliminations include corporate operations, Comcast-Spectacor and eliminations among Comcast’s businesses. For the quarter ended December 31, 2013, Corporate, Other and Eliminations revenue was ($199) million compared to ($209) million in 2012. The operating cash flow loss was $98 million, compared to a loss of $96 million in the fourth quarter of 2012.</w:t>
      </w:r>
    </w:p>
    <w:p>
      <w:pPr>
        <w:spacing w:after="0" w:line="189"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For the year ended December 31, 2013, Corporate, Other and Eliminations revenue was ($ 829) million compared to ($846) million in 2012. The operating cash flow loss was $503 million, including $74 million of costs associated with the termination of a pension plan, compared to a loss of $385 million in 2012.</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220" w:lineRule="exact"/>
        <w:rPr>
          <w:sz w:val="20"/>
          <w:szCs w:val="20"/>
          <w:color w:val="auto"/>
        </w:rPr>
      </w:pPr>
    </w:p>
    <w:p>
      <w:pPr>
        <w:ind w:left="180" w:hanging="166"/>
        <w:spacing w:after="0" w:line="246" w:lineRule="auto"/>
        <w:tabs>
          <w:tab w:leader="none" w:pos="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define Operating Cash Flow as operating income (loss) before depreciation and amortization, excluding impairment charges related to fixed and intangible assets and gains or losses on the sale of assets, if any.</w:t>
      </w:r>
    </w:p>
    <w:p>
      <w:pPr>
        <w:spacing w:after="0" w:line="1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 Earnings per share amounts are presented on a diluted basis.</w:t>
      </w:r>
    </w:p>
    <w:p>
      <w:pPr>
        <w:spacing w:after="0" w:line="198" w:lineRule="exact"/>
        <w:rPr>
          <w:sz w:val="20"/>
          <w:szCs w:val="20"/>
          <w:color w:val="auto"/>
        </w:rPr>
      </w:pPr>
    </w:p>
    <w:p>
      <w:pPr>
        <w:jc w:val="both"/>
        <w:ind w:left="180" w:hanging="166"/>
        <w:spacing w:after="0"/>
        <w:tabs>
          <w:tab w:leader="none" w:pos="213"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define Free Cash Flow as Net Cash Provided by Operating Activities (as stated in our Consolidated Statement of Cash Flows) reduced by capital expenditures, cash paid for intangible assets and cash distributions to noncontrolling interests; and adjusted for any payments and receipts related to certain nonoperating items, net of estimated tax benefits.</w:t>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All percentages are calculated on whole numbers. Minor differences may exist due to rounding.</w:t>
      </w:r>
    </w:p>
    <w:p>
      <w:pPr>
        <w:spacing w:after="0" w:line="19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Other Information</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Comcast Corporation will host a conference call with the financial community today, January 28, 2014 at 8:30 a.m. Eastern Time (ET). The conference call and related materials will be broadcast live and posted on its Investor Relations website at </w:t>
      </w:r>
      <w:r>
        <w:rPr>
          <w:rFonts w:ascii="Arial" w:cs="Arial" w:eastAsia="Arial" w:hAnsi="Arial"/>
          <w:sz w:val="18"/>
          <w:szCs w:val="18"/>
          <w:u w:val="single" w:color="auto"/>
          <w:color w:val="auto"/>
        </w:rPr>
        <w:t>www.cmcsa.com</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www.cmcsk.com</w:t>
      </w:r>
      <w:r>
        <w:rPr>
          <w:rFonts w:ascii="Arial" w:cs="Arial" w:eastAsia="Arial" w:hAnsi="Arial"/>
          <w:sz w:val="18"/>
          <w:szCs w:val="18"/>
          <w:color w:val="auto"/>
        </w:rPr>
        <w:t>. Those parties interested in participating via telephone should dial (800) 263-8495 with the conference ID number 24847495. A replay of the call will be available starting at 12:30 p.m. ET on January 28, 2014, on the Investor Relations website or by telephone. To access the telephone replay, which will be available until Tuesday, February 4, 2014 at midnight ET, please dial (855) 859-2056 and enter the conference ID number 24847495.</w:t>
      </w:r>
    </w:p>
    <w:p>
      <w:pPr>
        <w:spacing w:after="0" w:line="192"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From time to time, we post information that may be of interest to investors on our website at </w:t>
      </w:r>
      <w:r>
        <w:rPr>
          <w:rFonts w:ascii="Arial" w:cs="Arial" w:eastAsia="Arial" w:hAnsi="Arial"/>
          <w:sz w:val="18"/>
          <w:szCs w:val="18"/>
          <w:u w:val="single" w:color="auto"/>
          <w:color w:val="auto"/>
        </w:rPr>
        <w:t>www.cmcsa.com</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www.cmcsk.com</w:t>
      </w:r>
      <w:r>
        <w:rPr>
          <w:rFonts w:ascii="Arial" w:cs="Arial" w:eastAsia="Arial" w:hAnsi="Arial"/>
          <w:sz w:val="18"/>
          <w:szCs w:val="18"/>
          <w:color w:val="auto"/>
        </w:rPr>
        <w:t xml:space="preserve"> and on our corporate blog, </w:t>
      </w:r>
      <w:r>
        <w:rPr>
          <w:rFonts w:ascii="Arial" w:cs="Arial" w:eastAsia="Arial" w:hAnsi="Arial"/>
          <w:sz w:val="18"/>
          <w:szCs w:val="18"/>
          <w:u w:val="single" w:color="auto"/>
          <w:color w:val="auto"/>
        </w:rPr>
        <w:t>www.corporate.comcast.com/comcast-voices</w:t>
      </w:r>
      <w:r>
        <w:rPr>
          <w:rFonts w:ascii="Arial" w:cs="Arial" w:eastAsia="Arial" w:hAnsi="Arial"/>
          <w:sz w:val="18"/>
          <w:szCs w:val="18"/>
          <w:color w:val="auto"/>
        </w:rPr>
        <w:t xml:space="preserve">. To automatically receive Comcast financial news by email, please visit </w:t>
      </w:r>
      <w:r>
        <w:rPr>
          <w:rFonts w:ascii="Arial" w:cs="Arial" w:eastAsia="Arial" w:hAnsi="Arial"/>
          <w:sz w:val="18"/>
          <w:szCs w:val="18"/>
          <w:u w:val="single" w:color="auto"/>
          <w:color w:val="auto"/>
        </w:rPr>
        <w:t>www.cmcsa.com</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www.cmcsk.com</w:t>
      </w:r>
      <w:r>
        <w:rPr>
          <w:rFonts w:ascii="Arial" w:cs="Arial" w:eastAsia="Arial" w:hAnsi="Arial"/>
          <w:sz w:val="18"/>
          <w:szCs w:val="18"/>
          <w:color w:val="auto"/>
        </w:rPr>
        <w:t xml:space="preserve"> and subscribe to email alerts.</w:t>
      </w:r>
    </w:p>
    <w:p>
      <w:pPr>
        <w:sectPr>
          <w:pgSz w:w="11900" w:h="16838" w:orient="portrait"/>
          <w:cols w:equalWidth="0" w:num="1">
            <w:col w:w="11420"/>
          </w:cols>
          <w:pgMar w:left="240" w:top="140" w:right="239" w:bottom="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17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3320" w:type="dxa"/>
            <w:vAlign w:val="bottom"/>
          </w:tcPr>
          <w:p>
            <w:pPr>
              <w:jc w:val="right"/>
              <w:ind w:right="1750"/>
              <w:spacing w:after="0"/>
              <w:rPr>
                <w:sz w:val="20"/>
                <w:szCs w:val="20"/>
                <w:color w:val="auto"/>
              </w:rPr>
            </w:pPr>
            <w:r>
              <w:rPr>
                <w:rFonts w:ascii="Arial" w:cs="Arial" w:eastAsia="Arial" w:hAnsi="Arial"/>
                <w:sz w:val="18"/>
                <w:szCs w:val="18"/>
                <w:color w:val="auto"/>
              </w:rPr>
              <w:t>###</w:t>
            </w:r>
          </w:p>
        </w:tc>
        <w:tc>
          <w:tcPr>
            <w:tcW w:w="1380" w:type="dxa"/>
            <w:vAlign w:val="bottom"/>
          </w:tcPr>
          <w:p>
            <w:pPr>
              <w:spacing w:after="0"/>
              <w:rPr>
                <w:sz w:val="18"/>
                <w:szCs w:val="18"/>
                <w:color w:val="auto"/>
              </w:rPr>
            </w:pPr>
          </w:p>
        </w:tc>
      </w:tr>
      <w:tr>
        <w:trPr>
          <w:trHeight w:val="391"/>
        </w:trPr>
        <w:tc>
          <w:tcPr>
            <w:tcW w:w="1780" w:type="dxa"/>
            <w:vAlign w:val="bottom"/>
          </w:tcPr>
          <w:p>
            <w:pPr>
              <w:spacing w:after="0"/>
              <w:rPr>
                <w:sz w:val="20"/>
                <w:szCs w:val="20"/>
                <w:color w:val="auto"/>
              </w:rPr>
            </w:pPr>
            <w:r>
              <w:rPr>
                <w:rFonts w:ascii="Arial" w:cs="Arial" w:eastAsia="Arial" w:hAnsi="Arial"/>
                <w:sz w:val="18"/>
                <w:szCs w:val="18"/>
                <w:b w:val="1"/>
                <w:bCs w:val="1"/>
                <w:color w:val="auto"/>
              </w:rPr>
              <w:t>Investor Contacts:</w:t>
            </w:r>
          </w:p>
        </w:tc>
        <w:tc>
          <w:tcPr>
            <w:tcW w:w="2600" w:type="dxa"/>
            <w:vAlign w:val="bottom"/>
          </w:tcPr>
          <w:p>
            <w:pPr>
              <w:spacing w:after="0"/>
              <w:rPr>
                <w:sz w:val="24"/>
                <w:szCs w:val="24"/>
                <w:color w:val="auto"/>
              </w:rPr>
            </w:pPr>
          </w:p>
        </w:tc>
        <w:tc>
          <w:tcPr>
            <w:tcW w:w="3320" w:type="dxa"/>
            <w:vAlign w:val="bottom"/>
          </w:tcPr>
          <w:p>
            <w:pPr>
              <w:ind w:left="1820"/>
              <w:spacing w:after="0"/>
              <w:rPr>
                <w:sz w:val="20"/>
                <w:szCs w:val="20"/>
                <w:color w:val="auto"/>
              </w:rPr>
            </w:pPr>
            <w:r>
              <w:rPr>
                <w:rFonts w:ascii="Arial" w:cs="Arial" w:eastAsia="Arial" w:hAnsi="Arial"/>
                <w:sz w:val="18"/>
                <w:szCs w:val="18"/>
                <w:b w:val="1"/>
                <w:bCs w:val="1"/>
                <w:color w:val="auto"/>
              </w:rPr>
              <w:t>Press Contacts:</w:t>
            </w:r>
          </w:p>
        </w:tc>
        <w:tc>
          <w:tcPr>
            <w:tcW w:w="1380" w:type="dxa"/>
            <w:vAlign w:val="bottom"/>
          </w:tcPr>
          <w:p>
            <w:pPr>
              <w:spacing w:after="0"/>
              <w:rPr>
                <w:sz w:val="24"/>
                <w:szCs w:val="24"/>
                <w:color w:val="auto"/>
              </w:rPr>
            </w:pPr>
          </w:p>
        </w:tc>
      </w:tr>
      <w:tr>
        <w:trPr>
          <w:trHeight w:val="203"/>
        </w:trPr>
        <w:tc>
          <w:tcPr>
            <w:tcW w:w="1780" w:type="dxa"/>
            <w:vAlign w:val="bottom"/>
          </w:tcPr>
          <w:p>
            <w:pPr>
              <w:spacing w:after="0" w:line="202" w:lineRule="exact"/>
              <w:rPr>
                <w:sz w:val="20"/>
                <w:szCs w:val="20"/>
                <w:color w:val="auto"/>
              </w:rPr>
            </w:pPr>
            <w:r>
              <w:rPr>
                <w:rFonts w:ascii="Arial" w:cs="Arial" w:eastAsia="Arial" w:hAnsi="Arial"/>
                <w:sz w:val="18"/>
                <w:szCs w:val="18"/>
                <w:color w:val="auto"/>
              </w:rPr>
              <w:t>Jason S. Armstrong</w:t>
            </w:r>
          </w:p>
        </w:tc>
        <w:tc>
          <w:tcPr>
            <w:tcW w:w="2600" w:type="dxa"/>
            <w:vAlign w:val="bottom"/>
          </w:tcPr>
          <w:p>
            <w:pPr>
              <w:jc w:val="right"/>
              <w:ind w:right="1090"/>
              <w:spacing w:after="0" w:line="202" w:lineRule="exact"/>
              <w:rPr>
                <w:sz w:val="20"/>
                <w:szCs w:val="20"/>
                <w:color w:val="auto"/>
              </w:rPr>
            </w:pPr>
            <w:r>
              <w:rPr>
                <w:rFonts w:ascii="Arial" w:cs="Arial" w:eastAsia="Arial" w:hAnsi="Arial"/>
                <w:sz w:val="18"/>
                <w:szCs w:val="18"/>
                <w:color w:val="auto"/>
              </w:rPr>
              <w:t>(215) 286-7972</w:t>
            </w:r>
          </w:p>
        </w:tc>
        <w:tc>
          <w:tcPr>
            <w:tcW w:w="3320" w:type="dxa"/>
            <w:vAlign w:val="bottom"/>
          </w:tcPr>
          <w:p>
            <w:pPr>
              <w:ind w:left="1820"/>
              <w:spacing w:after="0" w:line="202" w:lineRule="exact"/>
              <w:rPr>
                <w:sz w:val="20"/>
                <w:szCs w:val="20"/>
                <w:color w:val="auto"/>
              </w:rPr>
            </w:pPr>
            <w:r>
              <w:rPr>
                <w:rFonts w:ascii="Arial" w:cs="Arial" w:eastAsia="Arial" w:hAnsi="Arial"/>
                <w:sz w:val="18"/>
                <w:szCs w:val="18"/>
                <w:color w:val="auto"/>
              </w:rPr>
              <w:t>D’Arcy Rudnay</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(215) 286-8582</w:t>
            </w:r>
          </w:p>
        </w:tc>
      </w:tr>
      <w:tr>
        <w:trPr>
          <w:trHeight w:val="217"/>
        </w:trPr>
        <w:tc>
          <w:tcPr>
            <w:tcW w:w="1780" w:type="dxa"/>
            <w:vAlign w:val="bottom"/>
          </w:tcPr>
          <w:p>
            <w:pPr>
              <w:spacing w:after="0"/>
              <w:rPr>
                <w:sz w:val="20"/>
                <w:szCs w:val="20"/>
                <w:color w:val="auto"/>
              </w:rPr>
            </w:pPr>
            <w:r>
              <w:rPr>
                <w:rFonts w:ascii="Arial" w:cs="Arial" w:eastAsia="Arial" w:hAnsi="Arial"/>
                <w:sz w:val="18"/>
                <w:szCs w:val="18"/>
                <w:color w:val="auto"/>
              </w:rPr>
              <w:t>Jane B. Kearns</w:t>
            </w:r>
          </w:p>
        </w:tc>
        <w:tc>
          <w:tcPr>
            <w:tcW w:w="2600" w:type="dxa"/>
            <w:vAlign w:val="bottom"/>
          </w:tcPr>
          <w:p>
            <w:pPr>
              <w:jc w:val="right"/>
              <w:ind w:right="1090"/>
              <w:spacing w:after="0"/>
              <w:rPr>
                <w:sz w:val="20"/>
                <w:szCs w:val="20"/>
                <w:color w:val="auto"/>
              </w:rPr>
            </w:pPr>
            <w:r>
              <w:rPr>
                <w:rFonts w:ascii="Arial" w:cs="Arial" w:eastAsia="Arial" w:hAnsi="Arial"/>
                <w:sz w:val="18"/>
                <w:szCs w:val="18"/>
                <w:color w:val="auto"/>
              </w:rPr>
              <w:t>(215) 286-4794</w:t>
            </w:r>
          </w:p>
        </w:tc>
        <w:tc>
          <w:tcPr>
            <w:tcW w:w="3320" w:type="dxa"/>
            <w:vAlign w:val="bottom"/>
          </w:tcPr>
          <w:p>
            <w:pPr>
              <w:ind w:left="1820"/>
              <w:spacing w:after="0"/>
              <w:rPr>
                <w:sz w:val="20"/>
                <w:szCs w:val="20"/>
                <w:color w:val="auto"/>
              </w:rPr>
            </w:pPr>
            <w:r>
              <w:rPr>
                <w:rFonts w:ascii="Arial" w:cs="Arial" w:eastAsia="Arial" w:hAnsi="Arial"/>
                <w:sz w:val="18"/>
                <w:szCs w:val="18"/>
                <w:color w:val="auto"/>
              </w:rPr>
              <w:t>John Demming</w:t>
            </w:r>
          </w:p>
        </w:tc>
        <w:tc>
          <w:tcPr>
            <w:tcW w:w="1380" w:type="dxa"/>
            <w:vAlign w:val="bottom"/>
          </w:tcPr>
          <w:p>
            <w:pPr>
              <w:jc w:val="right"/>
              <w:spacing w:after="0"/>
              <w:rPr>
                <w:sz w:val="20"/>
                <w:szCs w:val="20"/>
                <w:color w:val="auto"/>
              </w:rPr>
            </w:pPr>
            <w:r>
              <w:rPr>
                <w:rFonts w:ascii="Arial" w:cs="Arial" w:eastAsia="Arial" w:hAnsi="Arial"/>
                <w:sz w:val="18"/>
                <w:szCs w:val="18"/>
                <w:color w:val="auto"/>
              </w:rPr>
              <w:t>(215) 286-8011</w:t>
            </w: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 Concerning Forward-Looking Statements</w:t>
      </w:r>
    </w:p>
    <w:p>
      <w:pPr>
        <w:spacing w:after="0" w:line="1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This press release contains forward-looking statements. Readers are cautioned that such forward-looking statements involve risks and uncertainties that could cause actual events or our actual results to differ materially from those expressed in any such forward-looking statements. Readers are directed to Comcast’s periodic and other reports filed with the Securities and Exchange Commission (SEC) for a description of such risks and uncertainties. We undertake no obligation to update any forward-looking statements.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8"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this discussion, we sometimes refer to financial measures that are not presented according to generally accepted accounting principles in the U.S. (GAAP). Certain of these measures are considered “non-GAAP financial measures” under the SEC regulations; those rules require the supplemental explanations and reconciliations that are in Comcast’s Form 8-K (Quarterly Earnings Release) furnished to the SEC.</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Comcast Corporation</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Comcast Corporation (Nasdaq: CMCSA, CMCSK) is a global media and technology company with two primary businesses, Comcast Cable and NBCUniversal. Comcast Cable is the nation’s largest video, high-speed Internet and phone provider to residential customers under the XFINITY brand and also provides these services to businesses. NBCUniversal operates 30 news, entertainment and sports cable networks, the NBC and Telemundo broadcast networks, television production operations, television station groups, Universal Pictures and Universal Parks and Resorts. Visit </w:t>
      </w:r>
      <w:r>
        <w:rPr>
          <w:rFonts w:ascii="Arial" w:cs="Arial" w:eastAsia="Arial" w:hAnsi="Arial"/>
          <w:sz w:val="18"/>
          <w:szCs w:val="18"/>
          <w:u w:val="single" w:color="auto"/>
          <w:color w:val="auto"/>
        </w:rPr>
        <w:t>www.comcastcorporation.com</w:t>
      </w:r>
      <w:r>
        <w:rPr>
          <w:rFonts w:ascii="Arial" w:cs="Arial" w:eastAsia="Arial" w:hAnsi="Arial"/>
          <w:sz w:val="18"/>
          <w:szCs w:val="18"/>
          <w:color w:val="auto"/>
        </w:rPr>
        <w:t xml:space="preserve"> for more information.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4114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25"/>
          <w:szCs w:val="25"/>
          <w:b w:val="1"/>
          <w:bCs w:val="1"/>
          <w:color w:val="C9C9C9"/>
        </w:rPr>
        <w:t>TABLE 1</w:t>
      </w:r>
    </w:p>
    <w:p>
      <w:pPr>
        <w:spacing w:after="0" w:line="34" w:lineRule="exact"/>
        <w:rPr>
          <w:sz w:val="20"/>
          <w:szCs w:val="20"/>
          <w:color w:val="auto"/>
        </w:rPr>
      </w:pPr>
    </w:p>
    <w:p>
      <w:pPr>
        <w:spacing w:after="0"/>
        <w:rPr>
          <w:sz w:val="20"/>
          <w:szCs w:val="20"/>
          <w:color w:val="auto"/>
        </w:rPr>
      </w:pPr>
      <w:r>
        <w:rPr>
          <w:rFonts w:ascii="Arial" w:cs="Arial" w:eastAsia="Arial" w:hAnsi="Arial"/>
          <w:sz w:val="22"/>
          <w:szCs w:val="22"/>
          <w:b w:val="1"/>
          <w:bCs w:val="1"/>
          <w:color w:val="C9C9C9"/>
        </w:rPr>
        <w:t>Condensed Consolidated Statement of Income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260" w:type="dxa"/>
        <w:tblCellMar>
          <w:top w:w="0" w:type="dxa"/>
          <w:left w:w="0" w:type="dxa"/>
          <w:bottom w:w="0" w:type="dxa"/>
          <w:right w:w="0" w:type="dxa"/>
        </w:tblCellMar>
      </w:tblPr>
      <w:tr>
        <w:trPr>
          <w:trHeight w:val="207"/>
        </w:trPr>
        <w:tc>
          <w:tcPr>
            <w:tcW w:w="5720" w:type="dxa"/>
            <w:vAlign w:val="bottom"/>
          </w:tcPr>
          <w:p>
            <w:pPr>
              <w:spacing w:after="0"/>
              <w:rPr>
                <w:sz w:val="18"/>
                <w:szCs w:val="18"/>
                <w:color w:val="auto"/>
              </w:rPr>
            </w:pPr>
          </w:p>
        </w:tc>
        <w:tc>
          <w:tcPr>
            <w:tcW w:w="280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99"/>
              </w:rPr>
              <w:t>Three Months Ended</w:t>
            </w:r>
          </w:p>
        </w:tc>
        <w:tc>
          <w:tcPr>
            <w:tcW w:w="2580" w:type="dxa"/>
            <w:vAlign w:val="bottom"/>
            <w:gridSpan w:val="3"/>
          </w:tcPr>
          <w:p>
            <w:pPr>
              <w:jc w:val="right"/>
              <w:ind w:right="250"/>
              <w:spacing w:after="0"/>
              <w:rPr>
                <w:sz w:val="20"/>
                <w:szCs w:val="20"/>
                <w:color w:val="auto"/>
              </w:rPr>
            </w:pPr>
            <w:r>
              <w:rPr>
                <w:rFonts w:ascii="Arial" w:cs="Arial" w:eastAsia="Arial" w:hAnsi="Arial"/>
                <w:sz w:val="18"/>
                <w:szCs w:val="18"/>
                <w:b w:val="1"/>
                <w:bCs w:val="1"/>
                <w:color w:val="auto"/>
              </w:rPr>
              <w:t>Twelve Months Ended</w:t>
            </w:r>
          </w:p>
        </w:tc>
        <w:tc>
          <w:tcPr>
            <w:tcW w:w="0" w:type="dxa"/>
            <w:vAlign w:val="bottom"/>
          </w:tcPr>
          <w:p>
            <w:pPr>
              <w:spacing w:after="0"/>
              <w:rPr>
                <w:sz w:val="1"/>
                <w:szCs w:val="1"/>
                <w:color w:val="auto"/>
              </w:rPr>
            </w:pPr>
          </w:p>
        </w:tc>
      </w:tr>
      <w:tr>
        <w:trPr>
          <w:trHeight w:val="203"/>
        </w:trPr>
        <w:tc>
          <w:tcPr>
            <w:tcW w:w="5720" w:type="dxa"/>
            <w:vAlign w:val="bottom"/>
          </w:tcPr>
          <w:p>
            <w:pPr>
              <w:spacing w:after="0" w:line="202" w:lineRule="exact"/>
              <w:rPr>
                <w:sz w:val="20"/>
                <w:szCs w:val="20"/>
                <w:color w:val="auto"/>
              </w:rPr>
            </w:pPr>
            <w:r>
              <w:rPr>
                <w:rFonts w:ascii="Arial" w:cs="Arial" w:eastAsia="Arial" w:hAnsi="Arial"/>
                <w:sz w:val="18"/>
                <w:szCs w:val="18"/>
                <w:color w:val="auto"/>
              </w:rPr>
              <w:t>(in millions, except per share data)</w:t>
            </w:r>
          </w:p>
        </w:tc>
        <w:tc>
          <w:tcPr>
            <w:tcW w:w="2800" w:type="dxa"/>
            <w:vAlign w:val="bottom"/>
            <w:gridSpan w:val="4"/>
          </w:tcPr>
          <w:p>
            <w:pPr>
              <w:jc w:val="center"/>
              <w:ind w:right="260"/>
              <w:spacing w:after="0" w:line="202" w:lineRule="exact"/>
              <w:rPr>
                <w:sz w:val="20"/>
                <w:szCs w:val="20"/>
                <w:color w:val="auto"/>
              </w:rPr>
            </w:pPr>
            <w:r>
              <w:rPr>
                <w:rFonts w:ascii="Arial" w:cs="Arial" w:eastAsia="Arial" w:hAnsi="Arial"/>
                <w:sz w:val="18"/>
                <w:szCs w:val="18"/>
                <w:b w:val="1"/>
                <w:bCs w:val="1"/>
                <w:color w:val="auto"/>
              </w:rPr>
              <w:t>December 31,</w:t>
            </w:r>
          </w:p>
        </w:tc>
        <w:tc>
          <w:tcPr>
            <w:tcW w:w="2580" w:type="dxa"/>
            <w:vAlign w:val="bottom"/>
            <w:gridSpan w:val="3"/>
          </w:tcPr>
          <w:p>
            <w:pPr>
              <w:jc w:val="right"/>
              <w:ind w:right="610"/>
              <w:spacing w:after="0" w:line="202" w:lineRule="exact"/>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5"/>
        </w:trPr>
        <w:tc>
          <w:tcPr>
            <w:tcW w:w="5720" w:type="dxa"/>
            <w:vAlign w:val="bottom"/>
            <w:vMerge w:val="restart"/>
          </w:tcPr>
          <w:p>
            <w:pPr>
              <w:spacing w:after="0"/>
              <w:rPr>
                <w:sz w:val="20"/>
                <w:szCs w:val="20"/>
                <w:color w:val="auto"/>
              </w:rPr>
            </w:pPr>
            <w:r>
              <w:rPr>
                <w:rFonts w:ascii="Arial" w:cs="Arial" w:eastAsia="Arial" w:hAnsi="Arial"/>
                <w:sz w:val="18"/>
                <w:szCs w:val="18"/>
                <w:b w:val="1"/>
                <w:bCs w:val="1"/>
                <w:color w:val="auto"/>
              </w:rPr>
              <w:t>Revenue</w:t>
            </w: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2012</w:t>
            </w:r>
          </w:p>
        </w:tc>
        <w:tc>
          <w:tcPr>
            <w:tcW w:w="260" w:type="dxa"/>
            <w:vAlign w:val="bottom"/>
          </w:tcPr>
          <w:p>
            <w:pPr>
              <w:spacing w:after="0"/>
              <w:rPr>
                <w:sz w:val="19"/>
                <w:szCs w:val="19"/>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2013</w:t>
            </w:r>
          </w:p>
        </w:tc>
        <w:tc>
          <w:tcPr>
            <w:tcW w:w="260" w:type="dxa"/>
            <w:vAlign w:val="bottom"/>
          </w:tcPr>
          <w:p>
            <w:pPr>
              <w:spacing w:after="0"/>
              <w:rPr>
                <w:sz w:val="19"/>
                <w:szCs w:val="19"/>
                <w:color w:val="auto"/>
              </w:rPr>
            </w:pPr>
          </w:p>
        </w:tc>
        <w:tc>
          <w:tcPr>
            <w:tcW w:w="11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2012</w:t>
            </w:r>
          </w:p>
        </w:tc>
        <w:tc>
          <w:tcPr>
            <w:tcW w:w="260" w:type="dxa"/>
            <w:vAlign w:val="bottom"/>
          </w:tcPr>
          <w:p>
            <w:pPr>
              <w:spacing w:after="0"/>
              <w:rPr>
                <w:sz w:val="19"/>
                <w:szCs w:val="19"/>
                <w:color w:val="auto"/>
              </w:rPr>
            </w:pPr>
          </w:p>
        </w:tc>
        <w:tc>
          <w:tcPr>
            <w:tcW w:w="11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32"/>
        </w:trPr>
        <w:tc>
          <w:tcPr>
            <w:tcW w:w="5720" w:type="dxa"/>
            <w:vAlign w:val="bottom"/>
            <w:vMerge w:val="continue"/>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$15,937</w:t>
            </w:r>
          </w:p>
        </w:tc>
        <w:tc>
          <w:tcPr>
            <w:tcW w:w="26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$16,926</w:t>
            </w:r>
          </w:p>
        </w:tc>
        <w:tc>
          <w:tcPr>
            <w:tcW w:w="26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$62,570</w:t>
            </w: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$64,657</w:t>
            </w:r>
          </w:p>
        </w:tc>
        <w:tc>
          <w:tcPr>
            <w:tcW w:w="0" w:type="dxa"/>
            <w:vAlign w:val="bottom"/>
          </w:tcPr>
          <w:p>
            <w:pPr>
              <w:spacing w:after="0"/>
              <w:rPr>
                <w:sz w:val="1"/>
                <w:szCs w:val="1"/>
                <w:color w:val="auto"/>
              </w:rPr>
            </w:pPr>
          </w:p>
        </w:tc>
      </w:tr>
      <w:tr>
        <w:trPr>
          <w:trHeight w:val="359"/>
        </w:trPr>
        <w:tc>
          <w:tcPr>
            <w:tcW w:w="5720" w:type="dxa"/>
            <w:vAlign w:val="bottom"/>
          </w:tcPr>
          <w:p>
            <w:pPr>
              <w:ind w:left="180"/>
              <w:spacing w:after="0"/>
              <w:rPr>
                <w:sz w:val="20"/>
                <w:szCs w:val="20"/>
                <w:color w:val="auto"/>
              </w:rPr>
            </w:pPr>
            <w:r>
              <w:rPr>
                <w:rFonts w:ascii="Arial" w:cs="Arial" w:eastAsia="Arial" w:hAnsi="Arial"/>
                <w:sz w:val="18"/>
                <w:szCs w:val="18"/>
                <w:color w:val="auto"/>
              </w:rPr>
              <w:t>Programming and production</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4,916</w:t>
            </w:r>
          </w:p>
        </w:tc>
        <w:tc>
          <w:tcPr>
            <w:tcW w:w="26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5,252</w:t>
            </w:r>
          </w:p>
        </w:tc>
        <w:tc>
          <w:tcPr>
            <w:tcW w:w="260" w:type="dxa"/>
            <w:vAlign w:val="bottom"/>
          </w:tcPr>
          <w:p>
            <w:pPr>
              <w:spacing w:after="0"/>
              <w:rPr>
                <w:sz w:val="24"/>
                <w:szCs w:val="24"/>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19,929</w:t>
            </w:r>
          </w:p>
        </w:tc>
        <w:tc>
          <w:tcPr>
            <w:tcW w:w="2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19,670</w:t>
            </w:r>
          </w:p>
        </w:tc>
        <w:tc>
          <w:tcPr>
            <w:tcW w:w="0" w:type="dxa"/>
            <w:vAlign w:val="bottom"/>
          </w:tcPr>
          <w:p>
            <w:pPr>
              <w:spacing w:after="0"/>
              <w:rPr>
                <w:sz w:val="1"/>
                <w:szCs w:val="1"/>
                <w:color w:val="auto"/>
              </w:rPr>
            </w:pPr>
          </w:p>
        </w:tc>
      </w:tr>
      <w:tr>
        <w:trPr>
          <w:trHeight w:val="216"/>
        </w:trPr>
        <w:tc>
          <w:tcPr>
            <w:tcW w:w="5720" w:type="dxa"/>
            <w:vAlign w:val="bottom"/>
          </w:tcPr>
          <w:p>
            <w:pPr>
              <w:ind w:left="180"/>
              <w:spacing w:after="0"/>
              <w:rPr>
                <w:sz w:val="20"/>
                <w:szCs w:val="20"/>
                <w:color w:val="auto"/>
              </w:rPr>
            </w:pPr>
            <w:r>
              <w:rPr>
                <w:rFonts w:ascii="Arial" w:cs="Arial" w:eastAsia="Arial" w:hAnsi="Arial"/>
                <w:sz w:val="18"/>
                <w:szCs w:val="18"/>
                <w:color w:val="auto"/>
              </w:rPr>
              <w:t>Other operating and administrative</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4,643</w:t>
            </w:r>
          </w:p>
        </w:tc>
        <w:tc>
          <w:tcPr>
            <w:tcW w:w="26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4,797</w:t>
            </w:r>
          </w:p>
        </w:tc>
        <w:tc>
          <w:tcPr>
            <w:tcW w:w="26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17,833</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18,584</w:t>
            </w:r>
          </w:p>
        </w:tc>
        <w:tc>
          <w:tcPr>
            <w:tcW w:w="0" w:type="dxa"/>
            <w:vAlign w:val="bottom"/>
          </w:tcPr>
          <w:p>
            <w:pPr>
              <w:spacing w:after="0"/>
              <w:rPr>
                <w:sz w:val="1"/>
                <w:szCs w:val="1"/>
                <w:color w:val="auto"/>
              </w:rPr>
            </w:pPr>
          </w:p>
        </w:tc>
      </w:tr>
      <w:tr>
        <w:trPr>
          <w:trHeight w:val="225"/>
        </w:trPr>
        <w:tc>
          <w:tcPr>
            <w:tcW w:w="5720" w:type="dxa"/>
            <w:vAlign w:val="bottom"/>
          </w:tcPr>
          <w:p>
            <w:pPr>
              <w:ind w:left="180"/>
              <w:spacing w:after="0"/>
              <w:rPr>
                <w:sz w:val="20"/>
                <w:szCs w:val="20"/>
                <w:color w:val="auto"/>
              </w:rPr>
            </w:pPr>
            <w:r>
              <w:rPr>
                <w:rFonts w:ascii="Arial" w:cs="Arial" w:eastAsia="Arial" w:hAnsi="Arial"/>
                <w:sz w:val="18"/>
                <w:szCs w:val="18"/>
                <w:color w:val="auto"/>
              </w:rPr>
              <w:t>Advertising, marketing and promotion</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1,101</w:t>
            </w:r>
          </w:p>
        </w:tc>
        <w:tc>
          <w:tcPr>
            <w:tcW w:w="260" w:type="dxa"/>
            <w:vAlign w:val="bottom"/>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1,232</w:t>
            </w:r>
          </w:p>
        </w:tc>
        <w:tc>
          <w:tcPr>
            <w:tcW w:w="260" w:type="dxa"/>
            <w:vAlign w:val="bottom"/>
          </w:tcPr>
          <w:p>
            <w:pPr>
              <w:spacing w:after="0"/>
              <w:rPr>
                <w:sz w:val="19"/>
                <w:szCs w:val="19"/>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4,831</w:t>
            </w:r>
          </w:p>
        </w:tc>
        <w:tc>
          <w:tcPr>
            <w:tcW w:w="26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4,969</w:t>
            </w:r>
          </w:p>
        </w:tc>
        <w:tc>
          <w:tcPr>
            <w:tcW w:w="0" w:type="dxa"/>
            <w:vAlign w:val="bottom"/>
          </w:tcPr>
          <w:p>
            <w:pPr>
              <w:spacing w:after="0"/>
              <w:rPr>
                <w:sz w:val="1"/>
                <w:szCs w:val="1"/>
                <w:color w:val="auto"/>
              </w:rPr>
            </w:pPr>
          </w:p>
        </w:tc>
      </w:tr>
      <w:tr>
        <w:trPr>
          <w:trHeight w:val="196"/>
        </w:trPr>
        <w:tc>
          <w:tcPr>
            <w:tcW w:w="5720" w:type="dxa"/>
            <w:vAlign w:val="bottom"/>
          </w:tcPr>
          <w:p>
            <w:pPr>
              <w:spacing w:after="0"/>
              <w:rPr>
                <w:sz w:val="17"/>
                <w:szCs w:val="17"/>
                <w:color w:val="auto"/>
              </w:rPr>
            </w:pPr>
          </w:p>
        </w:tc>
        <w:tc>
          <w:tcPr>
            <w:tcW w:w="11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10,660</w:t>
            </w:r>
          </w:p>
        </w:tc>
        <w:tc>
          <w:tcPr>
            <w:tcW w:w="260" w:type="dxa"/>
            <w:vAlign w:val="bottom"/>
          </w:tcPr>
          <w:p>
            <w:pPr>
              <w:spacing w:after="0"/>
              <w:rPr>
                <w:sz w:val="17"/>
                <w:szCs w:val="17"/>
                <w:color w:val="auto"/>
              </w:rPr>
            </w:pPr>
          </w:p>
        </w:tc>
        <w:tc>
          <w:tcPr>
            <w:tcW w:w="11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11,281</w:t>
            </w:r>
          </w:p>
        </w:tc>
        <w:tc>
          <w:tcPr>
            <w:tcW w:w="260" w:type="dxa"/>
            <w:vAlign w:val="bottom"/>
          </w:tcPr>
          <w:p>
            <w:pPr>
              <w:spacing w:after="0"/>
              <w:rPr>
                <w:sz w:val="17"/>
                <w:szCs w:val="17"/>
                <w:color w:val="auto"/>
              </w:rPr>
            </w:pPr>
          </w:p>
        </w:tc>
        <w:tc>
          <w:tcPr>
            <w:tcW w:w="11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42,593</w:t>
            </w:r>
          </w:p>
        </w:tc>
        <w:tc>
          <w:tcPr>
            <w:tcW w:w="260" w:type="dxa"/>
            <w:vAlign w:val="bottom"/>
          </w:tcPr>
          <w:p>
            <w:pPr>
              <w:spacing w:after="0"/>
              <w:rPr>
                <w:sz w:val="17"/>
                <w:szCs w:val="17"/>
                <w:color w:val="auto"/>
              </w:rPr>
            </w:pP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43,223</w:t>
            </w:r>
          </w:p>
        </w:tc>
        <w:tc>
          <w:tcPr>
            <w:tcW w:w="0" w:type="dxa"/>
            <w:vAlign w:val="bottom"/>
          </w:tcPr>
          <w:p>
            <w:pPr>
              <w:spacing w:after="0"/>
              <w:rPr>
                <w:sz w:val="1"/>
                <w:szCs w:val="1"/>
                <w:color w:val="auto"/>
              </w:rPr>
            </w:pPr>
          </w:p>
        </w:tc>
      </w:tr>
      <w:tr>
        <w:trPr>
          <w:trHeight w:val="412"/>
        </w:trPr>
        <w:tc>
          <w:tcPr>
            <w:tcW w:w="5720" w:type="dxa"/>
            <w:vAlign w:val="bottom"/>
          </w:tcPr>
          <w:p>
            <w:pPr>
              <w:spacing w:after="0"/>
              <w:rPr>
                <w:sz w:val="20"/>
                <w:szCs w:val="20"/>
                <w:color w:val="auto"/>
              </w:rPr>
            </w:pPr>
            <w:r>
              <w:rPr>
                <w:rFonts w:ascii="Arial" w:cs="Arial" w:eastAsia="Arial" w:hAnsi="Arial"/>
                <w:sz w:val="18"/>
                <w:szCs w:val="18"/>
                <w:b w:val="1"/>
                <w:bCs w:val="1"/>
                <w:color w:val="auto"/>
              </w:rPr>
              <w:t>Operating cash flow</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5,277</w:t>
            </w:r>
          </w:p>
        </w:tc>
        <w:tc>
          <w:tcPr>
            <w:tcW w:w="26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5,645</w:t>
            </w:r>
          </w:p>
        </w:tc>
        <w:tc>
          <w:tcPr>
            <w:tcW w:w="260" w:type="dxa"/>
            <w:vAlign w:val="bottom"/>
          </w:tcPr>
          <w:p>
            <w:pPr>
              <w:spacing w:after="0"/>
              <w:rPr>
                <w:sz w:val="24"/>
                <w:szCs w:val="24"/>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19,977</w:t>
            </w:r>
          </w:p>
        </w:tc>
        <w:tc>
          <w:tcPr>
            <w:tcW w:w="2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21,434</w:t>
            </w:r>
          </w:p>
        </w:tc>
        <w:tc>
          <w:tcPr>
            <w:tcW w:w="0" w:type="dxa"/>
            <w:vAlign w:val="bottom"/>
          </w:tcPr>
          <w:p>
            <w:pPr>
              <w:spacing w:after="0"/>
              <w:rPr>
                <w:sz w:val="1"/>
                <w:szCs w:val="1"/>
                <w:color w:val="auto"/>
              </w:rPr>
            </w:pPr>
          </w:p>
        </w:tc>
      </w:tr>
      <w:tr>
        <w:trPr>
          <w:trHeight w:val="382"/>
        </w:trPr>
        <w:tc>
          <w:tcPr>
            <w:tcW w:w="5720" w:type="dxa"/>
            <w:vAlign w:val="bottom"/>
          </w:tcPr>
          <w:p>
            <w:pPr>
              <w:ind w:left="180"/>
              <w:spacing w:after="0"/>
              <w:rPr>
                <w:sz w:val="20"/>
                <w:szCs w:val="20"/>
                <w:color w:val="auto"/>
              </w:rPr>
            </w:pPr>
            <w:r>
              <w:rPr>
                <w:rFonts w:ascii="Arial" w:cs="Arial" w:eastAsia="Arial" w:hAnsi="Arial"/>
                <w:sz w:val="18"/>
                <w:szCs w:val="18"/>
                <w:color w:val="auto"/>
              </w:rPr>
              <w:t>Depreciation expense</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1,556</w:t>
            </w:r>
          </w:p>
        </w:tc>
        <w:tc>
          <w:tcPr>
            <w:tcW w:w="26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1,585</w:t>
            </w:r>
          </w:p>
        </w:tc>
        <w:tc>
          <w:tcPr>
            <w:tcW w:w="260" w:type="dxa"/>
            <w:vAlign w:val="bottom"/>
          </w:tcPr>
          <w:p>
            <w:pPr>
              <w:spacing w:after="0"/>
              <w:rPr>
                <w:sz w:val="24"/>
                <w:szCs w:val="24"/>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6,150</w:t>
            </w:r>
          </w:p>
        </w:tc>
        <w:tc>
          <w:tcPr>
            <w:tcW w:w="2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6,254</w:t>
            </w:r>
          </w:p>
        </w:tc>
        <w:tc>
          <w:tcPr>
            <w:tcW w:w="0" w:type="dxa"/>
            <w:vAlign w:val="bottom"/>
          </w:tcPr>
          <w:p>
            <w:pPr>
              <w:spacing w:after="0"/>
              <w:rPr>
                <w:sz w:val="1"/>
                <w:szCs w:val="1"/>
                <w:color w:val="auto"/>
              </w:rPr>
            </w:pPr>
          </w:p>
        </w:tc>
      </w:tr>
      <w:tr>
        <w:trPr>
          <w:trHeight w:val="225"/>
        </w:trPr>
        <w:tc>
          <w:tcPr>
            <w:tcW w:w="5720" w:type="dxa"/>
            <w:vAlign w:val="bottom"/>
          </w:tcPr>
          <w:p>
            <w:pPr>
              <w:ind w:left="180"/>
              <w:spacing w:after="0"/>
              <w:rPr>
                <w:sz w:val="20"/>
                <w:szCs w:val="20"/>
                <w:color w:val="auto"/>
              </w:rPr>
            </w:pPr>
            <w:r>
              <w:rPr>
                <w:rFonts w:ascii="Arial" w:cs="Arial" w:eastAsia="Arial" w:hAnsi="Arial"/>
                <w:sz w:val="18"/>
                <w:szCs w:val="18"/>
                <w:color w:val="auto"/>
              </w:rPr>
              <w:t>Amortization expense</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427</w:t>
            </w:r>
          </w:p>
        </w:tc>
        <w:tc>
          <w:tcPr>
            <w:tcW w:w="260" w:type="dxa"/>
            <w:vAlign w:val="bottom"/>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413</w:t>
            </w:r>
          </w:p>
        </w:tc>
        <w:tc>
          <w:tcPr>
            <w:tcW w:w="260" w:type="dxa"/>
            <w:vAlign w:val="bottom"/>
          </w:tcPr>
          <w:p>
            <w:pPr>
              <w:spacing w:after="0"/>
              <w:rPr>
                <w:sz w:val="19"/>
                <w:szCs w:val="19"/>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1,648</w:t>
            </w:r>
          </w:p>
        </w:tc>
        <w:tc>
          <w:tcPr>
            <w:tcW w:w="26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1,617</w:t>
            </w:r>
          </w:p>
        </w:tc>
        <w:tc>
          <w:tcPr>
            <w:tcW w:w="0" w:type="dxa"/>
            <w:vAlign w:val="bottom"/>
          </w:tcPr>
          <w:p>
            <w:pPr>
              <w:spacing w:after="0"/>
              <w:rPr>
                <w:sz w:val="1"/>
                <w:szCs w:val="1"/>
                <w:color w:val="auto"/>
              </w:rPr>
            </w:pPr>
          </w:p>
        </w:tc>
      </w:tr>
      <w:tr>
        <w:trPr>
          <w:trHeight w:val="196"/>
        </w:trPr>
        <w:tc>
          <w:tcPr>
            <w:tcW w:w="5720" w:type="dxa"/>
            <w:vAlign w:val="bottom"/>
            <w:vMerge w:val="restart"/>
          </w:tcPr>
          <w:p>
            <w:pPr>
              <w:spacing w:after="0"/>
              <w:rPr>
                <w:sz w:val="20"/>
                <w:szCs w:val="20"/>
                <w:color w:val="auto"/>
              </w:rPr>
            </w:pPr>
            <w:r>
              <w:rPr>
                <w:rFonts w:ascii="Arial" w:cs="Arial" w:eastAsia="Arial" w:hAnsi="Arial"/>
                <w:sz w:val="18"/>
                <w:szCs w:val="18"/>
                <w:b w:val="1"/>
                <w:bCs w:val="1"/>
                <w:color w:val="auto"/>
              </w:rPr>
              <w:t>Operating income</w:t>
            </w:r>
          </w:p>
        </w:tc>
        <w:tc>
          <w:tcPr>
            <w:tcW w:w="11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1,983</w:t>
            </w:r>
          </w:p>
        </w:tc>
        <w:tc>
          <w:tcPr>
            <w:tcW w:w="260" w:type="dxa"/>
            <w:vAlign w:val="bottom"/>
          </w:tcPr>
          <w:p>
            <w:pPr>
              <w:spacing w:after="0"/>
              <w:rPr>
                <w:sz w:val="17"/>
                <w:szCs w:val="17"/>
                <w:color w:val="auto"/>
              </w:rPr>
            </w:pPr>
          </w:p>
        </w:tc>
        <w:tc>
          <w:tcPr>
            <w:tcW w:w="11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1,998</w:t>
            </w:r>
          </w:p>
        </w:tc>
        <w:tc>
          <w:tcPr>
            <w:tcW w:w="260" w:type="dxa"/>
            <w:vAlign w:val="bottom"/>
          </w:tcPr>
          <w:p>
            <w:pPr>
              <w:spacing w:after="0"/>
              <w:rPr>
                <w:sz w:val="17"/>
                <w:szCs w:val="17"/>
                <w:color w:val="auto"/>
              </w:rPr>
            </w:pPr>
          </w:p>
        </w:tc>
        <w:tc>
          <w:tcPr>
            <w:tcW w:w="11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7,798</w:t>
            </w:r>
          </w:p>
        </w:tc>
        <w:tc>
          <w:tcPr>
            <w:tcW w:w="260" w:type="dxa"/>
            <w:vAlign w:val="bottom"/>
          </w:tcPr>
          <w:p>
            <w:pPr>
              <w:spacing w:after="0"/>
              <w:rPr>
                <w:sz w:val="17"/>
                <w:szCs w:val="17"/>
                <w:color w:val="auto"/>
              </w:rPr>
            </w:pP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7,871</w:t>
            </w:r>
          </w:p>
        </w:tc>
        <w:tc>
          <w:tcPr>
            <w:tcW w:w="0" w:type="dxa"/>
            <w:vAlign w:val="bottom"/>
          </w:tcPr>
          <w:p>
            <w:pPr>
              <w:spacing w:after="0"/>
              <w:rPr>
                <w:sz w:val="1"/>
                <w:szCs w:val="1"/>
                <w:color w:val="auto"/>
              </w:rPr>
            </w:pPr>
          </w:p>
        </w:tc>
      </w:tr>
      <w:tr>
        <w:trPr>
          <w:trHeight w:val="232"/>
        </w:trPr>
        <w:tc>
          <w:tcPr>
            <w:tcW w:w="5720" w:type="dxa"/>
            <w:vAlign w:val="bottom"/>
            <w:vMerge w:val="continue"/>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3,294</w:t>
            </w:r>
          </w:p>
        </w:tc>
        <w:tc>
          <w:tcPr>
            <w:tcW w:w="26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3,647</w:t>
            </w:r>
          </w:p>
        </w:tc>
        <w:tc>
          <w:tcPr>
            <w:tcW w:w="26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12,179</w:t>
            </w: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13,563</w:t>
            </w:r>
          </w:p>
        </w:tc>
        <w:tc>
          <w:tcPr>
            <w:tcW w:w="0" w:type="dxa"/>
            <w:vAlign w:val="bottom"/>
          </w:tcPr>
          <w:p>
            <w:pPr>
              <w:spacing w:after="0"/>
              <w:rPr>
                <w:sz w:val="1"/>
                <w:szCs w:val="1"/>
                <w:color w:val="auto"/>
              </w:rPr>
            </w:pPr>
          </w:p>
        </w:tc>
      </w:tr>
      <w:tr>
        <w:trPr>
          <w:trHeight w:val="381"/>
        </w:trPr>
        <w:tc>
          <w:tcPr>
            <w:tcW w:w="5720" w:type="dxa"/>
            <w:vAlign w:val="bottom"/>
          </w:tcPr>
          <w:p>
            <w:pPr>
              <w:spacing w:after="0"/>
              <w:rPr>
                <w:sz w:val="20"/>
                <w:szCs w:val="20"/>
                <w:color w:val="auto"/>
              </w:rPr>
            </w:pPr>
            <w:r>
              <w:rPr>
                <w:rFonts w:ascii="Arial" w:cs="Arial" w:eastAsia="Arial" w:hAnsi="Arial"/>
                <w:sz w:val="18"/>
                <w:szCs w:val="18"/>
                <w:color w:val="auto"/>
              </w:rPr>
              <w:t>Other income (expense)</w:t>
            </w: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(646)</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(2,574)</w:t>
            </w:r>
          </w:p>
        </w:tc>
        <w:tc>
          <w:tcPr>
            <w:tcW w:w="0" w:type="dxa"/>
            <w:vAlign w:val="bottom"/>
          </w:tcPr>
          <w:p>
            <w:pPr>
              <w:spacing w:after="0"/>
              <w:rPr>
                <w:sz w:val="1"/>
                <w:szCs w:val="1"/>
                <w:color w:val="auto"/>
              </w:rPr>
            </w:pPr>
          </w:p>
        </w:tc>
      </w:tr>
      <w:tr>
        <w:trPr>
          <w:trHeight w:val="194"/>
        </w:trPr>
        <w:tc>
          <w:tcPr>
            <w:tcW w:w="5720" w:type="dxa"/>
            <w:vAlign w:val="bottom"/>
          </w:tcPr>
          <w:p>
            <w:pPr>
              <w:ind w:left="180"/>
              <w:spacing w:after="0" w:line="195" w:lineRule="exact"/>
              <w:rPr>
                <w:sz w:val="20"/>
                <w:szCs w:val="20"/>
                <w:color w:val="auto"/>
              </w:rPr>
            </w:pPr>
            <w:r>
              <w:rPr>
                <w:rFonts w:ascii="Arial" w:cs="Arial" w:eastAsia="Arial" w:hAnsi="Arial"/>
                <w:sz w:val="18"/>
                <w:szCs w:val="18"/>
                <w:color w:val="auto"/>
              </w:rPr>
              <w:t>Interest expense</w:t>
            </w:r>
          </w:p>
        </w:tc>
        <w:tc>
          <w:tcPr>
            <w:tcW w:w="1140" w:type="dxa"/>
            <w:vAlign w:val="bottom"/>
          </w:tcPr>
          <w:p>
            <w:pPr>
              <w:jc w:val="right"/>
              <w:spacing w:after="0" w:line="195" w:lineRule="exact"/>
              <w:rPr>
                <w:sz w:val="20"/>
                <w:szCs w:val="20"/>
                <w:color w:val="auto"/>
              </w:rPr>
            </w:pPr>
            <w:r>
              <w:rPr>
                <w:rFonts w:ascii="Arial" w:cs="Arial" w:eastAsia="Arial" w:hAnsi="Arial"/>
                <w:sz w:val="18"/>
                <w:szCs w:val="18"/>
                <w:color w:val="auto"/>
              </w:rPr>
              <w:t>(623)</w:t>
            </w:r>
          </w:p>
        </w:tc>
        <w:tc>
          <w:tcPr>
            <w:tcW w:w="26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right"/>
              <w:spacing w:after="0" w:line="195" w:lineRule="exact"/>
              <w:rPr>
                <w:sz w:val="20"/>
                <w:szCs w:val="20"/>
                <w:color w:val="auto"/>
              </w:rPr>
            </w:pPr>
            <w:r>
              <w:rPr>
                <w:rFonts w:ascii="Arial" w:cs="Arial" w:eastAsia="Arial" w:hAnsi="Arial"/>
                <w:sz w:val="18"/>
                <w:szCs w:val="18"/>
                <w:color w:val="auto"/>
              </w:rPr>
              <w:t>(2,521)</w:t>
            </w:r>
          </w:p>
        </w:tc>
        <w:tc>
          <w:tcPr>
            <w:tcW w:w="2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180"/>
              <w:spacing w:after="0"/>
              <w:rPr>
                <w:sz w:val="20"/>
                <w:szCs w:val="20"/>
                <w:color w:val="auto"/>
              </w:rPr>
            </w:pPr>
            <w:r>
              <w:rPr>
                <w:rFonts w:ascii="Arial" w:cs="Arial" w:eastAsia="Arial" w:hAnsi="Arial"/>
                <w:sz w:val="18"/>
                <w:szCs w:val="18"/>
                <w:color w:val="auto"/>
              </w:rPr>
              <w:t>Investment income (loss), net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26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27</w:t>
            </w:r>
          </w:p>
        </w:tc>
        <w:tc>
          <w:tcPr>
            <w:tcW w:w="26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219</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576</w:t>
            </w:r>
          </w:p>
        </w:tc>
        <w:tc>
          <w:tcPr>
            <w:tcW w:w="0" w:type="dxa"/>
            <w:vAlign w:val="bottom"/>
          </w:tcPr>
          <w:p>
            <w:pPr>
              <w:spacing w:after="0"/>
              <w:rPr>
                <w:sz w:val="1"/>
                <w:szCs w:val="1"/>
                <w:color w:val="auto"/>
              </w:rPr>
            </w:pPr>
          </w:p>
        </w:tc>
      </w:tr>
      <w:tr>
        <w:trPr>
          <w:trHeight w:val="216"/>
        </w:trPr>
        <w:tc>
          <w:tcPr>
            <w:tcW w:w="5720" w:type="dxa"/>
            <w:vAlign w:val="bottom"/>
          </w:tcPr>
          <w:p>
            <w:pPr>
              <w:ind w:left="180"/>
              <w:spacing w:after="0"/>
              <w:rPr>
                <w:sz w:val="20"/>
                <w:szCs w:val="20"/>
                <w:color w:val="auto"/>
              </w:rPr>
            </w:pPr>
            <w:r>
              <w:rPr>
                <w:rFonts w:ascii="Arial" w:cs="Arial" w:eastAsia="Arial" w:hAnsi="Arial"/>
                <w:sz w:val="18"/>
                <w:szCs w:val="18"/>
                <w:color w:val="auto"/>
              </w:rPr>
              <w:t>Equity in net income (losses) of investees, net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10</w:t>
            </w:r>
          </w:p>
        </w:tc>
        <w:tc>
          <w:tcPr>
            <w:tcW w:w="26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959</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(86)</w:t>
            </w:r>
          </w:p>
        </w:tc>
        <w:tc>
          <w:tcPr>
            <w:tcW w:w="0" w:type="dxa"/>
            <w:vAlign w:val="bottom"/>
          </w:tcPr>
          <w:p>
            <w:pPr>
              <w:spacing w:after="0"/>
              <w:rPr>
                <w:sz w:val="1"/>
                <w:szCs w:val="1"/>
                <w:color w:val="auto"/>
              </w:rPr>
            </w:pPr>
          </w:p>
        </w:tc>
      </w:tr>
      <w:tr>
        <w:trPr>
          <w:trHeight w:val="225"/>
        </w:trPr>
        <w:tc>
          <w:tcPr>
            <w:tcW w:w="5720" w:type="dxa"/>
            <w:vAlign w:val="bottom"/>
          </w:tcPr>
          <w:p>
            <w:pPr>
              <w:ind w:left="180"/>
              <w:spacing w:after="0"/>
              <w:rPr>
                <w:sz w:val="20"/>
                <w:szCs w:val="20"/>
                <w:color w:val="auto"/>
              </w:rPr>
            </w:pPr>
            <w:r>
              <w:rPr>
                <w:rFonts w:ascii="Arial" w:cs="Arial" w:eastAsia="Arial" w:hAnsi="Arial"/>
                <w:sz w:val="18"/>
                <w:szCs w:val="18"/>
                <w:color w:val="auto"/>
              </w:rPr>
              <w:t>Other income (expense), net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26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w:t>
            </w:r>
          </w:p>
        </w:tc>
        <w:tc>
          <w:tcPr>
            <w:tcW w:w="260" w:type="dxa"/>
            <w:vAlign w:val="bottom"/>
          </w:tcPr>
          <w:p>
            <w:pPr>
              <w:spacing w:after="0"/>
              <w:rPr>
                <w:sz w:val="19"/>
                <w:szCs w:val="19"/>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773</w:t>
            </w:r>
          </w:p>
        </w:tc>
        <w:tc>
          <w:tcPr>
            <w:tcW w:w="26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(364)</w:t>
            </w:r>
          </w:p>
        </w:tc>
        <w:tc>
          <w:tcPr>
            <w:tcW w:w="0" w:type="dxa"/>
            <w:vAlign w:val="bottom"/>
          </w:tcPr>
          <w:p>
            <w:pPr>
              <w:spacing w:after="0"/>
              <w:rPr>
                <w:sz w:val="1"/>
                <w:szCs w:val="1"/>
                <w:color w:val="auto"/>
              </w:rPr>
            </w:pPr>
          </w:p>
        </w:tc>
      </w:tr>
      <w:tr>
        <w:trPr>
          <w:trHeight w:val="196"/>
        </w:trPr>
        <w:tc>
          <w:tcPr>
            <w:tcW w:w="5720" w:type="dxa"/>
            <w:vAlign w:val="bottom"/>
          </w:tcPr>
          <w:p>
            <w:pPr>
              <w:spacing w:after="0"/>
              <w:rPr>
                <w:sz w:val="17"/>
                <w:szCs w:val="17"/>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(709)</w:t>
            </w:r>
          </w:p>
        </w:tc>
        <w:tc>
          <w:tcPr>
            <w:tcW w:w="260" w:type="dxa"/>
            <w:vAlign w:val="bottom"/>
          </w:tcPr>
          <w:p>
            <w:pPr>
              <w:spacing w:after="0"/>
              <w:rPr>
                <w:sz w:val="17"/>
                <w:szCs w:val="17"/>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(693)</w:t>
            </w:r>
          </w:p>
        </w:tc>
        <w:tc>
          <w:tcPr>
            <w:tcW w:w="260" w:type="dxa"/>
            <w:vAlign w:val="bottom"/>
          </w:tcPr>
          <w:p>
            <w:pPr>
              <w:spacing w:after="0"/>
              <w:rPr>
                <w:sz w:val="17"/>
                <w:szCs w:val="17"/>
                <w:color w:val="auto"/>
              </w:rPr>
            </w:pP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(570)</w:t>
            </w:r>
          </w:p>
        </w:tc>
        <w:tc>
          <w:tcPr>
            <w:tcW w:w="260" w:type="dxa"/>
            <w:vAlign w:val="bottom"/>
          </w:tcPr>
          <w:p>
            <w:pPr>
              <w:spacing w:after="0"/>
              <w:rPr>
                <w:sz w:val="17"/>
                <w:szCs w:val="17"/>
                <w:color w:val="auto"/>
              </w:rPr>
            </w:pP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(2,448)</w:t>
            </w:r>
          </w:p>
        </w:tc>
        <w:tc>
          <w:tcPr>
            <w:tcW w:w="0" w:type="dxa"/>
            <w:vAlign w:val="bottom"/>
          </w:tcPr>
          <w:p>
            <w:pPr>
              <w:spacing w:after="0"/>
              <w:rPr>
                <w:sz w:val="1"/>
                <w:szCs w:val="1"/>
                <w:color w:val="auto"/>
              </w:rPr>
            </w:pPr>
          </w:p>
        </w:tc>
      </w:tr>
      <w:tr>
        <w:trPr>
          <w:trHeight w:val="412"/>
        </w:trPr>
        <w:tc>
          <w:tcPr>
            <w:tcW w:w="572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2,585</w:t>
            </w:r>
          </w:p>
        </w:tc>
        <w:tc>
          <w:tcPr>
            <w:tcW w:w="26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2,954</w:t>
            </w:r>
          </w:p>
        </w:tc>
        <w:tc>
          <w:tcPr>
            <w:tcW w:w="260" w:type="dxa"/>
            <w:vAlign w:val="bottom"/>
          </w:tcPr>
          <w:p>
            <w:pPr>
              <w:spacing w:after="0"/>
              <w:rPr>
                <w:sz w:val="24"/>
                <w:szCs w:val="24"/>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11,609</w:t>
            </w:r>
          </w:p>
        </w:tc>
        <w:tc>
          <w:tcPr>
            <w:tcW w:w="2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11,115</w:t>
            </w:r>
          </w:p>
        </w:tc>
        <w:tc>
          <w:tcPr>
            <w:tcW w:w="0" w:type="dxa"/>
            <w:vAlign w:val="bottom"/>
          </w:tcPr>
          <w:p>
            <w:pPr>
              <w:spacing w:after="0"/>
              <w:rPr>
                <w:sz w:val="1"/>
                <w:szCs w:val="1"/>
                <w:color w:val="auto"/>
              </w:rPr>
            </w:pPr>
          </w:p>
        </w:tc>
      </w:tr>
      <w:tr>
        <w:trPr>
          <w:trHeight w:val="392"/>
        </w:trPr>
        <w:tc>
          <w:tcPr>
            <w:tcW w:w="5720" w:type="dxa"/>
            <w:vAlign w:val="bottom"/>
          </w:tcPr>
          <w:p>
            <w:pPr>
              <w:spacing w:after="0"/>
              <w:rPr>
                <w:sz w:val="20"/>
                <w:szCs w:val="20"/>
                <w:color w:val="auto"/>
              </w:rPr>
            </w:pPr>
            <w:r>
              <w:rPr>
                <w:rFonts w:ascii="Arial" w:cs="Arial" w:eastAsia="Arial" w:hAnsi="Arial"/>
                <w:sz w:val="18"/>
                <w:szCs w:val="18"/>
                <w:color w:val="auto"/>
              </w:rPr>
              <w:t>Income tax expense</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w:t>
            </w:r>
          </w:p>
        </w:tc>
        <w:tc>
          <w:tcPr>
            <w:tcW w:w="260" w:type="dxa"/>
            <w:vAlign w:val="bottom"/>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(986)</w:t>
            </w:r>
          </w:p>
        </w:tc>
        <w:tc>
          <w:tcPr>
            <w:tcW w:w="260" w:type="dxa"/>
            <w:vAlign w:val="bottom"/>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(3,744)</w:t>
            </w:r>
          </w:p>
        </w:tc>
        <w:tc>
          <w:tcPr>
            <w:tcW w:w="260" w:type="dxa"/>
            <w:vAlign w:val="bottom"/>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(3,980)</w:t>
            </w:r>
          </w:p>
        </w:tc>
        <w:tc>
          <w:tcPr>
            <w:tcW w:w="0" w:type="dxa"/>
            <w:vAlign w:val="bottom"/>
          </w:tcPr>
          <w:p>
            <w:pPr>
              <w:spacing w:after="0"/>
              <w:rPr>
                <w:sz w:val="1"/>
                <w:szCs w:val="1"/>
                <w:color w:val="auto"/>
              </w:rPr>
            </w:pPr>
          </w:p>
        </w:tc>
      </w:tr>
      <w:tr>
        <w:trPr>
          <w:trHeight w:val="412"/>
        </w:trPr>
        <w:tc>
          <w:tcPr>
            <w:tcW w:w="572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1,807</w:t>
            </w:r>
          </w:p>
        </w:tc>
        <w:tc>
          <w:tcPr>
            <w:tcW w:w="26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1,968</w:t>
            </w:r>
          </w:p>
        </w:tc>
        <w:tc>
          <w:tcPr>
            <w:tcW w:w="260" w:type="dxa"/>
            <w:vAlign w:val="bottom"/>
          </w:tcPr>
          <w:p>
            <w:pPr>
              <w:spacing w:after="0"/>
              <w:rPr>
                <w:sz w:val="24"/>
                <w:szCs w:val="24"/>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7,865</w:t>
            </w:r>
          </w:p>
        </w:tc>
        <w:tc>
          <w:tcPr>
            <w:tcW w:w="2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7,135</w:t>
            </w:r>
          </w:p>
        </w:tc>
        <w:tc>
          <w:tcPr>
            <w:tcW w:w="0" w:type="dxa"/>
            <w:vAlign w:val="bottom"/>
          </w:tcPr>
          <w:p>
            <w:pPr>
              <w:spacing w:after="0"/>
              <w:rPr>
                <w:sz w:val="1"/>
                <w:szCs w:val="1"/>
                <w:color w:val="auto"/>
              </w:rPr>
            </w:pPr>
          </w:p>
        </w:tc>
      </w:tr>
      <w:tr>
        <w:trPr>
          <w:trHeight w:val="391"/>
        </w:trPr>
        <w:tc>
          <w:tcPr>
            <w:tcW w:w="5720" w:type="dxa"/>
            <w:vAlign w:val="bottom"/>
          </w:tcPr>
          <w:p>
            <w:pPr>
              <w:ind w:left="180"/>
              <w:spacing w:after="0"/>
              <w:rPr>
                <w:sz w:val="20"/>
                <w:szCs w:val="20"/>
                <w:color w:val="auto"/>
              </w:rPr>
            </w:pPr>
            <w:r>
              <w:rPr>
                <w:rFonts w:ascii="Arial" w:cs="Arial" w:eastAsia="Arial" w:hAnsi="Arial"/>
                <w:sz w:val="18"/>
                <w:szCs w:val="18"/>
                <w:color w:val="auto"/>
              </w:rPr>
              <w:t>Net (income) loss attributable to noncontrolling interests and</w:t>
            </w: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(55)</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(319)</w:t>
            </w:r>
          </w:p>
        </w:tc>
        <w:tc>
          <w:tcPr>
            <w:tcW w:w="0" w:type="dxa"/>
            <w:vAlign w:val="bottom"/>
          </w:tcPr>
          <w:p>
            <w:pPr>
              <w:spacing w:after="0"/>
              <w:rPr>
                <w:sz w:val="1"/>
                <w:szCs w:val="1"/>
                <w:color w:val="auto"/>
              </w:rPr>
            </w:pPr>
          </w:p>
        </w:tc>
      </w:tr>
      <w:tr>
        <w:trPr>
          <w:trHeight w:val="217"/>
        </w:trPr>
        <w:tc>
          <w:tcPr>
            <w:tcW w:w="5720" w:type="dxa"/>
            <w:vAlign w:val="bottom"/>
          </w:tcPr>
          <w:p>
            <w:pPr>
              <w:ind w:left="360"/>
              <w:spacing w:after="0"/>
              <w:rPr>
                <w:sz w:val="20"/>
                <w:szCs w:val="20"/>
                <w:color w:val="auto"/>
              </w:rPr>
            </w:pPr>
            <w:r>
              <w:rPr>
                <w:rFonts w:ascii="Arial" w:cs="Arial" w:eastAsia="Arial" w:hAnsi="Arial"/>
                <w:sz w:val="18"/>
                <w:szCs w:val="18"/>
                <w:color w:val="auto"/>
              </w:rPr>
              <w:t>redeemable subsidiary preferred stock</w:t>
            </w:r>
          </w:p>
        </w:tc>
        <w:tc>
          <w:tcPr>
            <w:tcW w:w="1140" w:type="dxa"/>
            <w:vAlign w:val="bottom"/>
          </w:tcPr>
          <w:p>
            <w:pPr>
              <w:jc w:val="right"/>
              <w:spacing w:after="0"/>
              <w:rPr>
                <w:sz w:val="20"/>
                <w:szCs w:val="20"/>
                <w:color w:val="auto"/>
              </w:rPr>
            </w:pPr>
            <w:r>
              <w:rPr>
                <w:rFonts w:ascii="Arial" w:cs="Arial" w:eastAsia="Arial" w:hAnsi="Arial"/>
                <w:sz w:val="18"/>
                <w:szCs w:val="18"/>
                <w:color w:val="auto"/>
              </w:rPr>
              <w:t>(289)</w:t>
            </w:r>
          </w:p>
        </w:tc>
        <w:tc>
          <w:tcPr>
            <w:tcW w:w="26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(1,662)</w:t>
            </w:r>
          </w:p>
        </w:tc>
        <w:tc>
          <w:tcPr>
            <w:tcW w:w="26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720" w:type="dxa"/>
            <w:vAlign w:val="bottom"/>
            <w:vMerge w:val="restart"/>
          </w:tcPr>
          <w:p>
            <w:pPr>
              <w:spacing w:after="0"/>
              <w:rPr>
                <w:sz w:val="20"/>
                <w:szCs w:val="20"/>
                <w:color w:val="auto"/>
              </w:rPr>
            </w:pPr>
            <w:r>
              <w:rPr>
                <w:rFonts w:ascii="Arial" w:cs="Arial" w:eastAsia="Arial" w:hAnsi="Arial"/>
                <w:sz w:val="18"/>
                <w:szCs w:val="18"/>
                <w:b w:val="1"/>
                <w:bCs w:val="1"/>
                <w:color w:val="auto"/>
              </w:rPr>
              <w:t>Net income attributable to Comcast Corporation</w:t>
            </w:r>
          </w:p>
        </w:tc>
        <w:tc>
          <w:tcPr>
            <w:tcW w:w="114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720" w:type="dxa"/>
            <w:vAlign w:val="bottom"/>
            <w:vMerge w:val="continue"/>
          </w:tcPr>
          <w:p>
            <w:pPr>
              <w:spacing w:after="0"/>
              <w:rPr>
                <w:sz w:val="17"/>
                <w:szCs w:val="17"/>
                <w:color w:val="auto"/>
              </w:rPr>
            </w:pPr>
          </w:p>
        </w:tc>
        <w:tc>
          <w:tcPr>
            <w:tcW w:w="11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$1,518</w:t>
            </w:r>
          </w:p>
        </w:tc>
        <w:tc>
          <w:tcPr>
            <w:tcW w:w="260" w:type="dxa"/>
            <w:vAlign w:val="bottom"/>
          </w:tcPr>
          <w:p>
            <w:pPr>
              <w:spacing w:after="0"/>
              <w:rPr>
                <w:sz w:val="17"/>
                <w:szCs w:val="17"/>
                <w:color w:val="auto"/>
              </w:rPr>
            </w:pPr>
          </w:p>
        </w:tc>
        <w:tc>
          <w:tcPr>
            <w:tcW w:w="11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$1,913</w:t>
            </w:r>
          </w:p>
        </w:tc>
        <w:tc>
          <w:tcPr>
            <w:tcW w:w="260" w:type="dxa"/>
            <w:vAlign w:val="bottom"/>
          </w:tcPr>
          <w:p>
            <w:pPr>
              <w:spacing w:after="0"/>
              <w:rPr>
                <w:sz w:val="17"/>
                <w:szCs w:val="17"/>
                <w:color w:val="auto"/>
              </w:rPr>
            </w:pPr>
          </w:p>
        </w:tc>
        <w:tc>
          <w:tcPr>
            <w:tcW w:w="11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$6,203</w:t>
            </w:r>
          </w:p>
        </w:tc>
        <w:tc>
          <w:tcPr>
            <w:tcW w:w="260" w:type="dxa"/>
            <w:vAlign w:val="bottom"/>
          </w:tcPr>
          <w:p>
            <w:pPr>
              <w:spacing w:after="0"/>
              <w:rPr>
                <w:sz w:val="17"/>
                <w:szCs w:val="17"/>
                <w:color w:val="auto"/>
              </w:rPr>
            </w:pP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$6,816</w:t>
            </w:r>
          </w:p>
        </w:tc>
        <w:tc>
          <w:tcPr>
            <w:tcW w:w="0" w:type="dxa"/>
            <w:vAlign w:val="bottom"/>
          </w:tcPr>
          <w:p>
            <w:pPr>
              <w:spacing w:after="0"/>
              <w:rPr>
                <w:sz w:val="1"/>
                <w:szCs w:val="1"/>
                <w:color w:val="auto"/>
              </w:rPr>
            </w:pPr>
          </w:p>
        </w:tc>
      </w:tr>
      <w:tr>
        <w:trPr>
          <w:trHeight w:val="20"/>
        </w:trPr>
        <w:tc>
          <w:tcPr>
            <w:tcW w:w="5720" w:type="dxa"/>
            <w:vAlign w:val="bottom"/>
            <w:vMerge w:val="restart"/>
          </w:tcPr>
          <w:p>
            <w:pPr>
              <w:spacing w:after="0"/>
              <w:rPr>
                <w:sz w:val="20"/>
                <w:szCs w:val="20"/>
                <w:color w:val="auto"/>
              </w:rPr>
            </w:pPr>
            <w:r>
              <w:rPr>
                <w:rFonts w:ascii="Arial" w:cs="Arial" w:eastAsia="Arial" w:hAnsi="Arial"/>
                <w:sz w:val="18"/>
                <w:szCs w:val="18"/>
                <w:b w:val="1"/>
                <w:bCs w:val="1"/>
                <w:color w:val="auto"/>
              </w:rPr>
              <w:t>Diluted earnings per common share attributable to Comcast</w:t>
            </w: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572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$0.72</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$2.56</w:t>
            </w:r>
          </w:p>
        </w:tc>
        <w:tc>
          <w:tcPr>
            <w:tcW w:w="0" w:type="dxa"/>
            <w:vAlign w:val="bottom"/>
          </w:tcPr>
          <w:p>
            <w:pPr>
              <w:spacing w:after="0"/>
              <w:rPr>
                <w:sz w:val="1"/>
                <w:szCs w:val="1"/>
                <w:color w:val="auto"/>
              </w:rPr>
            </w:pPr>
          </w:p>
        </w:tc>
      </w:tr>
      <w:tr>
        <w:trPr>
          <w:trHeight w:val="212"/>
        </w:trPr>
        <w:tc>
          <w:tcPr>
            <w:tcW w:w="5720" w:type="dxa"/>
            <w:vAlign w:val="bottom"/>
          </w:tcPr>
          <w:p>
            <w:pPr>
              <w:ind w:left="180"/>
              <w:spacing w:after="0"/>
              <w:rPr>
                <w:sz w:val="20"/>
                <w:szCs w:val="20"/>
                <w:color w:val="auto"/>
              </w:rPr>
            </w:pPr>
            <w:r>
              <w:rPr>
                <w:rFonts w:ascii="Arial" w:cs="Arial" w:eastAsia="Arial" w:hAnsi="Arial"/>
                <w:sz w:val="18"/>
                <w:szCs w:val="18"/>
                <w:b w:val="1"/>
                <w:bCs w:val="1"/>
                <w:color w:val="auto"/>
              </w:rPr>
              <w:t>Corporation shareholders</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$0.56</w:t>
            </w:r>
          </w:p>
        </w:tc>
        <w:tc>
          <w:tcPr>
            <w:tcW w:w="260" w:type="dxa"/>
            <w:vAlign w:val="bottom"/>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$2.28</w:t>
            </w:r>
          </w:p>
        </w:tc>
        <w:tc>
          <w:tcPr>
            <w:tcW w:w="260" w:type="dxa"/>
            <w:vAlign w:val="bottom"/>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40" w:right="23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60" w:type="dxa"/>
            <w:vAlign w:val="bottom"/>
          </w:tcPr>
          <w:p>
            <w:pPr>
              <w:ind w:left="260"/>
              <w:spacing w:after="0"/>
              <w:rPr>
                <w:sz w:val="20"/>
                <w:szCs w:val="20"/>
                <w:color w:val="auto"/>
              </w:rPr>
            </w:pPr>
            <w:r>
              <w:rPr>
                <w:rFonts w:ascii="Arial" w:cs="Arial" w:eastAsia="Arial" w:hAnsi="Arial"/>
                <w:sz w:val="18"/>
                <w:szCs w:val="18"/>
                <w:b w:val="1"/>
                <w:bCs w:val="1"/>
                <w:color w:val="auto"/>
              </w:rPr>
              <w:t>Dividends declared per common share attributable to Comcast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$0.1625</w:t>
            </w:r>
          </w:p>
        </w:tc>
        <w:tc>
          <w:tcPr>
            <w:tcW w:w="260" w:type="dxa"/>
            <w:vAlign w:val="bottom"/>
          </w:tcPr>
          <w:p>
            <w:pPr>
              <w:spacing w:after="0"/>
              <w:rPr>
                <w:sz w:val="17"/>
                <w:szCs w:val="17"/>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$0.195</w:t>
            </w:r>
          </w:p>
        </w:tc>
        <w:tc>
          <w:tcPr>
            <w:tcW w:w="260" w:type="dxa"/>
            <w:vAlign w:val="bottom"/>
          </w:tcPr>
          <w:p>
            <w:pPr>
              <w:spacing w:after="0"/>
              <w:rPr>
                <w:sz w:val="17"/>
                <w:szCs w:val="17"/>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$0.65</w:t>
            </w:r>
          </w:p>
        </w:tc>
        <w:tc>
          <w:tcPr>
            <w:tcW w:w="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$0.78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660" w:type="dxa"/>
            <w:vAlign w:val="bottom"/>
          </w:tcPr>
          <w:p>
            <w:pPr>
              <w:ind w:left="440"/>
              <w:spacing w:after="0"/>
              <w:rPr>
                <w:sz w:val="20"/>
                <w:szCs w:val="20"/>
                <w:color w:val="auto"/>
              </w:rPr>
            </w:pPr>
            <w:r>
              <w:rPr>
                <w:rFonts w:ascii="Arial" w:cs="Arial" w:eastAsia="Arial" w:hAnsi="Arial"/>
                <w:sz w:val="18"/>
                <w:szCs w:val="18"/>
                <w:b w:val="1"/>
                <w:bCs w:val="1"/>
                <w:color w:val="auto"/>
              </w:rPr>
              <w:t>Corporation shareholders</w:t>
            </w:r>
          </w:p>
        </w:tc>
        <w:tc>
          <w:tcPr>
            <w:tcW w:w="32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660" w:type="dxa"/>
            <w:vAlign w:val="bottom"/>
          </w:tcPr>
          <w:p>
            <w:pPr>
              <w:ind w:left="260"/>
              <w:spacing w:after="0"/>
              <w:rPr>
                <w:sz w:val="20"/>
                <w:szCs w:val="20"/>
                <w:color w:val="auto"/>
              </w:rPr>
            </w:pPr>
            <w:r>
              <w:rPr>
                <w:rFonts w:ascii="Arial" w:cs="Arial" w:eastAsia="Arial" w:hAnsi="Arial"/>
                <w:sz w:val="18"/>
                <w:szCs w:val="18"/>
                <w:color w:val="auto"/>
              </w:rPr>
              <w:t>Diluted weighted-average number of common shares</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2,687</w:t>
            </w:r>
          </w:p>
        </w:tc>
        <w:tc>
          <w:tcPr>
            <w:tcW w:w="26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2,652</w:t>
            </w:r>
          </w:p>
        </w:tc>
        <w:tc>
          <w:tcPr>
            <w:tcW w:w="260" w:type="dxa"/>
            <w:vAlign w:val="bottom"/>
          </w:tcPr>
          <w:p>
            <w:pPr>
              <w:spacing w:after="0"/>
              <w:rPr>
                <w:sz w:val="24"/>
                <w:szCs w:val="24"/>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2,717</w:t>
            </w:r>
          </w:p>
        </w:tc>
        <w:tc>
          <w:tcPr>
            <w:tcW w:w="2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2,665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320" w:type="dxa"/>
            <w:vAlign w:val="bottom"/>
            <w:vMerge w:val="restart"/>
          </w:tcPr>
          <w:p>
            <w:pPr>
              <w:jc w:val="right"/>
              <w:ind w:right="136"/>
              <w:spacing w:after="0"/>
              <w:rPr>
                <w:sz w:val="20"/>
                <w:szCs w:val="20"/>
                <w:color w:val="auto"/>
              </w:rPr>
            </w:pPr>
            <w:r>
              <w:rPr>
                <w:rFonts w:ascii="Arial" w:cs="Arial" w:eastAsia="Arial" w:hAnsi="Arial"/>
                <w:sz w:val="14"/>
                <w:szCs w:val="14"/>
                <w:color w:val="auto"/>
              </w:rPr>
              <w:t>7</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5660" w:type="dxa"/>
            <w:vAlign w:val="bottom"/>
          </w:tcPr>
          <w:p>
            <w:pPr>
              <w:spacing w:after="0"/>
              <w:rPr>
                <w:sz w:val="24"/>
                <w:szCs w:val="24"/>
                <w:color w:val="auto"/>
              </w:rPr>
            </w:pPr>
          </w:p>
        </w:tc>
        <w:tc>
          <w:tcPr>
            <w:tcW w:w="32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5660" w:type="dxa"/>
            <w:vAlign w:val="bottom"/>
            <w:tcBorders>
              <w:bottom w:val="single" w:sz="8" w:color="010101"/>
            </w:tcBorders>
          </w:tcPr>
          <w:p>
            <w:pPr>
              <w:spacing w:after="0"/>
              <w:rPr>
                <w:sz w:val="10"/>
                <w:szCs w:val="10"/>
                <w:color w:val="auto"/>
              </w:rPr>
            </w:pPr>
          </w:p>
        </w:tc>
        <w:tc>
          <w:tcPr>
            <w:tcW w:w="320" w:type="dxa"/>
            <w:vAlign w:val="bottom"/>
            <w:tcBorders>
              <w:bottom w:val="single" w:sz="8" w:color="010101"/>
            </w:tcBorders>
          </w:tcPr>
          <w:p>
            <w:pPr>
              <w:spacing w:after="0"/>
              <w:rPr>
                <w:sz w:val="10"/>
                <w:szCs w:val="10"/>
                <w:color w:val="auto"/>
              </w:rPr>
            </w:pPr>
          </w:p>
        </w:tc>
        <w:tc>
          <w:tcPr>
            <w:tcW w:w="1140" w:type="dxa"/>
            <w:vAlign w:val="bottom"/>
            <w:tcBorders>
              <w:bottom w:val="single" w:sz="8" w:color="010101"/>
            </w:tcBorders>
          </w:tcPr>
          <w:p>
            <w:pPr>
              <w:spacing w:after="0"/>
              <w:rPr>
                <w:sz w:val="10"/>
                <w:szCs w:val="10"/>
                <w:color w:val="auto"/>
              </w:rPr>
            </w:pPr>
          </w:p>
        </w:tc>
        <w:tc>
          <w:tcPr>
            <w:tcW w:w="260" w:type="dxa"/>
            <w:vAlign w:val="bottom"/>
            <w:tcBorders>
              <w:bottom w:val="single" w:sz="8" w:color="010101"/>
            </w:tcBorders>
          </w:tcPr>
          <w:p>
            <w:pPr>
              <w:spacing w:after="0"/>
              <w:rPr>
                <w:sz w:val="10"/>
                <w:szCs w:val="10"/>
                <w:color w:val="auto"/>
              </w:rPr>
            </w:pPr>
          </w:p>
        </w:tc>
        <w:tc>
          <w:tcPr>
            <w:tcW w:w="1140" w:type="dxa"/>
            <w:vAlign w:val="bottom"/>
            <w:tcBorders>
              <w:bottom w:val="single" w:sz="8" w:color="010101"/>
            </w:tcBorders>
          </w:tcPr>
          <w:p>
            <w:pPr>
              <w:spacing w:after="0"/>
              <w:rPr>
                <w:sz w:val="10"/>
                <w:szCs w:val="10"/>
                <w:color w:val="auto"/>
              </w:rPr>
            </w:pPr>
          </w:p>
        </w:tc>
        <w:tc>
          <w:tcPr>
            <w:tcW w:w="260" w:type="dxa"/>
            <w:vAlign w:val="bottom"/>
            <w:tcBorders>
              <w:bottom w:val="single" w:sz="8" w:color="010101"/>
            </w:tcBorders>
          </w:tcPr>
          <w:p>
            <w:pPr>
              <w:spacing w:after="0"/>
              <w:rPr>
                <w:sz w:val="10"/>
                <w:szCs w:val="10"/>
                <w:color w:val="auto"/>
              </w:rPr>
            </w:pPr>
          </w:p>
        </w:tc>
        <w:tc>
          <w:tcPr>
            <w:tcW w:w="1160" w:type="dxa"/>
            <w:vAlign w:val="bottom"/>
            <w:tcBorders>
              <w:bottom w:val="single" w:sz="8" w:color="010101"/>
            </w:tcBorders>
          </w:tcPr>
          <w:p>
            <w:pPr>
              <w:spacing w:after="0"/>
              <w:rPr>
                <w:sz w:val="10"/>
                <w:szCs w:val="10"/>
                <w:color w:val="auto"/>
              </w:rPr>
            </w:pPr>
          </w:p>
        </w:tc>
        <w:tc>
          <w:tcPr>
            <w:tcW w:w="260" w:type="dxa"/>
            <w:vAlign w:val="bottom"/>
            <w:tcBorders>
              <w:bottom w:val="single" w:sz="8" w:color="010101"/>
            </w:tcBorders>
          </w:tcPr>
          <w:p>
            <w:pPr>
              <w:spacing w:after="0"/>
              <w:rPr>
                <w:sz w:val="10"/>
                <w:szCs w:val="10"/>
                <w:color w:val="auto"/>
              </w:rPr>
            </w:pPr>
          </w:p>
        </w:tc>
        <w:tc>
          <w:tcPr>
            <w:tcW w:w="1160" w:type="dxa"/>
            <w:vAlign w:val="bottom"/>
            <w:tcBorders>
              <w:bottom w:val="single" w:sz="8" w:color="010101"/>
            </w:tcBorders>
          </w:tcPr>
          <w:p>
            <w:pPr>
              <w:spacing w:after="0"/>
              <w:rPr>
                <w:sz w:val="10"/>
                <w:szCs w:val="10"/>
                <w:color w:val="auto"/>
              </w:rPr>
            </w:pPr>
          </w:p>
        </w:tc>
        <w:tc>
          <w:tcPr>
            <w:tcW w:w="100" w:type="dxa"/>
            <w:vAlign w:val="bottom"/>
            <w:tcBorders>
              <w:bottom w:val="single" w:sz="8" w:color="010101"/>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349250</wp:posOffset>
            </wp:positionV>
            <wp:extent cx="7246620" cy="4114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25"/>
          <w:szCs w:val="25"/>
          <w:b w:val="1"/>
          <w:bCs w:val="1"/>
          <w:color w:val="C9C9C9"/>
        </w:rPr>
        <w:t>TABLE 2</w:t>
      </w:r>
    </w:p>
    <w:p>
      <w:pPr>
        <w:spacing w:after="0" w:line="34" w:lineRule="exact"/>
        <w:rPr>
          <w:sz w:val="20"/>
          <w:szCs w:val="20"/>
          <w:color w:val="auto"/>
        </w:rPr>
      </w:pPr>
    </w:p>
    <w:p>
      <w:pPr>
        <w:spacing w:after="0"/>
        <w:rPr>
          <w:sz w:val="20"/>
          <w:szCs w:val="20"/>
          <w:color w:val="auto"/>
        </w:rPr>
      </w:pPr>
      <w:r>
        <w:rPr>
          <w:rFonts w:ascii="Arial" w:cs="Arial" w:eastAsia="Arial" w:hAnsi="Arial"/>
          <w:sz w:val="22"/>
          <w:szCs w:val="22"/>
          <w:b w:val="1"/>
          <w:bCs w:val="1"/>
          <w:color w:val="C9C9C9"/>
        </w:rPr>
        <w:t>Condensed Consolidated Balance Sheet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60" w:type="dxa"/>
            <w:vAlign w:val="bottom"/>
          </w:tcPr>
          <w:p>
            <w:pPr>
              <w:ind w:left="260"/>
              <w:spacing w:after="0"/>
              <w:rPr>
                <w:sz w:val="20"/>
                <w:szCs w:val="20"/>
                <w:color w:val="auto"/>
              </w:rPr>
            </w:pPr>
            <w:r>
              <w:rPr>
                <w:rFonts w:ascii="Arial" w:cs="Arial" w:eastAsia="Arial" w:hAnsi="Arial"/>
                <w:sz w:val="18"/>
                <w:szCs w:val="18"/>
                <w:color w:val="auto"/>
              </w:rPr>
              <w:t>(in millions)</w:t>
            </w:r>
          </w:p>
        </w:tc>
        <w:tc>
          <w:tcPr>
            <w:tcW w:w="1740" w:type="dxa"/>
            <w:vAlign w:val="bottom"/>
            <w:gridSpan w:val="2"/>
          </w:tcPr>
          <w:p>
            <w:pPr>
              <w:ind w:left="160"/>
              <w:spacing w:after="0"/>
              <w:rPr>
                <w:sz w:val="20"/>
                <w:szCs w:val="20"/>
                <w:color w:val="auto"/>
              </w:rPr>
            </w:pPr>
            <w:r>
              <w:rPr>
                <w:rFonts w:ascii="Arial" w:cs="Arial" w:eastAsia="Arial" w:hAnsi="Arial"/>
                <w:sz w:val="18"/>
                <w:szCs w:val="18"/>
                <w:color w:val="auto"/>
              </w:rPr>
              <w:t>December 31,</w:t>
            </w:r>
          </w:p>
        </w:tc>
        <w:tc>
          <w:tcPr>
            <w:tcW w:w="1460" w:type="dxa"/>
            <w:vAlign w:val="bottom"/>
          </w:tcPr>
          <w:p>
            <w:pPr>
              <w:jc w:val="right"/>
              <w:ind w:right="50"/>
              <w:spacing w:after="0"/>
              <w:rPr>
                <w:sz w:val="20"/>
                <w:szCs w:val="20"/>
                <w:color w:val="auto"/>
              </w:rPr>
            </w:pPr>
            <w:r>
              <w:rPr>
                <w:rFonts w:ascii="Arial" w:cs="Arial" w:eastAsia="Arial" w:hAnsi="Arial"/>
                <w:sz w:val="18"/>
                <w:szCs w:val="18"/>
                <w:b w:val="1"/>
                <w:bCs w:val="1"/>
                <w:color w:val="auto"/>
              </w:rPr>
              <w:t>December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160" w:type="dxa"/>
            <w:vAlign w:val="bottom"/>
            <w:vMerge w:val="restart"/>
          </w:tcPr>
          <w:p>
            <w:pPr>
              <w:ind w:left="260"/>
              <w:spacing w:after="0"/>
              <w:rPr>
                <w:sz w:val="20"/>
                <w:szCs w:val="20"/>
                <w:color w:val="auto"/>
              </w:rPr>
            </w:pPr>
            <w:r>
              <w:rPr>
                <w:rFonts w:ascii="Arial" w:cs="Arial" w:eastAsia="Arial" w:hAnsi="Arial"/>
                <w:sz w:val="18"/>
                <w:szCs w:val="18"/>
                <w:b w:val="1"/>
                <w:bCs w:val="1"/>
                <w:color w:val="auto"/>
              </w:rPr>
              <w:t>ASSETS</w:t>
            </w:r>
          </w:p>
        </w:tc>
        <w:tc>
          <w:tcPr>
            <w:tcW w:w="14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2012</w:t>
            </w:r>
          </w:p>
        </w:tc>
        <w:tc>
          <w:tcPr>
            <w:tcW w:w="280" w:type="dxa"/>
            <w:vAlign w:val="bottom"/>
          </w:tcPr>
          <w:p>
            <w:pPr>
              <w:spacing w:after="0"/>
              <w:rPr>
                <w:sz w:val="19"/>
                <w:szCs w:val="19"/>
                <w:color w:val="auto"/>
              </w:rPr>
            </w:pPr>
          </w:p>
        </w:tc>
        <w:tc>
          <w:tcPr>
            <w:tcW w:w="14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8160" w:type="dxa"/>
            <w:vAlign w:val="bottom"/>
            <w:vMerge w:val="continue"/>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4"/>
        </w:trPr>
        <w:tc>
          <w:tcPr>
            <w:tcW w:w="8160" w:type="dxa"/>
            <w:vAlign w:val="bottom"/>
          </w:tcPr>
          <w:p>
            <w:pPr>
              <w:ind w:left="440"/>
              <w:spacing w:after="0"/>
              <w:rPr>
                <w:sz w:val="20"/>
                <w:szCs w:val="20"/>
                <w:color w:val="auto"/>
              </w:rPr>
            </w:pPr>
            <w:r>
              <w:rPr>
                <w:rFonts w:ascii="Arial" w:cs="Arial" w:eastAsia="Arial" w:hAnsi="Arial"/>
                <w:sz w:val="18"/>
                <w:szCs w:val="18"/>
                <w:color w:val="auto"/>
              </w:rPr>
              <w:t>Current Assets</w:t>
            </w: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$1,718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8160" w:type="dxa"/>
            <w:vAlign w:val="bottom"/>
          </w:tcPr>
          <w:p>
            <w:pPr>
              <w:ind w:left="600"/>
              <w:spacing w:after="0" w:line="195" w:lineRule="exact"/>
              <w:rPr>
                <w:sz w:val="20"/>
                <w:szCs w:val="20"/>
                <w:color w:val="auto"/>
              </w:rPr>
            </w:pPr>
            <w:r>
              <w:rPr>
                <w:rFonts w:ascii="Arial" w:cs="Arial" w:eastAsia="Arial" w:hAnsi="Arial"/>
                <w:sz w:val="18"/>
                <w:szCs w:val="18"/>
                <w:color w:val="auto"/>
              </w:rPr>
              <w:t>Cash and cash equivalents</w:t>
            </w:r>
          </w:p>
        </w:tc>
        <w:tc>
          <w:tcPr>
            <w:tcW w:w="1460" w:type="dxa"/>
            <w:vAlign w:val="bottom"/>
          </w:tcPr>
          <w:p>
            <w:pPr>
              <w:jc w:val="right"/>
              <w:spacing w:after="0" w:line="195" w:lineRule="exact"/>
              <w:rPr>
                <w:sz w:val="20"/>
                <w:szCs w:val="20"/>
                <w:color w:val="auto"/>
              </w:rPr>
            </w:pPr>
            <w:r>
              <w:rPr>
                <w:rFonts w:ascii="Arial" w:cs="Arial" w:eastAsia="Arial" w:hAnsi="Arial"/>
                <w:sz w:val="18"/>
                <w:szCs w:val="18"/>
                <w:color w:val="auto"/>
              </w:rPr>
              <w:t>$10,951</w:t>
            </w:r>
          </w:p>
        </w:tc>
        <w:tc>
          <w:tcPr>
            <w:tcW w:w="28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160" w:type="dxa"/>
            <w:vAlign w:val="bottom"/>
          </w:tcPr>
          <w:p>
            <w:pPr>
              <w:ind w:left="600"/>
              <w:spacing w:after="0"/>
              <w:rPr>
                <w:sz w:val="20"/>
                <w:szCs w:val="20"/>
                <w:color w:val="auto"/>
              </w:rPr>
            </w:pPr>
            <w:r>
              <w:rPr>
                <w:rFonts w:ascii="Arial" w:cs="Arial" w:eastAsia="Arial" w:hAnsi="Arial"/>
                <w:sz w:val="18"/>
                <w:szCs w:val="18"/>
                <w:color w:val="auto"/>
              </w:rPr>
              <w:t>Investments</w:t>
            </w:r>
          </w:p>
        </w:tc>
        <w:tc>
          <w:tcPr>
            <w:tcW w:w="1460" w:type="dxa"/>
            <w:vAlign w:val="bottom"/>
          </w:tcPr>
          <w:p>
            <w:pPr>
              <w:jc w:val="right"/>
              <w:spacing w:after="0"/>
              <w:rPr>
                <w:sz w:val="20"/>
                <w:szCs w:val="20"/>
                <w:color w:val="auto"/>
              </w:rPr>
            </w:pPr>
            <w:r>
              <w:rPr>
                <w:rFonts w:ascii="Arial" w:cs="Arial" w:eastAsia="Arial" w:hAnsi="Arial"/>
                <w:sz w:val="18"/>
                <w:szCs w:val="18"/>
                <w:color w:val="auto"/>
              </w:rPr>
              <w:t>1,464</w:t>
            </w: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3,573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60" w:type="dxa"/>
            <w:vAlign w:val="bottom"/>
          </w:tcPr>
          <w:p>
            <w:pPr>
              <w:ind w:left="600"/>
              <w:spacing w:after="0"/>
              <w:rPr>
                <w:sz w:val="20"/>
                <w:szCs w:val="20"/>
                <w:color w:val="auto"/>
              </w:rPr>
            </w:pPr>
            <w:r>
              <w:rPr>
                <w:rFonts w:ascii="Arial" w:cs="Arial" w:eastAsia="Arial" w:hAnsi="Arial"/>
                <w:sz w:val="18"/>
                <w:szCs w:val="18"/>
                <w:color w:val="auto"/>
              </w:rPr>
              <w:t>Receivables, net</w:t>
            </w:r>
          </w:p>
        </w:tc>
        <w:tc>
          <w:tcPr>
            <w:tcW w:w="1460" w:type="dxa"/>
            <w:vAlign w:val="bottom"/>
          </w:tcPr>
          <w:p>
            <w:pPr>
              <w:jc w:val="right"/>
              <w:spacing w:after="0"/>
              <w:rPr>
                <w:sz w:val="20"/>
                <w:szCs w:val="20"/>
                <w:color w:val="auto"/>
              </w:rPr>
            </w:pPr>
            <w:r>
              <w:rPr>
                <w:rFonts w:ascii="Arial" w:cs="Arial" w:eastAsia="Arial" w:hAnsi="Arial"/>
                <w:sz w:val="18"/>
                <w:szCs w:val="18"/>
                <w:color w:val="auto"/>
              </w:rPr>
              <w:t>5,521</w:t>
            </w: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6,376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60" w:type="dxa"/>
            <w:vAlign w:val="bottom"/>
          </w:tcPr>
          <w:p>
            <w:pPr>
              <w:ind w:left="600"/>
              <w:spacing w:after="0"/>
              <w:rPr>
                <w:sz w:val="20"/>
                <w:szCs w:val="20"/>
                <w:color w:val="auto"/>
              </w:rPr>
            </w:pPr>
            <w:r>
              <w:rPr>
                <w:rFonts w:ascii="Arial" w:cs="Arial" w:eastAsia="Arial" w:hAnsi="Arial"/>
                <w:sz w:val="18"/>
                <w:szCs w:val="18"/>
                <w:color w:val="auto"/>
              </w:rPr>
              <w:t>Programming rights</w:t>
            </w:r>
          </w:p>
        </w:tc>
        <w:tc>
          <w:tcPr>
            <w:tcW w:w="1460" w:type="dxa"/>
            <w:vAlign w:val="bottom"/>
          </w:tcPr>
          <w:p>
            <w:pPr>
              <w:jc w:val="right"/>
              <w:spacing w:after="0"/>
              <w:rPr>
                <w:sz w:val="20"/>
                <w:szCs w:val="20"/>
                <w:color w:val="auto"/>
              </w:rPr>
            </w:pPr>
            <w:r>
              <w:rPr>
                <w:rFonts w:ascii="Arial" w:cs="Arial" w:eastAsia="Arial" w:hAnsi="Arial"/>
                <w:sz w:val="18"/>
                <w:szCs w:val="18"/>
                <w:color w:val="auto"/>
              </w:rPr>
              <w:t>909</w:t>
            </w: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928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160" w:type="dxa"/>
            <w:vAlign w:val="bottom"/>
          </w:tcPr>
          <w:p>
            <w:pPr>
              <w:ind w:left="600"/>
              <w:spacing w:after="0"/>
              <w:rPr>
                <w:sz w:val="20"/>
                <w:szCs w:val="20"/>
                <w:color w:val="auto"/>
              </w:rPr>
            </w:pPr>
            <w:r>
              <w:rPr>
                <w:rFonts w:ascii="Arial" w:cs="Arial" w:eastAsia="Arial" w:hAnsi="Arial"/>
                <w:sz w:val="18"/>
                <w:szCs w:val="18"/>
                <w:color w:val="auto"/>
              </w:rPr>
              <w:t>Other current assets</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1,146</w:t>
            </w:r>
          </w:p>
        </w:tc>
        <w:tc>
          <w:tcPr>
            <w:tcW w:w="28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160" w:type="dxa"/>
            <w:vAlign w:val="bottom"/>
          </w:tcPr>
          <w:p>
            <w:pPr>
              <w:ind w:left="780"/>
              <w:spacing w:after="0"/>
              <w:rPr>
                <w:sz w:val="20"/>
                <w:szCs w:val="20"/>
                <w:color w:val="auto"/>
              </w:rPr>
            </w:pPr>
            <w:r>
              <w:rPr>
                <w:rFonts w:ascii="Arial" w:cs="Arial" w:eastAsia="Arial" w:hAnsi="Arial"/>
                <w:sz w:val="18"/>
                <w:szCs w:val="18"/>
                <w:color w:val="auto"/>
              </w:rPr>
              <w:t>Total current assets</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19,991</w:t>
            </w:r>
          </w:p>
        </w:tc>
        <w:tc>
          <w:tcPr>
            <w:tcW w:w="28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14,075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2"/>
        </w:trPr>
        <w:tc>
          <w:tcPr>
            <w:tcW w:w="8160" w:type="dxa"/>
            <w:vAlign w:val="bottom"/>
          </w:tcPr>
          <w:p>
            <w:pPr>
              <w:ind w:left="440"/>
              <w:spacing w:after="0"/>
              <w:rPr>
                <w:sz w:val="20"/>
                <w:szCs w:val="20"/>
                <w:color w:val="auto"/>
              </w:rPr>
            </w:pPr>
            <w:r>
              <w:rPr>
                <w:rFonts w:ascii="Arial" w:cs="Arial" w:eastAsia="Arial" w:hAnsi="Arial"/>
                <w:sz w:val="18"/>
                <w:szCs w:val="18"/>
                <w:color w:val="auto"/>
              </w:rPr>
              <w:t>Film and television costs</w:t>
            </w:r>
          </w:p>
        </w:tc>
        <w:tc>
          <w:tcPr>
            <w:tcW w:w="1460" w:type="dxa"/>
            <w:vAlign w:val="bottom"/>
          </w:tcPr>
          <w:p>
            <w:pPr>
              <w:jc w:val="right"/>
              <w:spacing w:after="0"/>
              <w:rPr>
                <w:sz w:val="20"/>
                <w:szCs w:val="20"/>
                <w:color w:val="auto"/>
              </w:rPr>
            </w:pPr>
            <w:r>
              <w:rPr>
                <w:rFonts w:ascii="Arial" w:cs="Arial" w:eastAsia="Arial" w:hAnsi="Arial"/>
                <w:sz w:val="18"/>
                <w:szCs w:val="18"/>
                <w:color w:val="auto"/>
              </w:rPr>
              <w:t>5,054</w:t>
            </w:r>
          </w:p>
        </w:tc>
        <w:tc>
          <w:tcPr>
            <w:tcW w:w="28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4,994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160" w:type="dxa"/>
            <w:vAlign w:val="bottom"/>
          </w:tcPr>
          <w:p>
            <w:pPr>
              <w:ind w:left="440"/>
              <w:spacing w:after="0"/>
              <w:rPr>
                <w:sz w:val="20"/>
                <w:szCs w:val="20"/>
                <w:color w:val="auto"/>
              </w:rPr>
            </w:pPr>
            <w:r>
              <w:rPr>
                <w:rFonts w:ascii="Arial" w:cs="Arial" w:eastAsia="Arial" w:hAnsi="Arial"/>
                <w:sz w:val="18"/>
                <w:szCs w:val="18"/>
                <w:color w:val="auto"/>
              </w:rPr>
              <w:t>Investments</w:t>
            </w:r>
          </w:p>
        </w:tc>
        <w:tc>
          <w:tcPr>
            <w:tcW w:w="1460" w:type="dxa"/>
            <w:vAlign w:val="bottom"/>
          </w:tcPr>
          <w:p>
            <w:pPr>
              <w:jc w:val="right"/>
              <w:spacing w:after="0"/>
              <w:rPr>
                <w:sz w:val="20"/>
                <w:szCs w:val="20"/>
                <w:color w:val="auto"/>
              </w:rPr>
            </w:pPr>
            <w:r>
              <w:rPr>
                <w:rFonts w:ascii="Arial" w:cs="Arial" w:eastAsia="Arial" w:hAnsi="Arial"/>
                <w:sz w:val="18"/>
                <w:szCs w:val="18"/>
                <w:color w:val="auto"/>
              </w:rPr>
              <w:t>6,325</w:t>
            </w:r>
          </w:p>
        </w:tc>
        <w:tc>
          <w:tcPr>
            <w:tcW w:w="28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3,770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160" w:type="dxa"/>
            <w:vAlign w:val="bottom"/>
          </w:tcPr>
          <w:p>
            <w:pPr>
              <w:ind w:left="440"/>
              <w:spacing w:after="0"/>
              <w:rPr>
                <w:sz w:val="20"/>
                <w:szCs w:val="20"/>
                <w:color w:val="auto"/>
              </w:rPr>
            </w:pPr>
            <w:r>
              <w:rPr>
                <w:rFonts w:ascii="Arial" w:cs="Arial" w:eastAsia="Arial" w:hAnsi="Arial"/>
                <w:sz w:val="18"/>
                <w:szCs w:val="18"/>
                <w:color w:val="auto"/>
              </w:rPr>
              <w:t>Property and equipment, net</w:t>
            </w:r>
          </w:p>
        </w:tc>
        <w:tc>
          <w:tcPr>
            <w:tcW w:w="1460" w:type="dxa"/>
            <w:vAlign w:val="bottom"/>
          </w:tcPr>
          <w:p>
            <w:pPr>
              <w:jc w:val="right"/>
              <w:spacing w:after="0"/>
              <w:rPr>
                <w:sz w:val="20"/>
                <w:szCs w:val="20"/>
                <w:color w:val="auto"/>
              </w:rPr>
            </w:pPr>
            <w:r>
              <w:rPr>
                <w:rFonts w:ascii="Arial" w:cs="Arial" w:eastAsia="Arial" w:hAnsi="Arial"/>
                <w:sz w:val="18"/>
                <w:szCs w:val="18"/>
                <w:color w:val="auto"/>
              </w:rPr>
              <w:t>27,232</w:t>
            </w:r>
          </w:p>
        </w:tc>
        <w:tc>
          <w:tcPr>
            <w:tcW w:w="28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29,840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160" w:type="dxa"/>
            <w:vAlign w:val="bottom"/>
          </w:tcPr>
          <w:p>
            <w:pPr>
              <w:ind w:left="440"/>
              <w:spacing w:after="0"/>
              <w:rPr>
                <w:sz w:val="20"/>
                <w:szCs w:val="20"/>
                <w:color w:val="auto"/>
              </w:rPr>
            </w:pPr>
            <w:r>
              <w:rPr>
                <w:rFonts w:ascii="Arial" w:cs="Arial" w:eastAsia="Arial" w:hAnsi="Arial"/>
                <w:sz w:val="18"/>
                <w:szCs w:val="18"/>
                <w:color w:val="auto"/>
              </w:rPr>
              <w:t>Franchise rights</w:t>
            </w:r>
          </w:p>
        </w:tc>
        <w:tc>
          <w:tcPr>
            <w:tcW w:w="1460" w:type="dxa"/>
            <w:vAlign w:val="bottom"/>
          </w:tcPr>
          <w:p>
            <w:pPr>
              <w:jc w:val="right"/>
              <w:spacing w:after="0"/>
              <w:rPr>
                <w:sz w:val="20"/>
                <w:szCs w:val="20"/>
                <w:color w:val="auto"/>
              </w:rPr>
            </w:pPr>
            <w:r>
              <w:rPr>
                <w:rFonts w:ascii="Arial" w:cs="Arial" w:eastAsia="Arial" w:hAnsi="Arial"/>
                <w:sz w:val="18"/>
                <w:szCs w:val="18"/>
                <w:color w:val="auto"/>
              </w:rPr>
              <w:t>59,364</w:t>
            </w:r>
          </w:p>
        </w:tc>
        <w:tc>
          <w:tcPr>
            <w:tcW w:w="28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59,364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160" w:type="dxa"/>
            <w:vAlign w:val="bottom"/>
          </w:tcPr>
          <w:p>
            <w:pPr>
              <w:ind w:left="440"/>
              <w:spacing w:after="0"/>
              <w:rPr>
                <w:sz w:val="20"/>
                <w:szCs w:val="20"/>
                <w:color w:val="auto"/>
              </w:rPr>
            </w:pPr>
            <w:r>
              <w:rPr>
                <w:rFonts w:ascii="Arial" w:cs="Arial" w:eastAsia="Arial" w:hAnsi="Arial"/>
                <w:sz w:val="18"/>
                <w:szCs w:val="18"/>
                <w:color w:val="auto"/>
              </w:rPr>
              <w:t>Goodwill</w:t>
            </w:r>
          </w:p>
        </w:tc>
        <w:tc>
          <w:tcPr>
            <w:tcW w:w="1460" w:type="dxa"/>
            <w:vAlign w:val="bottom"/>
          </w:tcPr>
          <w:p>
            <w:pPr>
              <w:jc w:val="right"/>
              <w:spacing w:after="0"/>
              <w:rPr>
                <w:sz w:val="20"/>
                <w:szCs w:val="20"/>
                <w:color w:val="auto"/>
              </w:rPr>
            </w:pPr>
            <w:r>
              <w:rPr>
                <w:rFonts w:ascii="Arial" w:cs="Arial" w:eastAsia="Arial" w:hAnsi="Arial"/>
                <w:sz w:val="18"/>
                <w:szCs w:val="18"/>
                <w:color w:val="auto"/>
              </w:rPr>
              <w:t>26,985</w:t>
            </w:r>
          </w:p>
        </w:tc>
        <w:tc>
          <w:tcPr>
            <w:tcW w:w="28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27,098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160" w:type="dxa"/>
            <w:vAlign w:val="bottom"/>
          </w:tcPr>
          <w:p>
            <w:pPr>
              <w:ind w:left="440"/>
              <w:spacing w:after="0"/>
              <w:rPr>
                <w:sz w:val="20"/>
                <w:szCs w:val="20"/>
                <w:color w:val="auto"/>
              </w:rPr>
            </w:pPr>
            <w:r>
              <w:rPr>
                <w:rFonts w:ascii="Arial" w:cs="Arial" w:eastAsia="Arial" w:hAnsi="Arial"/>
                <w:sz w:val="18"/>
                <w:szCs w:val="18"/>
                <w:color w:val="auto"/>
              </w:rPr>
              <w:t>Other intangible assets, net</w:t>
            </w:r>
          </w:p>
        </w:tc>
        <w:tc>
          <w:tcPr>
            <w:tcW w:w="1460" w:type="dxa"/>
            <w:vAlign w:val="bottom"/>
          </w:tcPr>
          <w:p>
            <w:pPr>
              <w:jc w:val="right"/>
              <w:spacing w:after="0"/>
              <w:rPr>
                <w:sz w:val="20"/>
                <w:szCs w:val="20"/>
                <w:color w:val="auto"/>
              </w:rPr>
            </w:pPr>
            <w:r>
              <w:rPr>
                <w:rFonts w:ascii="Arial" w:cs="Arial" w:eastAsia="Arial" w:hAnsi="Arial"/>
                <w:sz w:val="18"/>
                <w:szCs w:val="18"/>
                <w:color w:val="auto"/>
              </w:rPr>
              <w:t>17,840</w:t>
            </w:r>
          </w:p>
        </w:tc>
        <w:tc>
          <w:tcPr>
            <w:tcW w:w="28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17,329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160" w:type="dxa"/>
            <w:vAlign w:val="bottom"/>
          </w:tcPr>
          <w:p>
            <w:pPr>
              <w:ind w:left="440"/>
              <w:spacing w:after="0"/>
              <w:rPr>
                <w:sz w:val="20"/>
                <w:szCs w:val="20"/>
                <w:color w:val="auto"/>
              </w:rPr>
            </w:pPr>
            <w:r>
              <w:rPr>
                <w:rFonts w:ascii="Arial" w:cs="Arial" w:eastAsia="Arial" w:hAnsi="Arial"/>
                <w:sz w:val="18"/>
                <w:szCs w:val="18"/>
                <w:color w:val="auto"/>
              </w:rPr>
              <w:t>Other noncurrent assets, net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2,180</w:t>
            </w:r>
          </w:p>
        </w:tc>
        <w:tc>
          <w:tcPr>
            <w:tcW w:w="280" w:type="dxa"/>
            <w:vAlign w:val="bottom"/>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2,343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160" w:type="dxa"/>
            <w:vAlign w:val="bottom"/>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$164,971</w:t>
            </w:r>
          </w:p>
        </w:tc>
        <w:tc>
          <w:tcPr>
            <w:tcW w:w="280" w:type="dxa"/>
            <w:vAlign w:val="bottom"/>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$158,813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160" w:type="dxa"/>
            <w:vAlign w:val="bottom"/>
            <w:vMerge w:val="restart"/>
          </w:tcPr>
          <w:p>
            <w:pPr>
              <w:ind w:left="260"/>
              <w:spacing w:after="0"/>
              <w:rPr>
                <w:sz w:val="20"/>
                <w:szCs w:val="20"/>
                <w:color w:val="auto"/>
              </w:rPr>
            </w:pPr>
            <w:r>
              <w:rPr>
                <w:rFonts w:ascii="Arial" w:cs="Arial" w:eastAsia="Arial" w:hAnsi="Arial"/>
                <w:sz w:val="18"/>
                <w:szCs w:val="18"/>
                <w:b w:val="1"/>
                <w:bCs w:val="1"/>
                <w:color w:val="auto"/>
              </w:rPr>
              <w:t>LIABILITIES AND EQUITY</w:t>
            </w: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160" w:type="dxa"/>
            <w:vAlign w:val="bottom"/>
            <w:vMerge w:val="continue"/>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8160" w:type="dxa"/>
            <w:vAlign w:val="bottom"/>
          </w:tcPr>
          <w:p>
            <w:pPr>
              <w:ind w:left="440"/>
              <w:spacing w:after="0"/>
              <w:rPr>
                <w:sz w:val="20"/>
                <w:szCs w:val="20"/>
                <w:color w:val="auto"/>
              </w:rPr>
            </w:pPr>
            <w:r>
              <w:rPr>
                <w:rFonts w:ascii="Arial" w:cs="Arial" w:eastAsia="Arial" w:hAnsi="Arial"/>
                <w:sz w:val="18"/>
                <w:szCs w:val="18"/>
                <w:color w:val="auto"/>
              </w:rPr>
              <w:t>Current Liabilities</w:t>
            </w: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$5,528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8160" w:type="dxa"/>
            <w:vAlign w:val="bottom"/>
          </w:tcPr>
          <w:p>
            <w:pPr>
              <w:ind w:left="600"/>
              <w:spacing w:after="0" w:line="195" w:lineRule="exact"/>
              <w:rPr>
                <w:sz w:val="20"/>
                <w:szCs w:val="20"/>
                <w:color w:val="auto"/>
              </w:rPr>
            </w:pPr>
            <w:r>
              <w:rPr>
                <w:rFonts w:ascii="Arial" w:cs="Arial" w:eastAsia="Arial" w:hAnsi="Arial"/>
                <w:sz w:val="18"/>
                <w:szCs w:val="18"/>
                <w:color w:val="auto"/>
              </w:rPr>
              <w:t>Accounts payable and accrued expenses related to trade creditors</w:t>
            </w:r>
          </w:p>
        </w:tc>
        <w:tc>
          <w:tcPr>
            <w:tcW w:w="1460" w:type="dxa"/>
            <w:vAlign w:val="bottom"/>
          </w:tcPr>
          <w:p>
            <w:pPr>
              <w:jc w:val="right"/>
              <w:spacing w:after="0" w:line="195" w:lineRule="exact"/>
              <w:rPr>
                <w:sz w:val="20"/>
                <w:szCs w:val="20"/>
                <w:color w:val="auto"/>
              </w:rPr>
            </w:pPr>
            <w:r>
              <w:rPr>
                <w:rFonts w:ascii="Arial" w:cs="Arial" w:eastAsia="Arial" w:hAnsi="Arial"/>
                <w:sz w:val="18"/>
                <w:szCs w:val="18"/>
                <w:color w:val="auto"/>
              </w:rPr>
              <w:t>$6,206</w:t>
            </w:r>
          </w:p>
        </w:tc>
        <w:tc>
          <w:tcPr>
            <w:tcW w:w="28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160" w:type="dxa"/>
            <w:vAlign w:val="bottom"/>
          </w:tcPr>
          <w:p>
            <w:pPr>
              <w:ind w:left="600"/>
              <w:spacing w:after="0"/>
              <w:rPr>
                <w:sz w:val="20"/>
                <w:szCs w:val="20"/>
                <w:color w:val="auto"/>
              </w:rPr>
            </w:pPr>
            <w:r>
              <w:rPr>
                <w:rFonts w:ascii="Arial" w:cs="Arial" w:eastAsia="Arial" w:hAnsi="Arial"/>
                <w:sz w:val="18"/>
                <w:szCs w:val="18"/>
                <w:color w:val="auto"/>
              </w:rPr>
              <w:t>Accrued participations and residuals</w:t>
            </w:r>
          </w:p>
        </w:tc>
        <w:tc>
          <w:tcPr>
            <w:tcW w:w="1460" w:type="dxa"/>
            <w:vAlign w:val="bottom"/>
          </w:tcPr>
          <w:p>
            <w:pPr>
              <w:jc w:val="right"/>
              <w:spacing w:after="0"/>
              <w:rPr>
                <w:sz w:val="20"/>
                <w:szCs w:val="20"/>
                <w:color w:val="auto"/>
              </w:rPr>
            </w:pPr>
            <w:r>
              <w:rPr>
                <w:rFonts w:ascii="Arial" w:cs="Arial" w:eastAsia="Arial" w:hAnsi="Arial"/>
                <w:sz w:val="18"/>
                <w:szCs w:val="18"/>
                <w:color w:val="auto"/>
              </w:rPr>
              <w:t>1,350</w:t>
            </w: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1,239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60" w:type="dxa"/>
            <w:vAlign w:val="bottom"/>
          </w:tcPr>
          <w:p>
            <w:pPr>
              <w:ind w:left="600"/>
              <w:spacing w:after="0"/>
              <w:rPr>
                <w:sz w:val="20"/>
                <w:szCs w:val="20"/>
                <w:color w:val="auto"/>
              </w:rPr>
            </w:pPr>
            <w:r>
              <w:rPr>
                <w:rFonts w:ascii="Arial" w:cs="Arial" w:eastAsia="Arial" w:hAnsi="Arial"/>
                <w:sz w:val="18"/>
                <w:szCs w:val="18"/>
                <w:color w:val="auto"/>
              </w:rPr>
              <w:t>Deferred revenue</w:t>
            </w:r>
          </w:p>
        </w:tc>
        <w:tc>
          <w:tcPr>
            <w:tcW w:w="1460" w:type="dxa"/>
            <w:vAlign w:val="bottom"/>
          </w:tcPr>
          <w:p>
            <w:pPr>
              <w:jc w:val="right"/>
              <w:spacing w:after="0"/>
              <w:rPr>
                <w:sz w:val="20"/>
                <w:szCs w:val="20"/>
                <w:color w:val="auto"/>
              </w:rPr>
            </w:pPr>
            <w:r>
              <w:rPr>
                <w:rFonts w:ascii="Arial" w:cs="Arial" w:eastAsia="Arial" w:hAnsi="Arial"/>
                <w:sz w:val="18"/>
                <w:szCs w:val="18"/>
                <w:color w:val="auto"/>
              </w:rPr>
              <w:t>851</w:t>
            </w: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898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60" w:type="dxa"/>
            <w:vAlign w:val="bottom"/>
          </w:tcPr>
          <w:p>
            <w:pPr>
              <w:ind w:left="600"/>
              <w:spacing w:after="0"/>
              <w:rPr>
                <w:sz w:val="20"/>
                <w:szCs w:val="20"/>
                <w:color w:val="auto"/>
              </w:rPr>
            </w:pPr>
            <w:r>
              <w:rPr>
                <w:rFonts w:ascii="Arial" w:cs="Arial" w:eastAsia="Arial" w:hAnsi="Arial"/>
                <w:sz w:val="18"/>
                <w:szCs w:val="18"/>
                <w:color w:val="auto"/>
              </w:rPr>
              <w:t>Accrued expenses and other current liabilities</w:t>
            </w:r>
          </w:p>
        </w:tc>
        <w:tc>
          <w:tcPr>
            <w:tcW w:w="1460" w:type="dxa"/>
            <w:vAlign w:val="bottom"/>
          </w:tcPr>
          <w:p>
            <w:pPr>
              <w:jc w:val="right"/>
              <w:spacing w:after="0"/>
              <w:rPr>
                <w:sz w:val="20"/>
                <w:szCs w:val="20"/>
                <w:color w:val="auto"/>
              </w:rPr>
            </w:pPr>
            <w:r>
              <w:rPr>
                <w:rFonts w:ascii="Arial" w:cs="Arial" w:eastAsia="Arial" w:hAnsi="Arial"/>
                <w:sz w:val="18"/>
                <w:szCs w:val="18"/>
                <w:color w:val="auto"/>
              </w:rPr>
              <w:t>5,931</w:t>
            </w: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7,967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160" w:type="dxa"/>
            <w:vAlign w:val="bottom"/>
          </w:tcPr>
          <w:p>
            <w:pPr>
              <w:ind w:left="600"/>
              <w:spacing w:after="0"/>
              <w:rPr>
                <w:sz w:val="20"/>
                <w:szCs w:val="20"/>
                <w:color w:val="auto"/>
              </w:rPr>
            </w:pPr>
            <w:r>
              <w:rPr>
                <w:rFonts w:ascii="Arial" w:cs="Arial" w:eastAsia="Arial" w:hAnsi="Arial"/>
                <w:sz w:val="18"/>
                <w:szCs w:val="18"/>
                <w:color w:val="auto"/>
              </w:rPr>
              <w:t>Current portion of long-term debt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2,376</w:t>
            </w:r>
          </w:p>
        </w:tc>
        <w:tc>
          <w:tcPr>
            <w:tcW w:w="28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160" w:type="dxa"/>
            <w:vAlign w:val="bottom"/>
          </w:tcPr>
          <w:p>
            <w:pPr>
              <w:ind w:left="780"/>
              <w:spacing w:after="0"/>
              <w:rPr>
                <w:sz w:val="20"/>
                <w:szCs w:val="20"/>
                <w:color w:val="auto"/>
              </w:rPr>
            </w:pPr>
            <w:r>
              <w:rPr>
                <w:rFonts w:ascii="Arial" w:cs="Arial" w:eastAsia="Arial" w:hAnsi="Arial"/>
                <w:sz w:val="18"/>
                <w:szCs w:val="18"/>
                <w:color w:val="auto"/>
              </w:rPr>
              <w:t>Total current liabilities</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16,714</w:t>
            </w:r>
          </w:p>
        </w:tc>
        <w:tc>
          <w:tcPr>
            <w:tcW w:w="28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18,912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2"/>
        </w:trPr>
        <w:tc>
          <w:tcPr>
            <w:tcW w:w="8160" w:type="dxa"/>
            <w:vAlign w:val="bottom"/>
          </w:tcPr>
          <w:p>
            <w:pPr>
              <w:ind w:left="440"/>
              <w:spacing w:after="0"/>
              <w:rPr>
                <w:sz w:val="20"/>
                <w:szCs w:val="20"/>
                <w:color w:val="auto"/>
              </w:rPr>
            </w:pPr>
            <w:r>
              <w:rPr>
                <w:rFonts w:ascii="Arial" w:cs="Arial" w:eastAsia="Arial" w:hAnsi="Arial"/>
                <w:sz w:val="18"/>
                <w:szCs w:val="18"/>
                <w:color w:val="auto"/>
              </w:rPr>
              <w:t>Long-term debt, less current portion</w:t>
            </w:r>
          </w:p>
        </w:tc>
        <w:tc>
          <w:tcPr>
            <w:tcW w:w="1460" w:type="dxa"/>
            <w:vAlign w:val="bottom"/>
          </w:tcPr>
          <w:p>
            <w:pPr>
              <w:jc w:val="right"/>
              <w:spacing w:after="0"/>
              <w:rPr>
                <w:sz w:val="20"/>
                <w:szCs w:val="20"/>
                <w:color w:val="auto"/>
              </w:rPr>
            </w:pPr>
            <w:r>
              <w:rPr>
                <w:rFonts w:ascii="Arial" w:cs="Arial" w:eastAsia="Arial" w:hAnsi="Arial"/>
                <w:sz w:val="18"/>
                <w:szCs w:val="18"/>
                <w:color w:val="auto"/>
              </w:rPr>
              <w:t>38,082</w:t>
            </w:r>
          </w:p>
        </w:tc>
        <w:tc>
          <w:tcPr>
            <w:tcW w:w="28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44,567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160" w:type="dxa"/>
            <w:vAlign w:val="bottom"/>
          </w:tcPr>
          <w:p>
            <w:pPr>
              <w:ind w:left="440"/>
              <w:spacing w:after="0"/>
              <w:rPr>
                <w:sz w:val="20"/>
                <w:szCs w:val="20"/>
                <w:color w:val="auto"/>
              </w:rPr>
            </w:pPr>
            <w:r>
              <w:rPr>
                <w:rFonts w:ascii="Arial" w:cs="Arial" w:eastAsia="Arial" w:hAnsi="Arial"/>
                <w:sz w:val="18"/>
                <w:szCs w:val="18"/>
                <w:color w:val="auto"/>
              </w:rPr>
              <w:t>Deferred income taxes</w:t>
            </w:r>
          </w:p>
        </w:tc>
        <w:tc>
          <w:tcPr>
            <w:tcW w:w="1460" w:type="dxa"/>
            <w:vAlign w:val="bottom"/>
          </w:tcPr>
          <w:p>
            <w:pPr>
              <w:jc w:val="right"/>
              <w:spacing w:after="0"/>
              <w:rPr>
                <w:sz w:val="20"/>
                <w:szCs w:val="20"/>
                <w:color w:val="auto"/>
              </w:rPr>
            </w:pPr>
            <w:r>
              <w:rPr>
                <w:rFonts w:ascii="Arial" w:cs="Arial" w:eastAsia="Arial" w:hAnsi="Arial"/>
                <w:sz w:val="18"/>
                <w:szCs w:val="18"/>
                <w:color w:val="auto"/>
              </w:rPr>
              <w:t>30,110</w:t>
            </w:r>
          </w:p>
        </w:tc>
        <w:tc>
          <w:tcPr>
            <w:tcW w:w="28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31,935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160" w:type="dxa"/>
            <w:vAlign w:val="bottom"/>
          </w:tcPr>
          <w:p>
            <w:pPr>
              <w:ind w:left="440"/>
              <w:spacing w:after="0"/>
              <w:rPr>
                <w:sz w:val="20"/>
                <w:szCs w:val="20"/>
                <w:color w:val="auto"/>
              </w:rPr>
            </w:pPr>
            <w:r>
              <w:rPr>
                <w:rFonts w:ascii="Arial" w:cs="Arial" w:eastAsia="Arial" w:hAnsi="Arial"/>
                <w:sz w:val="18"/>
                <w:szCs w:val="18"/>
                <w:color w:val="auto"/>
              </w:rPr>
              <w:t>Other noncurrent liabilities</w:t>
            </w:r>
          </w:p>
        </w:tc>
        <w:tc>
          <w:tcPr>
            <w:tcW w:w="1460" w:type="dxa"/>
            <w:vAlign w:val="bottom"/>
          </w:tcPr>
          <w:p>
            <w:pPr>
              <w:jc w:val="right"/>
              <w:spacing w:after="0"/>
              <w:rPr>
                <w:sz w:val="20"/>
                <w:szCs w:val="20"/>
                <w:color w:val="auto"/>
              </w:rPr>
            </w:pPr>
            <w:r>
              <w:rPr>
                <w:rFonts w:ascii="Arial" w:cs="Arial" w:eastAsia="Arial" w:hAnsi="Arial"/>
                <w:sz w:val="18"/>
                <w:szCs w:val="18"/>
                <w:color w:val="auto"/>
              </w:rPr>
              <w:t>13,271</w:t>
            </w:r>
          </w:p>
        </w:tc>
        <w:tc>
          <w:tcPr>
            <w:tcW w:w="28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11,384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160" w:type="dxa"/>
            <w:vAlign w:val="bottom"/>
          </w:tcPr>
          <w:p>
            <w:pPr>
              <w:ind w:left="440"/>
              <w:spacing w:after="0"/>
              <w:rPr>
                <w:sz w:val="20"/>
                <w:szCs w:val="20"/>
                <w:color w:val="auto"/>
              </w:rPr>
            </w:pPr>
            <w:r>
              <w:rPr>
                <w:rFonts w:ascii="Arial" w:cs="Arial" w:eastAsia="Arial" w:hAnsi="Arial"/>
                <w:sz w:val="18"/>
                <w:szCs w:val="18"/>
                <w:color w:val="auto"/>
              </w:rPr>
              <w:t>Redeemable noncontrolling interests and redeemable subsidiary preferred stock</w:t>
            </w:r>
          </w:p>
        </w:tc>
        <w:tc>
          <w:tcPr>
            <w:tcW w:w="1460" w:type="dxa"/>
            <w:vAlign w:val="bottom"/>
          </w:tcPr>
          <w:p>
            <w:pPr>
              <w:jc w:val="right"/>
              <w:spacing w:after="0"/>
              <w:rPr>
                <w:sz w:val="20"/>
                <w:szCs w:val="20"/>
                <w:color w:val="auto"/>
              </w:rPr>
            </w:pPr>
            <w:r>
              <w:rPr>
                <w:rFonts w:ascii="Arial" w:cs="Arial" w:eastAsia="Arial" w:hAnsi="Arial"/>
                <w:sz w:val="18"/>
                <w:szCs w:val="18"/>
                <w:color w:val="auto"/>
              </w:rPr>
              <w:t>16,998</w:t>
            </w:r>
          </w:p>
        </w:tc>
        <w:tc>
          <w:tcPr>
            <w:tcW w:w="28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957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8160" w:type="dxa"/>
            <w:vAlign w:val="bottom"/>
          </w:tcPr>
          <w:p>
            <w:pPr>
              <w:ind w:left="440"/>
              <w:spacing w:after="0"/>
              <w:rPr>
                <w:sz w:val="20"/>
                <w:szCs w:val="20"/>
                <w:color w:val="auto"/>
              </w:rPr>
            </w:pPr>
            <w:r>
              <w:rPr>
                <w:rFonts w:ascii="Arial" w:cs="Arial" w:eastAsia="Arial" w:hAnsi="Arial"/>
                <w:sz w:val="18"/>
                <w:szCs w:val="18"/>
                <w:color w:val="auto"/>
              </w:rPr>
              <w:t>Equity</w:t>
            </w: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50,694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8160" w:type="dxa"/>
            <w:vAlign w:val="bottom"/>
          </w:tcPr>
          <w:p>
            <w:pPr>
              <w:ind w:left="600"/>
              <w:spacing w:after="0" w:line="195" w:lineRule="exact"/>
              <w:rPr>
                <w:sz w:val="20"/>
                <w:szCs w:val="20"/>
                <w:color w:val="auto"/>
              </w:rPr>
            </w:pPr>
            <w:r>
              <w:rPr>
                <w:rFonts w:ascii="Arial" w:cs="Arial" w:eastAsia="Arial" w:hAnsi="Arial"/>
                <w:sz w:val="18"/>
                <w:szCs w:val="18"/>
                <w:color w:val="auto"/>
              </w:rPr>
              <w:t>Comcast Corporation shareholders’ equity</w:t>
            </w:r>
          </w:p>
        </w:tc>
        <w:tc>
          <w:tcPr>
            <w:tcW w:w="1460" w:type="dxa"/>
            <w:vAlign w:val="bottom"/>
          </w:tcPr>
          <w:p>
            <w:pPr>
              <w:jc w:val="right"/>
              <w:spacing w:after="0" w:line="195" w:lineRule="exact"/>
              <w:rPr>
                <w:sz w:val="20"/>
                <w:szCs w:val="20"/>
                <w:color w:val="auto"/>
              </w:rPr>
            </w:pPr>
            <w:r>
              <w:rPr>
                <w:rFonts w:ascii="Arial" w:cs="Arial" w:eastAsia="Arial" w:hAnsi="Arial"/>
                <w:sz w:val="18"/>
                <w:szCs w:val="18"/>
                <w:color w:val="auto"/>
              </w:rPr>
              <w:t>49,356</w:t>
            </w:r>
          </w:p>
        </w:tc>
        <w:tc>
          <w:tcPr>
            <w:tcW w:w="28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8160" w:type="dxa"/>
            <w:vAlign w:val="bottom"/>
          </w:tcPr>
          <w:p>
            <w:pPr>
              <w:ind w:left="600"/>
              <w:spacing w:after="0"/>
              <w:rPr>
                <w:sz w:val="20"/>
                <w:szCs w:val="20"/>
                <w:color w:val="auto"/>
              </w:rPr>
            </w:pPr>
            <w:r>
              <w:rPr>
                <w:rFonts w:ascii="Arial" w:cs="Arial" w:eastAsia="Arial" w:hAnsi="Arial"/>
                <w:sz w:val="18"/>
                <w:szCs w:val="18"/>
                <w:color w:val="auto"/>
              </w:rPr>
              <w:t>Noncontrolling interests</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w:t>
            </w:r>
          </w:p>
        </w:tc>
        <w:tc>
          <w:tcPr>
            <w:tcW w:w="28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160" w:type="dxa"/>
            <w:vAlign w:val="bottom"/>
          </w:tcPr>
          <w:p>
            <w:pPr>
              <w:ind w:left="780"/>
              <w:spacing w:after="0"/>
              <w:rPr>
                <w:sz w:val="20"/>
                <w:szCs w:val="20"/>
                <w:color w:val="auto"/>
              </w:rPr>
            </w:pPr>
            <w:r>
              <w:rPr>
                <w:rFonts w:ascii="Arial" w:cs="Arial" w:eastAsia="Arial" w:hAnsi="Arial"/>
                <w:sz w:val="18"/>
                <w:szCs w:val="18"/>
                <w:color w:val="auto"/>
              </w:rPr>
              <w:t>Total equity</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49,796</w:t>
            </w:r>
          </w:p>
        </w:tc>
        <w:tc>
          <w:tcPr>
            <w:tcW w:w="28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51,058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9"/>
        </w:trPr>
        <w:tc>
          <w:tcPr>
            <w:tcW w:w="8160" w:type="dxa"/>
            <w:vAlign w:val="bottom"/>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$164,971</w:t>
            </w:r>
          </w:p>
        </w:tc>
        <w:tc>
          <w:tcPr>
            <w:tcW w:w="280" w:type="dxa"/>
            <w:vAlign w:val="bottom"/>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$158,813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160" w:type="dxa"/>
            <w:vAlign w:val="bottom"/>
            <w:vMerge w:val="restart"/>
          </w:tcPr>
          <w:p>
            <w:pPr>
              <w:ind w:left="5680"/>
              <w:spacing w:after="0"/>
              <w:rPr>
                <w:sz w:val="20"/>
                <w:szCs w:val="20"/>
                <w:color w:val="auto"/>
              </w:rPr>
            </w:pPr>
            <w:r>
              <w:rPr>
                <w:rFonts w:ascii="Arial" w:cs="Arial" w:eastAsia="Arial" w:hAnsi="Arial"/>
                <w:sz w:val="14"/>
                <w:szCs w:val="14"/>
                <w:color w:val="auto"/>
              </w:rPr>
              <w:t>8</w:t>
            </w: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8160" w:type="dxa"/>
            <w:vAlign w:val="bottom"/>
            <w:vMerge w:val="continue"/>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8160" w:type="dxa"/>
            <w:vAlign w:val="bottom"/>
            <w:tcBorders>
              <w:bottom w:val="single" w:sz="8" w:color="010101"/>
            </w:tcBorders>
          </w:tcPr>
          <w:p>
            <w:pPr>
              <w:spacing w:after="0"/>
              <w:rPr>
                <w:sz w:val="10"/>
                <w:szCs w:val="10"/>
                <w:color w:val="auto"/>
              </w:rPr>
            </w:pPr>
          </w:p>
        </w:tc>
        <w:tc>
          <w:tcPr>
            <w:tcW w:w="1460" w:type="dxa"/>
            <w:vAlign w:val="bottom"/>
            <w:tcBorders>
              <w:bottom w:val="single" w:sz="8" w:color="010101"/>
            </w:tcBorders>
          </w:tcPr>
          <w:p>
            <w:pPr>
              <w:spacing w:after="0"/>
              <w:rPr>
                <w:sz w:val="10"/>
                <w:szCs w:val="10"/>
                <w:color w:val="auto"/>
              </w:rPr>
            </w:pPr>
          </w:p>
        </w:tc>
        <w:tc>
          <w:tcPr>
            <w:tcW w:w="280" w:type="dxa"/>
            <w:vAlign w:val="bottom"/>
            <w:tcBorders>
              <w:bottom w:val="single" w:sz="8" w:color="010101"/>
            </w:tcBorders>
          </w:tcPr>
          <w:p>
            <w:pPr>
              <w:spacing w:after="0"/>
              <w:rPr>
                <w:sz w:val="10"/>
                <w:szCs w:val="10"/>
                <w:color w:val="auto"/>
              </w:rPr>
            </w:pPr>
          </w:p>
        </w:tc>
        <w:tc>
          <w:tcPr>
            <w:tcW w:w="1460" w:type="dxa"/>
            <w:vAlign w:val="bottom"/>
            <w:tcBorders>
              <w:bottom w:val="single" w:sz="8" w:color="010101"/>
            </w:tcBorders>
          </w:tcPr>
          <w:p>
            <w:pPr>
              <w:spacing w:after="0"/>
              <w:rPr>
                <w:sz w:val="10"/>
                <w:szCs w:val="10"/>
                <w:color w:val="auto"/>
              </w:rPr>
            </w:pPr>
          </w:p>
        </w:tc>
        <w:tc>
          <w:tcPr>
            <w:tcW w:w="100" w:type="dxa"/>
            <w:vAlign w:val="bottom"/>
            <w:tcBorders>
              <w:bottom w:val="single" w:sz="8" w:color="010101"/>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6290945</wp:posOffset>
            </wp:positionH>
            <wp:positionV relativeFrom="paragraph">
              <wp:posOffset>349250</wp:posOffset>
            </wp:positionV>
            <wp:extent cx="960755" cy="3943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60755" cy="39433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25"/>
          <w:szCs w:val="25"/>
          <w:b w:val="1"/>
          <w:bCs w:val="1"/>
          <w:color w:val="C9C9C9"/>
        </w:rPr>
        <w:t>TABLE 3</w:t>
      </w:r>
    </w:p>
    <w:p>
      <w:pPr>
        <w:spacing w:after="0" w:line="34" w:lineRule="exact"/>
        <w:rPr>
          <w:sz w:val="20"/>
          <w:szCs w:val="20"/>
          <w:color w:val="auto"/>
        </w:rPr>
      </w:pPr>
    </w:p>
    <w:p>
      <w:pPr>
        <w:spacing w:after="0"/>
        <w:rPr>
          <w:sz w:val="20"/>
          <w:szCs w:val="20"/>
          <w:color w:val="auto"/>
        </w:rPr>
      </w:pPr>
      <w:r>
        <w:rPr>
          <w:rFonts w:ascii="Arial" w:cs="Arial" w:eastAsia="Arial" w:hAnsi="Arial"/>
          <w:sz w:val="22"/>
          <w:szCs w:val="22"/>
          <w:b w:val="1"/>
          <w:bCs w:val="1"/>
          <w:color w:val="C9C9C9"/>
        </w:rPr>
        <w:t>Consolidated Statement of Cash Flows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60"/>
          </w:cols>
          <w:pgMar w:left="240" w:top="112" w:right="199" w:bottom="127" w:gutter="0" w:footer="0" w:header="0"/>
        </w:sectPr>
      </w:pPr>
    </w:p>
    <w:bookmarkStart w:id="8" w:name="page9"/>
    <w:bookmarkEnd w:id="8"/>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360" w:type="dxa"/>
            <w:vAlign w:val="bottom"/>
          </w:tcPr>
          <w:p>
            <w:pPr>
              <w:ind w:left="260"/>
              <w:spacing w:after="0"/>
              <w:rPr>
                <w:sz w:val="20"/>
                <w:szCs w:val="20"/>
                <w:color w:val="auto"/>
              </w:rPr>
            </w:pPr>
            <w:r>
              <w:rPr>
                <w:rFonts w:ascii="Arial" w:cs="Arial" w:eastAsia="Arial" w:hAnsi="Arial"/>
                <w:sz w:val="18"/>
                <w:szCs w:val="18"/>
                <w:color w:val="auto"/>
              </w:rPr>
              <w:t>(in millions)</w:t>
            </w:r>
          </w:p>
        </w:tc>
        <w:tc>
          <w:tcPr>
            <w:tcW w:w="30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8"/>
              </w:rPr>
              <w:t>Twelve Months Ended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8360" w:type="dxa"/>
            <w:vAlign w:val="bottom"/>
          </w:tcPr>
          <w:p>
            <w:pPr>
              <w:spacing w:after="0"/>
              <w:rPr>
                <w:sz w:val="22"/>
                <w:szCs w:val="22"/>
                <w:color w:val="auto"/>
              </w:rPr>
            </w:pPr>
          </w:p>
        </w:tc>
        <w:tc>
          <w:tcPr>
            <w:tcW w:w="2120" w:type="dxa"/>
            <w:vAlign w:val="bottom"/>
            <w:gridSpan w:val="3"/>
          </w:tcPr>
          <w:p>
            <w:pPr>
              <w:jc w:val="center"/>
              <w:ind w:left="810"/>
              <w:spacing w:after="0"/>
              <w:rPr>
                <w:sz w:val="20"/>
                <w:szCs w:val="20"/>
                <w:color w:val="auto"/>
              </w:rPr>
            </w:pPr>
            <w:r>
              <w:rPr>
                <w:rFonts w:ascii="Arial" w:cs="Arial" w:eastAsia="Arial" w:hAnsi="Arial"/>
                <w:sz w:val="18"/>
                <w:szCs w:val="18"/>
                <w:b w:val="1"/>
                <w:bCs w:val="1"/>
                <w:color w:val="auto"/>
              </w:rPr>
              <w:t>December 31,</w:t>
            </w: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360" w:type="dxa"/>
            <w:vAlign w:val="bottom"/>
          </w:tcPr>
          <w:p>
            <w:pPr>
              <w:spacing w:after="0"/>
              <w:rPr>
                <w:sz w:val="21"/>
                <w:szCs w:val="21"/>
                <w:color w:val="auto"/>
              </w:rPr>
            </w:pPr>
          </w:p>
        </w:tc>
        <w:tc>
          <w:tcPr>
            <w:tcW w:w="13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2012</w:t>
            </w:r>
          </w:p>
        </w:tc>
        <w:tc>
          <w:tcPr>
            <w:tcW w:w="26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94"/>
              </w:rPr>
              <w:t>2013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2"/>
        </w:trPr>
        <w:tc>
          <w:tcPr>
            <w:tcW w:w="8360" w:type="dxa"/>
            <w:vAlign w:val="bottom"/>
          </w:tcPr>
          <w:p>
            <w:pPr>
              <w:ind w:left="260"/>
              <w:spacing w:after="0"/>
              <w:rPr>
                <w:sz w:val="20"/>
                <w:szCs w:val="20"/>
                <w:color w:val="auto"/>
              </w:rPr>
            </w:pPr>
            <w:r>
              <w:rPr>
                <w:rFonts w:ascii="Arial" w:cs="Arial" w:eastAsia="Arial" w:hAnsi="Arial"/>
                <w:sz w:val="18"/>
                <w:szCs w:val="18"/>
                <w:b w:val="1"/>
                <w:bCs w:val="1"/>
                <w:color w:val="auto"/>
              </w:rPr>
              <w:t>OPERATING ACTIVITIES</w:t>
            </w: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440"/>
              <w:spacing w:after="0"/>
              <w:rPr>
                <w:sz w:val="20"/>
                <w:szCs w:val="20"/>
                <w:color w:val="auto"/>
              </w:rPr>
            </w:pPr>
            <w:r>
              <w:rPr>
                <w:rFonts w:ascii="Arial" w:cs="Arial" w:eastAsia="Arial" w:hAnsi="Arial"/>
                <w:sz w:val="18"/>
                <w:szCs w:val="18"/>
                <w:color w:val="auto"/>
              </w:rPr>
              <w:t>Net income</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$7,865</w:t>
            </w: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$7,135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4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620"/>
              <w:spacing w:after="0"/>
              <w:rPr>
                <w:sz w:val="20"/>
                <w:szCs w:val="20"/>
                <w:color w:val="auto"/>
              </w:rPr>
            </w:pPr>
            <w:r>
              <w:rPr>
                <w:rFonts w:ascii="Arial" w:cs="Arial" w:eastAsia="Arial" w:hAnsi="Arial"/>
                <w:sz w:val="18"/>
                <w:szCs w:val="18"/>
                <w:color w:val="auto"/>
              </w:rPr>
              <w:t>Depreciation and amortization</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7,798</w:t>
            </w: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7,871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620"/>
              <w:spacing w:after="0"/>
              <w:rPr>
                <w:sz w:val="20"/>
                <w:szCs w:val="20"/>
                <w:color w:val="auto"/>
              </w:rPr>
            </w:pPr>
            <w:r>
              <w:rPr>
                <w:rFonts w:ascii="Arial" w:cs="Arial" w:eastAsia="Arial" w:hAnsi="Arial"/>
                <w:sz w:val="18"/>
                <w:szCs w:val="18"/>
                <w:color w:val="auto"/>
              </w:rPr>
              <w:t>Amortization of film and television costs</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9,454</w:t>
            </w: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8,249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620"/>
              <w:spacing w:after="0"/>
              <w:rPr>
                <w:sz w:val="20"/>
                <w:szCs w:val="20"/>
                <w:color w:val="auto"/>
              </w:rPr>
            </w:pPr>
            <w:r>
              <w:rPr>
                <w:rFonts w:ascii="Arial" w:cs="Arial" w:eastAsia="Arial" w:hAnsi="Arial"/>
                <w:sz w:val="18"/>
                <w:szCs w:val="18"/>
                <w:color w:val="auto"/>
              </w:rPr>
              <w:t>Share-based compensation</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371</w:t>
            </w: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419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620"/>
              <w:spacing w:after="0"/>
              <w:rPr>
                <w:sz w:val="20"/>
                <w:szCs w:val="20"/>
                <w:color w:val="auto"/>
              </w:rPr>
            </w:pPr>
            <w:r>
              <w:rPr>
                <w:rFonts w:ascii="Arial" w:cs="Arial" w:eastAsia="Arial" w:hAnsi="Arial"/>
                <w:sz w:val="18"/>
                <w:szCs w:val="18"/>
                <w:color w:val="auto"/>
              </w:rPr>
              <w:t>Noncash interest expense (income), net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193</w:t>
            </w: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167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620"/>
              <w:spacing w:after="0"/>
              <w:rPr>
                <w:sz w:val="20"/>
                <w:szCs w:val="20"/>
                <w:color w:val="auto"/>
              </w:rPr>
            </w:pPr>
            <w:r>
              <w:rPr>
                <w:rFonts w:ascii="Arial" w:cs="Arial" w:eastAsia="Arial" w:hAnsi="Arial"/>
                <w:sz w:val="18"/>
                <w:szCs w:val="18"/>
                <w:color w:val="auto"/>
              </w:rPr>
              <w:t>Equity in net (income) losses of investees, net</w:t>
            </w:r>
          </w:p>
        </w:tc>
        <w:tc>
          <w:tcPr>
            <w:tcW w:w="1380" w:type="dxa"/>
            <w:vAlign w:val="bottom"/>
          </w:tcPr>
          <w:p>
            <w:pPr>
              <w:jc w:val="right"/>
              <w:spacing w:after="0"/>
              <w:rPr>
                <w:sz w:val="20"/>
                <w:szCs w:val="20"/>
                <w:color w:val="auto"/>
              </w:rPr>
            </w:pPr>
            <w:r>
              <w:rPr>
                <w:rFonts w:ascii="Arial" w:cs="Arial" w:eastAsia="Arial" w:hAnsi="Arial"/>
                <w:sz w:val="18"/>
                <w:szCs w:val="18"/>
                <w:color w:val="auto"/>
              </w:rPr>
              <w:t>(959)</w:t>
            </w: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86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620"/>
              <w:spacing w:after="0"/>
              <w:rPr>
                <w:sz w:val="20"/>
                <w:szCs w:val="20"/>
                <w:color w:val="auto"/>
              </w:rPr>
            </w:pPr>
            <w:r>
              <w:rPr>
                <w:rFonts w:ascii="Arial" w:cs="Arial" w:eastAsia="Arial" w:hAnsi="Arial"/>
                <w:sz w:val="18"/>
                <w:szCs w:val="18"/>
                <w:color w:val="auto"/>
              </w:rPr>
              <w:t>Cash received from investees</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195</w:t>
            </w: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120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620"/>
              <w:spacing w:after="0"/>
              <w:rPr>
                <w:sz w:val="20"/>
                <w:szCs w:val="20"/>
                <w:color w:val="auto"/>
              </w:rPr>
            </w:pPr>
            <w:r>
              <w:rPr>
                <w:rFonts w:ascii="Arial" w:cs="Arial" w:eastAsia="Arial" w:hAnsi="Arial"/>
                <w:sz w:val="18"/>
                <w:szCs w:val="18"/>
                <w:color w:val="auto"/>
              </w:rPr>
              <w:t>Net (gain) loss on investment activity and other</w:t>
            </w:r>
          </w:p>
        </w:tc>
        <w:tc>
          <w:tcPr>
            <w:tcW w:w="1380" w:type="dxa"/>
            <w:vAlign w:val="bottom"/>
          </w:tcPr>
          <w:p>
            <w:pPr>
              <w:jc w:val="right"/>
              <w:spacing w:after="0"/>
              <w:rPr>
                <w:sz w:val="20"/>
                <w:szCs w:val="20"/>
                <w:color w:val="auto"/>
              </w:rPr>
            </w:pPr>
            <w:r>
              <w:rPr>
                <w:rFonts w:ascii="Arial" w:cs="Arial" w:eastAsia="Arial" w:hAnsi="Arial"/>
                <w:sz w:val="18"/>
                <w:szCs w:val="18"/>
                <w:color w:val="auto"/>
              </w:rPr>
              <w:t>(1,062)</w:t>
            </w: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(169)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620"/>
              <w:spacing w:after="0"/>
              <w:rPr>
                <w:sz w:val="20"/>
                <w:szCs w:val="20"/>
                <w:color w:val="auto"/>
              </w:rPr>
            </w:pPr>
            <w:r>
              <w:rPr>
                <w:rFonts w:ascii="Arial" w:cs="Arial" w:eastAsia="Arial" w:hAnsi="Arial"/>
                <w:sz w:val="18"/>
                <w:szCs w:val="18"/>
                <w:color w:val="auto"/>
              </w:rPr>
              <w:t>Deferred income taxes</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139</w:t>
            </w: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440"/>
              <w:spacing w:after="0"/>
              <w:rPr>
                <w:sz w:val="20"/>
                <w:szCs w:val="20"/>
                <w:color w:val="auto"/>
              </w:rPr>
            </w:pPr>
            <w:r>
              <w:rPr>
                <w:rFonts w:ascii="Arial" w:cs="Arial" w:eastAsia="Arial" w:hAnsi="Arial"/>
                <w:sz w:val="18"/>
                <w:szCs w:val="18"/>
                <w:color w:val="auto"/>
              </w:rPr>
              <w:t>Changes in operating assets and liabilities, net of effects of acquisitions and divestitures:</w:t>
            </w:r>
          </w:p>
        </w:tc>
        <w:tc>
          <w:tcPr>
            <w:tcW w:w="1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600"/>
              <w:spacing w:after="0"/>
              <w:rPr>
                <w:sz w:val="20"/>
                <w:szCs w:val="20"/>
                <w:color w:val="auto"/>
              </w:rPr>
            </w:pPr>
            <w:r>
              <w:rPr>
                <w:rFonts w:ascii="Arial" w:cs="Arial" w:eastAsia="Arial" w:hAnsi="Arial"/>
                <w:sz w:val="18"/>
                <w:szCs w:val="18"/>
                <w:color w:val="auto"/>
              </w:rPr>
              <w:t>Change in current and noncurrent receivables, net</w:t>
            </w:r>
          </w:p>
        </w:tc>
        <w:tc>
          <w:tcPr>
            <w:tcW w:w="1380" w:type="dxa"/>
            <w:vAlign w:val="bottom"/>
          </w:tcPr>
          <w:p>
            <w:pPr>
              <w:jc w:val="right"/>
              <w:spacing w:after="0"/>
              <w:rPr>
                <w:sz w:val="20"/>
                <w:szCs w:val="20"/>
                <w:color w:val="auto"/>
              </w:rPr>
            </w:pPr>
            <w:r>
              <w:rPr>
                <w:rFonts w:ascii="Arial" w:cs="Arial" w:eastAsia="Arial" w:hAnsi="Arial"/>
                <w:sz w:val="18"/>
                <w:szCs w:val="18"/>
                <w:color w:val="auto"/>
              </w:rPr>
              <w:t>(823)</w:t>
            </w: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(721)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600"/>
              <w:spacing w:after="0"/>
              <w:rPr>
                <w:sz w:val="20"/>
                <w:szCs w:val="20"/>
                <w:color w:val="auto"/>
              </w:rPr>
            </w:pPr>
            <w:r>
              <w:rPr>
                <w:rFonts w:ascii="Arial" w:cs="Arial" w:eastAsia="Arial" w:hAnsi="Arial"/>
                <w:sz w:val="18"/>
                <w:szCs w:val="18"/>
                <w:color w:val="auto"/>
              </w:rPr>
              <w:t>Change in film and television costs</w:t>
            </w:r>
          </w:p>
        </w:tc>
        <w:tc>
          <w:tcPr>
            <w:tcW w:w="1380" w:type="dxa"/>
            <w:vAlign w:val="bottom"/>
          </w:tcPr>
          <w:p>
            <w:pPr>
              <w:jc w:val="right"/>
              <w:spacing w:after="0"/>
              <w:rPr>
                <w:sz w:val="20"/>
                <w:szCs w:val="20"/>
                <w:color w:val="auto"/>
              </w:rPr>
            </w:pPr>
            <w:r>
              <w:rPr>
                <w:rFonts w:ascii="Arial" w:cs="Arial" w:eastAsia="Arial" w:hAnsi="Arial"/>
                <w:sz w:val="18"/>
                <w:szCs w:val="18"/>
                <w:color w:val="auto"/>
              </w:rPr>
              <w:t>(9,432)</w:t>
            </w: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(8,205)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600"/>
              <w:spacing w:after="0"/>
              <w:rPr>
                <w:sz w:val="20"/>
                <w:szCs w:val="20"/>
                <w:color w:val="auto"/>
              </w:rPr>
            </w:pPr>
            <w:r>
              <w:rPr>
                <w:rFonts w:ascii="Arial" w:cs="Arial" w:eastAsia="Arial" w:hAnsi="Arial"/>
                <w:sz w:val="18"/>
                <w:szCs w:val="18"/>
                <w:color w:val="auto"/>
              </w:rPr>
              <w:t>Change in accounts payable and accrued expenses related to trade creditors</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366</w:t>
            </w: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(667)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600"/>
              <w:spacing w:after="0"/>
              <w:rPr>
                <w:sz w:val="20"/>
                <w:szCs w:val="20"/>
                <w:color w:val="auto"/>
              </w:rPr>
            </w:pPr>
            <w:r>
              <w:rPr>
                <w:rFonts w:ascii="Arial" w:cs="Arial" w:eastAsia="Arial" w:hAnsi="Arial"/>
                <w:sz w:val="18"/>
                <w:szCs w:val="18"/>
                <w:color w:val="auto"/>
              </w:rPr>
              <w:t>Change in other operating assets and liabilities</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749</w:t>
            </w:r>
          </w:p>
        </w:tc>
        <w:tc>
          <w:tcPr>
            <w:tcW w:w="26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9"/>
        </w:trPr>
        <w:tc>
          <w:tcPr>
            <w:tcW w:w="8360" w:type="dxa"/>
            <w:vAlign w:val="bottom"/>
          </w:tcPr>
          <w:p>
            <w:pPr>
              <w:ind w:left="980"/>
              <w:spacing w:after="0"/>
              <w:rPr>
                <w:sz w:val="20"/>
                <w:szCs w:val="20"/>
                <w:color w:val="auto"/>
              </w:rPr>
            </w:pPr>
            <w:r>
              <w:rPr>
                <w:rFonts w:ascii="Arial" w:cs="Arial" w:eastAsia="Arial" w:hAnsi="Arial"/>
                <w:sz w:val="18"/>
                <w:szCs w:val="18"/>
                <w:color w:val="auto"/>
              </w:rPr>
              <w:t>Net cash provided by operating activities</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14,854</w:t>
            </w:r>
          </w:p>
        </w:tc>
        <w:tc>
          <w:tcPr>
            <w:tcW w:w="26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14,160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360" w:type="dxa"/>
            <w:vAlign w:val="bottom"/>
          </w:tcPr>
          <w:p>
            <w:pPr>
              <w:ind w:left="260"/>
              <w:spacing w:after="0"/>
              <w:rPr>
                <w:sz w:val="20"/>
                <w:szCs w:val="20"/>
                <w:color w:val="auto"/>
              </w:rPr>
            </w:pPr>
            <w:r>
              <w:rPr>
                <w:rFonts w:ascii="Arial" w:cs="Arial" w:eastAsia="Arial" w:hAnsi="Arial"/>
                <w:sz w:val="18"/>
                <w:szCs w:val="18"/>
                <w:b w:val="1"/>
                <w:bCs w:val="1"/>
                <w:color w:val="auto"/>
              </w:rPr>
              <w:t>INVESTING ACTIVITIES</w:t>
            </w: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440"/>
              <w:spacing w:after="0"/>
              <w:rPr>
                <w:sz w:val="20"/>
                <w:szCs w:val="20"/>
                <w:color w:val="auto"/>
              </w:rPr>
            </w:pPr>
            <w:r>
              <w:rPr>
                <w:rFonts w:ascii="Arial" w:cs="Arial" w:eastAsia="Arial" w:hAnsi="Arial"/>
                <w:sz w:val="18"/>
                <w:szCs w:val="18"/>
                <w:color w:val="auto"/>
              </w:rPr>
              <w:t>Capital expenditures</w:t>
            </w:r>
          </w:p>
        </w:tc>
        <w:tc>
          <w:tcPr>
            <w:tcW w:w="1380" w:type="dxa"/>
            <w:vAlign w:val="bottom"/>
          </w:tcPr>
          <w:p>
            <w:pPr>
              <w:jc w:val="right"/>
              <w:spacing w:after="0"/>
              <w:rPr>
                <w:sz w:val="20"/>
                <w:szCs w:val="20"/>
                <w:color w:val="auto"/>
              </w:rPr>
            </w:pPr>
            <w:r>
              <w:rPr>
                <w:rFonts w:ascii="Arial" w:cs="Arial" w:eastAsia="Arial" w:hAnsi="Arial"/>
                <w:sz w:val="18"/>
                <w:szCs w:val="18"/>
                <w:color w:val="auto"/>
              </w:rPr>
              <w:t>(5,714)</w:t>
            </w: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(6,596)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440"/>
              <w:spacing w:after="0"/>
              <w:rPr>
                <w:sz w:val="20"/>
                <w:szCs w:val="20"/>
                <w:color w:val="auto"/>
              </w:rPr>
            </w:pPr>
            <w:r>
              <w:rPr>
                <w:rFonts w:ascii="Arial" w:cs="Arial" w:eastAsia="Arial" w:hAnsi="Arial"/>
                <w:sz w:val="18"/>
                <w:szCs w:val="18"/>
                <w:color w:val="auto"/>
              </w:rPr>
              <w:t>Cash paid for intangible assets</w:t>
            </w:r>
          </w:p>
        </w:tc>
        <w:tc>
          <w:tcPr>
            <w:tcW w:w="1380" w:type="dxa"/>
            <w:vAlign w:val="bottom"/>
          </w:tcPr>
          <w:p>
            <w:pPr>
              <w:jc w:val="right"/>
              <w:spacing w:after="0"/>
              <w:rPr>
                <w:sz w:val="20"/>
                <w:szCs w:val="20"/>
                <w:color w:val="auto"/>
              </w:rPr>
            </w:pPr>
            <w:r>
              <w:rPr>
                <w:rFonts w:ascii="Arial" w:cs="Arial" w:eastAsia="Arial" w:hAnsi="Arial"/>
                <w:sz w:val="18"/>
                <w:szCs w:val="18"/>
                <w:color w:val="auto"/>
              </w:rPr>
              <w:t>(923)</w:t>
            </w: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(1,009)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440"/>
              <w:spacing w:after="0"/>
              <w:rPr>
                <w:sz w:val="20"/>
                <w:szCs w:val="20"/>
                <w:color w:val="auto"/>
              </w:rPr>
            </w:pPr>
            <w:r>
              <w:rPr>
                <w:rFonts w:ascii="Arial" w:cs="Arial" w:eastAsia="Arial" w:hAnsi="Arial"/>
                <w:sz w:val="18"/>
                <w:szCs w:val="18"/>
                <w:color w:val="auto"/>
              </w:rPr>
              <w:t>Acquisitions of real estate properties</w:t>
            </w:r>
          </w:p>
        </w:tc>
        <w:tc>
          <w:tcPr>
            <w:tcW w:w="13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(1,904)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440"/>
              <w:spacing w:after="0"/>
              <w:rPr>
                <w:sz w:val="20"/>
                <w:szCs w:val="20"/>
                <w:color w:val="auto"/>
              </w:rPr>
            </w:pPr>
            <w:r>
              <w:rPr>
                <w:rFonts w:ascii="Arial" w:cs="Arial" w:eastAsia="Arial" w:hAnsi="Arial"/>
                <w:sz w:val="18"/>
                <w:szCs w:val="18"/>
                <w:color w:val="auto"/>
              </w:rPr>
              <w:t>Acquisitions, net of cash acquired</w:t>
            </w:r>
          </w:p>
        </w:tc>
        <w:tc>
          <w:tcPr>
            <w:tcW w:w="1380" w:type="dxa"/>
            <w:vAlign w:val="bottom"/>
          </w:tcPr>
          <w:p>
            <w:pPr>
              <w:jc w:val="right"/>
              <w:spacing w:after="0"/>
              <w:rPr>
                <w:sz w:val="20"/>
                <w:szCs w:val="20"/>
                <w:color w:val="auto"/>
              </w:rPr>
            </w:pPr>
            <w:r>
              <w:rPr>
                <w:rFonts w:ascii="Arial" w:cs="Arial" w:eastAsia="Arial" w:hAnsi="Arial"/>
                <w:sz w:val="18"/>
                <w:szCs w:val="18"/>
                <w:color w:val="auto"/>
              </w:rPr>
              <w:t>(90)</w:t>
            </w: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(99)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440"/>
              <w:spacing w:after="0"/>
              <w:rPr>
                <w:sz w:val="20"/>
                <w:szCs w:val="20"/>
                <w:color w:val="auto"/>
              </w:rPr>
            </w:pPr>
            <w:r>
              <w:rPr>
                <w:rFonts w:ascii="Arial" w:cs="Arial" w:eastAsia="Arial" w:hAnsi="Arial"/>
                <w:sz w:val="18"/>
                <w:szCs w:val="18"/>
                <w:color w:val="auto"/>
              </w:rPr>
              <w:t>Proceeds from sales of businesses and investments</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3,102</w:t>
            </w: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1,083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440"/>
              <w:spacing w:after="0"/>
              <w:rPr>
                <w:sz w:val="20"/>
                <w:szCs w:val="20"/>
                <w:color w:val="auto"/>
              </w:rPr>
            </w:pPr>
            <w:r>
              <w:rPr>
                <w:rFonts w:ascii="Arial" w:cs="Arial" w:eastAsia="Arial" w:hAnsi="Arial"/>
                <w:sz w:val="18"/>
                <w:szCs w:val="18"/>
                <w:color w:val="auto"/>
              </w:rPr>
              <w:t>Return of capital from investees</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2,362</w:t>
            </w: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149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440"/>
              <w:spacing w:after="0"/>
              <w:rPr>
                <w:sz w:val="20"/>
                <w:szCs w:val="20"/>
                <w:color w:val="auto"/>
              </w:rPr>
            </w:pPr>
            <w:r>
              <w:rPr>
                <w:rFonts w:ascii="Arial" w:cs="Arial" w:eastAsia="Arial" w:hAnsi="Arial"/>
                <w:sz w:val="18"/>
                <w:szCs w:val="18"/>
                <w:color w:val="auto"/>
              </w:rPr>
              <w:t>Purchases of investments</w:t>
            </w:r>
          </w:p>
        </w:tc>
        <w:tc>
          <w:tcPr>
            <w:tcW w:w="1380" w:type="dxa"/>
            <w:vAlign w:val="bottom"/>
          </w:tcPr>
          <w:p>
            <w:pPr>
              <w:jc w:val="right"/>
              <w:spacing w:after="0"/>
              <w:rPr>
                <w:sz w:val="20"/>
                <w:szCs w:val="20"/>
                <w:color w:val="auto"/>
              </w:rPr>
            </w:pPr>
            <w:r>
              <w:rPr>
                <w:rFonts w:ascii="Arial" w:cs="Arial" w:eastAsia="Arial" w:hAnsi="Arial"/>
                <w:sz w:val="18"/>
                <w:szCs w:val="18"/>
                <w:color w:val="auto"/>
              </w:rPr>
              <w:t>(297)</w:t>
            </w: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(1,223)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440"/>
              <w:spacing w:after="0"/>
              <w:rPr>
                <w:sz w:val="20"/>
                <w:szCs w:val="20"/>
                <w:color w:val="auto"/>
              </w:rPr>
            </w:pPr>
            <w:r>
              <w:rPr>
                <w:rFonts w:ascii="Arial" w:cs="Arial" w:eastAsia="Arial" w:hAnsi="Arial"/>
                <w:sz w:val="18"/>
                <w:szCs w:val="18"/>
                <w:color w:val="auto"/>
              </w:rPr>
              <w:t>Other</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74</w:t>
            </w:r>
          </w:p>
        </w:tc>
        <w:tc>
          <w:tcPr>
            <w:tcW w:w="26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9"/>
        </w:trPr>
        <w:tc>
          <w:tcPr>
            <w:tcW w:w="8360" w:type="dxa"/>
            <w:vAlign w:val="bottom"/>
          </w:tcPr>
          <w:p>
            <w:pPr>
              <w:ind w:left="980"/>
              <w:spacing w:after="0"/>
              <w:rPr>
                <w:sz w:val="20"/>
                <w:szCs w:val="20"/>
                <w:color w:val="auto"/>
              </w:rPr>
            </w:pPr>
            <w:r>
              <w:rPr>
                <w:rFonts w:ascii="Arial" w:cs="Arial" w:eastAsia="Arial" w:hAnsi="Arial"/>
                <w:sz w:val="18"/>
                <w:szCs w:val="18"/>
                <w:color w:val="auto"/>
              </w:rPr>
              <w:t>Net cash provided by (used in) investing activities</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(1,486)</w:t>
            </w:r>
          </w:p>
        </w:tc>
        <w:tc>
          <w:tcPr>
            <w:tcW w:w="26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(9,514)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360" w:type="dxa"/>
            <w:vAlign w:val="bottom"/>
          </w:tcPr>
          <w:p>
            <w:pPr>
              <w:ind w:left="260"/>
              <w:spacing w:after="0"/>
              <w:rPr>
                <w:sz w:val="20"/>
                <w:szCs w:val="20"/>
                <w:color w:val="auto"/>
              </w:rPr>
            </w:pPr>
            <w:r>
              <w:rPr>
                <w:rFonts w:ascii="Arial" w:cs="Arial" w:eastAsia="Arial" w:hAnsi="Arial"/>
                <w:sz w:val="18"/>
                <w:szCs w:val="18"/>
                <w:b w:val="1"/>
                <w:bCs w:val="1"/>
                <w:color w:val="auto"/>
              </w:rPr>
              <w:t>FINANCING ACTIVITIES</w:t>
            </w: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440"/>
              <w:spacing w:after="0"/>
              <w:rPr>
                <w:sz w:val="20"/>
                <w:szCs w:val="20"/>
                <w:color w:val="auto"/>
              </w:rPr>
            </w:pPr>
            <w:r>
              <w:rPr>
                <w:rFonts w:ascii="Arial" w:cs="Arial" w:eastAsia="Arial" w:hAnsi="Arial"/>
                <w:sz w:val="18"/>
                <w:szCs w:val="18"/>
                <w:color w:val="auto"/>
              </w:rPr>
              <w:t>Proceeds from (repayments of) short-term borrowings, net</w:t>
            </w:r>
          </w:p>
        </w:tc>
        <w:tc>
          <w:tcPr>
            <w:tcW w:w="1380" w:type="dxa"/>
            <w:vAlign w:val="bottom"/>
          </w:tcPr>
          <w:p>
            <w:pPr>
              <w:jc w:val="right"/>
              <w:spacing w:after="0"/>
              <w:rPr>
                <w:sz w:val="20"/>
                <w:szCs w:val="20"/>
                <w:color w:val="auto"/>
              </w:rPr>
            </w:pPr>
            <w:r>
              <w:rPr>
                <w:rFonts w:ascii="Arial" w:cs="Arial" w:eastAsia="Arial" w:hAnsi="Arial"/>
                <w:sz w:val="18"/>
                <w:szCs w:val="18"/>
                <w:color w:val="auto"/>
              </w:rPr>
              <w:t>(544)</w:t>
            </w: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1,345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440"/>
              <w:spacing w:after="0"/>
              <w:rPr>
                <w:sz w:val="20"/>
                <w:szCs w:val="20"/>
                <w:color w:val="auto"/>
              </w:rPr>
            </w:pPr>
            <w:r>
              <w:rPr>
                <w:rFonts w:ascii="Arial" w:cs="Arial" w:eastAsia="Arial" w:hAnsi="Arial"/>
                <w:sz w:val="18"/>
                <w:szCs w:val="18"/>
                <w:color w:val="auto"/>
              </w:rPr>
              <w:t>Proceeds from borrowings</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4,544</w:t>
            </w: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2,933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440"/>
              <w:spacing w:after="0"/>
              <w:rPr>
                <w:sz w:val="20"/>
                <w:szCs w:val="20"/>
                <w:color w:val="auto"/>
              </w:rPr>
            </w:pPr>
            <w:r>
              <w:rPr>
                <w:rFonts w:ascii="Arial" w:cs="Arial" w:eastAsia="Arial" w:hAnsi="Arial"/>
                <w:sz w:val="18"/>
                <w:szCs w:val="18"/>
                <w:color w:val="auto"/>
              </w:rPr>
              <w:t>Repurchases and repayments of debt</w:t>
            </w:r>
          </w:p>
        </w:tc>
        <w:tc>
          <w:tcPr>
            <w:tcW w:w="1380" w:type="dxa"/>
            <w:vAlign w:val="bottom"/>
          </w:tcPr>
          <w:p>
            <w:pPr>
              <w:jc w:val="right"/>
              <w:spacing w:after="0"/>
              <w:rPr>
                <w:sz w:val="20"/>
                <w:szCs w:val="20"/>
                <w:color w:val="auto"/>
              </w:rPr>
            </w:pPr>
            <w:r>
              <w:rPr>
                <w:rFonts w:ascii="Arial" w:cs="Arial" w:eastAsia="Arial" w:hAnsi="Arial"/>
                <w:sz w:val="18"/>
                <w:szCs w:val="18"/>
                <w:color w:val="auto"/>
              </w:rPr>
              <w:t>(2,881)</w:t>
            </w: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(2,444)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440"/>
              <w:spacing w:after="0"/>
              <w:rPr>
                <w:sz w:val="20"/>
                <w:szCs w:val="20"/>
                <w:color w:val="auto"/>
              </w:rPr>
            </w:pPr>
            <w:r>
              <w:rPr>
                <w:rFonts w:ascii="Arial" w:cs="Arial" w:eastAsia="Arial" w:hAnsi="Arial"/>
                <w:sz w:val="18"/>
                <w:szCs w:val="18"/>
                <w:color w:val="auto"/>
              </w:rPr>
              <w:t>Repurchases and retirements of common stock</w:t>
            </w:r>
          </w:p>
        </w:tc>
        <w:tc>
          <w:tcPr>
            <w:tcW w:w="1380" w:type="dxa"/>
            <w:vAlign w:val="bottom"/>
          </w:tcPr>
          <w:p>
            <w:pPr>
              <w:jc w:val="right"/>
              <w:spacing w:after="0"/>
              <w:rPr>
                <w:sz w:val="20"/>
                <w:szCs w:val="20"/>
                <w:color w:val="auto"/>
              </w:rPr>
            </w:pPr>
            <w:r>
              <w:rPr>
                <w:rFonts w:ascii="Arial" w:cs="Arial" w:eastAsia="Arial" w:hAnsi="Arial"/>
                <w:sz w:val="18"/>
                <w:szCs w:val="18"/>
                <w:color w:val="auto"/>
              </w:rPr>
              <w:t>(3,000)</w:t>
            </w: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(2,000)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440"/>
              <w:spacing w:after="0"/>
              <w:rPr>
                <w:sz w:val="20"/>
                <w:szCs w:val="20"/>
                <w:color w:val="auto"/>
              </w:rPr>
            </w:pPr>
            <w:r>
              <w:rPr>
                <w:rFonts w:ascii="Arial" w:cs="Arial" w:eastAsia="Arial" w:hAnsi="Arial"/>
                <w:sz w:val="18"/>
                <w:szCs w:val="18"/>
                <w:color w:val="auto"/>
              </w:rPr>
              <w:t>Dividends paid</w:t>
            </w:r>
          </w:p>
        </w:tc>
        <w:tc>
          <w:tcPr>
            <w:tcW w:w="1380" w:type="dxa"/>
            <w:vAlign w:val="bottom"/>
          </w:tcPr>
          <w:p>
            <w:pPr>
              <w:jc w:val="right"/>
              <w:spacing w:after="0"/>
              <w:rPr>
                <w:sz w:val="20"/>
                <w:szCs w:val="20"/>
                <w:color w:val="auto"/>
              </w:rPr>
            </w:pPr>
            <w:r>
              <w:rPr>
                <w:rFonts w:ascii="Arial" w:cs="Arial" w:eastAsia="Arial" w:hAnsi="Arial"/>
                <w:sz w:val="18"/>
                <w:szCs w:val="18"/>
                <w:color w:val="auto"/>
              </w:rPr>
              <w:t>(1,608)</w:t>
            </w: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(1,964)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440"/>
              <w:spacing w:after="0"/>
              <w:rPr>
                <w:sz w:val="20"/>
                <w:szCs w:val="20"/>
                <w:color w:val="auto"/>
              </w:rPr>
            </w:pPr>
            <w:r>
              <w:rPr>
                <w:rFonts w:ascii="Arial" w:cs="Arial" w:eastAsia="Arial" w:hAnsi="Arial"/>
                <w:sz w:val="18"/>
                <w:szCs w:val="18"/>
                <w:color w:val="auto"/>
              </w:rPr>
              <w:t>Issuances of common stock</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233</w:t>
            </w: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40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440"/>
              <w:spacing w:after="0"/>
              <w:rPr>
                <w:sz w:val="20"/>
                <w:szCs w:val="20"/>
                <w:color w:val="auto"/>
              </w:rPr>
            </w:pPr>
            <w:r>
              <w:rPr>
                <w:rFonts w:ascii="Arial" w:cs="Arial" w:eastAsia="Arial" w:hAnsi="Arial"/>
                <w:sz w:val="18"/>
                <w:szCs w:val="18"/>
                <w:color w:val="auto"/>
              </w:rPr>
              <w:t>Purchase of NBCUniversal noncontrolling common equity interest</w:t>
            </w:r>
          </w:p>
        </w:tc>
        <w:tc>
          <w:tcPr>
            <w:tcW w:w="13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(10,761)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440"/>
              <w:spacing w:after="0"/>
              <w:rPr>
                <w:sz w:val="20"/>
                <w:szCs w:val="20"/>
                <w:color w:val="auto"/>
              </w:rPr>
            </w:pPr>
            <w:r>
              <w:rPr>
                <w:rFonts w:ascii="Arial" w:cs="Arial" w:eastAsia="Arial" w:hAnsi="Arial"/>
                <w:sz w:val="18"/>
                <w:szCs w:val="18"/>
                <w:color w:val="auto"/>
              </w:rPr>
              <w:t>Distributions to noncontrolling interests and dividends for redeemable subsidiary preferred stock</w:t>
            </w:r>
          </w:p>
        </w:tc>
        <w:tc>
          <w:tcPr>
            <w:tcW w:w="1380" w:type="dxa"/>
            <w:vAlign w:val="bottom"/>
          </w:tcPr>
          <w:p>
            <w:pPr>
              <w:jc w:val="right"/>
              <w:spacing w:after="0"/>
              <w:rPr>
                <w:sz w:val="20"/>
                <w:szCs w:val="20"/>
                <w:color w:val="auto"/>
              </w:rPr>
            </w:pPr>
            <w:r>
              <w:rPr>
                <w:rFonts w:ascii="Arial" w:cs="Arial" w:eastAsia="Arial" w:hAnsi="Arial"/>
                <w:sz w:val="18"/>
                <w:szCs w:val="18"/>
                <w:color w:val="auto"/>
              </w:rPr>
              <w:t>(691)</w:t>
            </w: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(215)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440"/>
              <w:spacing w:after="0"/>
              <w:rPr>
                <w:sz w:val="20"/>
                <w:szCs w:val="20"/>
                <w:color w:val="auto"/>
              </w:rPr>
            </w:pPr>
            <w:r>
              <w:rPr>
                <w:rFonts w:ascii="Arial" w:cs="Arial" w:eastAsia="Arial" w:hAnsi="Arial"/>
                <w:sz w:val="18"/>
                <w:szCs w:val="18"/>
                <w:color w:val="auto"/>
              </w:rPr>
              <w:t>Settlement of Station Venture liability</w:t>
            </w:r>
          </w:p>
        </w:tc>
        <w:tc>
          <w:tcPr>
            <w:tcW w:w="13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(602)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440"/>
              <w:spacing w:after="0"/>
              <w:rPr>
                <w:sz w:val="20"/>
                <w:szCs w:val="20"/>
                <w:color w:val="auto"/>
              </w:rPr>
            </w:pPr>
            <w:r>
              <w:rPr>
                <w:rFonts w:ascii="Arial" w:cs="Arial" w:eastAsia="Arial" w:hAnsi="Arial"/>
                <w:sz w:val="18"/>
                <w:szCs w:val="18"/>
                <w:color w:val="auto"/>
              </w:rPr>
              <w:t>Other</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26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9"/>
        </w:trPr>
        <w:tc>
          <w:tcPr>
            <w:tcW w:w="8360" w:type="dxa"/>
            <w:vAlign w:val="bottom"/>
          </w:tcPr>
          <w:p>
            <w:pPr>
              <w:ind w:left="980"/>
              <w:spacing w:after="0"/>
              <w:rPr>
                <w:sz w:val="20"/>
                <w:szCs w:val="20"/>
                <w:color w:val="auto"/>
              </w:rPr>
            </w:pPr>
            <w:r>
              <w:rPr>
                <w:rFonts w:ascii="Arial" w:cs="Arial" w:eastAsia="Arial" w:hAnsi="Arial"/>
                <w:sz w:val="18"/>
                <w:szCs w:val="18"/>
                <w:color w:val="auto"/>
              </w:rPr>
              <w:t>Net cash provided by (used in) financing activities</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(4,037)</w:t>
            </w:r>
          </w:p>
        </w:tc>
        <w:tc>
          <w:tcPr>
            <w:tcW w:w="26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(13,879)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360" w:type="dxa"/>
            <w:vAlign w:val="bottom"/>
          </w:tcPr>
          <w:p>
            <w:pPr>
              <w:ind w:left="260"/>
              <w:spacing w:after="0"/>
              <w:rPr>
                <w:sz w:val="20"/>
                <w:szCs w:val="20"/>
                <w:color w:val="auto"/>
              </w:rPr>
            </w:pPr>
            <w:r>
              <w:rPr>
                <w:rFonts w:ascii="Arial" w:cs="Arial" w:eastAsia="Arial" w:hAnsi="Arial"/>
                <w:sz w:val="18"/>
                <w:szCs w:val="18"/>
                <w:color w:val="auto"/>
              </w:rPr>
              <w:t>Increase (decrease) in cash and cash equivalents</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9,331</w:t>
            </w: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(9,233)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360" w:type="dxa"/>
            <w:vAlign w:val="bottom"/>
          </w:tcPr>
          <w:p>
            <w:pPr>
              <w:ind w:left="260"/>
              <w:spacing w:after="0"/>
              <w:rPr>
                <w:sz w:val="20"/>
                <w:szCs w:val="20"/>
                <w:color w:val="auto"/>
              </w:rPr>
            </w:pPr>
            <w:r>
              <w:rPr>
                <w:rFonts w:ascii="Arial" w:cs="Arial" w:eastAsia="Arial" w:hAnsi="Arial"/>
                <w:sz w:val="18"/>
                <w:szCs w:val="18"/>
                <w:color w:val="auto"/>
              </w:rPr>
              <w:t>Cash and cash equivalents, beginning of period</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1,620</w:t>
            </w:r>
          </w:p>
        </w:tc>
        <w:tc>
          <w:tcPr>
            <w:tcW w:w="26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10,951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360" w:type="dxa"/>
            <w:vAlign w:val="bottom"/>
          </w:tcPr>
          <w:p>
            <w:pPr>
              <w:ind w:left="260"/>
              <w:spacing w:after="0"/>
              <w:rPr>
                <w:sz w:val="20"/>
                <w:szCs w:val="20"/>
                <w:color w:val="auto"/>
              </w:rPr>
            </w:pPr>
            <w:r>
              <w:rPr>
                <w:rFonts w:ascii="Arial" w:cs="Arial" w:eastAsia="Arial" w:hAnsi="Arial"/>
                <w:sz w:val="18"/>
                <w:szCs w:val="18"/>
                <w:b w:val="1"/>
                <w:bCs w:val="1"/>
                <w:color w:val="auto"/>
              </w:rPr>
              <w:t>Cash and cash equivalents, end of period</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$10,951</w:t>
            </w:r>
          </w:p>
        </w:tc>
        <w:tc>
          <w:tcPr>
            <w:tcW w:w="26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$1,718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360" w:type="dxa"/>
            <w:vAlign w:val="bottom"/>
            <w:vMerge w:val="restart"/>
          </w:tcPr>
          <w:p>
            <w:pPr>
              <w:ind w:left="5680"/>
              <w:spacing w:after="0"/>
              <w:rPr>
                <w:sz w:val="20"/>
                <w:szCs w:val="20"/>
                <w:color w:val="auto"/>
              </w:rPr>
            </w:pPr>
            <w:r>
              <w:rPr>
                <w:rFonts w:ascii="Arial" w:cs="Arial" w:eastAsia="Arial" w:hAnsi="Arial"/>
                <w:sz w:val="14"/>
                <w:szCs w:val="14"/>
                <w:color w:val="auto"/>
              </w:rPr>
              <w:t>9</w:t>
            </w: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836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8360" w:type="dxa"/>
            <w:vAlign w:val="bottom"/>
            <w:tcBorders>
              <w:bottom w:val="single" w:sz="8" w:color="010101"/>
            </w:tcBorders>
          </w:tcPr>
          <w:p>
            <w:pPr>
              <w:spacing w:after="0"/>
              <w:rPr>
                <w:sz w:val="10"/>
                <w:szCs w:val="10"/>
                <w:color w:val="auto"/>
              </w:rPr>
            </w:pPr>
          </w:p>
        </w:tc>
        <w:tc>
          <w:tcPr>
            <w:tcW w:w="1380" w:type="dxa"/>
            <w:vAlign w:val="bottom"/>
            <w:tcBorders>
              <w:bottom w:val="single" w:sz="8" w:color="010101"/>
            </w:tcBorders>
          </w:tcPr>
          <w:p>
            <w:pPr>
              <w:spacing w:after="0"/>
              <w:rPr>
                <w:sz w:val="10"/>
                <w:szCs w:val="10"/>
                <w:color w:val="auto"/>
              </w:rPr>
            </w:pPr>
          </w:p>
        </w:tc>
        <w:tc>
          <w:tcPr>
            <w:tcW w:w="260" w:type="dxa"/>
            <w:vAlign w:val="bottom"/>
            <w:tcBorders>
              <w:bottom w:val="single" w:sz="8" w:color="010101"/>
            </w:tcBorders>
          </w:tcPr>
          <w:p>
            <w:pPr>
              <w:spacing w:after="0"/>
              <w:rPr>
                <w:sz w:val="10"/>
                <w:szCs w:val="10"/>
                <w:color w:val="auto"/>
              </w:rPr>
            </w:pPr>
          </w:p>
        </w:tc>
        <w:tc>
          <w:tcPr>
            <w:tcW w:w="480" w:type="dxa"/>
            <w:vAlign w:val="bottom"/>
            <w:tcBorders>
              <w:bottom w:val="single" w:sz="8" w:color="010101"/>
            </w:tcBorders>
          </w:tcPr>
          <w:p>
            <w:pPr>
              <w:spacing w:after="0"/>
              <w:rPr>
                <w:sz w:val="10"/>
                <w:szCs w:val="10"/>
                <w:color w:val="auto"/>
              </w:rPr>
            </w:pPr>
          </w:p>
        </w:tc>
        <w:tc>
          <w:tcPr>
            <w:tcW w:w="880" w:type="dxa"/>
            <w:vAlign w:val="bottom"/>
            <w:tcBorders>
              <w:bottom w:val="single" w:sz="8" w:color="010101"/>
            </w:tcBorders>
          </w:tcPr>
          <w:p>
            <w:pPr>
              <w:spacing w:after="0"/>
              <w:rPr>
                <w:sz w:val="10"/>
                <w:szCs w:val="10"/>
                <w:color w:val="auto"/>
              </w:rPr>
            </w:pPr>
          </w:p>
        </w:tc>
        <w:tc>
          <w:tcPr>
            <w:tcW w:w="100" w:type="dxa"/>
            <w:vAlign w:val="bottom"/>
            <w:tcBorders>
              <w:bottom w:val="single" w:sz="8" w:color="010101"/>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9"/>
          <w:szCs w:val="29"/>
          <w:b w:val="1"/>
          <w:bCs w:val="1"/>
          <w:color w:val="C9C9C9"/>
        </w:rPr>
        <w:t>TABLE 4</w:t>
      </w:r>
    </w:p>
    <w:p>
      <w:pPr>
        <w:spacing w:after="0" w:line="46" w:lineRule="exact"/>
        <w:rPr>
          <w:sz w:val="20"/>
          <w:szCs w:val="20"/>
          <w:color w:val="auto"/>
        </w:rPr>
      </w:pPr>
    </w:p>
    <w:p>
      <w:pPr>
        <w:spacing w:after="0"/>
        <w:rPr>
          <w:sz w:val="20"/>
          <w:szCs w:val="20"/>
          <w:color w:val="auto"/>
        </w:rPr>
      </w:pPr>
      <w:r>
        <w:rPr>
          <w:rFonts w:ascii="Arial" w:cs="Arial" w:eastAsia="Arial" w:hAnsi="Arial"/>
          <w:sz w:val="25"/>
          <w:szCs w:val="25"/>
          <w:b w:val="1"/>
          <w:bCs w:val="1"/>
          <w:color w:val="C9C9C9"/>
        </w:rPr>
        <w:t>Supplemental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46620" cy="4114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p>
      <w:pPr>
        <w:spacing w:after="0" w:line="239" w:lineRule="exact"/>
        <w:rPr>
          <w:sz w:val="20"/>
          <w:szCs w:val="20"/>
          <w:color w:val="auto"/>
        </w:rPr>
      </w:pPr>
    </w:p>
    <w:p>
      <w:pPr>
        <w:ind w:right="2940"/>
        <w:spacing w:after="0" w:line="261" w:lineRule="auto"/>
        <w:rPr>
          <w:sz w:val="20"/>
          <w:szCs w:val="20"/>
          <w:color w:val="auto"/>
        </w:rPr>
      </w:pPr>
      <w:r>
        <w:rPr>
          <w:rFonts w:ascii="Arial" w:cs="Arial" w:eastAsia="Arial" w:hAnsi="Arial"/>
          <w:sz w:val="22"/>
          <w:szCs w:val="22"/>
          <w:b w:val="1"/>
          <w:bCs w:val="1"/>
          <w:color w:val="C9C9C9"/>
        </w:rPr>
        <w:t>Alternate Presentation of Net Cash Provided by Operating Activities and Free Cash Flow (Unaudited)</w:t>
      </w:r>
    </w:p>
    <w:p>
      <w:pPr>
        <w:spacing w:after="0" w:line="118"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560" w:type="dxa"/>
            <w:vAlign w:val="bottom"/>
          </w:tcPr>
          <w:p>
            <w:pPr>
              <w:spacing w:after="0"/>
              <w:rPr>
                <w:sz w:val="13"/>
                <w:szCs w:val="13"/>
                <w:color w:val="auto"/>
              </w:rPr>
            </w:pPr>
          </w:p>
        </w:tc>
        <w:tc>
          <w:tcPr>
            <w:tcW w:w="2100" w:type="dxa"/>
            <w:vAlign w:val="bottom"/>
            <w:gridSpan w:val="3"/>
          </w:tcPr>
          <w:p>
            <w:pPr>
              <w:jc w:val="center"/>
              <w:ind w:left="588"/>
              <w:spacing w:after="0"/>
              <w:rPr>
                <w:sz w:val="20"/>
                <w:szCs w:val="20"/>
                <w:color w:val="auto"/>
              </w:rPr>
            </w:pPr>
            <w:r>
              <w:rPr>
                <w:rFonts w:ascii="Arial" w:cs="Arial" w:eastAsia="Arial" w:hAnsi="Arial"/>
                <w:sz w:val="14"/>
                <w:szCs w:val="14"/>
                <w:b w:val="1"/>
                <w:bCs w:val="1"/>
                <w:color w:val="auto"/>
              </w:rPr>
              <w:t>Three Months Ended</w:t>
            </w:r>
          </w:p>
        </w:tc>
        <w:tc>
          <w:tcPr>
            <w:tcW w:w="66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720" w:type="dxa"/>
            <w:vAlign w:val="bottom"/>
            <w:gridSpan w:val="4"/>
          </w:tcPr>
          <w:p>
            <w:pPr>
              <w:jc w:val="right"/>
              <w:ind w:right="528"/>
              <w:spacing w:after="0"/>
              <w:rPr>
                <w:sz w:val="20"/>
                <w:szCs w:val="20"/>
                <w:color w:val="auto"/>
              </w:rPr>
            </w:pPr>
            <w:r>
              <w:rPr>
                <w:rFonts w:ascii="Arial" w:cs="Arial" w:eastAsia="Arial" w:hAnsi="Arial"/>
                <w:sz w:val="14"/>
                <w:szCs w:val="14"/>
                <w:b w:val="1"/>
                <w:bCs w:val="1"/>
                <w:color w:val="auto"/>
              </w:rPr>
              <w:t>Twelve Months Ended</w:t>
            </w:r>
          </w:p>
        </w:tc>
      </w:tr>
      <w:tr>
        <w:trPr>
          <w:trHeight w:val="162"/>
        </w:trPr>
        <w:tc>
          <w:tcPr>
            <w:tcW w:w="4560" w:type="dxa"/>
            <w:vAlign w:val="bottom"/>
          </w:tcPr>
          <w:p>
            <w:pPr>
              <w:spacing w:after="0"/>
              <w:rPr>
                <w:sz w:val="14"/>
                <w:szCs w:val="14"/>
                <w:color w:val="auto"/>
              </w:rPr>
            </w:pPr>
          </w:p>
        </w:tc>
        <w:tc>
          <w:tcPr>
            <w:tcW w:w="2100" w:type="dxa"/>
            <w:vAlign w:val="bottom"/>
            <w:gridSpan w:val="3"/>
          </w:tcPr>
          <w:p>
            <w:pPr>
              <w:jc w:val="center"/>
              <w:ind w:left="588"/>
              <w:spacing w:after="0"/>
              <w:rPr>
                <w:sz w:val="20"/>
                <w:szCs w:val="20"/>
                <w:color w:val="auto"/>
              </w:rPr>
            </w:pPr>
            <w:r>
              <w:rPr>
                <w:rFonts w:ascii="Arial" w:cs="Arial" w:eastAsia="Arial" w:hAnsi="Arial"/>
                <w:sz w:val="14"/>
                <w:szCs w:val="14"/>
                <w:b w:val="1"/>
                <w:bCs w:val="1"/>
                <w:color w:val="auto"/>
              </w:rPr>
              <w:t>December 31,</w:t>
            </w:r>
          </w:p>
        </w:tc>
        <w:tc>
          <w:tcPr>
            <w:tcW w:w="66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40" w:type="dxa"/>
            <w:vAlign w:val="bottom"/>
            <w:gridSpan w:val="3"/>
          </w:tcPr>
          <w:p>
            <w:pPr>
              <w:jc w:val="right"/>
              <w:ind w:right="828"/>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4560" w:type="dxa"/>
            <w:vAlign w:val="bottom"/>
          </w:tcPr>
          <w:p>
            <w:pPr>
              <w:spacing w:after="0"/>
              <w:rPr>
                <w:sz w:val="20"/>
                <w:szCs w:val="20"/>
                <w:color w:val="auto"/>
              </w:rPr>
            </w:pPr>
            <w:r>
              <w:rPr>
                <w:rFonts w:ascii="Arial" w:cs="Arial" w:eastAsia="Arial" w:hAnsi="Arial"/>
                <w:sz w:val="14"/>
                <w:szCs w:val="14"/>
                <w:color w:val="auto"/>
              </w:rPr>
              <w:t>(in millions)</w:t>
            </w:r>
          </w:p>
        </w:tc>
        <w:tc>
          <w:tcPr>
            <w:tcW w:w="9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2012</w:t>
            </w:r>
          </w:p>
        </w:tc>
        <w:tc>
          <w:tcPr>
            <w:tcW w:w="8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2013</w:t>
            </w:r>
          </w:p>
        </w:tc>
        <w:tc>
          <w:tcPr>
            <w:tcW w:w="24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2012</w:t>
            </w:r>
          </w:p>
        </w:tc>
        <w:tc>
          <w:tcPr>
            <w:tcW w:w="60" w:type="dxa"/>
            <w:vAlign w:val="bottom"/>
            <w:tcBorders>
              <w:bottom w:val="single" w:sz="8" w:color="auto"/>
            </w:tcBorders>
          </w:tcPr>
          <w:p>
            <w:pPr>
              <w:spacing w:after="0"/>
              <w:rPr>
                <w:sz w:val="15"/>
                <w:szCs w:val="15"/>
                <w:color w:val="auto"/>
              </w:rPr>
            </w:pPr>
          </w:p>
        </w:tc>
        <w:tc>
          <w:tcPr>
            <w:tcW w:w="860" w:type="dxa"/>
            <w:vAlign w:val="bottom"/>
          </w:tcPr>
          <w:p>
            <w:pPr>
              <w:spacing w:after="0"/>
              <w:rPr>
                <w:sz w:val="15"/>
                <w:szCs w:val="15"/>
                <w:color w:val="auto"/>
              </w:rPr>
            </w:pPr>
          </w:p>
        </w:tc>
        <w:tc>
          <w:tcPr>
            <w:tcW w:w="9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2013</w:t>
            </w:r>
          </w:p>
        </w:tc>
      </w:tr>
      <w:tr>
        <w:trPr>
          <w:trHeight w:val="169"/>
        </w:trPr>
        <w:tc>
          <w:tcPr>
            <w:tcW w:w="4560" w:type="dxa"/>
            <w:vAlign w:val="bottom"/>
          </w:tcPr>
          <w:p>
            <w:pPr>
              <w:spacing w:after="0"/>
              <w:rPr>
                <w:sz w:val="20"/>
                <w:szCs w:val="20"/>
                <w:color w:val="auto"/>
              </w:rPr>
            </w:pPr>
            <w:r>
              <w:rPr>
                <w:rFonts w:ascii="Arial" w:cs="Arial" w:eastAsia="Arial" w:hAnsi="Arial"/>
                <w:sz w:val="14"/>
                <w:szCs w:val="14"/>
                <w:color w:val="auto"/>
              </w:rPr>
              <w:t>Operating income</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$3,294</w:t>
            </w: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b w:val="1"/>
                <w:bCs w:val="1"/>
                <w:color w:val="auto"/>
              </w:rPr>
              <w:t>$3,647</w:t>
            </w:r>
          </w:p>
        </w:tc>
        <w:tc>
          <w:tcPr>
            <w:tcW w:w="24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$12,179</w:t>
            </w:r>
          </w:p>
        </w:tc>
        <w:tc>
          <w:tcPr>
            <w:tcW w:w="184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$13,563</w:t>
            </w:r>
          </w:p>
        </w:tc>
      </w:tr>
      <w:tr>
        <w:trPr>
          <w:trHeight w:val="175"/>
        </w:trPr>
        <w:tc>
          <w:tcPr>
            <w:tcW w:w="4560" w:type="dxa"/>
            <w:vAlign w:val="bottom"/>
          </w:tcPr>
          <w:p>
            <w:pPr>
              <w:spacing w:after="0"/>
              <w:rPr>
                <w:sz w:val="20"/>
                <w:szCs w:val="20"/>
                <w:color w:val="auto"/>
              </w:rPr>
            </w:pPr>
            <w:r>
              <w:rPr>
                <w:rFonts w:ascii="Arial" w:cs="Arial" w:eastAsia="Arial" w:hAnsi="Arial"/>
                <w:sz w:val="14"/>
                <w:szCs w:val="14"/>
                <w:color w:val="auto"/>
              </w:rPr>
              <w:t>Depreciation and amortization</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1,983</w:t>
            </w: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b w:val="1"/>
                <w:bCs w:val="1"/>
                <w:color w:val="auto"/>
              </w:rPr>
              <w:t>1,998</w:t>
            </w:r>
          </w:p>
        </w:tc>
        <w:tc>
          <w:tcPr>
            <w:tcW w:w="24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7,798</w:t>
            </w:r>
          </w:p>
        </w:tc>
        <w:tc>
          <w:tcPr>
            <w:tcW w:w="184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7,871</w:t>
            </w:r>
          </w:p>
        </w:tc>
      </w:tr>
      <w:tr>
        <w:trPr>
          <w:trHeight w:val="131"/>
        </w:trPr>
        <w:tc>
          <w:tcPr>
            <w:tcW w:w="4560" w:type="dxa"/>
            <w:vAlign w:val="bottom"/>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r>
    </w:tbl>
    <w:p>
      <w:pPr>
        <w:sectPr>
          <w:pgSz w:w="11900" w:h="16900" w:orient="portrait"/>
          <w:cols w:equalWidth="0" w:num="1">
            <w:col w:w="11460"/>
          </w:cols>
          <w:pgMar w:left="240" w:top="522" w:right="199" w:bottom="0" w:gutter="0" w:footer="0" w:header="0"/>
        </w:sectPr>
      </w:pPr>
    </w:p>
    <w:bookmarkStart w:id="9" w:name="page10"/>
    <w:bookmarkEnd w:id="9"/>
    <w:p>
      <w:pPr>
        <w:spacing w:after="0" w:line="62" w:lineRule="exact"/>
        <w:rPr>
          <w:sz w:val="20"/>
          <w:szCs w:val="20"/>
          <w:color w:val="auto"/>
        </w:rPr>
      </w:pPr>
    </w:p>
    <w:tbl>
      <w:tblPr>
        <w:tblLayout w:type="fixed"/>
        <w:tblInd w:w="340" w:type="dxa"/>
        <w:tblCellMar>
          <w:top w:w="0" w:type="dxa"/>
          <w:left w:w="0" w:type="dxa"/>
          <w:bottom w:w="0" w:type="dxa"/>
          <w:right w:w="0" w:type="dxa"/>
        </w:tblCellMar>
      </w:tblPr>
      <w:tr>
        <w:trPr>
          <w:trHeight w:val="162"/>
        </w:trPr>
        <w:tc>
          <w:tcPr>
            <w:tcW w:w="4560" w:type="dxa"/>
            <w:vAlign w:val="bottom"/>
          </w:tcPr>
          <w:p>
            <w:pPr>
              <w:spacing w:after="0"/>
              <w:rPr>
                <w:sz w:val="20"/>
                <w:szCs w:val="20"/>
                <w:color w:val="auto"/>
              </w:rPr>
            </w:pPr>
            <w:r>
              <w:rPr>
                <w:rFonts w:ascii="Arial" w:cs="Arial" w:eastAsia="Arial" w:hAnsi="Arial"/>
                <w:sz w:val="14"/>
                <w:szCs w:val="14"/>
                <w:color w:val="auto"/>
              </w:rPr>
              <w:t>Operating income before depreciation and amortization</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5,277</w:t>
            </w:r>
          </w:p>
        </w:tc>
        <w:tc>
          <w:tcPr>
            <w:tcW w:w="84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b w:val="1"/>
                <w:bCs w:val="1"/>
                <w:color w:val="auto"/>
              </w:rPr>
              <w:t>5,645</w:t>
            </w:r>
          </w:p>
        </w:tc>
        <w:tc>
          <w:tcPr>
            <w:tcW w:w="24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19,977</w:t>
            </w:r>
          </w:p>
        </w:tc>
        <w:tc>
          <w:tcPr>
            <w:tcW w:w="860" w:type="dxa"/>
            <w:vAlign w:val="bottom"/>
          </w:tcPr>
          <w:p>
            <w:pPr>
              <w:spacing w:after="0"/>
              <w:rPr>
                <w:sz w:val="14"/>
                <w:szCs w:val="14"/>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b w:val="1"/>
                <w:bCs w:val="1"/>
                <w:color w:val="auto"/>
              </w:rPr>
              <w:t>21,434</w:t>
            </w:r>
          </w:p>
        </w:tc>
        <w:tc>
          <w:tcPr>
            <w:tcW w:w="0" w:type="dxa"/>
            <w:vAlign w:val="bottom"/>
          </w:tcPr>
          <w:p>
            <w:pPr>
              <w:spacing w:after="0"/>
              <w:rPr>
                <w:sz w:val="1"/>
                <w:szCs w:val="1"/>
                <w:color w:val="auto"/>
              </w:rPr>
            </w:pPr>
          </w:p>
        </w:tc>
      </w:tr>
      <w:tr>
        <w:trPr>
          <w:trHeight w:val="176"/>
        </w:trPr>
        <w:tc>
          <w:tcPr>
            <w:tcW w:w="4560" w:type="dxa"/>
            <w:vAlign w:val="bottom"/>
          </w:tcPr>
          <w:p>
            <w:pPr>
              <w:spacing w:after="0"/>
              <w:rPr>
                <w:sz w:val="20"/>
                <w:szCs w:val="20"/>
                <w:color w:val="auto"/>
              </w:rPr>
            </w:pPr>
            <w:r>
              <w:rPr>
                <w:rFonts w:ascii="Arial" w:cs="Arial" w:eastAsia="Arial" w:hAnsi="Arial"/>
                <w:sz w:val="14"/>
                <w:szCs w:val="14"/>
                <w:color w:val="auto"/>
              </w:rPr>
              <w:t>Noncash share-based compensation expense</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93</w:t>
            </w:r>
          </w:p>
        </w:tc>
        <w:tc>
          <w:tcPr>
            <w:tcW w:w="840" w:type="dxa"/>
            <w:vAlign w:val="bottom"/>
          </w:tcPr>
          <w:p>
            <w:pPr>
              <w:spacing w:after="0"/>
              <w:rPr>
                <w:sz w:val="15"/>
                <w:szCs w:val="15"/>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b w:val="1"/>
                <w:bCs w:val="1"/>
                <w:color w:val="auto"/>
              </w:rPr>
              <w:t>107</w:t>
            </w:r>
          </w:p>
        </w:tc>
        <w:tc>
          <w:tcPr>
            <w:tcW w:w="24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371</w:t>
            </w:r>
          </w:p>
        </w:tc>
        <w:tc>
          <w:tcPr>
            <w:tcW w:w="860" w:type="dxa"/>
            <w:vAlign w:val="bottom"/>
          </w:tcPr>
          <w:p>
            <w:pPr>
              <w:spacing w:after="0"/>
              <w:rPr>
                <w:sz w:val="15"/>
                <w:szCs w:val="15"/>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b w:val="1"/>
                <w:bCs w:val="1"/>
                <w:color w:val="auto"/>
              </w:rPr>
              <w:t>419</w:t>
            </w:r>
          </w:p>
        </w:tc>
        <w:tc>
          <w:tcPr>
            <w:tcW w:w="0" w:type="dxa"/>
            <w:vAlign w:val="bottom"/>
          </w:tcPr>
          <w:p>
            <w:pPr>
              <w:spacing w:after="0"/>
              <w:rPr>
                <w:sz w:val="1"/>
                <w:szCs w:val="1"/>
                <w:color w:val="auto"/>
              </w:rPr>
            </w:pPr>
          </w:p>
        </w:tc>
      </w:tr>
      <w:tr>
        <w:trPr>
          <w:trHeight w:val="176"/>
        </w:trPr>
        <w:tc>
          <w:tcPr>
            <w:tcW w:w="4560" w:type="dxa"/>
            <w:vAlign w:val="bottom"/>
          </w:tcPr>
          <w:p>
            <w:pPr>
              <w:spacing w:after="0"/>
              <w:rPr>
                <w:sz w:val="20"/>
                <w:szCs w:val="20"/>
                <w:color w:val="auto"/>
              </w:rPr>
            </w:pPr>
            <w:r>
              <w:rPr>
                <w:rFonts w:ascii="Arial" w:cs="Arial" w:eastAsia="Arial" w:hAnsi="Arial"/>
                <w:sz w:val="14"/>
                <w:szCs w:val="14"/>
                <w:color w:val="auto"/>
              </w:rPr>
              <w:t>Termination of receivables monetization programs</w:t>
            </w:r>
            <w:r>
              <w:rPr>
                <w:rFonts w:ascii="Arial" w:cs="Arial" w:eastAsia="Arial" w:hAnsi="Arial"/>
                <w:sz w:val="14"/>
                <w:szCs w:val="14"/>
                <w:color w:val="auto"/>
                <w:vertAlign w:val="superscript"/>
              </w:rPr>
              <w:t>(1)</w:t>
            </w:r>
          </w:p>
        </w:tc>
        <w:tc>
          <w:tcPr>
            <w:tcW w:w="9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(1,442)</w:t>
            </w:r>
          </w:p>
        </w:tc>
        <w:tc>
          <w:tcPr>
            <w:tcW w:w="24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8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(1,442)</w:t>
            </w:r>
          </w:p>
        </w:tc>
        <w:tc>
          <w:tcPr>
            <w:tcW w:w="0" w:type="dxa"/>
            <w:vAlign w:val="bottom"/>
          </w:tcPr>
          <w:p>
            <w:pPr>
              <w:spacing w:after="0"/>
              <w:rPr>
                <w:sz w:val="1"/>
                <w:szCs w:val="1"/>
                <w:color w:val="auto"/>
              </w:rPr>
            </w:pPr>
          </w:p>
        </w:tc>
      </w:tr>
      <w:tr>
        <w:trPr>
          <w:trHeight w:val="175"/>
        </w:trPr>
        <w:tc>
          <w:tcPr>
            <w:tcW w:w="4560" w:type="dxa"/>
            <w:vAlign w:val="bottom"/>
          </w:tcPr>
          <w:p>
            <w:pPr>
              <w:spacing w:after="0"/>
              <w:rPr>
                <w:sz w:val="20"/>
                <w:szCs w:val="20"/>
                <w:color w:val="auto"/>
              </w:rPr>
            </w:pPr>
            <w:r>
              <w:rPr>
                <w:rFonts w:ascii="Arial" w:cs="Arial" w:eastAsia="Arial" w:hAnsi="Arial"/>
                <w:sz w:val="14"/>
                <w:szCs w:val="14"/>
                <w:color w:val="auto"/>
              </w:rPr>
              <w:t>Changes in operating assets and liabilities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w:t>
            </w:r>
          </w:p>
        </w:tc>
        <w:tc>
          <w:tcPr>
            <w:tcW w:w="840" w:type="dxa"/>
            <w:vAlign w:val="bottom"/>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(490)</w:t>
            </w:r>
          </w:p>
        </w:tc>
        <w:tc>
          <w:tcPr>
            <w:tcW w:w="24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(418)</w:t>
            </w:r>
          </w:p>
        </w:tc>
        <w:tc>
          <w:tcPr>
            <w:tcW w:w="860" w:type="dxa"/>
            <w:vAlign w:val="bottom"/>
          </w:tcPr>
          <w:p>
            <w:pPr>
              <w:spacing w:after="0"/>
              <w:rPr>
                <w:sz w:val="15"/>
                <w:szCs w:val="15"/>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93</w:t>
            </w:r>
          </w:p>
        </w:tc>
        <w:tc>
          <w:tcPr>
            <w:tcW w:w="0" w:type="dxa"/>
            <w:vAlign w:val="bottom"/>
          </w:tcPr>
          <w:p>
            <w:pPr>
              <w:spacing w:after="0"/>
              <w:rPr>
                <w:sz w:val="1"/>
                <w:szCs w:val="1"/>
                <w:color w:val="auto"/>
              </w:rPr>
            </w:pPr>
          </w:p>
        </w:tc>
      </w:tr>
      <w:tr>
        <w:trPr>
          <w:trHeight w:val="169"/>
        </w:trPr>
        <w:tc>
          <w:tcPr>
            <w:tcW w:w="4560" w:type="dxa"/>
            <w:vAlign w:val="bottom"/>
          </w:tcPr>
          <w:p>
            <w:pPr>
              <w:spacing w:after="0"/>
              <w:rPr>
                <w:sz w:val="20"/>
                <w:szCs w:val="20"/>
                <w:color w:val="auto"/>
              </w:rPr>
            </w:pPr>
            <w:r>
              <w:rPr>
                <w:rFonts w:ascii="Arial" w:cs="Arial" w:eastAsia="Arial" w:hAnsi="Arial"/>
                <w:sz w:val="14"/>
                <w:szCs w:val="14"/>
                <w:color w:val="auto"/>
              </w:rPr>
              <w:t>Cash basis operating income</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5,206</w:t>
            </w:r>
          </w:p>
        </w:tc>
        <w:tc>
          <w:tcPr>
            <w:tcW w:w="84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b w:val="1"/>
                <w:bCs w:val="1"/>
                <w:color w:val="auto"/>
              </w:rPr>
              <w:t>3,820</w:t>
            </w:r>
          </w:p>
        </w:tc>
        <w:tc>
          <w:tcPr>
            <w:tcW w:w="24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19,930</w:t>
            </w:r>
          </w:p>
        </w:tc>
        <w:tc>
          <w:tcPr>
            <w:tcW w:w="860" w:type="dxa"/>
            <w:vAlign w:val="bottom"/>
          </w:tcPr>
          <w:p>
            <w:pPr>
              <w:spacing w:after="0"/>
              <w:rPr>
                <w:sz w:val="14"/>
                <w:szCs w:val="14"/>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b w:val="1"/>
                <w:bCs w:val="1"/>
                <w:color w:val="auto"/>
              </w:rPr>
              <w:t>20,504</w:t>
            </w:r>
          </w:p>
        </w:tc>
        <w:tc>
          <w:tcPr>
            <w:tcW w:w="0" w:type="dxa"/>
            <w:vAlign w:val="bottom"/>
          </w:tcPr>
          <w:p>
            <w:pPr>
              <w:spacing w:after="0"/>
              <w:rPr>
                <w:sz w:val="1"/>
                <w:szCs w:val="1"/>
                <w:color w:val="auto"/>
              </w:rPr>
            </w:pPr>
          </w:p>
        </w:tc>
      </w:tr>
      <w:tr>
        <w:trPr>
          <w:trHeight w:val="176"/>
        </w:trPr>
        <w:tc>
          <w:tcPr>
            <w:tcW w:w="4560" w:type="dxa"/>
            <w:vAlign w:val="bottom"/>
          </w:tcPr>
          <w:p>
            <w:pPr>
              <w:spacing w:after="0"/>
              <w:rPr>
                <w:sz w:val="20"/>
                <w:szCs w:val="20"/>
                <w:color w:val="auto"/>
              </w:rPr>
            </w:pPr>
            <w:r>
              <w:rPr>
                <w:rFonts w:ascii="Arial" w:cs="Arial" w:eastAsia="Arial" w:hAnsi="Arial"/>
                <w:sz w:val="14"/>
                <w:szCs w:val="14"/>
                <w:color w:val="auto"/>
              </w:rPr>
              <w:t>Payments of interest</w:t>
            </w:r>
          </w:p>
        </w:tc>
        <w:tc>
          <w:tcPr>
            <w:tcW w:w="960" w:type="dxa"/>
            <w:vAlign w:val="bottom"/>
          </w:tcPr>
          <w:p>
            <w:pPr>
              <w:jc w:val="right"/>
              <w:spacing w:after="0"/>
              <w:rPr>
                <w:sz w:val="20"/>
                <w:szCs w:val="20"/>
                <w:color w:val="auto"/>
              </w:rPr>
            </w:pPr>
            <w:r>
              <w:rPr>
                <w:rFonts w:ascii="Arial" w:cs="Arial" w:eastAsia="Arial" w:hAnsi="Arial"/>
                <w:sz w:val="14"/>
                <w:szCs w:val="14"/>
                <w:color w:val="auto"/>
              </w:rPr>
              <w:t>(589)</w:t>
            </w:r>
          </w:p>
        </w:tc>
        <w:tc>
          <w:tcPr>
            <w:tcW w:w="8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(587)</w:t>
            </w:r>
          </w:p>
        </w:tc>
        <w:tc>
          <w:tcPr>
            <w:tcW w:w="24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(2,314)</w:t>
            </w:r>
          </w:p>
        </w:tc>
        <w:tc>
          <w:tcPr>
            <w:tcW w:w="8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(2,355)</w:t>
            </w:r>
          </w:p>
        </w:tc>
        <w:tc>
          <w:tcPr>
            <w:tcW w:w="0" w:type="dxa"/>
            <w:vAlign w:val="bottom"/>
          </w:tcPr>
          <w:p>
            <w:pPr>
              <w:spacing w:after="0"/>
              <w:rPr>
                <w:sz w:val="1"/>
                <w:szCs w:val="1"/>
                <w:color w:val="auto"/>
              </w:rPr>
            </w:pPr>
          </w:p>
        </w:tc>
      </w:tr>
      <w:tr>
        <w:trPr>
          <w:trHeight w:val="176"/>
        </w:trPr>
        <w:tc>
          <w:tcPr>
            <w:tcW w:w="4560" w:type="dxa"/>
            <w:vAlign w:val="bottom"/>
          </w:tcPr>
          <w:p>
            <w:pPr>
              <w:spacing w:after="0"/>
              <w:rPr>
                <w:sz w:val="20"/>
                <w:szCs w:val="20"/>
                <w:color w:val="auto"/>
              </w:rPr>
            </w:pPr>
            <w:r>
              <w:rPr>
                <w:rFonts w:ascii="Arial" w:cs="Arial" w:eastAsia="Arial" w:hAnsi="Arial"/>
                <w:sz w:val="14"/>
                <w:szCs w:val="14"/>
                <w:color w:val="auto"/>
              </w:rPr>
              <w:t>Payments of income taxes</w:t>
            </w:r>
          </w:p>
        </w:tc>
        <w:tc>
          <w:tcPr>
            <w:tcW w:w="960" w:type="dxa"/>
            <w:vAlign w:val="bottom"/>
          </w:tcPr>
          <w:p>
            <w:pPr>
              <w:jc w:val="right"/>
              <w:spacing w:after="0"/>
              <w:rPr>
                <w:sz w:val="20"/>
                <w:szCs w:val="20"/>
                <w:color w:val="auto"/>
              </w:rPr>
            </w:pPr>
            <w:r>
              <w:rPr>
                <w:rFonts w:ascii="Arial" w:cs="Arial" w:eastAsia="Arial" w:hAnsi="Arial"/>
                <w:sz w:val="14"/>
                <w:szCs w:val="14"/>
                <w:color w:val="auto"/>
              </w:rPr>
              <w:t>(986)</w:t>
            </w:r>
          </w:p>
        </w:tc>
        <w:tc>
          <w:tcPr>
            <w:tcW w:w="8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(766)</w:t>
            </w:r>
          </w:p>
        </w:tc>
        <w:tc>
          <w:tcPr>
            <w:tcW w:w="24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(2,841)</w:t>
            </w:r>
          </w:p>
        </w:tc>
        <w:tc>
          <w:tcPr>
            <w:tcW w:w="8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(3,946)</w:t>
            </w:r>
          </w:p>
        </w:tc>
        <w:tc>
          <w:tcPr>
            <w:tcW w:w="0" w:type="dxa"/>
            <w:vAlign w:val="bottom"/>
          </w:tcPr>
          <w:p>
            <w:pPr>
              <w:spacing w:after="0"/>
              <w:rPr>
                <w:sz w:val="1"/>
                <w:szCs w:val="1"/>
                <w:color w:val="auto"/>
              </w:rPr>
            </w:pPr>
          </w:p>
        </w:tc>
      </w:tr>
      <w:tr>
        <w:trPr>
          <w:trHeight w:val="176"/>
        </w:trPr>
        <w:tc>
          <w:tcPr>
            <w:tcW w:w="4560" w:type="dxa"/>
            <w:vAlign w:val="bottom"/>
          </w:tcPr>
          <w:p>
            <w:pPr>
              <w:spacing w:after="0"/>
              <w:rPr>
                <w:sz w:val="20"/>
                <w:szCs w:val="20"/>
                <w:color w:val="auto"/>
              </w:rPr>
            </w:pPr>
            <w:r>
              <w:rPr>
                <w:rFonts w:ascii="Arial" w:cs="Arial" w:eastAsia="Arial" w:hAnsi="Arial"/>
                <w:sz w:val="14"/>
                <w:szCs w:val="14"/>
                <w:color w:val="auto"/>
              </w:rPr>
              <w:t>Proceeds from investments and other</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12</w:t>
            </w:r>
          </w:p>
        </w:tc>
        <w:tc>
          <w:tcPr>
            <w:tcW w:w="840" w:type="dxa"/>
            <w:vAlign w:val="bottom"/>
          </w:tcPr>
          <w:p>
            <w:pPr>
              <w:spacing w:after="0"/>
              <w:rPr>
                <w:sz w:val="15"/>
                <w:szCs w:val="15"/>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b w:val="1"/>
                <w:bCs w:val="1"/>
                <w:color w:val="auto"/>
              </w:rPr>
              <w:t>43</w:t>
            </w:r>
          </w:p>
        </w:tc>
        <w:tc>
          <w:tcPr>
            <w:tcW w:w="24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213</w:t>
            </w:r>
          </w:p>
        </w:tc>
        <w:tc>
          <w:tcPr>
            <w:tcW w:w="860" w:type="dxa"/>
            <w:vAlign w:val="bottom"/>
          </w:tcPr>
          <w:p>
            <w:pPr>
              <w:spacing w:after="0"/>
              <w:rPr>
                <w:sz w:val="15"/>
                <w:szCs w:val="15"/>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b w:val="1"/>
                <w:bCs w:val="1"/>
                <w:color w:val="auto"/>
              </w:rPr>
              <w:t>162</w:t>
            </w:r>
          </w:p>
        </w:tc>
        <w:tc>
          <w:tcPr>
            <w:tcW w:w="0" w:type="dxa"/>
            <w:vAlign w:val="bottom"/>
          </w:tcPr>
          <w:p>
            <w:pPr>
              <w:spacing w:after="0"/>
              <w:rPr>
                <w:sz w:val="1"/>
                <w:szCs w:val="1"/>
                <w:color w:val="auto"/>
              </w:rPr>
            </w:pPr>
          </w:p>
        </w:tc>
      </w:tr>
      <w:tr>
        <w:trPr>
          <w:trHeight w:val="175"/>
        </w:trPr>
        <w:tc>
          <w:tcPr>
            <w:tcW w:w="4560" w:type="dxa"/>
            <w:vAlign w:val="bottom"/>
          </w:tcPr>
          <w:p>
            <w:pPr>
              <w:spacing w:after="0"/>
              <w:rPr>
                <w:sz w:val="20"/>
                <w:szCs w:val="20"/>
                <w:color w:val="auto"/>
              </w:rPr>
            </w:pPr>
            <w:r>
              <w:rPr>
                <w:rFonts w:ascii="Arial" w:cs="Arial" w:eastAsia="Arial" w:hAnsi="Arial"/>
                <w:sz w:val="14"/>
                <w:szCs w:val="14"/>
                <w:color w:val="auto"/>
              </w:rPr>
              <w:t>Excess tax benefits under share-based compensation</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w:t>
            </w:r>
          </w:p>
        </w:tc>
        <w:tc>
          <w:tcPr>
            <w:tcW w:w="840" w:type="dxa"/>
            <w:vAlign w:val="bottom"/>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(29)</w:t>
            </w:r>
          </w:p>
        </w:tc>
        <w:tc>
          <w:tcPr>
            <w:tcW w:w="24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w:t>
            </w:r>
          </w:p>
        </w:tc>
        <w:tc>
          <w:tcPr>
            <w:tcW w:w="86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(205)</w:t>
            </w:r>
          </w:p>
        </w:tc>
        <w:tc>
          <w:tcPr>
            <w:tcW w:w="0" w:type="dxa"/>
            <w:vAlign w:val="bottom"/>
          </w:tcPr>
          <w:p>
            <w:pPr>
              <w:spacing w:after="0"/>
              <w:rPr>
                <w:sz w:val="1"/>
                <w:szCs w:val="1"/>
                <w:color w:val="auto"/>
              </w:rPr>
            </w:pPr>
          </w:p>
        </w:tc>
      </w:tr>
      <w:tr>
        <w:trPr>
          <w:trHeight w:val="169"/>
        </w:trPr>
        <w:tc>
          <w:tcPr>
            <w:tcW w:w="4560" w:type="dxa"/>
            <w:vAlign w:val="bottom"/>
          </w:tcPr>
          <w:p>
            <w:pPr>
              <w:spacing w:after="0"/>
              <w:rPr>
                <w:sz w:val="20"/>
                <w:szCs w:val="20"/>
                <w:color w:val="auto"/>
              </w:rPr>
            </w:pPr>
            <w:r>
              <w:rPr>
                <w:rFonts w:ascii="Arial" w:cs="Arial" w:eastAsia="Arial" w:hAnsi="Arial"/>
                <w:sz w:val="14"/>
                <w:szCs w:val="14"/>
                <w:b w:val="1"/>
                <w:bCs w:val="1"/>
                <w:color w:val="auto"/>
              </w:rPr>
              <w:t>Net Cash Provided by Operating Activities</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$3,615</w:t>
            </w:r>
          </w:p>
        </w:tc>
        <w:tc>
          <w:tcPr>
            <w:tcW w:w="840" w:type="dxa"/>
            <w:vAlign w:val="bottom"/>
          </w:tcPr>
          <w:p>
            <w:pPr>
              <w:spacing w:after="0"/>
              <w:rPr>
                <w:sz w:val="14"/>
                <w:szCs w:val="14"/>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$2,481</w:t>
            </w:r>
          </w:p>
        </w:tc>
        <w:tc>
          <w:tcPr>
            <w:tcW w:w="24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$14,854</w:t>
            </w:r>
          </w:p>
        </w:tc>
        <w:tc>
          <w:tcPr>
            <w:tcW w:w="860" w:type="dxa"/>
            <w:vAlign w:val="bottom"/>
          </w:tcPr>
          <w:p>
            <w:pPr>
              <w:spacing w:after="0"/>
              <w:rPr>
                <w:sz w:val="14"/>
                <w:szCs w:val="14"/>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$14,160</w:t>
            </w:r>
          </w:p>
        </w:tc>
        <w:tc>
          <w:tcPr>
            <w:tcW w:w="0" w:type="dxa"/>
            <w:vAlign w:val="bottom"/>
          </w:tcPr>
          <w:p>
            <w:pPr>
              <w:spacing w:after="0"/>
              <w:rPr>
                <w:sz w:val="1"/>
                <w:szCs w:val="1"/>
                <w:color w:val="auto"/>
              </w:rPr>
            </w:pPr>
          </w:p>
        </w:tc>
      </w:tr>
      <w:tr>
        <w:trPr>
          <w:trHeight w:val="169"/>
        </w:trPr>
        <w:tc>
          <w:tcPr>
            <w:tcW w:w="4560" w:type="dxa"/>
            <w:vAlign w:val="bottom"/>
          </w:tcPr>
          <w:p>
            <w:pPr>
              <w:spacing w:after="0"/>
              <w:rPr>
                <w:sz w:val="20"/>
                <w:szCs w:val="20"/>
                <w:color w:val="auto"/>
              </w:rPr>
            </w:pPr>
            <w:r>
              <w:rPr>
                <w:rFonts w:ascii="Arial" w:cs="Arial" w:eastAsia="Arial" w:hAnsi="Arial"/>
                <w:sz w:val="14"/>
                <w:szCs w:val="14"/>
                <w:color w:val="auto"/>
              </w:rPr>
              <w:t>Capital expenditures</w:t>
            </w:r>
          </w:p>
        </w:tc>
        <w:tc>
          <w:tcPr>
            <w:tcW w:w="960" w:type="dxa"/>
            <w:vAlign w:val="bottom"/>
          </w:tcPr>
          <w:p>
            <w:pPr>
              <w:jc w:val="right"/>
              <w:spacing w:after="0"/>
              <w:rPr>
                <w:sz w:val="20"/>
                <w:szCs w:val="20"/>
                <w:color w:val="auto"/>
              </w:rPr>
            </w:pPr>
            <w:r>
              <w:rPr>
                <w:rFonts w:ascii="Arial" w:cs="Arial" w:eastAsia="Arial" w:hAnsi="Arial"/>
                <w:sz w:val="14"/>
                <w:szCs w:val="14"/>
                <w:color w:val="auto"/>
              </w:rPr>
              <w:t>(1,671)</w:t>
            </w:r>
          </w:p>
        </w:tc>
        <w:tc>
          <w:tcPr>
            <w:tcW w:w="8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c>
          <w:tcPr>
            <w:tcW w:w="24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(5,714)</w:t>
            </w:r>
          </w:p>
        </w:tc>
        <w:tc>
          <w:tcPr>
            <w:tcW w:w="8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(6,596)</w:t>
            </w:r>
          </w:p>
        </w:tc>
        <w:tc>
          <w:tcPr>
            <w:tcW w:w="0" w:type="dxa"/>
            <w:vAlign w:val="bottom"/>
          </w:tcPr>
          <w:p>
            <w:pPr>
              <w:spacing w:after="0"/>
              <w:rPr>
                <w:sz w:val="1"/>
                <w:szCs w:val="1"/>
                <w:color w:val="auto"/>
              </w:rPr>
            </w:pPr>
          </w:p>
        </w:tc>
      </w:tr>
      <w:tr>
        <w:trPr>
          <w:trHeight w:val="190"/>
        </w:trPr>
        <w:tc>
          <w:tcPr>
            <w:tcW w:w="4560" w:type="dxa"/>
            <w:vAlign w:val="bottom"/>
          </w:tcPr>
          <w:p>
            <w:pPr>
              <w:spacing w:after="0"/>
              <w:rPr>
                <w:sz w:val="20"/>
                <w:szCs w:val="20"/>
                <w:color w:val="auto"/>
              </w:rPr>
            </w:pPr>
            <w:r>
              <w:rPr>
                <w:rFonts w:ascii="Arial" w:cs="Arial" w:eastAsia="Arial" w:hAnsi="Arial"/>
                <w:sz w:val="14"/>
                <w:szCs w:val="14"/>
                <w:color w:val="auto"/>
              </w:rPr>
              <w:t>Cash paid for capitalized software and other intangible assets</w:t>
            </w:r>
          </w:p>
        </w:tc>
        <w:tc>
          <w:tcPr>
            <w:tcW w:w="960" w:type="dxa"/>
            <w:vAlign w:val="bottom"/>
          </w:tcPr>
          <w:p>
            <w:pPr>
              <w:jc w:val="right"/>
              <w:spacing w:after="0"/>
              <w:rPr>
                <w:sz w:val="20"/>
                <w:szCs w:val="20"/>
                <w:color w:val="auto"/>
              </w:rPr>
            </w:pPr>
            <w:r>
              <w:rPr>
                <w:rFonts w:ascii="Arial" w:cs="Arial" w:eastAsia="Arial" w:hAnsi="Arial"/>
                <w:sz w:val="14"/>
                <w:szCs w:val="14"/>
                <w:color w:val="auto"/>
              </w:rPr>
              <w:t>(318)</w:t>
            </w:r>
          </w:p>
        </w:tc>
        <w:tc>
          <w:tcPr>
            <w:tcW w:w="8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(315)</w:t>
            </w:r>
          </w:p>
        </w:tc>
        <w:tc>
          <w:tcPr>
            <w:tcW w:w="2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(923)</w:t>
            </w:r>
          </w:p>
        </w:tc>
        <w:tc>
          <w:tcPr>
            <w:tcW w:w="8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(1,009)</w:t>
            </w:r>
          </w:p>
        </w:tc>
        <w:tc>
          <w:tcPr>
            <w:tcW w:w="0" w:type="dxa"/>
            <w:vAlign w:val="bottom"/>
          </w:tcPr>
          <w:p>
            <w:pPr>
              <w:spacing w:after="0"/>
              <w:rPr>
                <w:sz w:val="1"/>
                <w:szCs w:val="1"/>
                <w:color w:val="auto"/>
              </w:rPr>
            </w:pPr>
          </w:p>
        </w:tc>
      </w:tr>
      <w:tr>
        <w:trPr>
          <w:trHeight w:val="165"/>
        </w:trPr>
        <w:tc>
          <w:tcPr>
            <w:tcW w:w="4560" w:type="dxa"/>
            <w:vAlign w:val="bottom"/>
          </w:tcPr>
          <w:p>
            <w:pPr>
              <w:spacing w:after="0"/>
              <w:rPr>
                <w:sz w:val="20"/>
                <w:szCs w:val="20"/>
                <w:color w:val="auto"/>
              </w:rPr>
            </w:pPr>
            <w:r>
              <w:rPr>
                <w:rFonts w:ascii="Arial" w:cs="Arial" w:eastAsia="Arial" w:hAnsi="Arial"/>
                <w:sz w:val="14"/>
                <w:szCs w:val="14"/>
                <w:color w:val="auto"/>
              </w:rPr>
              <w:t>Distributions to noncontrolling interests and dividends for</w:t>
            </w: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(51)</w:t>
            </w:r>
          </w:p>
        </w:tc>
        <w:tc>
          <w:tcPr>
            <w:tcW w:w="24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(215)</w:t>
            </w:r>
          </w:p>
        </w:tc>
        <w:tc>
          <w:tcPr>
            <w:tcW w:w="0" w:type="dxa"/>
            <w:vAlign w:val="bottom"/>
          </w:tcPr>
          <w:p>
            <w:pPr>
              <w:spacing w:after="0"/>
              <w:rPr>
                <w:sz w:val="1"/>
                <w:szCs w:val="1"/>
                <w:color w:val="auto"/>
              </w:rPr>
            </w:pPr>
          </w:p>
        </w:tc>
      </w:tr>
      <w:tr>
        <w:trPr>
          <w:trHeight w:val="172"/>
        </w:trPr>
        <w:tc>
          <w:tcPr>
            <w:tcW w:w="4560" w:type="dxa"/>
            <w:vAlign w:val="bottom"/>
          </w:tcPr>
          <w:p>
            <w:pPr>
              <w:ind w:left="180"/>
              <w:spacing w:after="0"/>
              <w:rPr>
                <w:sz w:val="20"/>
                <w:szCs w:val="20"/>
                <w:color w:val="auto"/>
              </w:rPr>
            </w:pPr>
            <w:r>
              <w:rPr>
                <w:rFonts w:ascii="Arial" w:cs="Arial" w:eastAsia="Arial" w:hAnsi="Arial"/>
                <w:sz w:val="14"/>
                <w:szCs w:val="14"/>
                <w:color w:val="auto"/>
              </w:rPr>
              <w:t>redeemable subsidiary preferred stock</w:t>
            </w:r>
          </w:p>
        </w:tc>
        <w:tc>
          <w:tcPr>
            <w:tcW w:w="960" w:type="dxa"/>
            <w:vAlign w:val="bottom"/>
          </w:tcPr>
          <w:p>
            <w:pPr>
              <w:jc w:val="right"/>
              <w:spacing w:after="0"/>
              <w:rPr>
                <w:sz w:val="20"/>
                <w:szCs w:val="20"/>
                <w:color w:val="auto"/>
              </w:rPr>
            </w:pPr>
            <w:r>
              <w:rPr>
                <w:rFonts w:ascii="Arial" w:cs="Arial" w:eastAsia="Arial" w:hAnsi="Arial"/>
                <w:sz w:val="14"/>
                <w:szCs w:val="14"/>
                <w:color w:val="auto"/>
              </w:rPr>
              <w:t>(194)</w:t>
            </w:r>
          </w:p>
        </w:tc>
        <w:tc>
          <w:tcPr>
            <w:tcW w:w="8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(691)</w:t>
            </w:r>
          </w:p>
        </w:tc>
        <w:tc>
          <w:tcPr>
            <w:tcW w:w="8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560" w:type="dxa"/>
            <w:vAlign w:val="bottom"/>
          </w:tcPr>
          <w:p>
            <w:pPr>
              <w:spacing w:after="0"/>
              <w:rPr>
                <w:sz w:val="20"/>
                <w:szCs w:val="20"/>
                <w:color w:val="auto"/>
              </w:rPr>
            </w:pPr>
            <w:r>
              <w:rPr>
                <w:rFonts w:ascii="Arial" w:cs="Arial" w:eastAsia="Arial" w:hAnsi="Arial"/>
                <w:sz w:val="14"/>
                <w:szCs w:val="14"/>
                <w:color w:val="auto"/>
              </w:rPr>
              <w:t>Termination of receivables monetization programs and other</w:t>
            </w: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1,201</w:t>
            </w:r>
          </w:p>
        </w:tc>
        <w:tc>
          <w:tcPr>
            <w:tcW w:w="24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2,027</w:t>
            </w:r>
          </w:p>
        </w:tc>
        <w:tc>
          <w:tcPr>
            <w:tcW w:w="0" w:type="dxa"/>
            <w:vAlign w:val="bottom"/>
          </w:tcPr>
          <w:p>
            <w:pPr>
              <w:spacing w:after="0"/>
              <w:rPr>
                <w:sz w:val="1"/>
                <w:szCs w:val="1"/>
                <w:color w:val="auto"/>
              </w:rPr>
            </w:pPr>
          </w:p>
        </w:tc>
      </w:tr>
      <w:tr>
        <w:trPr>
          <w:trHeight w:val="160"/>
        </w:trPr>
        <w:tc>
          <w:tcPr>
            <w:tcW w:w="4560" w:type="dxa"/>
            <w:vAlign w:val="bottom"/>
          </w:tcPr>
          <w:p>
            <w:pPr>
              <w:ind w:left="180"/>
              <w:spacing w:after="0" w:line="160" w:lineRule="exact"/>
              <w:rPr>
                <w:sz w:val="20"/>
                <w:szCs w:val="20"/>
                <w:color w:val="auto"/>
              </w:rPr>
            </w:pPr>
            <w:r>
              <w:rPr>
                <w:rFonts w:ascii="Arial" w:cs="Arial" w:eastAsia="Arial" w:hAnsi="Arial"/>
                <w:sz w:val="14"/>
                <w:szCs w:val="14"/>
                <w:color w:val="auto"/>
              </w:rPr>
              <w:t>nonoperating items</w:t>
            </w:r>
            <w:r>
              <w:rPr>
                <w:rFonts w:ascii="Arial" w:cs="Arial" w:eastAsia="Arial" w:hAnsi="Arial"/>
                <w:sz w:val="14"/>
                <w:szCs w:val="14"/>
                <w:color w:val="auto"/>
                <w:vertAlign w:val="superscript"/>
              </w:rPr>
              <w:t>(1)</w:t>
            </w:r>
          </w:p>
        </w:tc>
        <w:tc>
          <w:tcPr>
            <w:tcW w:w="960" w:type="dxa"/>
            <w:vAlign w:val="bottom"/>
            <w:tcBorders>
              <w:bottom w:val="single" w:sz="8" w:color="auto"/>
            </w:tcBorders>
          </w:tcPr>
          <w:p>
            <w:pPr>
              <w:jc w:val="right"/>
              <w:ind w:right="28"/>
              <w:spacing w:after="0" w:line="160" w:lineRule="exact"/>
              <w:rPr>
                <w:sz w:val="20"/>
                <w:szCs w:val="20"/>
                <w:color w:val="auto"/>
              </w:rPr>
            </w:pPr>
            <w:r>
              <w:rPr>
                <w:rFonts w:ascii="Arial" w:cs="Arial" w:eastAsia="Arial" w:hAnsi="Arial"/>
                <w:sz w:val="14"/>
                <w:szCs w:val="14"/>
                <w:color w:val="auto"/>
              </w:rPr>
              <w:t>92</w:t>
            </w:r>
          </w:p>
        </w:tc>
        <w:tc>
          <w:tcPr>
            <w:tcW w:w="840" w:type="dxa"/>
            <w:vAlign w:val="bottom"/>
          </w:tcPr>
          <w:p>
            <w:pPr>
              <w:spacing w:after="0"/>
              <w:rPr>
                <w:sz w:val="13"/>
                <w:szCs w:val="13"/>
                <w:color w:val="auto"/>
              </w:rPr>
            </w:pPr>
          </w:p>
        </w:tc>
        <w:tc>
          <w:tcPr>
            <w:tcW w:w="960" w:type="dxa"/>
            <w:vAlign w:val="bottom"/>
            <w:tcBorders>
              <w:bottom w:val="single" w:sz="8" w:color="auto"/>
            </w:tcBorders>
            <w:vMerge w:val="continue"/>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Borders>
              <w:bottom w:val="single" w:sz="8" w:color="auto"/>
            </w:tcBorders>
          </w:tcPr>
          <w:p>
            <w:pPr>
              <w:jc w:val="right"/>
              <w:ind w:right="8"/>
              <w:spacing w:after="0" w:line="160" w:lineRule="exact"/>
              <w:rPr>
                <w:sz w:val="20"/>
                <w:szCs w:val="20"/>
                <w:color w:val="auto"/>
              </w:rPr>
            </w:pPr>
            <w:r>
              <w:rPr>
                <w:rFonts w:ascii="Arial" w:cs="Arial" w:eastAsia="Arial" w:hAnsi="Arial"/>
                <w:sz w:val="14"/>
                <w:szCs w:val="14"/>
                <w:color w:val="auto"/>
              </w:rPr>
              <w:t>361</w:t>
            </w:r>
          </w:p>
        </w:tc>
        <w:tc>
          <w:tcPr>
            <w:tcW w:w="860" w:type="dxa"/>
            <w:vAlign w:val="bottom"/>
          </w:tcPr>
          <w:p>
            <w:pPr>
              <w:spacing w:after="0"/>
              <w:rPr>
                <w:sz w:val="13"/>
                <w:szCs w:val="13"/>
                <w:color w:val="auto"/>
              </w:rPr>
            </w:pPr>
          </w:p>
        </w:tc>
        <w:tc>
          <w:tcPr>
            <w:tcW w:w="9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560" w:type="dxa"/>
            <w:vAlign w:val="bottom"/>
          </w:tcPr>
          <w:p>
            <w:pPr>
              <w:spacing w:after="0"/>
              <w:rPr>
                <w:sz w:val="20"/>
                <w:szCs w:val="20"/>
                <w:color w:val="auto"/>
              </w:rPr>
            </w:pPr>
            <w:r>
              <w:rPr>
                <w:rFonts w:ascii="Arial" w:cs="Arial" w:eastAsia="Arial" w:hAnsi="Arial"/>
                <w:sz w:val="14"/>
                <w:szCs w:val="14"/>
                <w:color w:val="auto"/>
              </w:rPr>
              <w:t>Free Cash Flow (including economic stimulus packages)</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$1,524</w:t>
            </w:r>
          </w:p>
        </w:tc>
        <w:tc>
          <w:tcPr>
            <w:tcW w:w="84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b w:val="1"/>
                <w:bCs w:val="1"/>
                <w:color w:val="auto"/>
              </w:rPr>
              <w:t>$1,313</w:t>
            </w:r>
          </w:p>
        </w:tc>
        <w:tc>
          <w:tcPr>
            <w:tcW w:w="24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$7,887</w:t>
            </w:r>
          </w:p>
        </w:tc>
        <w:tc>
          <w:tcPr>
            <w:tcW w:w="860" w:type="dxa"/>
            <w:vAlign w:val="bottom"/>
          </w:tcPr>
          <w:p>
            <w:pPr>
              <w:spacing w:after="0"/>
              <w:rPr>
                <w:sz w:val="14"/>
                <w:szCs w:val="14"/>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b w:val="1"/>
                <w:bCs w:val="1"/>
                <w:color w:val="auto"/>
              </w:rPr>
              <w:t>$8,367</w:t>
            </w:r>
          </w:p>
        </w:tc>
        <w:tc>
          <w:tcPr>
            <w:tcW w:w="0" w:type="dxa"/>
            <w:vAlign w:val="bottom"/>
          </w:tcPr>
          <w:p>
            <w:pPr>
              <w:spacing w:after="0"/>
              <w:rPr>
                <w:sz w:val="1"/>
                <w:szCs w:val="1"/>
                <w:color w:val="auto"/>
              </w:rPr>
            </w:pPr>
          </w:p>
        </w:tc>
      </w:tr>
      <w:tr>
        <w:trPr>
          <w:trHeight w:val="175"/>
        </w:trPr>
        <w:tc>
          <w:tcPr>
            <w:tcW w:w="4560" w:type="dxa"/>
            <w:vAlign w:val="bottom"/>
          </w:tcPr>
          <w:p>
            <w:pPr>
              <w:spacing w:after="0"/>
              <w:rPr>
                <w:sz w:val="20"/>
                <w:szCs w:val="20"/>
                <w:color w:val="auto"/>
              </w:rPr>
            </w:pPr>
            <w:r>
              <w:rPr>
                <w:rFonts w:ascii="Arial" w:cs="Arial" w:eastAsia="Arial" w:hAnsi="Arial"/>
                <w:sz w:val="14"/>
                <w:szCs w:val="14"/>
                <w:color w:val="auto"/>
              </w:rPr>
              <w:t>Economic stimulus packages</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308</w:t>
            </w:r>
          </w:p>
        </w:tc>
        <w:tc>
          <w:tcPr>
            <w:tcW w:w="840" w:type="dxa"/>
            <w:vAlign w:val="bottom"/>
          </w:tcPr>
          <w:p>
            <w:pPr>
              <w:spacing w:after="0"/>
              <w:rPr>
                <w:sz w:val="15"/>
                <w:szCs w:val="15"/>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122</w:t>
            </w:r>
          </w:p>
        </w:tc>
        <w:tc>
          <w:tcPr>
            <w:tcW w:w="24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52</w:t>
            </w:r>
          </w:p>
        </w:tc>
        <w:tc>
          <w:tcPr>
            <w:tcW w:w="860" w:type="dxa"/>
            <w:vAlign w:val="bottom"/>
          </w:tcPr>
          <w:p>
            <w:pPr>
              <w:spacing w:after="0"/>
              <w:rPr>
                <w:sz w:val="15"/>
                <w:szCs w:val="15"/>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122</w:t>
            </w:r>
          </w:p>
        </w:tc>
        <w:tc>
          <w:tcPr>
            <w:tcW w:w="0" w:type="dxa"/>
            <w:vAlign w:val="bottom"/>
          </w:tcPr>
          <w:p>
            <w:pPr>
              <w:spacing w:after="0"/>
              <w:rPr>
                <w:sz w:val="1"/>
                <w:szCs w:val="1"/>
                <w:color w:val="auto"/>
              </w:rPr>
            </w:pPr>
          </w:p>
        </w:tc>
      </w:tr>
      <w:tr>
        <w:trPr>
          <w:trHeight w:val="169"/>
        </w:trPr>
        <w:tc>
          <w:tcPr>
            <w:tcW w:w="4560" w:type="dxa"/>
            <w:vAlign w:val="bottom"/>
          </w:tcPr>
          <w:p>
            <w:pPr>
              <w:spacing w:after="0"/>
              <w:rPr>
                <w:sz w:val="20"/>
                <w:szCs w:val="20"/>
                <w:color w:val="auto"/>
              </w:rPr>
            </w:pPr>
            <w:r>
              <w:rPr>
                <w:rFonts w:ascii="Arial" w:cs="Arial" w:eastAsia="Arial" w:hAnsi="Arial"/>
                <w:sz w:val="14"/>
                <w:szCs w:val="14"/>
                <w:b w:val="1"/>
                <w:bCs w:val="1"/>
                <w:color w:val="auto"/>
              </w:rPr>
              <w:t>Total Free Cash Flow</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$1,832</w:t>
            </w:r>
          </w:p>
        </w:tc>
        <w:tc>
          <w:tcPr>
            <w:tcW w:w="840" w:type="dxa"/>
            <w:vAlign w:val="bottom"/>
          </w:tcPr>
          <w:p>
            <w:pPr>
              <w:spacing w:after="0"/>
              <w:rPr>
                <w:sz w:val="14"/>
                <w:szCs w:val="14"/>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$1,435</w:t>
            </w:r>
          </w:p>
        </w:tc>
        <w:tc>
          <w:tcPr>
            <w:tcW w:w="24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$7,939</w:t>
            </w:r>
          </w:p>
        </w:tc>
        <w:tc>
          <w:tcPr>
            <w:tcW w:w="860" w:type="dxa"/>
            <w:vAlign w:val="bottom"/>
          </w:tcPr>
          <w:p>
            <w:pPr>
              <w:spacing w:after="0"/>
              <w:rPr>
                <w:sz w:val="14"/>
                <w:szCs w:val="14"/>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$8,489</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right="880"/>
        <w:spacing w:after="0" w:line="285" w:lineRule="auto"/>
        <w:rPr>
          <w:sz w:val="20"/>
          <w:szCs w:val="20"/>
          <w:color w:val="auto"/>
        </w:rPr>
      </w:pPr>
      <w:r>
        <w:rPr>
          <w:rFonts w:ascii="Arial" w:cs="Arial" w:eastAsia="Arial" w:hAnsi="Arial"/>
          <w:sz w:val="21"/>
          <w:szCs w:val="21"/>
          <w:b w:val="1"/>
          <w:bCs w:val="1"/>
          <w:color w:val="C9C9C9"/>
        </w:rPr>
        <w:t>Reconciliation of EPS Excluding Gains and Losses Related to Investments, Favorable Income Tax Adjustments, Gain on Sale of Wireless Spectrum Licenses and Pension Termination Costs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75"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40" w:type="dxa"/>
            <w:vAlign w:val="bottom"/>
            <w:gridSpan w:val="3"/>
          </w:tcPr>
          <w:p>
            <w:pPr>
              <w:jc w:val="right"/>
              <w:ind w:right="328"/>
              <w:spacing w:after="0"/>
              <w:rPr>
                <w:sz w:val="20"/>
                <w:szCs w:val="20"/>
                <w:color w:val="auto"/>
              </w:rPr>
            </w:pPr>
            <w:r>
              <w:rPr>
                <w:rFonts w:ascii="Arial" w:cs="Arial" w:eastAsia="Arial" w:hAnsi="Arial"/>
                <w:sz w:val="14"/>
                <w:szCs w:val="14"/>
                <w:b w:val="1"/>
                <w:bCs w:val="1"/>
                <w:color w:val="auto"/>
              </w:rPr>
              <w:t>Three Months Ended</w:t>
            </w:r>
          </w:p>
        </w:tc>
        <w:tc>
          <w:tcPr>
            <w:tcW w:w="58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800" w:type="dxa"/>
            <w:vAlign w:val="bottom"/>
            <w:gridSpan w:val="4"/>
          </w:tcPr>
          <w:p>
            <w:pPr>
              <w:jc w:val="right"/>
              <w:ind w:right="288"/>
              <w:spacing w:after="0"/>
              <w:rPr>
                <w:sz w:val="20"/>
                <w:szCs w:val="20"/>
                <w:color w:val="auto"/>
              </w:rPr>
            </w:pPr>
            <w:r>
              <w:rPr>
                <w:rFonts w:ascii="Arial" w:cs="Arial" w:eastAsia="Arial" w:hAnsi="Arial"/>
                <w:sz w:val="14"/>
                <w:szCs w:val="14"/>
                <w:b w:val="1"/>
                <w:bCs w:val="1"/>
                <w:color w:val="auto"/>
              </w:rPr>
              <w:t>Twelve Months Ended</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0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40" w:type="dxa"/>
            <w:vAlign w:val="bottom"/>
            <w:gridSpan w:val="3"/>
          </w:tcPr>
          <w:p>
            <w:pPr>
              <w:jc w:val="right"/>
              <w:ind w:right="568"/>
              <w:spacing w:after="0"/>
              <w:rPr>
                <w:sz w:val="20"/>
                <w:szCs w:val="20"/>
                <w:color w:val="auto"/>
              </w:rPr>
            </w:pPr>
            <w:r>
              <w:rPr>
                <w:rFonts w:ascii="Arial" w:cs="Arial" w:eastAsia="Arial" w:hAnsi="Arial"/>
                <w:sz w:val="14"/>
                <w:szCs w:val="14"/>
                <w:b w:val="1"/>
                <w:bCs w:val="1"/>
                <w:color w:val="auto"/>
              </w:rPr>
              <w:t>December 31,</w:t>
            </w:r>
          </w:p>
        </w:tc>
        <w:tc>
          <w:tcPr>
            <w:tcW w:w="58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0" w:type="dxa"/>
            <w:vAlign w:val="bottom"/>
            <w:gridSpan w:val="3"/>
          </w:tcPr>
          <w:p>
            <w:pPr>
              <w:jc w:val="right"/>
              <w:ind w:right="568"/>
              <w:spacing w:after="0"/>
              <w:rPr>
                <w:sz w:val="20"/>
                <w:szCs w:val="20"/>
                <w:color w:val="auto"/>
              </w:rPr>
            </w:pPr>
            <w:r>
              <w:rPr>
                <w:rFonts w:ascii="Arial" w:cs="Arial" w:eastAsia="Arial" w:hAnsi="Arial"/>
                <w:sz w:val="14"/>
                <w:szCs w:val="14"/>
                <w:b w:val="1"/>
                <w:bCs w:val="1"/>
                <w:color w:val="auto"/>
              </w:rPr>
              <w:t>December 31,</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000" w:type="dxa"/>
            <w:vAlign w:val="bottom"/>
            <w:vMerge w:val="restart"/>
          </w:tcPr>
          <w:p>
            <w:pPr>
              <w:spacing w:after="0"/>
              <w:rPr>
                <w:sz w:val="20"/>
                <w:szCs w:val="20"/>
                <w:color w:val="auto"/>
              </w:rPr>
            </w:pPr>
            <w:r>
              <w:rPr>
                <w:rFonts w:ascii="Arial" w:cs="Arial" w:eastAsia="Arial" w:hAnsi="Arial"/>
                <w:sz w:val="14"/>
                <w:szCs w:val="14"/>
                <w:color w:val="auto"/>
              </w:rPr>
              <w:t>(in millions, except per share data)</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2012</w:t>
            </w:r>
          </w:p>
        </w:tc>
        <w:tc>
          <w:tcPr>
            <w:tcW w:w="6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580" w:type="dxa"/>
            <w:vAlign w:val="bottom"/>
            <w:tcBorders>
              <w:bottom w:val="single" w:sz="8" w:color="auto"/>
            </w:tcBorders>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2012</w:t>
            </w:r>
          </w:p>
        </w:tc>
        <w:tc>
          <w:tcPr>
            <w:tcW w:w="6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6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4000" w:type="dxa"/>
            <w:vAlign w:val="bottom"/>
            <w:vMerge w:val="continue"/>
          </w:tcPr>
          <w:p>
            <w:pPr>
              <w:spacing w:after="0"/>
              <w:rPr>
                <w:sz w:val="13"/>
                <w:szCs w:val="13"/>
                <w:color w:val="auto"/>
              </w:rPr>
            </w:pPr>
          </w:p>
        </w:tc>
        <w:tc>
          <w:tcPr>
            <w:tcW w:w="980" w:type="dxa"/>
            <w:vAlign w:val="bottom"/>
            <w:vMerge w:val="restart"/>
          </w:tcPr>
          <w:p>
            <w:pPr>
              <w:jc w:val="right"/>
              <w:ind w:right="528"/>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tcPr>
          <w:p>
            <w:pPr>
              <w:ind w:left="60"/>
              <w:spacing w:after="0"/>
              <w:rPr>
                <w:sz w:val="20"/>
                <w:szCs w:val="20"/>
                <w:color w:val="auto"/>
              </w:rPr>
            </w:pPr>
            <w:r>
              <w:rPr>
                <w:rFonts w:ascii="Arial" w:cs="Arial" w:eastAsia="Arial" w:hAnsi="Arial"/>
                <w:sz w:val="14"/>
                <w:szCs w:val="14"/>
                <w:color w:val="auto"/>
              </w:rPr>
              <w:t xml:space="preserve">EPS </w:t>
            </w:r>
            <w:r>
              <w:rPr>
                <w:rFonts w:ascii="Arial" w:cs="Arial" w:eastAsia="Arial" w:hAnsi="Arial"/>
                <w:sz w:val="14"/>
                <w:szCs w:val="14"/>
                <w:color w:val="auto"/>
                <w:vertAlign w:val="superscript"/>
              </w:rPr>
              <w:t>(2)</w:t>
            </w:r>
          </w:p>
        </w:tc>
        <w:tc>
          <w:tcPr>
            <w:tcW w:w="1000" w:type="dxa"/>
            <w:vAlign w:val="bottom"/>
            <w:vMerge w:val="restart"/>
          </w:tcPr>
          <w:p>
            <w:pPr>
              <w:jc w:val="right"/>
              <w:ind w:right="548"/>
              <w:spacing w:after="0"/>
              <w:rPr>
                <w:sz w:val="20"/>
                <w:szCs w:val="20"/>
                <w:color w:val="auto"/>
              </w:rPr>
            </w:pPr>
            <w:r>
              <w:rPr>
                <w:rFonts w:ascii="Arial" w:cs="Arial" w:eastAsia="Arial" w:hAnsi="Arial"/>
                <w:sz w:val="14"/>
                <w:szCs w:val="14"/>
                <w:b w:val="1"/>
                <w:bCs w:val="1"/>
                <w:color w:val="auto"/>
              </w:rPr>
              <w:t>$</w:t>
            </w:r>
          </w:p>
        </w:tc>
        <w:tc>
          <w:tcPr>
            <w:tcW w:w="7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4"/>
                <w:szCs w:val="14"/>
                <w:b w:val="1"/>
                <w:bCs w:val="1"/>
                <w:color w:val="auto"/>
              </w:rPr>
              <w:t xml:space="preserve">EPS </w:t>
            </w:r>
            <w:r>
              <w:rPr>
                <w:rFonts w:ascii="Arial" w:cs="Arial" w:eastAsia="Arial" w:hAnsi="Arial"/>
                <w:sz w:val="14"/>
                <w:szCs w:val="14"/>
                <w:b w:val="1"/>
                <w:bCs w:val="1"/>
                <w:color w:val="auto"/>
                <w:vertAlign w:val="superscript"/>
              </w:rPr>
              <w:t>(2)</w:t>
            </w:r>
          </w:p>
        </w:tc>
        <w:tc>
          <w:tcPr>
            <w:tcW w:w="80" w:type="dxa"/>
            <w:vAlign w:val="bottom"/>
          </w:tcPr>
          <w:p>
            <w:pPr>
              <w:spacing w:after="0"/>
              <w:rPr>
                <w:sz w:val="13"/>
                <w:szCs w:val="13"/>
                <w:color w:val="auto"/>
              </w:rPr>
            </w:pPr>
          </w:p>
        </w:tc>
        <w:tc>
          <w:tcPr>
            <w:tcW w:w="1000" w:type="dxa"/>
            <w:vAlign w:val="bottom"/>
            <w:vMerge w:val="restart"/>
          </w:tcPr>
          <w:p>
            <w:pPr>
              <w:jc w:val="right"/>
              <w:ind w:right="548"/>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ind w:left="40"/>
              <w:spacing w:after="0"/>
              <w:rPr>
                <w:sz w:val="20"/>
                <w:szCs w:val="20"/>
                <w:color w:val="auto"/>
              </w:rPr>
            </w:pPr>
            <w:r>
              <w:rPr>
                <w:rFonts w:ascii="Arial" w:cs="Arial" w:eastAsia="Arial" w:hAnsi="Arial"/>
                <w:sz w:val="14"/>
                <w:szCs w:val="14"/>
                <w:color w:val="auto"/>
              </w:rPr>
              <w:t xml:space="preserve">EPS </w:t>
            </w:r>
            <w:r>
              <w:rPr>
                <w:rFonts w:ascii="Arial" w:cs="Arial" w:eastAsia="Arial" w:hAnsi="Arial"/>
                <w:sz w:val="14"/>
                <w:szCs w:val="14"/>
                <w:color w:val="auto"/>
                <w:vertAlign w:val="superscript"/>
              </w:rPr>
              <w:t>(2)</w:t>
            </w:r>
          </w:p>
        </w:tc>
        <w:tc>
          <w:tcPr>
            <w:tcW w:w="980" w:type="dxa"/>
            <w:vAlign w:val="bottom"/>
            <w:vMerge w:val="restart"/>
          </w:tcPr>
          <w:p>
            <w:pPr>
              <w:jc w:val="right"/>
              <w:ind w:right="528"/>
              <w:spacing w:after="0"/>
              <w:rPr>
                <w:sz w:val="20"/>
                <w:szCs w:val="20"/>
                <w:color w:val="auto"/>
              </w:rPr>
            </w:pPr>
            <w:r>
              <w:rPr>
                <w:rFonts w:ascii="Arial" w:cs="Arial" w:eastAsia="Arial" w:hAnsi="Arial"/>
                <w:sz w:val="14"/>
                <w:szCs w:val="14"/>
                <w:b w:val="1"/>
                <w:bCs w:val="1"/>
                <w:color w:val="auto"/>
              </w:rPr>
              <w:t>$</w:t>
            </w:r>
          </w:p>
        </w:tc>
        <w:tc>
          <w:tcPr>
            <w:tcW w:w="6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 xml:space="preserve">EPS </w:t>
            </w:r>
            <w:r>
              <w:rPr>
                <w:rFonts w:ascii="Arial" w:cs="Arial" w:eastAsia="Arial" w:hAnsi="Arial"/>
                <w:sz w:val="14"/>
                <w:szCs w:val="14"/>
                <w:b w:val="1"/>
                <w:bCs w:val="1"/>
                <w:color w:val="auto"/>
                <w:vertAlign w:val="superscript"/>
              </w:rPr>
              <w:t>(2)</w:t>
            </w:r>
          </w:p>
        </w:tc>
        <w:tc>
          <w:tcPr>
            <w:tcW w:w="0" w:type="dxa"/>
            <w:vAlign w:val="bottom"/>
          </w:tcPr>
          <w:p>
            <w:pPr>
              <w:spacing w:after="0"/>
              <w:rPr>
                <w:sz w:val="1"/>
                <w:szCs w:val="1"/>
                <w:color w:val="auto"/>
              </w:rPr>
            </w:pPr>
          </w:p>
        </w:tc>
      </w:tr>
      <w:tr>
        <w:trPr>
          <w:trHeight w:val="147"/>
        </w:trPr>
        <w:tc>
          <w:tcPr>
            <w:tcW w:w="400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720" w:type="dxa"/>
            <w:vAlign w:val="bottom"/>
            <w:tcBorders>
              <w:right w:val="single" w:sz="8" w:color="auto"/>
            </w:tcBorders>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22"/>
        </w:trPr>
        <w:tc>
          <w:tcPr>
            <w:tcW w:w="4000" w:type="dxa"/>
            <w:vAlign w:val="bottom"/>
          </w:tcPr>
          <w:p>
            <w:pPr>
              <w:spacing w:after="0"/>
              <w:rPr>
                <w:sz w:val="20"/>
                <w:szCs w:val="20"/>
                <w:color w:val="auto"/>
              </w:rPr>
            </w:pPr>
            <w:r>
              <w:rPr>
                <w:rFonts w:ascii="Arial" w:cs="Arial" w:eastAsia="Arial" w:hAnsi="Arial"/>
                <w:sz w:val="14"/>
                <w:szCs w:val="14"/>
                <w:color w:val="auto"/>
              </w:rPr>
              <w:t>Net income attributable to Comcast Corporation</w:t>
            </w:r>
          </w:p>
        </w:tc>
        <w:tc>
          <w:tcPr>
            <w:tcW w:w="98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color w:val="auto"/>
              </w:rPr>
              <w:t>$1,518</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$0.56</w:t>
            </w:r>
          </w:p>
        </w:tc>
        <w:tc>
          <w:tcPr>
            <w:tcW w:w="220" w:type="dxa"/>
            <w:vAlign w:val="bottom"/>
          </w:tcPr>
          <w:p>
            <w:pPr>
              <w:spacing w:after="0"/>
              <w:rPr>
                <w:sz w:val="24"/>
                <w:szCs w:val="24"/>
                <w:color w:val="auto"/>
              </w:rPr>
            </w:pPr>
          </w:p>
        </w:tc>
        <w:tc>
          <w:tcPr>
            <w:tcW w:w="1000" w:type="dxa"/>
            <w:vAlign w:val="bottom"/>
            <w:tcBorders>
              <w:top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$1,913</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$0.72</w:t>
            </w:r>
          </w:p>
        </w:tc>
        <w:tc>
          <w:tcPr>
            <w:tcW w:w="14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Borders>
              <w:top w:val="single" w:sz="8" w:color="auto"/>
            </w:tcBorders>
          </w:tcPr>
          <w:p>
            <w:pPr>
              <w:jc w:val="right"/>
              <w:ind w:right="308"/>
              <w:spacing w:after="0"/>
              <w:rPr>
                <w:sz w:val="20"/>
                <w:szCs w:val="20"/>
                <w:color w:val="auto"/>
              </w:rPr>
            </w:pPr>
            <w:r>
              <w:rPr>
                <w:rFonts w:ascii="Arial" w:cs="Arial" w:eastAsia="Arial" w:hAnsi="Arial"/>
                <w:sz w:val="14"/>
                <w:szCs w:val="14"/>
                <w:color w:val="auto"/>
              </w:rPr>
              <w:t>$6,203</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$2.28</w:t>
            </w:r>
          </w:p>
        </w:tc>
        <w:tc>
          <w:tcPr>
            <w:tcW w:w="220" w:type="dxa"/>
            <w:vAlign w:val="bottom"/>
          </w:tcPr>
          <w:p>
            <w:pPr>
              <w:spacing w:after="0"/>
              <w:rPr>
                <w:sz w:val="24"/>
                <w:szCs w:val="24"/>
                <w:color w:val="auto"/>
              </w:rPr>
            </w:pPr>
          </w:p>
        </w:tc>
        <w:tc>
          <w:tcPr>
            <w:tcW w:w="98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$6,816</w:t>
            </w:r>
          </w:p>
        </w:tc>
        <w:tc>
          <w:tcPr>
            <w:tcW w:w="6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$2.56</w:t>
            </w:r>
          </w:p>
        </w:tc>
        <w:tc>
          <w:tcPr>
            <w:tcW w:w="0" w:type="dxa"/>
            <w:vAlign w:val="bottom"/>
          </w:tcPr>
          <w:p>
            <w:pPr>
              <w:spacing w:after="0"/>
              <w:rPr>
                <w:sz w:val="1"/>
                <w:szCs w:val="1"/>
                <w:color w:val="auto"/>
              </w:rPr>
            </w:pPr>
          </w:p>
        </w:tc>
      </w:tr>
      <w:tr>
        <w:trPr>
          <w:trHeight w:val="186"/>
        </w:trPr>
        <w:tc>
          <w:tcPr>
            <w:tcW w:w="4000" w:type="dxa"/>
            <w:vAlign w:val="bottom"/>
          </w:tcPr>
          <w:p>
            <w:pPr>
              <w:spacing w:after="0"/>
              <w:rPr>
                <w:sz w:val="20"/>
                <w:szCs w:val="20"/>
                <w:color w:val="auto"/>
              </w:rPr>
            </w:pPr>
            <w:r>
              <w:rPr>
                <w:rFonts w:ascii="Arial" w:cs="Arial" w:eastAsia="Arial" w:hAnsi="Arial"/>
                <w:sz w:val="14"/>
                <w:szCs w:val="14"/>
                <w:i w:val="1"/>
                <w:iCs w:val="1"/>
                <w:color w:val="auto"/>
              </w:rPr>
              <w:t>Growth %</w:t>
            </w:r>
          </w:p>
        </w:tc>
        <w:tc>
          <w:tcPr>
            <w:tcW w:w="9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i w:val="1"/>
                <w:iCs w:val="1"/>
                <w:color w:val="auto"/>
              </w:rPr>
              <w:t>26.0%</w:t>
            </w:r>
          </w:p>
        </w:tc>
        <w:tc>
          <w:tcPr>
            <w:tcW w:w="720" w:type="dxa"/>
            <w:vAlign w:val="bottom"/>
            <w:tcBorders>
              <w:right w:val="single" w:sz="8" w:color="auto"/>
            </w:tcBorders>
            <w:gridSpan w:val="2"/>
          </w:tcPr>
          <w:p>
            <w:pPr>
              <w:jc w:val="center"/>
              <w:spacing w:after="0"/>
              <w:rPr>
                <w:sz w:val="20"/>
                <w:szCs w:val="20"/>
                <w:color w:val="auto"/>
              </w:rPr>
            </w:pPr>
            <w:r>
              <w:rPr>
                <w:rFonts w:ascii="Arial" w:cs="Arial" w:eastAsia="Arial" w:hAnsi="Arial"/>
                <w:sz w:val="14"/>
                <w:szCs w:val="14"/>
                <w:i w:val="1"/>
                <w:iCs w:val="1"/>
                <w:color w:val="auto"/>
              </w:rPr>
              <w:t>28.6%</w:t>
            </w: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ind w:right="228"/>
              <w:spacing w:after="0"/>
              <w:rPr>
                <w:sz w:val="20"/>
                <w:szCs w:val="20"/>
                <w:color w:val="auto"/>
              </w:rPr>
            </w:pPr>
            <w:r>
              <w:rPr>
                <w:rFonts w:ascii="Arial" w:cs="Arial" w:eastAsia="Arial" w:hAnsi="Arial"/>
                <w:sz w:val="14"/>
                <w:szCs w:val="14"/>
                <w:i w:val="1"/>
                <w:iCs w:val="1"/>
                <w:color w:val="auto"/>
              </w:rPr>
              <w:t>9.9%</w:t>
            </w:r>
          </w:p>
        </w:tc>
        <w:tc>
          <w:tcPr>
            <w:tcW w:w="600" w:type="dxa"/>
            <w:vAlign w:val="bottom"/>
          </w:tcPr>
          <w:p>
            <w:pPr>
              <w:jc w:val="center"/>
              <w:ind w:left="108"/>
              <w:spacing w:after="0"/>
              <w:rPr>
                <w:sz w:val="20"/>
                <w:szCs w:val="20"/>
                <w:color w:val="auto"/>
              </w:rPr>
            </w:pPr>
            <w:r>
              <w:rPr>
                <w:rFonts w:ascii="Arial" w:cs="Arial" w:eastAsia="Arial" w:hAnsi="Arial"/>
                <w:sz w:val="14"/>
                <w:szCs w:val="14"/>
                <w:i w:val="1"/>
                <w:iCs w:val="1"/>
                <w:color w:val="auto"/>
              </w:rPr>
              <w:t>12.3%</w:t>
            </w:r>
          </w:p>
        </w:tc>
        <w:tc>
          <w:tcPr>
            <w:tcW w:w="0" w:type="dxa"/>
            <w:vAlign w:val="bottom"/>
          </w:tcPr>
          <w:p>
            <w:pPr>
              <w:spacing w:after="0"/>
              <w:rPr>
                <w:sz w:val="1"/>
                <w:szCs w:val="1"/>
                <w:color w:val="auto"/>
              </w:rPr>
            </w:pPr>
          </w:p>
        </w:tc>
      </w:tr>
      <w:tr>
        <w:trPr>
          <w:trHeight w:val="215"/>
        </w:trPr>
        <w:tc>
          <w:tcPr>
            <w:tcW w:w="4000" w:type="dxa"/>
            <w:vAlign w:val="bottom"/>
          </w:tcPr>
          <w:p>
            <w:pPr>
              <w:ind w:left="440"/>
              <w:spacing w:after="0"/>
              <w:rPr>
                <w:sz w:val="20"/>
                <w:szCs w:val="20"/>
                <w:color w:val="auto"/>
              </w:rPr>
            </w:pPr>
            <w:r>
              <w:rPr>
                <w:rFonts w:ascii="Arial" w:cs="Arial" w:eastAsia="Arial" w:hAnsi="Arial"/>
                <w:sz w:val="14"/>
                <w:szCs w:val="14"/>
                <w:color w:val="auto"/>
              </w:rPr>
              <w:t>Equity interest in SpectrumCo transaction</w:t>
            </w:r>
            <w:r>
              <w:rPr>
                <w:rFonts w:ascii="Arial" w:cs="Arial" w:eastAsia="Arial" w:hAnsi="Arial"/>
                <w:sz w:val="14"/>
                <w:szCs w:val="14"/>
                <w:color w:val="auto"/>
                <w:vertAlign w:val="superscript"/>
              </w:rPr>
              <w:t>(3)</w:t>
            </w:r>
          </w:p>
        </w:tc>
        <w:tc>
          <w:tcPr>
            <w:tcW w:w="98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1000" w:type="dxa"/>
            <w:vAlign w:val="bottom"/>
          </w:tcPr>
          <w:p>
            <w:pPr>
              <w:jc w:val="center"/>
              <w:ind w:right="8"/>
              <w:spacing w:after="0"/>
              <w:rPr>
                <w:sz w:val="20"/>
                <w:szCs w:val="20"/>
                <w:color w:val="auto"/>
              </w:rPr>
            </w:pPr>
            <w:r>
              <w:rPr>
                <w:rFonts w:ascii="Arial" w:cs="Arial" w:eastAsia="Arial" w:hAnsi="Arial"/>
                <w:sz w:val="14"/>
                <w:szCs w:val="14"/>
                <w:b w:val="1"/>
                <w:bCs w:val="1"/>
                <w:color w:val="auto"/>
                <w:w w:val="84"/>
              </w:rPr>
              <w:t>-</w:t>
            </w:r>
          </w:p>
        </w:tc>
        <w:tc>
          <w:tcPr>
            <w:tcW w:w="580" w:type="dxa"/>
            <w:vAlign w:val="bottom"/>
          </w:tcPr>
          <w:p>
            <w:pPr>
              <w:jc w:val="center"/>
              <w:ind w:left="88"/>
              <w:spacing w:after="0"/>
              <w:rPr>
                <w:sz w:val="20"/>
                <w:szCs w:val="20"/>
                <w:color w:val="auto"/>
              </w:rPr>
            </w:pPr>
            <w:r>
              <w:rPr>
                <w:rFonts w:ascii="Arial" w:cs="Arial" w:eastAsia="Arial" w:hAnsi="Arial"/>
                <w:sz w:val="14"/>
                <w:szCs w:val="14"/>
                <w:b w:val="1"/>
                <w:bCs w:val="1"/>
                <w:color w:val="auto"/>
              </w:rPr>
              <w:t>-</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ind w:right="248"/>
              <w:spacing w:after="0"/>
              <w:rPr>
                <w:sz w:val="20"/>
                <w:szCs w:val="20"/>
                <w:color w:val="auto"/>
              </w:rPr>
            </w:pPr>
            <w:r>
              <w:rPr>
                <w:rFonts w:ascii="Arial" w:cs="Arial" w:eastAsia="Arial" w:hAnsi="Arial"/>
                <w:sz w:val="14"/>
                <w:szCs w:val="14"/>
                <w:color w:val="auto"/>
              </w:rPr>
              <w:t>(543)</w:t>
            </w:r>
          </w:p>
        </w:tc>
        <w:tc>
          <w:tcPr>
            <w:tcW w:w="600" w:type="dxa"/>
            <w:vAlign w:val="bottom"/>
          </w:tcPr>
          <w:p>
            <w:pPr>
              <w:jc w:val="right"/>
              <w:spacing w:after="0"/>
              <w:rPr>
                <w:sz w:val="20"/>
                <w:szCs w:val="20"/>
                <w:color w:val="auto"/>
              </w:rPr>
            </w:pPr>
            <w:r>
              <w:rPr>
                <w:rFonts w:ascii="Arial" w:cs="Arial" w:eastAsia="Arial" w:hAnsi="Arial"/>
                <w:sz w:val="14"/>
                <w:szCs w:val="14"/>
                <w:color w:val="auto"/>
              </w:rPr>
              <w:t>(0.20)</w:t>
            </w:r>
          </w:p>
        </w:tc>
        <w:tc>
          <w:tcPr>
            <w:tcW w:w="220" w:type="dxa"/>
            <w:vAlign w:val="bottom"/>
          </w:tcPr>
          <w:p>
            <w:pPr>
              <w:spacing w:after="0"/>
              <w:rPr>
                <w:sz w:val="18"/>
                <w:szCs w:val="18"/>
                <w:color w:val="auto"/>
              </w:rPr>
            </w:pPr>
          </w:p>
        </w:tc>
        <w:tc>
          <w:tcPr>
            <w:tcW w:w="980" w:type="dxa"/>
            <w:vAlign w:val="bottom"/>
          </w:tcPr>
          <w:p>
            <w:pPr>
              <w:jc w:val="right"/>
              <w:ind w:right="428"/>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center"/>
              <w:ind w:left="88"/>
              <w:spacing w:after="0"/>
              <w:rPr>
                <w:sz w:val="20"/>
                <w:szCs w:val="20"/>
                <w:color w:val="auto"/>
              </w:rPr>
            </w:pPr>
            <w:r>
              <w:rPr>
                <w:rFonts w:ascii="Arial" w:cs="Arial" w:eastAsia="Arial" w:hAnsi="Arial"/>
                <w:sz w:val="14"/>
                <w:szCs w:val="14"/>
                <w:b w:val="1"/>
                <w:bCs w:val="1"/>
                <w:color w:val="auto"/>
                <w:w w:val="84"/>
              </w:rPr>
              <w:t>-</w:t>
            </w:r>
          </w:p>
        </w:tc>
        <w:tc>
          <w:tcPr>
            <w:tcW w:w="0" w:type="dxa"/>
            <w:vAlign w:val="bottom"/>
          </w:tcPr>
          <w:p>
            <w:pPr>
              <w:spacing w:after="0"/>
              <w:rPr>
                <w:sz w:val="1"/>
                <w:szCs w:val="1"/>
                <w:color w:val="auto"/>
              </w:rPr>
            </w:pPr>
          </w:p>
        </w:tc>
      </w:tr>
      <w:tr>
        <w:trPr>
          <w:trHeight w:val="176"/>
        </w:trPr>
        <w:tc>
          <w:tcPr>
            <w:tcW w:w="4000" w:type="dxa"/>
            <w:vAlign w:val="bottom"/>
          </w:tcPr>
          <w:p>
            <w:pPr>
              <w:ind w:left="440"/>
              <w:spacing w:after="0"/>
              <w:rPr>
                <w:sz w:val="20"/>
                <w:szCs w:val="20"/>
                <w:color w:val="auto"/>
              </w:rPr>
            </w:pPr>
            <w:r>
              <w:rPr>
                <w:rFonts w:ascii="Arial" w:cs="Arial" w:eastAsia="Arial" w:hAnsi="Arial"/>
                <w:sz w:val="14"/>
                <w:szCs w:val="14"/>
                <w:color w:val="auto"/>
              </w:rPr>
              <w:t>Gain on sale of investment in A&amp;E</w:t>
            </w:r>
            <w:r>
              <w:rPr>
                <w:rFonts w:ascii="Arial" w:cs="Arial" w:eastAsia="Arial" w:hAnsi="Arial"/>
                <w:sz w:val="14"/>
                <w:szCs w:val="14"/>
                <w:color w:val="auto"/>
                <w:vertAlign w:val="superscript"/>
              </w:rPr>
              <w:t>(4)</w:t>
            </w:r>
          </w:p>
        </w:tc>
        <w:tc>
          <w:tcPr>
            <w:tcW w:w="98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0" w:type="dxa"/>
            <w:vAlign w:val="bottom"/>
          </w:tcPr>
          <w:p>
            <w:pPr>
              <w:jc w:val="center"/>
              <w:ind w:right="8"/>
              <w:spacing w:after="0"/>
              <w:rPr>
                <w:sz w:val="20"/>
                <w:szCs w:val="20"/>
                <w:color w:val="auto"/>
              </w:rPr>
            </w:pPr>
            <w:r>
              <w:rPr>
                <w:rFonts w:ascii="Arial" w:cs="Arial" w:eastAsia="Arial" w:hAnsi="Arial"/>
                <w:sz w:val="14"/>
                <w:szCs w:val="14"/>
                <w:b w:val="1"/>
                <w:bCs w:val="1"/>
                <w:color w:val="auto"/>
                <w:w w:val="84"/>
              </w:rPr>
              <w:t>-</w:t>
            </w:r>
          </w:p>
        </w:tc>
        <w:tc>
          <w:tcPr>
            <w:tcW w:w="580" w:type="dxa"/>
            <w:vAlign w:val="bottom"/>
          </w:tcPr>
          <w:p>
            <w:pPr>
              <w:jc w:val="center"/>
              <w:ind w:left="88"/>
              <w:spacing w:after="0"/>
              <w:rPr>
                <w:sz w:val="20"/>
                <w:szCs w:val="20"/>
                <w:color w:val="auto"/>
              </w:rPr>
            </w:pPr>
            <w:r>
              <w:rPr>
                <w:rFonts w:ascii="Arial" w:cs="Arial" w:eastAsia="Arial" w:hAnsi="Arial"/>
                <w:sz w:val="14"/>
                <w:szCs w:val="14"/>
                <w:b w:val="1"/>
                <w:bCs w:val="1"/>
                <w:color w:val="auto"/>
              </w:rPr>
              <w:t>-</w:t>
            </w: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right"/>
              <w:ind w:right="248"/>
              <w:spacing w:after="0"/>
              <w:rPr>
                <w:sz w:val="20"/>
                <w:szCs w:val="20"/>
                <w:color w:val="auto"/>
              </w:rPr>
            </w:pPr>
            <w:r>
              <w:rPr>
                <w:rFonts w:ascii="Arial" w:cs="Arial" w:eastAsia="Arial" w:hAnsi="Arial"/>
                <w:sz w:val="14"/>
                <w:szCs w:val="14"/>
                <w:color w:val="auto"/>
              </w:rPr>
              <w:t>(319)</w:t>
            </w:r>
          </w:p>
        </w:tc>
        <w:tc>
          <w:tcPr>
            <w:tcW w:w="600" w:type="dxa"/>
            <w:vAlign w:val="bottom"/>
          </w:tcPr>
          <w:p>
            <w:pPr>
              <w:jc w:val="right"/>
              <w:spacing w:after="0"/>
              <w:rPr>
                <w:sz w:val="20"/>
                <w:szCs w:val="20"/>
                <w:color w:val="auto"/>
              </w:rPr>
            </w:pPr>
            <w:r>
              <w:rPr>
                <w:rFonts w:ascii="Arial" w:cs="Arial" w:eastAsia="Arial" w:hAnsi="Arial"/>
                <w:sz w:val="14"/>
                <w:szCs w:val="14"/>
                <w:color w:val="auto"/>
              </w:rPr>
              <w:t>(0.12)</w:t>
            </w:r>
          </w:p>
        </w:tc>
        <w:tc>
          <w:tcPr>
            <w:tcW w:w="220" w:type="dxa"/>
            <w:vAlign w:val="bottom"/>
          </w:tcPr>
          <w:p>
            <w:pPr>
              <w:spacing w:after="0"/>
              <w:rPr>
                <w:sz w:val="15"/>
                <w:szCs w:val="15"/>
                <w:color w:val="auto"/>
              </w:rPr>
            </w:pPr>
          </w:p>
        </w:tc>
        <w:tc>
          <w:tcPr>
            <w:tcW w:w="980" w:type="dxa"/>
            <w:vAlign w:val="bottom"/>
          </w:tcPr>
          <w:p>
            <w:pPr>
              <w:jc w:val="right"/>
              <w:ind w:right="428"/>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center"/>
              <w:ind w:left="88"/>
              <w:spacing w:after="0"/>
              <w:rPr>
                <w:sz w:val="20"/>
                <w:szCs w:val="20"/>
                <w:color w:val="auto"/>
              </w:rPr>
            </w:pPr>
            <w:r>
              <w:rPr>
                <w:rFonts w:ascii="Arial" w:cs="Arial" w:eastAsia="Arial" w:hAnsi="Arial"/>
                <w:sz w:val="14"/>
                <w:szCs w:val="14"/>
                <w:b w:val="1"/>
                <w:bCs w:val="1"/>
                <w:color w:val="auto"/>
                <w:w w:val="84"/>
              </w:rPr>
              <w:t>-</w:t>
            </w:r>
          </w:p>
        </w:tc>
        <w:tc>
          <w:tcPr>
            <w:tcW w:w="0" w:type="dxa"/>
            <w:vAlign w:val="bottom"/>
          </w:tcPr>
          <w:p>
            <w:pPr>
              <w:spacing w:after="0"/>
              <w:rPr>
                <w:sz w:val="1"/>
                <w:szCs w:val="1"/>
                <w:color w:val="auto"/>
              </w:rPr>
            </w:pPr>
          </w:p>
        </w:tc>
      </w:tr>
      <w:tr>
        <w:trPr>
          <w:trHeight w:val="176"/>
        </w:trPr>
        <w:tc>
          <w:tcPr>
            <w:tcW w:w="4000" w:type="dxa"/>
            <w:vAlign w:val="bottom"/>
          </w:tcPr>
          <w:p>
            <w:pPr>
              <w:ind w:left="440"/>
              <w:spacing w:after="0"/>
              <w:rPr>
                <w:sz w:val="20"/>
                <w:szCs w:val="20"/>
                <w:color w:val="auto"/>
              </w:rPr>
            </w:pPr>
            <w:r>
              <w:rPr>
                <w:rFonts w:ascii="Arial" w:cs="Arial" w:eastAsia="Arial" w:hAnsi="Arial"/>
                <w:sz w:val="14"/>
                <w:szCs w:val="14"/>
                <w:color w:val="auto"/>
              </w:rPr>
              <w:t>Favorable income tax adjustments</w:t>
            </w:r>
            <w:r>
              <w:rPr>
                <w:rFonts w:ascii="Arial" w:cs="Arial" w:eastAsia="Arial" w:hAnsi="Arial"/>
                <w:sz w:val="14"/>
                <w:szCs w:val="14"/>
                <w:color w:val="auto"/>
                <w:vertAlign w:val="superscript"/>
              </w:rPr>
              <w:t>(5)</w:t>
            </w:r>
          </w:p>
        </w:tc>
        <w:tc>
          <w:tcPr>
            <w:tcW w:w="980" w:type="dxa"/>
            <w:vAlign w:val="bottom"/>
          </w:tcPr>
          <w:p>
            <w:pPr>
              <w:jc w:val="right"/>
              <w:ind w:right="248"/>
              <w:spacing w:after="0"/>
              <w:rPr>
                <w:sz w:val="20"/>
                <w:szCs w:val="20"/>
                <w:color w:val="auto"/>
              </w:rPr>
            </w:pPr>
            <w:r>
              <w:rPr>
                <w:rFonts w:ascii="Arial" w:cs="Arial" w:eastAsia="Arial" w:hAnsi="Arial"/>
                <w:sz w:val="14"/>
                <w:szCs w:val="14"/>
                <w:color w:val="auto"/>
              </w:rPr>
              <w:t>(109)</w:t>
            </w:r>
          </w:p>
        </w:tc>
        <w:tc>
          <w:tcPr>
            <w:tcW w:w="620" w:type="dxa"/>
            <w:vAlign w:val="bottom"/>
          </w:tcPr>
          <w:p>
            <w:pPr>
              <w:jc w:val="right"/>
              <w:spacing w:after="0"/>
              <w:rPr>
                <w:sz w:val="20"/>
                <w:szCs w:val="20"/>
                <w:color w:val="auto"/>
              </w:rPr>
            </w:pPr>
            <w:r>
              <w:rPr>
                <w:rFonts w:ascii="Arial" w:cs="Arial" w:eastAsia="Arial" w:hAnsi="Arial"/>
                <w:sz w:val="14"/>
                <w:szCs w:val="14"/>
                <w:color w:val="auto"/>
              </w:rPr>
              <w:t>(0.04)</w:t>
            </w:r>
          </w:p>
        </w:tc>
        <w:tc>
          <w:tcPr>
            <w:tcW w:w="220" w:type="dxa"/>
            <w:vAlign w:val="bottom"/>
          </w:tcPr>
          <w:p>
            <w:pPr>
              <w:spacing w:after="0"/>
              <w:rPr>
                <w:sz w:val="15"/>
                <w:szCs w:val="15"/>
                <w:color w:val="auto"/>
              </w:rPr>
            </w:pPr>
          </w:p>
        </w:tc>
        <w:tc>
          <w:tcPr>
            <w:tcW w:w="1000" w:type="dxa"/>
            <w:vAlign w:val="bottom"/>
          </w:tcPr>
          <w:p>
            <w:pPr>
              <w:jc w:val="right"/>
              <w:ind w:right="268"/>
              <w:spacing w:after="0"/>
              <w:rPr>
                <w:sz w:val="20"/>
                <w:szCs w:val="20"/>
                <w:color w:val="auto"/>
              </w:rPr>
            </w:pPr>
            <w:r>
              <w:rPr>
                <w:rFonts w:ascii="Arial" w:cs="Arial" w:eastAsia="Arial" w:hAnsi="Arial"/>
                <w:sz w:val="14"/>
                <w:szCs w:val="14"/>
                <w:b w:val="1"/>
                <w:bCs w:val="1"/>
                <w:color w:val="auto"/>
              </w:rPr>
              <w:t>(158)</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(0.06)</w:t>
            </w: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right"/>
              <w:ind w:right="248"/>
              <w:spacing w:after="0"/>
              <w:rPr>
                <w:sz w:val="20"/>
                <w:szCs w:val="20"/>
                <w:color w:val="auto"/>
              </w:rPr>
            </w:pPr>
            <w:r>
              <w:rPr>
                <w:rFonts w:ascii="Arial" w:cs="Arial" w:eastAsia="Arial" w:hAnsi="Arial"/>
                <w:sz w:val="14"/>
                <w:szCs w:val="14"/>
                <w:color w:val="auto"/>
              </w:rPr>
              <w:t>(109)</w:t>
            </w:r>
          </w:p>
        </w:tc>
        <w:tc>
          <w:tcPr>
            <w:tcW w:w="600" w:type="dxa"/>
            <w:vAlign w:val="bottom"/>
          </w:tcPr>
          <w:p>
            <w:pPr>
              <w:jc w:val="right"/>
              <w:spacing w:after="0"/>
              <w:rPr>
                <w:sz w:val="20"/>
                <w:szCs w:val="20"/>
                <w:color w:val="auto"/>
              </w:rPr>
            </w:pPr>
            <w:r>
              <w:rPr>
                <w:rFonts w:ascii="Arial" w:cs="Arial" w:eastAsia="Arial" w:hAnsi="Arial"/>
                <w:sz w:val="14"/>
                <w:szCs w:val="14"/>
                <w:color w:val="auto"/>
              </w:rPr>
              <w:t>(0.03)</w:t>
            </w:r>
          </w:p>
        </w:tc>
        <w:tc>
          <w:tcPr>
            <w:tcW w:w="220" w:type="dxa"/>
            <w:vAlign w:val="bottom"/>
          </w:tcPr>
          <w:p>
            <w:pPr>
              <w:spacing w:after="0"/>
              <w:rPr>
                <w:sz w:val="15"/>
                <w:szCs w:val="15"/>
                <w:color w:val="auto"/>
              </w:rPr>
            </w:pPr>
          </w:p>
        </w:tc>
        <w:tc>
          <w:tcPr>
            <w:tcW w:w="980" w:type="dxa"/>
            <w:vAlign w:val="bottom"/>
          </w:tcPr>
          <w:p>
            <w:pPr>
              <w:jc w:val="right"/>
              <w:ind w:right="248"/>
              <w:spacing w:after="0"/>
              <w:rPr>
                <w:sz w:val="20"/>
                <w:szCs w:val="20"/>
                <w:color w:val="auto"/>
              </w:rPr>
            </w:pPr>
            <w:r>
              <w:rPr>
                <w:rFonts w:ascii="Arial" w:cs="Arial" w:eastAsia="Arial" w:hAnsi="Arial"/>
                <w:sz w:val="14"/>
                <w:szCs w:val="14"/>
                <w:b w:val="1"/>
                <w:bCs w:val="1"/>
                <w:color w:val="auto"/>
              </w:rPr>
              <w:t>(158)</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(0.06)</w:t>
            </w:r>
          </w:p>
        </w:tc>
        <w:tc>
          <w:tcPr>
            <w:tcW w:w="0" w:type="dxa"/>
            <w:vAlign w:val="bottom"/>
          </w:tcPr>
          <w:p>
            <w:pPr>
              <w:spacing w:after="0"/>
              <w:rPr>
                <w:sz w:val="1"/>
                <w:szCs w:val="1"/>
                <w:color w:val="auto"/>
              </w:rPr>
            </w:pPr>
          </w:p>
        </w:tc>
      </w:tr>
      <w:tr>
        <w:trPr>
          <w:trHeight w:val="176"/>
        </w:trPr>
        <w:tc>
          <w:tcPr>
            <w:tcW w:w="4000" w:type="dxa"/>
            <w:vAlign w:val="bottom"/>
          </w:tcPr>
          <w:p>
            <w:pPr>
              <w:ind w:left="440"/>
              <w:spacing w:after="0"/>
              <w:rPr>
                <w:sz w:val="20"/>
                <w:szCs w:val="20"/>
                <w:color w:val="auto"/>
              </w:rPr>
            </w:pPr>
            <w:r>
              <w:rPr>
                <w:rFonts w:ascii="Arial" w:cs="Arial" w:eastAsia="Arial" w:hAnsi="Arial"/>
                <w:sz w:val="14"/>
                <w:szCs w:val="14"/>
                <w:color w:val="auto"/>
              </w:rPr>
              <w:t>Gain on sale of wireless spectrum licenses</w:t>
            </w:r>
            <w:r>
              <w:rPr>
                <w:rFonts w:ascii="Arial" w:cs="Arial" w:eastAsia="Arial" w:hAnsi="Arial"/>
                <w:sz w:val="14"/>
                <w:szCs w:val="14"/>
                <w:color w:val="auto"/>
                <w:vertAlign w:val="superscript"/>
              </w:rPr>
              <w:t>(6)</w:t>
            </w:r>
          </w:p>
        </w:tc>
        <w:tc>
          <w:tcPr>
            <w:tcW w:w="98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0" w:type="dxa"/>
            <w:vAlign w:val="bottom"/>
          </w:tcPr>
          <w:p>
            <w:pPr>
              <w:jc w:val="center"/>
              <w:ind w:right="8"/>
              <w:spacing w:after="0"/>
              <w:rPr>
                <w:sz w:val="20"/>
                <w:szCs w:val="20"/>
                <w:color w:val="auto"/>
              </w:rPr>
            </w:pPr>
            <w:r>
              <w:rPr>
                <w:rFonts w:ascii="Arial" w:cs="Arial" w:eastAsia="Arial" w:hAnsi="Arial"/>
                <w:sz w:val="14"/>
                <w:szCs w:val="14"/>
                <w:b w:val="1"/>
                <w:bCs w:val="1"/>
                <w:color w:val="auto"/>
                <w:w w:val="84"/>
              </w:rPr>
              <w:t>-</w:t>
            </w:r>
          </w:p>
        </w:tc>
        <w:tc>
          <w:tcPr>
            <w:tcW w:w="580" w:type="dxa"/>
            <w:vAlign w:val="bottom"/>
          </w:tcPr>
          <w:p>
            <w:pPr>
              <w:jc w:val="center"/>
              <w:ind w:left="88"/>
              <w:spacing w:after="0"/>
              <w:rPr>
                <w:sz w:val="20"/>
                <w:szCs w:val="20"/>
                <w:color w:val="auto"/>
              </w:rPr>
            </w:pPr>
            <w:r>
              <w:rPr>
                <w:rFonts w:ascii="Arial" w:cs="Arial" w:eastAsia="Arial" w:hAnsi="Arial"/>
                <w:sz w:val="14"/>
                <w:szCs w:val="14"/>
                <w:b w:val="1"/>
                <w:bCs w:val="1"/>
                <w:color w:val="auto"/>
              </w:rPr>
              <w:t>-</w:t>
            </w: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980" w:type="dxa"/>
            <w:vAlign w:val="bottom"/>
          </w:tcPr>
          <w:p>
            <w:pPr>
              <w:jc w:val="right"/>
              <w:ind w:right="248"/>
              <w:spacing w:after="0"/>
              <w:rPr>
                <w:sz w:val="20"/>
                <w:szCs w:val="20"/>
                <w:color w:val="auto"/>
              </w:rPr>
            </w:pPr>
            <w:r>
              <w:rPr>
                <w:rFonts w:ascii="Arial" w:cs="Arial" w:eastAsia="Arial" w:hAnsi="Arial"/>
                <w:sz w:val="14"/>
                <w:szCs w:val="14"/>
                <w:b w:val="1"/>
                <w:bCs w:val="1"/>
                <w:color w:val="auto"/>
              </w:rPr>
              <w:t>(67)</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(0.03)</w:t>
            </w:r>
          </w:p>
        </w:tc>
        <w:tc>
          <w:tcPr>
            <w:tcW w:w="0" w:type="dxa"/>
            <w:vAlign w:val="bottom"/>
          </w:tcPr>
          <w:p>
            <w:pPr>
              <w:spacing w:after="0"/>
              <w:rPr>
                <w:sz w:val="1"/>
                <w:szCs w:val="1"/>
                <w:color w:val="auto"/>
              </w:rPr>
            </w:pPr>
          </w:p>
        </w:tc>
      </w:tr>
      <w:tr>
        <w:trPr>
          <w:trHeight w:val="176"/>
        </w:trPr>
        <w:tc>
          <w:tcPr>
            <w:tcW w:w="4000" w:type="dxa"/>
            <w:vAlign w:val="bottom"/>
          </w:tcPr>
          <w:p>
            <w:pPr>
              <w:ind w:left="440"/>
              <w:spacing w:after="0"/>
              <w:rPr>
                <w:sz w:val="20"/>
                <w:szCs w:val="20"/>
                <w:color w:val="auto"/>
              </w:rPr>
            </w:pPr>
            <w:r>
              <w:rPr>
                <w:rFonts w:ascii="Arial" w:cs="Arial" w:eastAsia="Arial" w:hAnsi="Arial"/>
                <w:sz w:val="14"/>
                <w:szCs w:val="14"/>
                <w:color w:val="auto"/>
              </w:rPr>
              <w:t>Gain on sale of investment in Clearwire</w:t>
            </w:r>
            <w:r>
              <w:rPr>
                <w:rFonts w:ascii="Arial" w:cs="Arial" w:eastAsia="Arial" w:hAnsi="Arial"/>
                <w:sz w:val="14"/>
                <w:szCs w:val="14"/>
                <w:color w:val="auto"/>
                <w:vertAlign w:val="superscript"/>
              </w:rPr>
              <w:t>(7)</w:t>
            </w:r>
          </w:p>
        </w:tc>
        <w:tc>
          <w:tcPr>
            <w:tcW w:w="98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0" w:type="dxa"/>
            <w:vAlign w:val="bottom"/>
          </w:tcPr>
          <w:p>
            <w:pPr>
              <w:jc w:val="center"/>
              <w:ind w:right="8"/>
              <w:spacing w:after="0"/>
              <w:rPr>
                <w:sz w:val="20"/>
                <w:szCs w:val="20"/>
                <w:color w:val="auto"/>
              </w:rPr>
            </w:pPr>
            <w:r>
              <w:rPr>
                <w:rFonts w:ascii="Arial" w:cs="Arial" w:eastAsia="Arial" w:hAnsi="Arial"/>
                <w:sz w:val="14"/>
                <w:szCs w:val="14"/>
                <w:b w:val="1"/>
                <w:bCs w:val="1"/>
                <w:color w:val="auto"/>
                <w:w w:val="84"/>
              </w:rPr>
              <w:t>-</w:t>
            </w:r>
          </w:p>
        </w:tc>
        <w:tc>
          <w:tcPr>
            <w:tcW w:w="580" w:type="dxa"/>
            <w:vAlign w:val="bottom"/>
          </w:tcPr>
          <w:p>
            <w:pPr>
              <w:jc w:val="center"/>
              <w:ind w:left="88"/>
              <w:spacing w:after="0"/>
              <w:rPr>
                <w:sz w:val="20"/>
                <w:szCs w:val="20"/>
                <w:color w:val="auto"/>
              </w:rPr>
            </w:pPr>
            <w:r>
              <w:rPr>
                <w:rFonts w:ascii="Arial" w:cs="Arial" w:eastAsia="Arial" w:hAnsi="Arial"/>
                <w:sz w:val="14"/>
                <w:szCs w:val="14"/>
                <w:b w:val="1"/>
                <w:bCs w:val="1"/>
                <w:color w:val="auto"/>
              </w:rPr>
              <w:t>-</w:t>
            </w: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980" w:type="dxa"/>
            <w:vAlign w:val="bottom"/>
          </w:tcPr>
          <w:p>
            <w:pPr>
              <w:jc w:val="right"/>
              <w:ind w:right="248"/>
              <w:spacing w:after="0"/>
              <w:rPr>
                <w:sz w:val="20"/>
                <w:szCs w:val="20"/>
                <w:color w:val="auto"/>
              </w:rPr>
            </w:pPr>
            <w:r>
              <w:rPr>
                <w:rFonts w:ascii="Arial" w:cs="Arial" w:eastAsia="Arial" w:hAnsi="Arial"/>
                <w:sz w:val="14"/>
                <w:szCs w:val="14"/>
                <w:b w:val="1"/>
                <w:bCs w:val="1"/>
                <w:color w:val="auto"/>
              </w:rPr>
              <w:t>(279)</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(0.11)</w:t>
            </w:r>
          </w:p>
        </w:tc>
        <w:tc>
          <w:tcPr>
            <w:tcW w:w="0" w:type="dxa"/>
            <w:vAlign w:val="bottom"/>
          </w:tcPr>
          <w:p>
            <w:pPr>
              <w:spacing w:after="0"/>
              <w:rPr>
                <w:sz w:val="1"/>
                <w:szCs w:val="1"/>
                <w:color w:val="auto"/>
              </w:rPr>
            </w:pPr>
          </w:p>
        </w:tc>
      </w:tr>
      <w:tr>
        <w:trPr>
          <w:trHeight w:val="176"/>
        </w:trPr>
        <w:tc>
          <w:tcPr>
            <w:tcW w:w="4000" w:type="dxa"/>
            <w:vAlign w:val="bottom"/>
          </w:tcPr>
          <w:p>
            <w:pPr>
              <w:ind w:left="440"/>
              <w:spacing w:after="0"/>
              <w:rPr>
                <w:sz w:val="20"/>
                <w:szCs w:val="20"/>
                <w:color w:val="auto"/>
              </w:rPr>
            </w:pPr>
            <w:r>
              <w:rPr>
                <w:rFonts w:ascii="Arial" w:cs="Arial" w:eastAsia="Arial" w:hAnsi="Arial"/>
                <w:sz w:val="14"/>
                <w:szCs w:val="14"/>
                <w:color w:val="auto"/>
              </w:rPr>
              <w:t>Pension termination costs</w:t>
            </w:r>
            <w:r>
              <w:rPr>
                <w:rFonts w:ascii="Arial" w:cs="Arial" w:eastAsia="Arial" w:hAnsi="Arial"/>
                <w:sz w:val="14"/>
                <w:szCs w:val="14"/>
                <w:color w:val="auto"/>
                <w:vertAlign w:val="superscript"/>
              </w:rPr>
              <w:t>(8)</w:t>
            </w:r>
          </w:p>
        </w:tc>
        <w:tc>
          <w:tcPr>
            <w:tcW w:w="98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0" w:type="dxa"/>
            <w:vAlign w:val="bottom"/>
          </w:tcPr>
          <w:p>
            <w:pPr>
              <w:jc w:val="center"/>
              <w:ind w:right="8"/>
              <w:spacing w:after="0"/>
              <w:rPr>
                <w:sz w:val="20"/>
                <w:szCs w:val="20"/>
                <w:color w:val="auto"/>
              </w:rPr>
            </w:pPr>
            <w:r>
              <w:rPr>
                <w:rFonts w:ascii="Arial" w:cs="Arial" w:eastAsia="Arial" w:hAnsi="Arial"/>
                <w:sz w:val="14"/>
                <w:szCs w:val="14"/>
                <w:b w:val="1"/>
                <w:bCs w:val="1"/>
                <w:color w:val="auto"/>
                <w:w w:val="84"/>
              </w:rPr>
              <w:t>-</w:t>
            </w:r>
          </w:p>
        </w:tc>
        <w:tc>
          <w:tcPr>
            <w:tcW w:w="580" w:type="dxa"/>
            <w:vAlign w:val="bottom"/>
          </w:tcPr>
          <w:p>
            <w:pPr>
              <w:jc w:val="center"/>
              <w:ind w:left="88"/>
              <w:spacing w:after="0"/>
              <w:rPr>
                <w:sz w:val="20"/>
                <w:szCs w:val="20"/>
                <w:color w:val="auto"/>
              </w:rPr>
            </w:pPr>
            <w:r>
              <w:rPr>
                <w:rFonts w:ascii="Arial" w:cs="Arial" w:eastAsia="Arial" w:hAnsi="Arial"/>
                <w:sz w:val="14"/>
                <w:szCs w:val="14"/>
                <w:b w:val="1"/>
                <w:bCs w:val="1"/>
                <w:color w:val="auto"/>
              </w:rPr>
              <w:t>-</w:t>
            </w: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980" w:type="dxa"/>
            <w:vAlign w:val="bottom"/>
          </w:tcPr>
          <w:p>
            <w:pPr>
              <w:jc w:val="right"/>
              <w:ind w:right="288"/>
              <w:spacing w:after="0"/>
              <w:rPr>
                <w:sz w:val="20"/>
                <w:szCs w:val="20"/>
                <w:color w:val="auto"/>
              </w:rPr>
            </w:pPr>
            <w:r>
              <w:rPr>
                <w:rFonts w:ascii="Arial" w:cs="Arial" w:eastAsia="Arial" w:hAnsi="Arial"/>
                <w:sz w:val="14"/>
                <w:szCs w:val="14"/>
                <w:b w:val="1"/>
                <w:bCs w:val="1"/>
                <w:color w:val="auto"/>
              </w:rPr>
              <w:t>46</w:t>
            </w:r>
          </w:p>
        </w:tc>
        <w:tc>
          <w:tcPr>
            <w:tcW w:w="600" w:type="dxa"/>
            <w:vAlign w:val="bottom"/>
          </w:tcPr>
          <w:p>
            <w:pPr>
              <w:jc w:val="right"/>
              <w:ind w:right="8"/>
              <w:spacing w:after="0"/>
              <w:rPr>
                <w:sz w:val="20"/>
                <w:szCs w:val="20"/>
                <w:color w:val="auto"/>
              </w:rPr>
            </w:pPr>
            <w:r>
              <w:rPr>
                <w:rFonts w:ascii="Arial" w:cs="Arial" w:eastAsia="Arial" w:hAnsi="Arial"/>
                <w:sz w:val="14"/>
                <w:szCs w:val="14"/>
                <w:b w:val="1"/>
                <w:bCs w:val="1"/>
                <w:color w:val="auto"/>
              </w:rPr>
              <w:t>0.02</w:t>
            </w:r>
          </w:p>
        </w:tc>
        <w:tc>
          <w:tcPr>
            <w:tcW w:w="0" w:type="dxa"/>
            <w:vAlign w:val="bottom"/>
          </w:tcPr>
          <w:p>
            <w:pPr>
              <w:spacing w:after="0"/>
              <w:rPr>
                <w:sz w:val="1"/>
                <w:szCs w:val="1"/>
                <w:color w:val="auto"/>
              </w:rPr>
            </w:pPr>
          </w:p>
        </w:tc>
      </w:tr>
      <w:tr>
        <w:trPr>
          <w:trHeight w:val="198"/>
        </w:trPr>
        <w:tc>
          <w:tcPr>
            <w:tcW w:w="4000" w:type="dxa"/>
            <w:vAlign w:val="bottom"/>
          </w:tcPr>
          <w:p>
            <w:pPr>
              <w:ind w:left="440"/>
              <w:spacing w:after="0"/>
              <w:rPr>
                <w:sz w:val="20"/>
                <w:szCs w:val="20"/>
                <w:color w:val="auto"/>
              </w:rPr>
            </w:pPr>
            <w:r>
              <w:rPr>
                <w:rFonts w:ascii="Arial" w:cs="Arial" w:eastAsia="Arial" w:hAnsi="Arial"/>
                <w:sz w:val="14"/>
                <w:szCs w:val="14"/>
                <w:color w:val="auto"/>
              </w:rPr>
              <w:t>Losses on investments</w:t>
            </w:r>
            <w:r>
              <w:rPr>
                <w:rFonts w:ascii="Arial" w:cs="Arial" w:eastAsia="Arial" w:hAnsi="Arial"/>
                <w:sz w:val="14"/>
                <w:szCs w:val="14"/>
                <w:color w:val="auto"/>
                <w:vertAlign w:val="superscript"/>
              </w:rPr>
              <w:t>(9)</w:t>
            </w:r>
          </w:p>
        </w:tc>
        <w:tc>
          <w:tcPr>
            <w:tcW w:w="98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000" w:type="dxa"/>
            <w:vAlign w:val="bottom"/>
          </w:tcPr>
          <w:p>
            <w:pPr>
              <w:jc w:val="center"/>
              <w:ind w:right="8"/>
              <w:spacing w:after="0"/>
              <w:rPr>
                <w:sz w:val="20"/>
                <w:szCs w:val="20"/>
                <w:color w:val="auto"/>
              </w:rPr>
            </w:pPr>
            <w:r>
              <w:rPr>
                <w:rFonts w:ascii="Arial" w:cs="Arial" w:eastAsia="Arial" w:hAnsi="Arial"/>
                <w:sz w:val="14"/>
                <w:szCs w:val="14"/>
                <w:b w:val="1"/>
                <w:bCs w:val="1"/>
                <w:color w:val="auto"/>
                <w:w w:val="84"/>
              </w:rPr>
              <w:t>-</w:t>
            </w:r>
          </w:p>
        </w:tc>
        <w:tc>
          <w:tcPr>
            <w:tcW w:w="580" w:type="dxa"/>
            <w:vAlign w:val="bottom"/>
          </w:tcPr>
          <w:p>
            <w:pPr>
              <w:jc w:val="center"/>
              <w:ind w:left="88"/>
              <w:spacing w:after="0"/>
              <w:rPr>
                <w:sz w:val="20"/>
                <w:szCs w:val="20"/>
                <w:color w:val="auto"/>
              </w:rPr>
            </w:pPr>
            <w:r>
              <w:rPr>
                <w:rFonts w:ascii="Arial" w:cs="Arial" w:eastAsia="Arial" w:hAnsi="Arial"/>
                <w:sz w:val="14"/>
                <w:szCs w:val="14"/>
                <w:b w:val="1"/>
                <w:bCs w:val="1"/>
                <w:color w:val="auto"/>
              </w:rPr>
              <w:t>-</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980" w:type="dxa"/>
            <w:vAlign w:val="bottom"/>
          </w:tcPr>
          <w:p>
            <w:pPr>
              <w:jc w:val="right"/>
              <w:ind w:right="288"/>
              <w:spacing w:after="0"/>
              <w:rPr>
                <w:sz w:val="20"/>
                <w:szCs w:val="20"/>
                <w:color w:val="auto"/>
              </w:rPr>
            </w:pPr>
            <w:r>
              <w:rPr>
                <w:rFonts w:ascii="Arial" w:cs="Arial" w:eastAsia="Arial" w:hAnsi="Arial"/>
                <w:sz w:val="14"/>
                <w:szCs w:val="14"/>
                <w:b w:val="1"/>
                <w:bCs w:val="1"/>
                <w:color w:val="auto"/>
              </w:rPr>
              <w:t>234</w:t>
            </w:r>
          </w:p>
        </w:tc>
        <w:tc>
          <w:tcPr>
            <w:tcW w:w="600" w:type="dxa"/>
            <w:vAlign w:val="bottom"/>
          </w:tcPr>
          <w:p>
            <w:pPr>
              <w:jc w:val="right"/>
              <w:ind w:right="8"/>
              <w:spacing w:after="0"/>
              <w:rPr>
                <w:sz w:val="20"/>
                <w:szCs w:val="20"/>
                <w:color w:val="auto"/>
              </w:rPr>
            </w:pPr>
            <w:r>
              <w:rPr>
                <w:rFonts w:ascii="Arial" w:cs="Arial" w:eastAsia="Arial" w:hAnsi="Arial"/>
                <w:sz w:val="14"/>
                <w:szCs w:val="14"/>
                <w:b w:val="1"/>
                <w:bCs w:val="1"/>
                <w:color w:val="auto"/>
              </w:rPr>
              <w:t>0.09</w:t>
            </w:r>
          </w:p>
        </w:tc>
        <w:tc>
          <w:tcPr>
            <w:tcW w:w="0" w:type="dxa"/>
            <w:vAlign w:val="bottom"/>
          </w:tcPr>
          <w:p>
            <w:pPr>
              <w:spacing w:after="0"/>
              <w:rPr>
                <w:sz w:val="1"/>
                <w:szCs w:val="1"/>
                <w:color w:val="auto"/>
              </w:rPr>
            </w:pPr>
          </w:p>
        </w:tc>
      </w:tr>
      <w:tr>
        <w:trPr>
          <w:trHeight w:val="206"/>
        </w:trPr>
        <w:tc>
          <w:tcPr>
            <w:tcW w:w="4000" w:type="dxa"/>
            <w:vAlign w:val="bottom"/>
          </w:tcPr>
          <w:p>
            <w:pPr>
              <w:spacing w:after="0"/>
              <w:rPr>
                <w:sz w:val="20"/>
                <w:szCs w:val="20"/>
                <w:color w:val="auto"/>
              </w:rPr>
            </w:pPr>
            <w:r>
              <w:rPr>
                <w:rFonts w:ascii="Arial" w:cs="Arial" w:eastAsia="Arial" w:hAnsi="Arial"/>
                <w:sz w:val="14"/>
                <w:szCs w:val="14"/>
                <w:color w:val="auto"/>
              </w:rPr>
              <w:t>Net income attributable to Comcast Corporation</w:t>
            </w:r>
          </w:p>
        </w:tc>
        <w:tc>
          <w:tcPr>
            <w:tcW w:w="9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4000" w:type="dxa"/>
            <w:vAlign w:val="bottom"/>
          </w:tcPr>
          <w:p>
            <w:pPr>
              <w:ind w:left="260"/>
              <w:spacing w:after="0"/>
              <w:rPr>
                <w:sz w:val="20"/>
                <w:szCs w:val="20"/>
                <w:color w:val="auto"/>
              </w:rPr>
            </w:pPr>
            <w:r>
              <w:rPr>
                <w:rFonts w:ascii="Arial" w:cs="Arial" w:eastAsia="Arial" w:hAnsi="Arial"/>
                <w:sz w:val="14"/>
                <w:szCs w:val="14"/>
                <w:color w:val="auto"/>
              </w:rPr>
              <w:t>(excluding gains and losses related to</w:t>
            </w:r>
          </w:p>
        </w:tc>
        <w:tc>
          <w:tcPr>
            <w:tcW w:w="9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000" w:type="dxa"/>
            <w:vAlign w:val="bottom"/>
          </w:tcPr>
          <w:p>
            <w:pPr>
              <w:ind w:left="260"/>
              <w:spacing w:after="0"/>
              <w:rPr>
                <w:sz w:val="20"/>
                <w:szCs w:val="20"/>
                <w:color w:val="auto"/>
              </w:rPr>
            </w:pPr>
            <w:r>
              <w:rPr>
                <w:rFonts w:ascii="Arial" w:cs="Arial" w:eastAsia="Arial" w:hAnsi="Arial"/>
                <w:sz w:val="14"/>
                <w:szCs w:val="14"/>
                <w:color w:val="auto"/>
              </w:rPr>
              <w:t>investments, favorable income tax</w:t>
            </w:r>
          </w:p>
        </w:tc>
        <w:tc>
          <w:tcPr>
            <w:tcW w:w="9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00" w:type="dxa"/>
            <w:vAlign w:val="bottom"/>
          </w:tcPr>
          <w:p>
            <w:pPr>
              <w:ind w:left="260"/>
              <w:spacing w:after="0"/>
              <w:rPr>
                <w:sz w:val="20"/>
                <w:szCs w:val="20"/>
                <w:color w:val="auto"/>
              </w:rPr>
            </w:pPr>
            <w:r>
              <w:rPr>
                <w:rFonts w:ascii="Arial" w:cs="Arial" w:eastAsia="Arial" w:hAnsi="Arial"/>
                <w:sz w:val="14"/>
                <w:szCs w:val="14"/>
                <w:color w:val="auto"/>
              </w:rPr>
              <w:t>adjustments, gain on sale of wireless</w:t>
            </w:r>
          </w:p>
        </w:tc>
        <w:tc>
          <w:tcPr>
            <w:tcW w:w="9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00" w:type="dxa"/>
            <w:vAlign w:val="bottom"/>
          </w:tcPr>
          <w:p>
            <w:pPr>
              <w:ind w:left="260"/>
              <w:spacing w:after="0"/>
              <w:rPr>
                <w:sz w:val="20"/>
                <w:szCs w:val="20"/>
                <w:color w:val="auto"/>
              </w:rPr>
            </w:pPr>
            <w:r>
              <w:rPr>
                <w:rFonts w:ascii="Arial" w:cs="Arial" w:eastAsia="Arial" w:hAnsi="Arial"/>
                <w:sz w:val="14"/>
                <w:szCs w:val="14"/>
                <w:color w:val="auto"/>
              </w:rPr>
              <w:t>spectrum licenses and pension termination</w:t>
            </w:r>
          </w:p>
        </w:tc>
        <w:tc>
          <w:tcPr>
            <w:tcW w:w="980" w:type="dxa"/>
            <w:vAlign w:val="bottom"/>
            <w:vMerge w:val="restart"/>
          </w:tcPr>
          <w:p>
            <w:pPr>
              <w:jc w:val="right"/>
              <w:ind w:right="288"/>
              <w:spacing w:after="0"/>
              <w:rPr>
                <w:sz w:val="20"/>
                <w:szCs w:val="20"/>
                <w:color w:val="auto"/>
              </w:rPr>
            </w:pPr>
            <w:r>
              <w:rPr>
                <w:rFonts w:ascii="Arial" w:cs="Arial" w:eastAsia="Arial" w:hAnsi="Arial"/>
                <w:sz w:val="14"/>
                <w:szCs w:val="14"/>
                <w:color w:val="auto"/>
              </w:rPr>
              <w:t>$1,409</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$0.52</w:t>
            </w:r>
          </w:p>
        </w:tc>
        <w:tc>
          <w:tcPr>
            <w:tcW w:w="220" w:type="dxa"/>
            <w:vAlign w:val="bottom"/>
          </w:tcPr>
          <w:p>
            <w:pPr>
              <w:spacing w:after="0"/>
              <w:rPr>
                <w:sz w:val="14"/>
                <w:szCs w:val="14"/>
                <w:color w:val="auto"/>
              </w:rPr>
            </w:pPr>
          </w:p>
        </w:tc>
        <w:tc>
          <w:tcPr>
            <w:tcW w:w="100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$1,755</w:t>
            </w: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$0.66</w:t>
            </w: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vMerge w:val="restart"/>
          </w:tcPr>
          <w:p>
            <w:pPr>
              <w:jc w:val="right"/>
              <w:ind w:right="308"/>
              <w:spacing w:after="0"/>
              <w:rPr>
                <w:sz w:val="20"/>
                <w:szCs w:val="20"/>
                <w:color w:val="auto"/>
              </w:rPr>
            </w:pPr>
            <w:r>
              <w:rPr>
                <w:rFonts w:ascii="Arial" w:cs="Arial" w:eastAsia="Arial" w:hAnsi="Arial"/>
                <w:sz w:val="14"/>
                <w:szCs w:val="14"/>
                <w:color w:val="auto"/>
              </w:rPr>
              <w:t>$5,232</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$1.93</w:t>
            </w:r>
          </w:p>
        </w:tc>
        <w:tc>
          <w:tcPr>
            <w:tcW w:w="220" w:type="dxa"/>
            <w:vAlign w:val="bottom"/>
          </w:tcPr>
          <w:p>
            <w:pPr>
              <w:spacing w:after="0"/>
              <w:rPr>
                <w:sz w:val="14"/>
                <w:szCs w:val="14"/>
                <w:color w:val="auto"/>
              </w:rPr>
            </w:pPr>
          </w:p>
        </w:tc>
        <w:tc>
          <w:tcPr>
            <w:tcW w:w="98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$6,592</w:t>
            </w:r>
          </w:p>
        </w:tc>
        <w:tc>
          <w:tcPr>
            <w:tcW w:w="60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$2.47</w:t>
            </w:r>
          </w:p>
        </w:tc>
        <w:tc>
          <w:tcPr>
            <w:tcW w:w="0" w:type="dxa"/>
            <w:vAlign w:val="bottom"/>
          </w:tcPr>
          <w:p>
            <w:pPr>
              <w:spacing w:after="0"/>
              <w:rPr>
                <w:sz w:val="1"/>
                <w:szCs w:val="1"/>
                <w:color w:val="auto"/>
              </w:rPr>
            </w:pPr>
          </w:p>
        </w:tc>
      </w:tr>
      <w:tr>
        <w:trPr>
          <w:trHeight w:val="149"/>
        </w:trPr>
        <w:tc>
          <w:tcPr>
            <w:tcW w:w="4000" w:type="dxa"/>
            <w:vAlign w:val="bottom"/>
          </w:tcPr>
          <w:p>
            <w:pPr>
              <w:ind w:left="260"/>
              <w:spacing w:after="0" w:line="144" w:lineRule="exact"/>
              <w:rPr>
                <w:sz w:val="20"/>
                <w:szCs w:val="20"/>
                <w:color w:val="auto"/>
              </w:rPr>
            </w:pPr>
            <w:r>
              <w:rPr>
                <w:rFonts w:ascii="Arial" w:cs="Arial" w:eastAsia="Arial" w:hAnsi="Arial"/>
                <w:sz w:val="14"/>
                <w:szCs w:val="14"/>
                <w:color w:val="auto"/>
              </w:rPr>
              <w:t>costs)</w:t>
            </w:r>
          </w:p>
        </w:tc>
        <w:tc>
          <w:tcPr>
            <w:tcW w:w="980" w:type="dxa"/>
            <w:vAlign w:val="bottom"/>
            <w:tcBorders>
              <w:bottom w:val="single" w:sz="8" w:color="auto"/>
            </w:tcBorders>
            <w:vMerge w:val="continue"/>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Borders>
              <w:bottom w:val="single" w:sz="8" w:color="auto"/>
            </w:tcBorders>
            <w:vMerge w:val="continue"/>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Borders>
              <w:bottom w:val="single" w:sz="8" w:color="auto"/>
            </w:tcBorders>
            <w:vMerge w:val="continue"/>
          </w:tcPr>
          <w:p>
            <w:pPr>
              <w:spacing w:after="0"/>
              <w:rPr>
                <w:sz w:val="12"/>
                <w:szCs w:val="12"/>
                <w:color w:val="auto"/>
              </w:rPr>
            </w:pPr>
          </w:p>
        </w:tc>
        <w:tc>
          <w:tcPr>
            <w:tcW w:w="60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Borders>
              <w:bottom w:val="single" w:sz="8" w:color="auto"/>
            </w:tcBorders>
            <w:vMerge w:val="continue"/>
          </w:tcPr>
          <w:p>
            <w:pPr>
              <w:spacing w:after="0"/>
              <w:rPr>
                <w:sz w:val="12"/>
                <w:szCs w:val="12"/>
                <w:color w:val="auto"/>
              </w:rPr>
            </w:pPr>
          </w:p>
        </w:tc>
        <w:tc>
          <w:tcPr>
            <w:tcW w:w="6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4000" w:type="dxa"/>
            <w:vAlign w:val="bottom"/>
          </w:tcPr>
          <w:p>
            <w:pPr>
              <w:spacing w:after="0"/>
              <w:rPr>
                <w:sz w:val="20"/>
                <w:szCs w:val="20"/>
                <w:color w:val="auto"/>
              </w:rPr>
            </w:pPr>
            <w:r>
              <w:rPr>
                <w:rFonts w:ascii="Arial" w:cs="Arial" w:eastAsia="Arial" w:hAnsi="Arial"/>
                <w:sz w:val="14"/>
                <w:szCs w:val="14"/>
                <w:i w:val="1"/>
                <w:iCs w:val="1"/>
                <w:color w:val="auto"/>
              </w:rPr>
              <w:t>Growth %</w:t>
            </w:r>
          </w:p>
        </w:tc>
        <w:tc>
          <w:tcPr>
            <w:tcW w:w="9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4"/>
                <w:szCs w:val="14"/>
                <w:i w:val="1"/>
                <w:iCs w:val="1"/>
                <w:color w:val="auto"/>
              </w:rPr>
              <w:t>24.5%</w:t>
            </w:r>
          </w:p>
        </w:tc>
        <w:tc>
          <w:tcPr>
            <w:tcW w:w="720" w:type="dxa"/>
            <w:vAlign w:val="bottom"/>
            <w:gridSpan w:val="2"/>
          </w:tcPr>
          <w:p>
            <w:pPr>
              <w:jc w:val="center"/>
              <w:spacing w:after="0"/>
              <w:rPr>
                <w:sz w:val="20"/>
                <w:szCs w:val="20"/>
                <w:color w:val="auto"/>
              </w:rPr>
            </w:pPr>
            <w:r>
              <w:rPr>
                <w:rFonts w:ascii="Arial" w:cs="Arial" w:eastAsia="Arial" w:hAnsi="Arial"/>
                <w:sz w:val="14"/>
                <w:szCs w:val="14"/>
                <w:i w:val="1"/>
                <w:iCs w:val="1"/>
                <w:color w:val="auto"/>
              </w:rPr>
              <w:t>26.9%</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228"/>
              <w:spacing w:after="0"/>
              <w:rPr>
                <w:sz w:val="20"/>
                <w:szCs w:val="20"/>
                <w:color w:val="auto"/>
              </w:rPr>
            </w:pPr>
            <w:r>
              <w:rPr>
                <w:rFonts w:ascii="Arial" w:cs="Arial" w:eastAsia="Arial" w:hAnsi="Arial"/>
                <w:sz w:val="14"/>
                <w:szCs w:val="14"/>
                <w:i w:val="1"/>
                <w:iCs w:val="1"/>
                <w:color w:val="auto"/>
              </w:rPr>
              <w:t>26.0%</w:t>
            </w:r>
          </w:p>
        </w:tc>
        <w:tc>
          <w:tcPr>
            <w:tcW w:w="600" w:type="dxa"/>
            <w:vAlign w:val="bottom"/>
          </w:tcPr>
          <w:p>
            <w:pPr>
              <w:jc w:val="center"/>
              <w:ind w:left="108"/>
              <w:spacing w:after="0"/>
              <w:rPr>
                <w:sz w:val="20"/>
                <w:szCs w:val="20"/>
                <w:color w:val="auto"/>
              </w:rPr>
            </w:pPr>
            <w:r>
              <w:rPr>
                <w:rFonts w:ascii="Arial" w:cs="Arial" w:eastAsia="Arial" w:hAnsi="Arial"/>
                <w:sz w:val="14"/>
                <w:szCs w:val="14"/>
                <w:i w:val="1"/>
                <w:iCs w:val="1"/>
                <w:color w:val="auto"/>
              </w:rPr>
              <w:t>28.0%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7" w:lineRule="exact"/>
        <w:rPr>
          <w:sz w:val="20"/>
          <w:szCs w:val="20"/>
          <w:color w:val="auto"/>
        </w:rPr>
      </w:pPr>
    </w:p>
    <w:p>
      <w:pPr>
        <w:ind w:left="340" w:right="140" w:hanging="332"/>
        <w:spacing w:after="0" w:line="241" w:lineRule="auto"/>
        <w:tabs>
          <w:tab w:leader="none" w:pos="327" w:val="left"/>
        </w:tabs>
        <w:numPr>
          <w:ilvl w:val="0"/>
          <w:numId w:val="7"/>
        </w:numPr>
        <w:rPr>
          <w:rFonts w:ascii="Arial" w:cs="Arial" w:eastAsia="Arial" w:hAnsi="Arial"/>
          <w:sz w:val="14"/>
          <w:szCs w:val="14"/>
          <w:color w:val="auto"/>
        </w:rPr>
      </w:pPr>
      <w:r>
        <w:rPr>
          <w:rFonts w:ascii="Arial" w:cs="Arial" w:eastAsia="Arial" w:hAnsi="Arial"/>
          <w:sz w:val="14"/>
          <w:szCs w:val="14"/>
          <w:color w:val="auto"/>
        </w:rPr>
        <w:t>Net Cash Provided by Operating Activities includes $1.4 billion of cash payments associated with the termination in December 2013 of NBCUniversal’s receivables monetization programs. For free cash flow purposes, we consider the termination to be similar to a financing transaction and therefore exclude the cash payments from free cash flow along with other nonoperating items.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7"/>
        </w:numPr>
        <w:rPr>
          <w:rFonts w:ascii="Arial" w:cs="Arial" w:eastAsia="Arial" w:hAnsi="Arial"/>
          <w:sz w:val="14"/>
          <w:szCs w:val="14"/>
          <w:color w:val="auto"/>
        </w:rPr>
      </w:pPr>
      <w:r>
        <w:rPr>
          <w:rFonts w:ascii="Arial" w:cs="Arial" w:eastAsia="Arial" w:hAnsi="Arial"/>
          <w:sz w:val="14"/>
          <w:szCs w:val="14"/>
          <w:color w:val="auto"/>
        </w:rPr>
        <w:t>Based on diluted weighted-average number of common shares for the respective periods as presented in Table 1.</w:t>
      </w:r>
    </w:p>
    <w:p>
      <w:pPr>
        <w:spacing w:after="0" w:line="1" w:lineRule="exact"/>
        <w:rPr>
          <w:rFonts w:ascii="Arial" w:cs="Arial" w:eastAsia="Arial" w:hAnsi="Arial"/>
          <w:sz w:val="14"/>
          <w:szCs w:val="14"/>
          <w:color w:val="auto"/>
        </w:rPr>
      </w:pPr>
    </w:p>
    <w:p>
      <w:pPr>
        <w:ind w:left="340" w:right="20" w:hanging="332"/>
        <w:spacing w:after="0" w:line="241" w:lineRule="auto"/>
        <w:tabs>
          <w:tab w:leader="none" w:pos="327" w:val="left"/>
        </w:tabs>
        <w:numPr>
          <w:ilvl w:val="0"/>
          <w:numId w:val="7"/>
        </w:numPr>
        <w:rPr>
          <w:rFonts w:ascii="Arial" w:cs="Arial" w:eastAsia="Arial" w:hAnsi="Arial"/>
          <w:sz w:val="14"/>
          <w:szCs w:val="14"/>
          <w:color w:val="auto"/>
        </w:rPr>
      </w:pPr>
      <w:r>
        <w:rPr>
          <w:rFonts w:ascii="Arial" w:cs="Arial" w:eastAsia="Arial" w:hAnsi="Arial"/>
          <w:sz w:val="14"/>
          <w:szCs w:val="14"/>
          <w:color w:val="auto"/>
        </w:rPr>
        <w:t>2012 year to date net income attributable to Comcast Corporation includes $876 million of equity in net income of investees, $543 million net of tax, resulting from our share of the gain on SpectrumCo’s sale of wireless spectrum licenses.</w:t>
      </w:r>
    </w:p>
    <w:p>
      <w:pPr>
        <w:ind w:left="340" w:right="20" w:hanging="332"/>
        <w:spacing w:after="0" w:line="241" w:lineRule="auto"/>
        <w:tabs>
          <w:tab w:leader="none" w:pos="327" w:val="left"/>
        </w:tabs>
        <w:numPr>
          <w:ilvl w:val="0"/>
          <w:numId w:val="7"/>
        </w:numPr>
        <w:rPr>
          <w:rFonts w:ascii="Arial" w:cs="Arial" w:eastAsia="Arial" w:hAnsi="Arial"/>
          <w:sz w:val="14"/>
          <w:szCs w:val="14"/>
          <w:color w:val="auto"/>
        </w:rPr>
      </w:pPr>
      <w:r>
        <w:rPr>
          <w:rFonts w:ascii="Arial" w:cs="Arial" w:eastAsia="Arial" w:hAnsi="Arial"/>
          <w:sz w:val="14"/>
          <w:szCs w:val="14"/>
          <w:color w:val="auto"/>
        </w:rPr>
        <w:t>2012 year to date net income attributable to Comcast Corporation includes $1 billion of other income, $319 million net of tax and noncontrolling interest, resulting from the sale of the investment in A&amp;E Television Networks.</w:t>
      </w:r>
    </w:p>
    <w:p>
      <w:pPr>
        <w:jc w:val="both"/>
        <w:ind w:left="340" w:right="380" w:hanging="332"/>
        <w:spacing w:after="0" w:line="241" w:lineRule="auto"/>
        <w:tabs>
          <w:tab w:leader="none" w:pos="327" w:val="left"/>
        </w:tabs>
        <w:numPr>
          <w:ilvl w:val="0"/>
          <w:numId w:val="7"/>
        </w:numPr>
        <w:rPr>
          <w:rFonts w:ascii="Arial" w:cs="Arial" w:eastAsia="Arial" w:hAnsi="Arial"/>
          <w:sz w:val="14"/>
          <w:szCs w:val="14"/>
          <w:color w:val="auto"/>
        </w:rPr>
      </w:pPr>
      <w:r>
        <w:rPr>
          <w:rFonts w:ascii="Arial" w:cs="Arial" w:eastAsia="Arial" w:hAnsi="Arial"/>
          <w:sz w:val="14"/>
          <w:szCs w:val="14"/>
          <w:color w:val="auto"/>
        </w:rPr>
        <w:t>4th quarter 2013 net income attributable to Comcast Corporation includes $158 million of favorable income tax adjustments resulting from the exchange transaction with Liberty Media Corporation. 4th quarter 2012 net income attributable to Comcast Corporation includes a $109 million favorable tax adjustment due to changes in state tax legislation.</w:t>
      </w:r>
    </w:p>
    <w:p>
      <w:pPr>
        <w:spacing w:after="0" w:line="1" w:lineRule="exact"/>
        <w:rPr>
          <w:rFonts w:ascii="Arial" w:cs="Arial" w:eastAsia="Arial" w:hAnsi="Arial"/>
          <w:sz w:val="14"/>
          <w:szCs w:val="14"/>
          <w:color w:val="auto"/>
        </w:rPr>
      </w:pPr>
    </w:p>
    <w:p>
      <w:pPr>
        <w:ind w:left="340" w:right="260" w:hanging="332"/>
        <w:spacing w:after="0" w:line="241" w:lineRule="auto"/>
        <w:tabs>
          <w:tab w:leader="none" w:pos="327" w:val="left"/>
        </w:tabs>
        <w:numPr>
          <w:ilvl w:val="0"/>
          <w:numId w:val="7"/>
        </w:numPr>
        <w:rPr>
          <w:rFonts w:ascii="Arial" w:cs="Arial" w:eastAsia="Arial" w:hAnsi="Arial"/>
          <w:sz w:val="14"/>
          <w:szCs w:val="14"/>
          <w:color w:val="auto"/>
        </w:rPr>
      </w:pPr>
      <w:r>
        <w:rPr>
          <w:rFonts w:ascii="Arial" w:cs="Arial" w:eastAsia="Arial" w:hAnsi="Arial"/>
          <w:sz w:val="14"/>
          <w:szCs w:val="14"/>
          <w:color w:val="auto"/>
        </w:rPr>
        <w:t>2013 year to date net income attributable to Comcast Corporation includes $108 million of other income, $67 million net of tax, resulting from a gain on the sale of wireless spectrum licenses.</w:t>
      </w:r>
    </w:p>
    <w:p>
      <w:pPr>
        <w:ind w:left="340" w:right="40" w:hanging="332"/>
        <w:spacing w:after="0" w:line="241" w:lineRule="auto"/>
        <w:tabs>
          <w:tab w:leader="none" w:pos="327" w:val="left"/>
        </w:tabs>
        <w:numPr>
          <w:ilvl w:val="0"/>
          <w:numId w:val="7"/>
        </w:numPr>
        <w:rPr>
          <w:rFonts w:ascii="Arial" w:cs="Arial" w:eastAsia="Arial" w:hAnsi="Arial"/>
          <w:sz w:val="14"/>
          <w:szCs w:val="14"/>
          <w:color w:val="auto"/>
        </w:rPr>
      </w:pPr>
      <w:r>
        <w:rPr>
          <w:rFonts w:ascii="Arial" w:cs="Arial" w:eastAsia="Arial" w:hAnsi="Arial"/>
          <w:sz w:val="14"/>
          <w:szCs w:val="14"/>
          <w:color w:val="auto"/>
        </w:rPr>
        <w:t>2013 year to date net income attributable to Comcast Corporation includes $443 million of investment income, $279 million net of tax, resulting from the sale of the investment in Clearwire.</w:t>
      </w:r>
    </w:p>
    <w:p>
      <w:pPr>
        <w:ind w:left="340" w:hanging="332"/>
        <w:spacing w:after="0" w:line="241" w:lineRule="auto"/>
        <w:tabs>
          <w:tab w:leader="none" w:pos="327" w:val="left"/>
        </w:tabs>
        <w:numPr>
          <w:ilvl w:val="0"/>
          <w:numId w:val="7"/>
        </w:numPr>
        <w:rPr>
          <w:rFonts w:ascii="Arial" w:cs="Arial" w:eastAsia="Arial" w:hAnsi="Arial"/>
          <w:sz w:val="14"/>
          <w:szCs w:val="14"/>
          <w:color w:val="auto"/>
        </w:rPr>
      </w:pPr>
      <w:r>
        <w:rPr>
          <w:rFonts w:ascii="Arial" w:cs="Arial" w:eastAsia="Arial" w:hAnsi="Arial"/>
          <w:sz w:val="14"/>
          <w:szCs w:val="14"/>
          <w:color w:val="auto"/>
        </w:rPr>
        <w:t>2013 year to date net income attributable to Comcast Corporation includes $74 million of other operating and administrative expenses, $46 million net of tax, resulting from the termination of a pension plan.</w:t>
      </w:r>
    </w:p>
    <w:p>
      <w:pPr>
        <w:ind w:left="340" w:right="160" w:hanging="332"/>
        <w:spacing w:after="0" w:line="258" w:lineRule="auto"/>
        <w:tabs>
          <w:tab w:leader="none" w:pos="327" w:val="left"/>
        </w:tabs>
        <w:numPr>
          <w:ilvl w:val="0"/>
          <w:numId w:val="7"/>
        </w:numPr>
        <w:rPr>
          <w:rFonts w:ascii="Arial" w:cs="Arial" w:eastAsia="Arial" w:hAnsi="Arial"/>
          <w:sz w:val="14"/>
          <w:szCs w:val="14"/>
          <w:color w:val="auto"/>
        </w:rPr>
      </w:pPr>
      <w:r>
        <w:rPr>
          <w:rFonts w:ascii="Arial" w:cs="Arial" w:eastAsia="Arial" w:hAnsi="Arial"/>
          <w:sz w:val="14"/>
          <w:szCs w:val="14"/>
          <w:color w:val="auto"/>
        </w:rPr>
        <w:t>2013 year to date net income attributable to Comcast Corporation includes $371 million of expense ($236 million of other expense and $135 million of equity in net losses of investees), $234 million net of tax, resulting from losses on investments.</w:t>
      </w: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w:t>
      </w:r>
      <w:r>
        <w:rPr>
          <w:rFonts w:ascii="Arial" w:cs="Arial" w:eastAsia="Arial" w:hAnsi="Arial"/>
          <w:sz w:val="14"/>
          <w:szCs w:val="14"/>
          <w:color w:val="auto"/>
        </w:rPr>
        <w:t xml:space="preserve"> Minor differences may exist due to rounding.</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b w:val="1"/>
          <w:bCs w:val="1"/>
          <w:color w:val="C9C9C9"/>
        </w:rPr>
        <w:t>TABLE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246620" cy="4114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p>
      <w:pPr>
        <w:spacing w:after="0" w:line="2" w:lineRule="exact"/>
        <w:rPr>
          <w:sz w:val="20"/>
          <w:szCs w:val="20"/>
          <w:color w:val="auto"/>
        </w:rPr>
      </w:pPr>
    </w:p>
    <w:p>
      <w:pPr>
        <w:ind w:right="2120"/>
        <w:spacing w:after="0" w:line="246" w:lineRule="auto"/>
        <w:rPr>
          <w:sz w:val="20"/>
          <w:szCs w:val="20"/>
          <w:color w:val="auto"/>
        </w:rPr>
      </w:pPr>
      <w:r>
        <w:rPr>
          <w:rFonts w:ascii="Arial" w:cs="Arial" w:eastAsia="Arial" w:hAnsi="Arial"/>
          <w:sz w:val="18"/>
          <w:szCs w:val="18"/>
          <w:b w:val="1"/>
          <w:bCs w:val="1"/>
          <w:color w:val="C9C9C9"/>
        </w:rPr>
        <w:t>Reconciliation of Consolidated Revenue Excluding 2012 Olympics and Super Bowl and Operating Cash Flow Excluding 2012 Olympics and Pension Termination Costs (Unaudited)</w:t>
      </w:r>
    </w:p>
    <w:p>
      <w:pPr>
        <w:spacing w:after="0" w:line="91"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0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360" w:type="dxa"/>
            <w:vAlign w:val="bottom"/>
            <w:gridSpan w:val="5"/>
          </w:tcPr>
          <w:p>
            <w:pPr>
              <w:jc w:val="center"/>
              <w:ind w:left="748"/>
              <w:spacing w:after="0"/>
              <w:rPr>
                <w:sz w:val="20"/>
                <w:szCs w:val="20"/>
                <w:color w:val="auto"/>
              </w:rPr>
            </w:pPr>
            <w:r>
              <w:rPr>
                <w:rFonts w:ascii="Arial" w:cs="Arial" w:eastAsia="Arial" w:hAnsi="Arial"/>
                <w:sz w:val="14"/>
                <w:szCs w:val="14"/>
                <w:b w:val="1"/>
                <w:bCs w:val="1"/>
                <w:color w:val="auto"/>
              </w:rPr>
              <w:t>Twelve Months Ended</w:t>
            </w:r>
          </w:p>
        </w:tc>
        <w:tc>
          <w:tcPr>
            <w:tcW w:w="820" w:type="dxa"/>
            <w:vAlign w:val="bottom"/>
          </w:tcPr>
          <w:p>
            <w:pPr>
              <w:spacing w:after="0"/>
              <w:rPr>
                <w:sz w:val="14"/>
                <w:szCs w:val="14"/>
                <w:color w:val="auto"/>
              </w:rPr>
            </w:pPr>
          </w:p>
        </w:tc>
      </w:tr>
      <w:tr>
        <w:trPr>
          <w:trHeight w:val="190"/>
        </w:trPr>
        <w:tc>
          <w:tcPr>
            <w:tcW w:w="4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6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Pr>
          <w:p>
            <w:pPr>
              <w:spacing w:after="0"/>
              <w:rPr>
                <w:sz w:val="16"/>
                <w:szCs w:val="16"/>
                <w:color w:val="auto"/>
              </w:rPr>
            </w:pPr>
          </w:p>
        </w:tc>
      </w:tr>
      <w:tr>
        <w:trPr>
          <w:trHeight w:val="309"/>
        </w:trPr>
        <w:tc>
          <w:tcPr>
            <w:tcW w:w="4280" w:type="dxa"/>
            <w:vAlign w:val="bottom"/>
          </w:tcPr>
          <w:p>
            <w:pPr>
              <w:spacing w:after="0"/>
              <w:rPr>
                <w:sz w:val="20"/>
                <w:szCs w:val="20"/>
                <w:color w:val="auto"/>
              </w:rPr>
            </w:pPr>
            <w:r>
              <w:rPr>
                <w:rFonts w:ascii="Arial" w:cs="Arial" w:eastAsia="Arial" w:hAnsi="Arial"/>
                <w:sz w:val="14"/>
                <w:szCs w:val="14"/>
                <w:color w:val="auto"/>
              </w:rPr>
              <w:t>(in millions)</w:t>
            </w:r>
          </w:p>
        </w:tc>
        <w:tc>
          <w:tcPr>
            <w:tcW w:w="8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2012</w:t>
            </w:r>
          </w:p>
        </w:tc>
        <w:tc>
          <w:tcPr>
            <w:tcW w:w="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Growth %</w:t>
            </w:r>
          </w:p>
        </w:tc>
        <w:tc>
          <w:tcPr>
            <w:tcW w:w="2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2012</w:t>
            </w:r>
          </w:p>
        </w:tc>
        <w:tc>
          <w:tcPr>
            <w:tcW w:w="220" w:type="dxa"/>
            <w:vAlign w:val="bottom"/>
          </w:tcPr>
          <w:p>
            <w:pPr>
              <w:spacing w:after="0"/>
              <w:rPr>
                <w:sz w:val="24"/>
                <w:szCs w:val="2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Growth %</w:t>
            </w:r>
          </w:p>
        </w:tc>
      </w:tr>
      <w:tr>
        <w:trPr>
          <w:trHeight w:val="292"/>
        </w:trPr>
        <w:tc>
          <w:tcPr>
            <w:tcW w:w="4280" w:type="dxa"/>
            <w:vAlign w:val="bottom"/>
          </w:tcPr>
          <w:p>
            <w:pPr>
              <w:spacing w:after="0"/>
              <w:rPr>
                <w:sz w:val="20"/>
                <w:szCs w:val="20"/>
                <w:color w:val="auto"/>
              </w:rPr>
            </w:pPr>
            <w:r>
              <w:rPr>
                <w:rFonts w:ascii="Arial" w:cs="Arial" w:eastAsia="Arial" w:hAnsi="Arial"/>
                <w:sz w:val="14"/>
                <w:szCs w:val="14"/>
                <w:color w:val="auto"/>
              </w:rPr>
              <w:t>Revenue</w:t>
            </w:r>
          </w:p>
        </w:tc>
        <w:tc>
          <w:tcPr>
            <w:tcW w:w="880" w:type="dxa"/>
            <w:vAlign w:val="bottom"/>
          </w:tcPr>
          <w:p>
            <w:pPr>
              <w:jc w:val="right"/>
              <w:spacing w:after="0"/>
              <w:rPr>
                <w:sz w:val="20"/>
                <w:szCs w:val="20"/>
                <w:color w:val="auto"/>
              </w:rPr>
            </w:pPr>
            <w:r>
              <w:rPr>
                <w:rFonts w:ascii="Arial" w:cs="Arial" w:eastAsia="Arial" w:hAnsi="Arial"/>
                <w:sz w:val="14"/>
                <w:szCs w:val="14"/>
                <w:color w:val="auto"/>
              </w:rPr>
              <w:t>$15,937</w:t>
            </w:r>
          </w:p>
        </w:tc>
        <w:tc>
          <w:tcPr>
            <w:tcW w:w="120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$16,926</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6.2%</w:t>
            </w:r>
          </w:p>
        </w:tc>
        <w:tc>
          <w:tcPr>
            <w:tcW w:w="2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$62,570</w:t>
            </w:r>
          </w:p>
        </w:tc>
        <w:tc>
          <w:tcPr>
            <w:tcW w:w="114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$64,657</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3.3%</w:t>
            </w:r>
          </w:p>
        </w:tc>
      </w:tr>
      <w:tr>
        <w:trPr>
          <w:trHeight w:val="296"/>
        </w:trPr>
        <w:tc>
          <w:tcPr>
            <w:tcW w:w="4280" w:type="dxa"/>
            <w:vAlign w:val="bottom"/>
          </w:tcPr>
          <w:p>
            <w:pPr>
              <w:spacing w:after="0"/>
              <w:rPr>
                <w:sz w:val="20"/>
                <w:szCs w:val="20"/>
                <w:color w:val="auto"/>
              </w:rPr>
            </w:pPr>
            <w:r>
              <w:rPr>
                <w:rFonts w:ascii="Arial" w:cs="Arial" w:eastAsia="Arial" w:hAnsi="Arial"/>
                <w:sz w:val="14"/>
                <w:szCs w:val="14"/>
                <w:color w:val="auto"/>
              </w:rPr>
              <w:t>2012 Olympics</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(1,188)</w:t>
            </w:r>
          </w:p>
        </w:tc>
        <w:tc>
          <w:tcPr>
            <w:tcW w:w="114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5"/>
        </w:trPr>
        <w:tc>
          <w:tcPr>
            <w:tcW w:w="4280" w:type="dxa"/>
            <w:vAlign w:val="bottom"/>
          </w:tcPr>
          <w:p>
            <w:pPr>
              <w:spacing w:after="0"/>
              <w:rPr>
                <w:sz w:val="20"/>
                <w:szCs w:val="20"/>
                <w:color w:val="auto"/>
              </w:rPr>
            </w:pPr>
            <w:r>
              <w:rPr>
                <w:rFonts w:ascii="Arial" w:cs="Arial" w:eastAsia="Arial" w:hAnsi="Arial"/>
                <w:sz w:val="14"/>
                <w:szCs w:val="14"/>
                <w:color w:val="auto"/>
              </w:rPr>
              <w:t>Super Bowl</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(259)</w:t>
            </w:r>
          </w:p>
        </w:tc>
        <w:tc>
          <w:tcPr>
            <w:tcW w:w="220" w:type="dxa"/>
            <w:vAlign w:val="bottom"/>
          </w:tcPr>
          <w:p>
            <w:pPr>
              <w:spacing w:after="0"/>
              <w:rPr>
                <w:sz w:val="15"/>
                <w:szCs w:val="15"/>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77"/>
        </w:trPr>
        <w:tc>
          <w:tcPr>
            <w:tcW w:w="4280" w:type="dxa"/>
            <w:vAlign w:val="bottom"/>
          </w:tcPr>
          <w:p>
            <w:pPr>
              <w:spacing w:after="0"/>
              <w:rPr>
                <w:sz w:val="20"/>
                <w:szCs w:val="20"/>
                <w:color w:val="auto"/>
              </w:rPr>
            </w:pPr>
            <w:r>
              <w:rPr>
                <w:rFonts w:ascii="Arial" w:cs="Arial" w:eastAsia="Arial" w:hAnsi="Arial"/>
                <w:sz w:val="14"/>
                <w:szCs w:val="14"/>
                <w:color w:val="auto"/>
              </w:rPr>
              <w:t>Revenue excluding 2012 Olympics and Super Bowl</w:t>
            </w:r>
          </w:p>
        </w:tc>
        <w:tc>
          <w:tcPr>
            <w:tcW w:w="880" w:type="dxa"/>
            <w:vAlign w:val="bottom"/>
          </w:tcPr>
          <w:p>
            <w:pPr>
              <w:jc w:val="right"/>
              <w:spacing w:after="0"/>
              <w:rPr>
                <w:sz w:val="20"/>
                <w:szCs w:val="20"/>
                <w:color w:val="auto"/>
              </w:rPr>
            </w:pPr>
            <w:r>
              <w:rPr>
                <w:rFonts w:ascii="Arial" w:cs="Arial" w:eastAsia="Arial" w:hAnsi="Arial"/>
                <w:sz w:val="14"/>
                <w:szCs w:val="14"/>
                <w:color w:val="auto"/>
              </w:rPr>
              <w:t>$15,937</w:t>
            </w:r>
          </w:p>
        </w:tc>
        <w:tc>
          <w:tcPr>
            <w:tcW w:w="120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$16,926</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6.2%</w:t>
            </w:r>
          </w:p>
        </w:tc>
        <w:tc>
          <w:tcPr>
            <w:tcW w:w="2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$61,123</w:t>
            </w:r>
          </w:p>
        </w:tc>
        <w:tc>
          <w:tcPr>
            <w:tcW w:w="114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$64,657</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5.8%</w:t>
            </w:r>
          </w:p>
        </w:tc>
      </w:tr>
      <w:tr>
        <w:trPr>
          <w:trHeight w:val="20"/>
        </w:trPr>
        <w:tc>
          <w:tcPr>
            <w:tcW w:w="42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456"/>
        </w:trPr>
        <w:tc>
          <w:tcPr>
            <w:tcW w:w="4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900" w:orient="portrait"/>
          <w:cols w:equalWidth="0" w:num="1">
            <w:col w:w="11420"/>
          </w:cols>
          <w:pgMar w:left="240" w:top="140" w:right="239" w:bottom="0" w:gutter="0" w:footer="0" w:header="0"/>
        </w:sectPr>
      </w:pPr>
    </w:p>
    <w:bookmarkStart w:id="10" w:name="page11"/>
    <w:bookmarkEnd w:id="10"/>
    <w:p>
      <w:pPr>
        <w:spacing w:after="0" w:line="1"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4280" w:type="dxa"/>
            <w:vAlign w:val="bottom"/>
          </w:tcPr>
          <w:p>
            <w:pPr>
              <w:spacing w:after="0"/>
              <w:rPr>
                <w:sz w:val="14"/>
                <w:szCs w:val="14"/>
                <w:color w:val="auto"/>
              </w:rPr>
            </w:pPr>
          </w:p>
        </w:tc>
        <w:tc>
          <w:tcPr>
            <w:tcW w:w="9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2012</w:t>
            </w:r>
          </w:p>
        </w:tc>
        <w:tc>
          <w:tcPr>
            <w:tcW w:w="240" w:type="dxa"/>
            <w:vAlign w:val="bottom"/>
          </w:tcPr>
          <w:p>
            <w:pPr>
              <w:spacing w:after="0"/>
              <w:rPr>
                <w:sz w:val="14"/>
                <w:szCs w:val="14"/>
                <w:color w:val="auto"/>
              </w:rPr>
            </w:pPr>
          </w:p>
        </w:tc>
        <w:tc>
          <w:tcPr>
            <w:tcW w:w="9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4"/>
                <w:szCs w:val="14"/>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Growth %</w:t>
            </w:r>
          </w:p>
        </w:tc>
        <w:tc>
          <w:tcPr>
            <w:tcW w:w="24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2012</w:t>
            </w:r>
          </w:p>
        </w:tc>
        <w:tc>
          <w:tcPr>
            <w:tcW w:w="220" w:type="dxa"/>
            <w:vAlign w:val="bottom"/>
          </w:tcPr>
          <w:p>
            <w:pPr>
              <w:spacing w:after="0"/>
              <w:rPr>
                <w:sz w:val="14"/>
                <w:szCs w:val="14"/>
                <w:color w:val="auto"/>
              </w:rPr>
            </w:pPr>
          </w:p>
        </w:tc>
        <w:tc>
          <w:tcPr>
            <w:tcW w:w="9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4"/>
                <w:szCs w:val="14"/>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Growth %</w:t>
            </w:r>
          </w:p>
        </w:tc>
        <w:tc>
          <w:tcPr>
            <w:tcW w:w="0" w:type="dxa"/>
            <w:vAlign w:val="bottom"/>
          </w:tcPr>
          <w:p>
            <w:pPr>
              <w:spacing w:after="0"/>
              <w:rPr>
                <w:sz w:val="1"/>
                <w:szCs w:val="1"/>
                <w:color w:val="auto"/>
              </w:rPr>
            </w:pPr>
          </w:p>
        </w:tc>
      </w:tr>
      <w:tr>
        <w:trPr>
          <w:trHeight w:val="292"/>
        </w:trPr>
        <w:tc>
          <w:tcPr>
            <w:tcW w:w="4280" w:type="dxa"/>
            <w:vAlign w:val="bottom"/>
          </w:tcPr>
          <w:p>
            <w:pPr>
              <w:spacing w:after="0"/>
              <w:rPr>
                <w:sz w:val="20"/>
                <w:szCs w:val="20"/>
                <w:color w:val="auto"/>
              </w:rPr>
            </w:pPr>
            <w:r>
              <w:rPr>
                <w:rFonts w:ascii="Arial" w:cs="Arial" w:eastAsia="Arial" w:hAnsi="Arial"/>
                <w:sz w:val="14"/>
                <w:szCs w:val="14"/>
                <w:color w:val="auto"/>
              </w:rPr>
              <w:t>Operating Cash Flow</w:t>
            </w:r>
          </w:p>
        </w:tc>
        <w:tc>
          <w:tcPr>
            <w:tcW w:w="920" w:type="dxa"/>
            <w:vAlign w:val="bottom"/>
          </w:tcPr>
          <w:p>
            <w:pPr>
              <w:jc w:val="right"/>
              <w:spacing w:after="0"/>
              <w:rPr>
                <w:sz w:val="20"/>
                <w:szCs w:val="20"/>
                <w:color w:val="auto"/>
              </w:rPr>
            </w:pPr>
            <w:r>
              <w:rPr>
                <w:rFonts w:ascii="Arial" w:cs="Arial" w:eastAsia="Arial" w:hAnsi="Arial"/>
                <w:sz w:val="14"/>
                <w:szCs w:val="14"/>
                <w:color w:val="auto"/>
              </w:rPr>
              <w:t>$5,277</w:t>
            </w:r>
          </w:p>
        </w:tc>
        <w:tc>
          <w:tcPr>
            <w:tcW w:w="240" w:type="dxa"/>
            <w:vAlign w:val="bottom"/>
          </w:tcPr>
          <w:p>
            <w:pPr>
              <w:spacing w:after="0"/>
              <w:rPr>
                <w:sz w:val="24"/>
                <w:szCs w:val="24"/>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b w:val="1"/>
                <w:bCs w:val="1"/>
                <w:color w:val="auto"/>
              </w:rPr>
              <w:t>$5,645</w:t>
            </w:r>
          </w:p>
        </w:tc>
        <w:tc>
          <w:tcPr>
            <w:tcW w:w="1140" w:type="dxa"/>
            <w:vAlign w:val="bottom"/>
            <w:gridSpan w:val="2"/>
          </w:tcPr>
          <w:p>
            <w:pPr>
              <w:jc w:val="right"/>
              <w:ind w:right="8"/>
              <w:spacing w:after="0"/>
              <w:rPr>
                <w:sz w:val="20"/>
                <w:szCs w:val="20"/>
                <w:color w:val="auto"/>
              </w:rPr>
            </w:pPr>
            <w:r>
              <w:rPr>
                <w:rFonts w:ascii="Arial" w:cs="Arial" w:eastAsia="Arial" w:hAnsi="Arial"/>
                <w:sz w:val="14"/>
                <w:szCs w:val="14"/>
                <w:color w:val="auto"/>
              </w:rPr>
              <w:t>7.0%</w:t>
            </w:r>
          </w:p>
        </w:tc>
        <w:tc>
          <w:tcPr>
            <w:tcW w:w="2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$19,977</w:t>
            </w:r>
          </w:p>
        </w:tc>
        <w:tc>
          <w:tcPr>
            <w:tcW w:w="220" w:type="dxa"/>
            <w:vAlign w:val="bottom"/>
          </w:tcPr>
          <w:p>
            <w:pPr>
              <w:spacing w:after="0"/>
              <w:rPr>
                <w:sz w:val="24"/>
                <w:szCs w:val="24"/>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b w:val="1"/>
                <w:bCs w:val="1"/>
                <w:color w:val="auto"/>
              </w:rPr>
              <w:t>$21,434</w:t>
            </w:r>
          </w:p>
        </w:tc>
        <w:tc>
          <w:tcPr>
            <w:tcW w:w="1120" w:type="dxa"/>
            <w:vAlign w:val="bottom"/>
            <w:gridSpan w:val="2"/>
          </w:tcPr>
          <w:p>
            <w:pPr>
              <w:jc w:val="right"/>
              <w:ind w:right="8"/>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255"/>
        </w:trPr>
        <w:tc>
          <w:tcPr>
            <w:tcW w:w="4280" w:type="dxa"/>
            <w:vAlign w:val="bottom"/>
          </w:tcPr>
          <w:p>
            <w:pPr>
              <w:spacing w:after="0"/>
              <w:rPr>
                <w:sz w:val="20"/>
                <w:szCs w:val="20"/>
                <w:color w:val="auto"/>
              </w:rPr>
            </w:pPr>
            <w:r>
              <w:rPr>
                <w:rFonts w:ascii="Arial" w:cs="Arial" w:eastAsia="Arial" w:hAnsi="Arial"/>
                <w:sz w:val="14"/>
                <w:szCs w:val="14"/>
                <w:color w:val="auto"/>
              </w:rPr>
              <w:t>2012 Olympics</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40" w:type="dxa"/>
            <w:vAlign w:val="bottom"/>
            <w:tcBorders>
              <w:right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(120)</w:t>
            </w:r>
          </w:p>
        </w:tc>
        <w:tc>
          <w:tcPr>
            <w:tcW w:w="220" w:type="dxa"/>
            <w:vAlign w:val="bottom"/>
          </w:tcPr>
          <w:p>
            <w:pPr>
              <w:jc w:val="right"/>
              <w:ind w:right="46"/>
              <w:spacing w:after="0"/>
              <w:rPr>
                <w:sz w:val="20"/>
                <w:szCs w:val="20"/>
                <w:color w:val="auto"/>
              </w:rPr>
            </w:pPr>
            <w:r>
              <w:rPr>
                <w:rFonts w:ascii="Arial" w:cs="Arial" w:eastAsia="Arial" w:hAnsi="Arial"/>
                <w:sz w:val="11"/>
                <w:szCs w:val="11"/>
                <w:color w:val="auto"/>
                <w:w w:val="74"/>
              </w:rPr>
              <w:t>(1)</w:t>
            </w:r>
          </w:p>
        </w:tc>
        <w:tc>
          <w:tcPr>
            <w:tcW w:w="92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4280" w:type="dxa"/>
            <w:vAlign w:val="bottom"/>
          </w:tcPr>
          <w:p>
            <w:pPr>
              <w:spacing w:after="0"/>
              <w:rPr>
                <w:sz w:val="20"/>
                <w:szCs w:val="20"/>
                <w:color w:val="auto"/>
              </w:rPr>
            </w:pPr>
            <w:r>
              <w:rPr>
                <w:rFonts w:ascii="Arial" w:cs="Arial" w:eastAsia="Arial" w:hAnsi="Arial"/>
                <w:sz w:val="14"/>
                <w:szCs w:val="14"/>
                <w:color w:val="auto"/>
              </w:rPr>
              <w:t>Pension Termination Costs</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b w:val="1"/>
                <w:bCs w:val="1"/>
                <w:color w:val="auto"/>
              </w:rPr>
              <w:t>74</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4280" w:type="dxa"/>
            <w:vAlign w:val="bottom"/>
            <w:vMerge w:val="restart"/>
          </w:tcPr>
          <w:p>
            <w:pPr>
              <w:spacing w:after="0"/>
              <w:rPr>
                <w:sz w:val="20"/>
                <w:szCs w:val="20"/>
                <w:color w:val="auto"/>
              </w:rPr>
            </w:pPr>
            <w:r>
              <w:rPr>
                <w:rFonts w:ascii="Arial" w:cs="Arial" w:eastAsia="Arial" w:hAnsi="Arial"/>
                <w:sz w:val="14"/>
                <w:szCs w:val="14"/>
                <w:color w:val="auto"/>
              </w:rPr>
              <w:t>Operating Cash Flow excluding 2012 Olympics and Pension</w:t>
            </w:r>
          </w:p>
        </w:tc>
        <w:tc>
          <w:tcPr>
            <w:tcW w:w="92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4280" w:type="dxa"/>
            <w:vAlign w:val="bottom"/>
            <w:vMerge w:val="continue"/>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$5,277</w:t>
            </w:r>
          </w:p>
        </w:tc>
        <w:tc>
          <w:tcPr>
            <w:tcW w:w="240" w:type="dxa"/>
            <w:vAlign w:val="bottom"/>
          </w:tcPr>
          <w:p>
            <w:pPr>
              <w:spacing w:after="0"/>
              <w:rPr>
                <w:sz w:val="12"/>
                <w:szCs w:val="12"/>
                <w:color w:val="auto"/>
              </w:rPr>
            </w:pPr>
          </w:p>
        </w:tc>
        <w:tc>
          <w:tcPr>
            <w:tcW w:w="92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$5,645</w:t>
            </w: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vMerge w:val="restart"/>
          </w:tcPr>
          <w:p>
            <w:pPr>
              <w:jc w:val="right"/>
              <w:ind w:right="8"/>
              <w:spacing w:after="0"/>
              <w:rPr>
                <w:sz w:val="20"/>
                <w:szCs w:val="20"/>
                <w:color w:val="auto"/>
              </w:rPr>
            </w:pPr>
            <w:r>
              <w:rPr>
                <w:rFonts w:ascii="Arial" w:cs="Arial" w:eastAsia="Arial" w:hAnsi="Arial"/>
                <w:sz w:val="14"/>
                <w:szCs w:val="14"/>
                <w:color w:val="auto"/>
              </w:rPr>
              <w:t>$19,857</w:t>
            </w:r>
          </w:p>
        </w:tc>
        <w:tc>
          <w:tcPr>
            <w:tcW w:w="220" w:type="dxa"/>
            <w:vAlign w:val="bottom"/>
          </w:tcPr>
          <w:p>
            <w:pPr>
              <w:spacing w:after="0"/>
              <w:rPr>
                <w:sz w:val="12"/>
                <w:szCs w:val="12"/>
                <w:color w:val="auto"/>
              </w:rPr>
            </w:pPr>
          </w:p>
        </w:tc>
        <w:tc>
          <w:tcPr>
            <w:tcW w:w="92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$21,508</w:t>
            </w: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80" w:type="dxa"/>
            <w:vAlign w:val="bottom"/>
          </w:tcPr>
          <w:p>
            <w:pPr>
              <w:spacing w:after="0" w:line="144" w:lineRule="exact"/>
              <w:rPr>
                <w:sz w:val="20"/>
                <w:szCs w:val="20"/>
                <w:color w:val="auto"/>
              </w:rPr>
            </w:pPr>
            <w:r>
              <w:rPr>
                <w:rFonts w:ascii="Arial" w:cs="Arial" w:eastAsia="Arial" w:hAnsi="Arial"/>
                <w:sz w:val="14"/>
                <w:szCs w:val="14"/>
                <w:color w:val="auto"/>
              </w:rPr>
              <w:t>Termination Costs</w:t>
            </w:r>
          </w:p>
        </w:tc>
        <w:tc>
          <w:tcPr>
            <w:tcW w:w="920" w:type="dxa"/>
            <w:vAlign w:val="bottom"/>
            <w:tcBorders>
              <w:bottom w:val="single" w:sz="8" w:color="auto"/>
            </w:tcBorders>
            <w:vMerge w:val="continue"/>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1140" w:type="dxa"/>
            <w:vAlign w:val="bottom"/>
            <w:gridSpan w:val="2"/>
          </w:tcPr>
          <w:p>
            <w:pPr>
              <w:jc w:val="right"/>
              <w:ind w:right="8"/>
              <w:spacing w:after="0" w:line="144" w:lineRule="exact"/>
              <w:rPr>
                <w:sz w:val="20"/>
                <w:szCs w:val="20"/>
                <w:color w:val="auto"/>
              </w:rPr>
            </w:pPr>
            <w:r>
              <w:rPr>
                <w:rFonts w:ascii="Arial" w:cs="Arial" w:eastAsia="Arial" w:hAnsi="Arial"/>
                <w:sz w:val="14"/>
                <w:szCs w:val="14"/>
                <w:color w:val="auto"/>
              </w:rPr>
              <w:t>7.0%</w:t>
            </w:r>
          </w:p>
        </w:tc>
        <w:tc>
          <w:tcPr>
            <w:tcW w:w="24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1120" w:type="dxa"/>
            <w:vAlign w:val="bottom"/>
            <w:gridSpan w:val="2"/>
          </w:tcPr>
          <w:p>
            <w:pPr>
              <w:jc w:val="right"/>
              <w:ind w:right="8"/>
              <w:spacing w:after="0" w:line="144" w:lineRule="exact"/>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ind w:right="760"/>
        <w:spacing w:after="0" w:line="271" w:lineRule="auto"/>
        <w:rPr>
          <w:sz w:val="20"/>
          <w:szCs w:val="20"/>
          <w:color w:val="auto"/>
        </w:rPr>
      </w:pPr>
      <w:r>
        <w:rPr>
          <w:rFonts w:ascii="Arial" w:cs="Arial" w:eastAsia="Arial" w:hAnsi="Arial"/>
          <w:sz w:val="18"/>
          <w:szCs w:val="18"/>
          <w:b w:val="1"/>
          <w:bCs w:val="1"/>
          <w:color w:val="C9C9C9"/>
        </w:rPr>
        <w:t>Reconciliation of Consolidated NBCUniversal Revenue Excluding 2012 Olympics and Super Bowl and Operating Cash Flow Excluding 2012 Olympics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6"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0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360" w:type="dxa"/>
            <w:vAlign w:val="bottom"/>
            <w:gridSpan w:val="6"/>
          </w:tcPr>
          <w:p>
            <w:pPr>
              <w:jc w:val="center"/>
              <w:ind w:left="748"/>
              <w:spacing w:after="0"/>
              <w:rPr>
                <w:sz w:val="20"/>
                <w:szCs w:val="20"/>
                <w:color w:val="auto"/>
              </w:rPr>
            </w:pPr>
            <w:r>
              <w:rPr>
                <w:rFonts w:ascii="Arial" w:cs="Arial" w:eastAsia="Arial" w:hAnsi="Arial"/>
                <w:sz w:val="14"/>
                <w:szCs w:val="14"/>
                <w:b w:val="1"/>
                <w:bCs w:val="1"/>
                <w:color w:val="auto"/>
              </w:rPr>
              <w:t>Twelve Months Ended</w:t>
            </w:r>
          </w:p>
        </w:tc>
        <w:tc>
          <w:tcPr>
            <w:tcW w:w="820" w:type="dxa"/>
            <w:vAlign w:val="bottom"/>
          </w:tcPr>
          <w:p>
            <w:pPr>
              <w:spacing w:after="0"/>
              <w:rPr>
                <w:sz w:val="14"/>
                <w:szCs w:val="14"/>
                <w:color w:val="auto"/>
              </w:rPr>
            </w:pPr>
          </w:p>
        </w:tc>
      </w:tr>
      <w:tr>
        <w:trPr>
          <w:trHeight w:val="190"/>
        </w:trPr>
        <w:tc>
          <w:tcPr>
            <w:tcW w:w="4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6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Pr>
          <w:p>
            <w:pPr>
              <w:spacing w:after="0"/>
              <w:rPr>
                <w:sz w:val="16"/>
                <w:szCs w:val="16"/>
                <w:color w:val="auto"/>
              </w:rPr>
            </w:pPr>
          </w:p>
        </w:tc>
      </w:tr>
      <w:tr>
        <w:trPr>
          <w:trHeight w:val="309"/>
        </w:trPr>
        <w:tc>
          <w:tcPr>
            <w:tcW w:w="4280" w:type="dxa"/>
            <w:vAlign w:val="bottom"/>
          </w:tcPr>
          <w:p>
            <w:pPr>
              <w:spacing w:after="0"/>
              <w:rPr>
                <w:sz w:val="20"/>
                <w:szCs w:val="20"/>
                <w:color w:val="auto"/>
              </w:rPr>
            </w:pPr>
            <w:r>
              <w:rPr>
                <w:rFonts w:ascii="Arial" w:cs="Arial" w:eastAsia="Arial" w:hAnsi="Arial"/>
                <w:sz w:val="14"/>
                <w:szCs w:val="14"/>
                <w:color w:val="auto"/>
              </w:rPr>
              <w:t>(in millions)</w:t>
            </w:r>
          </w:p>
        </w:tc>
        <w:tc>
          <w:tcPr>
            <w:tcW w:w="8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2012</w:t>
            </w:r>
          </w:p>
        </w:tc>
        <w:tc>
          <w:tcPr>
            <w:tcW w:w="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Growth %</w:t>
            </w:r>
          </w:p>
        </w:tc>
        <w:tc>
          <w:tcPr>
            <w:tcW w:w="2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2012</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Growth %</w:t>
            </w:r>
          </w:p>
        </w:tc>
      </w:tr>
      <w:tr>
        <w:trPr>
          <w:trHeight w:val="292"/>
        </w:trPr>
        <w:tc>
          <w:tcPr>
            <w:tcW w:w="4280" w:type="dxa"/>
            <w:vAlign w:val="bottom"/>
          </w:tcPr>
          <w:p>
            <w:pPr>
              <w:spacing w:after="0"/>
              <w:rPr>
                <w:sz w:val="20"/>
                <w:szCs w:val="20"/>
                <w:color w:val="auto"/>
              </w:rPr>
            </w:pPr>
            <w:r>
              <w:rPr>
                <w:rFonts w:ascii="Arial" w:cs="Arial" w:eastAsia="Arial" w:hAnsi="Arial"/>
                <w:sz w:val="14"/>
                <w:szCs w:val="14"/>
                <w:color w:val="auto"/>
              </w:rPr>
              <w:t>Revenue</w:t>
            </w:r>
          </w:p>
        </w:tc>
        <w:tc>
          <w:tcPr>
            <w:tcW w:w="880" w:type="dxa"/>
            <w:vAlign w:val="bottom"/>
          </w:tcPr>
          <w:p>
            <w:pPr>
              <w:jc w:val="right"/>
              <w:spacing w:after="0"/>
              <w:rPr>
                <w:sz w:val="20"/>
                <w:szCs w:val="20"/>
                <w:color w:val="auto"/>
              </w:rPr>
            </w:pPr>
            <w:r>
              <w:rPr>
                <w:rFonts w:ascii="Arial" w:cs="Arial" w:eastAsia="Arial" w:hAnsi="Arial"/>
                <w:sz w:val="14"/>
                <w:szCs w:val="14"/>
                <w:color w:val="auto"/>
              </w:rPr>
              <w:t>$6,014</w:t>
            </w:r>
          </w:p>
        </w:tc>
        <w:tc>
          <w:tcPr>
            <w:tcW w:w="120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$6,464</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7.5%</w:t>
            </w:r>
          </w:p>
        </w:tc>
        <w:tc>
          <w:tcPr>
            <w:tcW w:w="2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$23,812</w:t>
            </w:r>
          </w:p>
        </w:tc>
        <w:tc>
          <w:tcPr>
            <w:tcW w:w="140" w:type="dxa"/>
            <w:vAlign w:val="bottom"/>
          </w:tcPr>
          <w:p>
            <w:pPr>
              <w:spacing w:after="0"/>
              <w:rPr>
                <w:sz w:val="24"/>
                <w:szCs w:val="24"/>
                <w:color w:val="auto"/>
              </w:rPr>
            </w:pPr>
          </w:p>
        </w:tc>
        <w:tc>
          <w:tcPr>
            <w:tcW w:w="100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$23,650</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(0.7%)</w:t>
            </w:r>
          </w:p>
        </w:tc>
      </w:tr>
      <w:tr>
        <w:trPr>
          <w:trHeight w:val="296"/>
        </w:trPr>
        <w:tc>
          <w:tcPr>
            <w:tcW w:w="4280" w:type="dxa"/>
            <w:vAlign w:val="bottom"/>
          </w:tcPr>
          <w:p>
            <w:pPr>
              <w:spacing w:after="0"/>
              <w:rPr>
                <w:sz w:val="20"/>
                <w:szCs w:val="20"/>
                <w:color w:val="auto"/>
              </w:rPr>
            </w:pPr>
            <w:r>
              <w:rPr>
                <w:rFonts w:ascii="Arial" w:cs="Arial" w:eastAsia="Arial" w:hAnsi="Arial"/>
                <w:sz w:val="14"/>
                <w:szCs w:val="14"/>
                <w:color w:val="auto"/>
              </w:rPr>
              <w:t>2012 Olympics</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(1,188)</w:t>
            </w:r>
          </w:p>
        </w:tc>
        <w:tc>
          <w:tcPr>
            <w:tcW w:w="140" w:type="dxa"/>
            <w:vAlign w:val="bottom"/>
          </w:tcPr>
          <w:p>
            <w:pPr>
              <w:spacing w:after="0"/>
              <w:rPr>
                <w:sz w:val="24"/>
                <w:szCs w:val="24"/>
                <w:color w:val="auto"/>
              </w:rPr>
            </w:pPr>
          </w:p>
        </w:tc>
        <w:tc>
          <w:tcPr>
            <w:tcW w:w="100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5"/>
        </w:trPr>
        <w:tc>
          <w:tcPr>
            <w:tcW w:w="4280" w:type="dxa"/>
            <w:vAlign w:val="bottom"/>
          </w:tcPr>
          <w:p>
            <w:pPr>
              <w:spacing w:after="0"/>
              <w:rPr>
                <w:sz w:val="20"/>
                <w:szCs w:val="20"/>
                <w:color w:val="auto"/>
              </w:rPr>
            </w:pPr>
            <w:r>
              <w:rPr>
                <w:rFonts w:ascii="Arial" w:cs="Arial" w:eastAsia="Arial" w:hAnsi="Arial"/>
                <w:sz w:val="14"/>
                <w:szCs w:val="14"/>
                <w:color w:val="auto"/>
              </w:rPr>
              <w:t>Super Bowl</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(259)</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318"/>
        </w:trPr>
        <w:tc>
          <w:tcPr>
            <w:tcW w:w="4280" w:type="dxa"/>
            <w:vAlign w:val="bottom"/>
          </w:tcPr>
          <w:p>
            <w:pPr>
              <w:spacing w:after="0"/>
              <w:rPr>
                <w:sz w:val="20"/>
                <w:szCs w:val="20"/>
                <w:color w:val="auto"/>
              </w:rPr>
            </w:pPr>
            <w:r>
              <w:rPr>
                <w:rFonts w:ascii="Arial" w:cs="Arial" w:eastAsia="Arial" w:hAnsi="Arial"/>
                <w:sz w:val="14"/>
                <w:szCs w:val="14"/>
                <w:color w:val="auto"/>
              </w:rPr>
              <w:t>Revenue excluding 2012 Olympics and Super Bowl</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$6,014</w:t>
            </w:r>
          </w:p>
        </w:tc>
        <w:tc>
          <w:tcPr>
            <w:tcW w:w="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$6,464</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7.5%</w:t>
            </w:r>
          </w:p>
        </w:tc>
        <w:tc>
          <w:tcPr>
            <w:tcW w:w="2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$22,365</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$23,650</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5.7%</w:t>
            </w:r>
          </w:p>
        </w:tc>
      </w:tr>
      <w:tr>
        <w:trPr>
          <w:trHeight w:val="20"/>
        </w:trPr>
        <w:tc>
          <w:tcPr>
            <w:tcW w:w="42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right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629"/>
        </w:trPr>
        <w:tc>
          <w:tcPr>
            <w:tcW w:w="4280" w:type="dxa"/>
            <w:vAlign w:val="bottom"/>
          </w:tcPr>
          <w:p>
            <w:pPr>
              <w:spacing w:after="0"/>
              <w:rPr>
                <w:sz w:val="24"/>
                <w:szCs w:val="24"/>
                <w:color w:val="auto"/>
              </w:rPr>
            </w:pPr>
          </w:p>
        </w:tc>
        <w:tc>
          <w:tcPr>
            <w:tcW w:w="8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2012</w:t>
            </w:r>
          </w:p>
        </w:tc>
        <w:tc>
          <w:tcPr>
            <w:tcW w:w="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Growth %</w:t>
            </w:r>
          </w:p>
        </w:tc>
        <w:tc>
          <w:tcPr>
            <w:tcW w:w="2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2012</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Growth %</w:t>
            </w:r>
          </w:p>
        </w:tc>
      </w:tr>
      <w:tr>
        <w:trPr>
          <w:trHeight w:val="333"/>
        </w:trPr>
        <w:tc>
          <w:tcPr>
            <w:tcW w:w="4280" w:type="dxa"/>
            <w:vAlign w:val="bottom"/>
          </w:tcPr>
          <w:p>
            <w:pPr>
              <w:spacing w:after="0"/>
              <w:rPr>
                <w:sz w:val="20"/>
                <w:szCs w:val="20"/>
                <w:color w:val="auto"/>
              </w:rPr>
            </w:pPr>
            <w:r>
              <w:rPr>
                <w:rFonts w:ascii="Arial" w:cs="Arial" w:eastAsia="Arial" w:hAnsi="Arial"/>
                <w:sz w:val="14"/>
                <w:szCs w:val="14"/>
                <w:color w:val="auto"/>
              </w:rPr>
              <w:t>Operating Cash Flow</w:t>
            </w:r>
          </w:p>
        </w:tc>
        <w:tc>
          <w:tcPr>
            <w:tcW w:w="880" w:type="dxa"/>
            <w:vAlign w:val="bottom"/>
          </w:tcPr>
          <w:p>
            <w:pPr>
              <w:jc w:val="right"/>
              <w:spacing w:after="0"/>
              <w:rPr>
                <w:sz w:val="20"/>
                <w:szCs w:val="20"/>
                <w:color w:val="auto"/>
              </w:rPr>
            </w:pPr>
            <w:r>
              <w:rPr>
                <w:rFonts w:ascii="Arial" w:cs="Arial" w:eastAsia="Arial" w:hAnsi="Arial"/>
                <w:sz w:val="14"/>
                <w:szCs w:val="14"/>
                <w:color w:val="auto"/>
              </w:rPr>
              <w:t>$1,172</w:t>
            </w:r>
          </w:p>
        </w:tc>
        <w:tc>
          <w:tcPr>
            <w:tcW w:w="120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$1,338</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14.3%</w:t>
            </w:r>
          </w:p>
        </w:tc>
        <w:tc>
          <w:tcPr>
            <w:tcW w:w="2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$4,107</w:t>
            </w:r>
          </w:p>
        </w:tc>
        <w:tc>
          <w:tcPr>
            <w:tcW w:w="140" w:type="dxa"/>
            <w:vAlign w:val="bottom"/>
          </w:tcPr>
          <w:p>
            <w:pPr>
              <w:spacing w:after="0"/>
              <w:rPr>
                <w:sz w:val="24"/>
                <w:szCs w:val="24"/>
                <w:color w:val="auto"/>
              </w:rPr>
            </w:pPr>
          </w:p>
        </w:tc>
        <w:tc>
          <w:tcPr>
            <w:tcW w:w="100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$4,732</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15.2%</w:t>
            </w:r>
          </w:p>
        </w:tc>
      </w:tr>
      <w:tr>
        <w:trPr>
          <w:trHeight w:val="309"/>
        </w:trPr>
        <w:tc>
          <w:tcPr>
            <w:tcW w:w="4280" w:type="dxa"/>
            <w:vAlign w:val="bottom"/>
          </w:tcPr>
          <w:p>
            <w:pPr>
              <w:spacing w:after="0"/>
              <w:rPr>
                <w:sz w:val="20"/>
                <w:szCs w:val="20"/>
                <w:color w:val="auto"/>
              </w:rPr>
            </w:pPr>
            <w:r>
              <w:rPr>
                <w:rFonts w:ascii="Arial" w:cs="Arial" w:eastAsia="Arial" w:hAnsi="Arial"/>
                <w:sz w:val="14"/>
                <w:szCs w:val="14"/>
                <w:color w:val="auto"/>
              </w:rPr>
              <w:t>2012 Olympics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(120)</w:t>
            </w:r>
          </w:p>
        </w:tc>
        <w:tc>
          <w:tcPr>
            <w:tcW w:w="140" w:type="dxa"/>
            <w:vAlign w:val="bottom"/>
          </w:tcPr>
          <w:p>
            <w:pPr>
              <w:jc w:val="right"/>
              <w:ind w:right="30"/>
              <w:spacing w:after="0"/>
              <w:rPr>
                <w:sz w:val="20"/>
                <w:szCs w:val="20"/>
                <w:color w:val="auto"/>
              </w:rPr>
            </w:pPr>
            <w:r>
              <w:rPr>
                <w:rFonts w:ascii="Arial" w:cs="Arial" w:eastAsia="Arial" w:hAnsi="Arial"/>
                <w:sz w:val="6"/>
                <w:szCs w:val="6"/>
                <w:color w:val="auto"/>
                <w:w w:val="81"/>
              </w:rPr>
              <w:t>(1)</w:t>
            </w:r>
          </w:p>
        </w:tc>
        <w:tc>
          <w:tcPr>
            <w:tcW w:w="80" w:type="dxa"/>
            <w:vAlign w:val="bottom"/>
          </w:tcPr>
          <w:p>
            <w:pPr>
              <w:spacing w:after="0"/>
              <w:rPr>
                <w:sz w:val="24"/>
                <w:szCs w:val="24"/>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18"/>
        </w:trPr>
        <w:tc>
          <w:tcPr>
            <w:tcW w:w="4280" w:type="dxa"/>
            <w:vAlign w:val="bottom"/>
          </w:tcPr>
          <w:p>
            <w:pPr>
              <w:spacing w:after="0"/>
              <w:rPr>
                <w:sz w:val="20"/>
                <w:szCs w:val="20"/>
                <w:color w:val="auto"/>
              </w:rPr>
            </w:pPr>
            <w:r>
              <w:rPr>
                <w:rFonts w:ascii="Arial" w:cs="Arial" w:eastAsia="Arial" w:hAnsi="Arial"/>
                <w:sz w:val="14"/>
                <w:szCs w:val="14"/>
                <w:color w:val="auto"/>
              </w:rPr>
              <w:t>Operating Cash Flow excluding 2012 Olympics</w:t>
            </w:r>
          </w:p>
        </w:tc>
        <w:tc>
          <w:tcPr>
            <w:tcW w:w="880" w:type="dxa"/>
            <w:vAlign w:val="bottom"/>
          </w:tcPr>
          <w:p>
            <w:pPr>
              <w:jc w:val="right"/>
              <w:spacing w:after="0"/>
              <w:rPr>
                <w:sz w:val="20"/>
                <w:szCs w:val="20"/>
                <w:color w:val="auto"/>
              </w:rPr>
            </w:pPr>
            <w:r>
              <w:rPr>
                <w:rFonts w:ascii="Arial" w:cs="Arial" w:eastAsia="Arial" w:hAnsi="Arial"/>
                <w:sz w:val="14"/>
                <w:szCs w:val="14"/>
                <w:color w:val="auto"/>
              </w:rPr>
              <w:t>$1,172</w:t>
            </w:r>
          </w:p>
        </w:tc>
        <w:tc>
          <w:tcPr>
            <w:tcW w:w="120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$1,338</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14.3%</w:t>
            </w:r>
          </w:p>
        </w:tc>
        <w:tc>
          <w:tcPr>
            <w:tcW w:w="2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$3,987</w:t>
            </w:r>
          </w:p>
        </w:tc>
        <w:tc>
          <w:tcPr>
            <w:tcW w:w="140" w:type="dxa"/>
            <w:vAlign w:val="bottom"/>
          </w:tcPr>
          <w:p>
            <w:pPr>
              <w:spacing w:after="0"/>
              <w:rPr>
                <w:sz w:val="24"/>
                <w:szCs w:val="24"/>
                <w:color w:val="auto"/>
              </w:rPr>
            </w:pPr>
          </w:p>
        </w:tc>
        <w:tc>
          <w:tcPr>
            <w:tcW w:w="100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$4,732</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18.7%</w:t>
            </w:r>
          </w:p>
        </w:tc>
      </w:tr>
      <w:tr>
        <w:trPr>
          <w:trHeight w:val="20"/>
        </w:trPr>
        <w:tc>
          <w:tcPr>
            <w:tcW w:w="42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pacing w:after="0" w:line="30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C9C9C9"/>
        </w:rPr>
        <w:t>Reconciliation of Broadcast Television Revenue Excluding 2012 Olympics and Super Bowl and Operating Cash Flow Excluding 2012 Olympics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6"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0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360" w:type="dxa"/>
            <w:vAlign w:val="bottom"/>
            <w:gridSpan w:val="6"/>
          </w:tcPr>
          <w:p>
            <w:pPr>
              <w:jc w:val="center"/>
              <w:ind w:left="748"/>
              <w:spacing w:after="0"/>
              <w:rPr>
                <w:sz w:val="20"/>
                <w:szCs w:val="20"/>
                <w:color w:val="auto"/>
              </w:rPr>
            </w:pPr>
            <w:r>
              <w:rPr>
                <w:rFonts w:ascii="Arial" w:cs="Arial" w:eastAsia="Arial" w:hAnsi="Arial"/>
                <w:sz w:val="14"/>
                <w:szCs w:val="14"/>
                <w:b w:val="1"/>
                <w:bCs w:val="1"/>
                <w:color w:val="auto"/>
              </w:rPr>
              <w:t>Twelve Months Ended</w:t>
            </w:r>
          </w:p>
        </w:tc>
        <w:tc>
          <w:tcPr>
            <w:tcW w:w="820" w:type="dxa"/>
            <w:vAlign w:val="bottom"/>
          </w:tcPr>
          <w:p>
            <w:pPr>
              <w:spacing w:after="0"/>
              <w:rPr>
                <w:sz w:val="14"/>
                <w:szCs w:val="14"/>
                <w:color w:val="auto"/>
              </w:rPr>
            </w:pPr>
          </w:p>
        </w:tc>
      </w:tr>
      <w:tr>
        <w:trPr>
          <w:trHeight w:val="190"/>
        </w:trPr>
        <w:tc>
          <w:tcPr>
            <w:tcW w:w="4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6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Pr>
          <w:p>
            <w:pPr>
              <w:spacing w:after="0"/>
              <w:rPr>
                <w:sz w:val="16"/>
                <w:szCs w:val="16"/>
                <w:color w:val="auto"/>
              </w:rPr>
            </w:pPr>
          </w:p>
        </w:tc>
      </w:tr>
      <w:tr>
        <w:trPr>
          <w:trHeight w:val="269"/>
        </w:trPr>
        <w:tc>
          <w:tcPr>
            <w:tcW w:w="4280" w:type="dxa"/>
            <w:vAlign w:val="bottom"/>
          </w:tcPr>
          <w:p>
            <w:pPr>
              <w:spacing w:after="0"/>
              <w:rPr>
                <w:sz w:val="20"/>
                <w:szCs w:val="20"/>
                <w:color w:val="auto"/>
              </w:rPr>
            </w:pPr>
            <w:r>
              <w:rPr>
                <w:rFonts w:ascii="Arial" w:cs="Arial" w:eastAsia="Arial" w:hAnsi="Arial"/>
                <w:sz w:val="14"/>
                <w:szCs w:val="14"/>
                <w:color w:val="auto"/>
              </w:rPr>
              <w:t>(in millions)</w:t>
            </w:r>
          </w:p>
        </w:tc>
        <w:tc>
          <w:tcPr>
            <w:tcW w:w="8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2012</w:t>
            </w:r>
          </w:p>
        </w:tc>
        <w:tc>
          <w:tcPr>
            <w:tcW w:w="40" w:type="dxa"/>
            <w:vAlign w:val="bottom"/>
            <w:tcBorders>
              <w:bottom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Growth %</w:t>
            </w:r>
          </w:p>
        </w:tc>
        <w:tc>
          <w:tcPr>
            <w:tcW w:w="240" w:type="dxa"/>
            <w:vAlign w:val="bottom"/>
            <w:tcBorders>
              <w:right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2012</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Growth %</w:t>
            </w:r>
          </w:p>
        </w:tc>
      </w:tr>
      <w:tr>
        <w:trPr>
          <w:trHeight w:val="292"/>
        </w:trPr>
        <w:tc>
          <w:tcPr>
            <w:tcW w:w="4280" w:type="dxa"/>
            <w:vAlign w:val="bottom"/>
          </w:tcPr>
          <w:p>
            <w:pPr>
              <w:spacing w:after="0"/>
              <w:rPr>
                <w:sz w:val="20"/>
                <w:szCs w:val="20"/>
                <w:color w:val="auto"/>
              </w:rPr>
            </w:pPr>
            <w:r>
              <w:rPr>
                <w:rFonts w:ascii="Arial" w:cs="Arial" w:eastAsia="Arial" w:hAnsi="Arial"/>
                <w:sz w:val="14"/>
                <w:szCs w:val="14"/>
                <w:color w:val="auto"/>
              </w:rPr>
              <w:t>Revenue</w:t>
            </w:r>
          </w:p>
        </w:tc>
        <w:tc>
          <w:tcPr>
            <w:tcW w:w="880" w:type="dxa"/>
            <w:vAlign w:val="bottom"/>
          </w:tcPr>
          <w:p>
            <w:pPr>
              <w:jc w:val="right"/>
              <w:spacing w:after="0"/>
              <w:rPr>
                <w:sz w:val="20"/>
                <w:szCs w:val="20"/>
                <w:color w:val="auto"/>
              </w:rPr>
            </w:pPr>
            <w:r>
              <w:rPr>
                <w:rFonts w:ascii="Arial" w:cs="Arial" w:eastAsia="Arial" w:hAnsi="Arial"/>
                <w:sz w:val="14"/>
                <w:szCs w:val="14"/>
                <w:color w:val="auto"/>
              </w:rPr>
              <w:t>$1,997</w:t>
            </w:r>
          </w:p>
        </w:tc>
        <w:tc>
          <w:tcPr>
            <w:tcW w:w="120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$2,227</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11.5%</w:t>
            </w:r>
          </w:p>
        </w:tc>
        <w:tc>
          <w:tcPr>
            <w:tcW w:w="2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$8,200</w:t>
            </w:r>
          </w:p>
        </w:tc>
        <w:tc>
          <w:tcPr>
            <w:tcW w:w="140" w:type="dxa"/>
            <w:vAlign w:val="bottom"/>
          </w:tcPr>
          <w:p>
            <w:pPr>
              <w:spacing w:after="0"/>
              <w:rPr>
                <w:sz w:val="24"/>
                <w:szCs w:val="24"/>
                <w:color w:val="auto"/>
              </w:rPr>
            </w:pPr>
          </w:p>
        </w:tc>
        <w:tc>
          <w:tcPr>
            <w:tcW w:w="100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$7,120</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(13.2%)</w:t>
            </w:r>
          </w:p>
        </w:tc>
      </w:tr>
      <w:tr>
        <w:trPr>
          <w:trHeight w:val="255"/>
        </w:trPr>
        <w:tc>
          <w:tcPr>
            <w:tcW w:w="4280" w:type="dxa"/>
            <w:vAlign w:val="bottom"/>
          </w:tcPr>
          <w:p>
            <w:pPr>
              <w:spacing w:after="0"/>
              <w:rPr>
                <w:sz w:val="20"/>
                <w:szCs w:val="20"/>
                <w:color w:val="auto"/>
              </w:rPr>
            </w:pPr>
            <w:r>
              <w:rPr>
                <w:rFonts w:ascii="Arial" w:cs="Arial" w:eastAsia="Arial" w:hAnsi="Arial"/>
                <w:sz w:val="14"/>
                <w:szCs w:val="14"/>
                <w:color w:val="auto"/>
              </w:rPr>
              <w:t>2012 Olympics</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40" w:type="dxa"/>
            <w:vAlign w:val="bottom"/>
            <w:tcBorders>
              <w:right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(1,188)</w:t>
            </w:r>
          </w:p>
        </w:tc>
        <w:tc>
          <w:tcPr>
            <w:tcW w:w="140" w:type="dxa"/>
            <w:vAlign w:val="bottom"/>
          </w:tcPr>
          <w:p>
            <w:pPr>
              <w:spacing w:after="0"/>
              <w:rPr>
                <w:sz w:val="22"/>
                <w:szCs w:val="22"/>
                <w:color w:val="auto"/>
              </w:rPr>
            </w:pPr>
          </w:p>
        </w:tc>
        <w:tc>
          <w:tcPr>
            <w:tcW w:w="100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175"/>
        </w:trPr>
        <w:tc>
          <w:tcPr>
            <w:tcW w:w="4280" w:type="dxa"/>
            <w:vAlign w:val="bottom"/>
          </w:tcPr>
          <w:p>
            <w:pPr>
              <w:spacing w:after="0"/>
              <w:rPr>
                <w:sz w:val="20"/>
                <w:szCs w:val="20"/>
                <w:color w:val="auto"/>
              </w:rPr>
            </w:pPr>
            <w:r>
              <w:rPr>
                <w:rFonts w:ascii="Arial" w:cs="Arial" w:eastAsia="Arial" w:hAnsi="Arial"/>
                <w:sz w:val="14"/>
                <w:szCs w:val="14"/>
                <w:color w:val="auto"/>
              </w:rPr>
              <w:t>Super Bowl</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(259)</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77"/>
        </w:trPr>
        <w:tc>
          <w:tcPr>
            <w:tcW w:w="4280" w:type="dxa"/>
            <w:vAlign w:val="bottom"/>
          </w:tcPr>
          <w:p>
            <w:pPr>
              <w:spacing w:after="0"/>
              <w:rPr>
                <w:sz w:val="20"/>
                <w:szCs w:val="20"/>
                <w:color w:val="auto"/>
              </w:rPr>
            </w:pPr>
            <w:r>
              <w:rPr>
                <w:rFonts w:ascii="Arial" w:cs="Arial" w:eastAsia="Arial" w:hAnsi="Arial"/>
                <w:sz w:val="14"/>
                <w:szCs w:val="14"/>
                <w:color w:val="auto"/>
              </w:rPr>
              <w:t>Revenue excluding 2012 Olympics and Super Bowl</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$1,997</w:t>
            </w:r>
          </w:p>
        </w:tc>
        <w:tc>
          <w:tcPr>
            <w:tcW w:w="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$2,227</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11.5%</w:t>
            </w:r>
          </w:p>
        </w:tc>
        <w:tc>
          <w:tcPr>
            <w:tcW w:w="2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$6,753</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$7,120</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5.4%</w:t>
            </w:r>
          </w:p>
        </w:tc>
      </w:tr>
      <w:tr>
        <w:trPr>
          <w:trHeight w:val="20"/>
        </w:trPr>
        <w:tc>
          <w:tcPr>
            <w:tcW w:w="42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right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629"/>
        </w:trPr>
        <w:tc>
          <w:tcPr>
            <w:tcW w:w="4280" w:type="dxa"/>
            <w:vAlign w:val="bottom"/>
          </w:tcPr>
          <w:p>
            <w:pPr>
              <w:spacing w:after="0"/>
              <w:rPr>
                <w:sz w:val="24"/>
                <w:szCs w:val="24"/>
                <w:color w:val="auto"/>
              </w:rPr>
            </w:pPr>
          </w:p>
        </w:tc>
        <w:tc>
          <w:tcPr>
            <w:tcW w:w="8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2012</w:t>
            </w:r>
          </w:p>
        </w:tc>
        <w:tc>
          <w:tcPr>
            <w:tcW w:w="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Growth %</w:t>
            </w:r>
          </w:p>
        </w:tc>
        <w:tc>
          <w:tcPr>
            <w:tcW w:w="2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2012</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Growth %</w:t>
            </w:r>
          </w:p>
        </w:tc>
      </w:tr>
      <w:tr>
        <w:trPr>
          <w:trHeight w:val="333"/>
        </w:trPr>
        <w:tc>
          <w:tcPr>
            <w:tcW w:w="4280" w:type="dxa"/>
            <w:vAlign w:val="bottom"/>
          </w:tcPr>
          <w:p>
            <w:pPr>
              <w:spacing w:after="0"/>
              <w:rPr>
                <w:sz w:val="20"/>
                <w:szCs w:val="20"/>
                <w:color w:val="auto"/>
              </w:rPr>
            </w:pPr>
            <w:r>
              <w:rPr>
                <w:rFonts w:ascii="Arial" w:cs="Arial" w:eastAsia="Arial" w:hAnsi="Arial"/>
                <w:sz w:val="14"/>
                <w:szCs w:val="14"/>
                <w:color w:val="auto"/>
              </w:rPr>
              <w:t>Operating Cash Flow</w:t>
            </w:r>
          </w:p>
        </w:tc>
        <w:tc>
          <w:tcPr>
            <w:tcW w:w="880" w:type="dxa"/>
            <w:vAlign w:val="bottom"/>
          </w:tcPr>
          <w:p>
            <w:pPr>
              <w:jc w:val="right"/>
              <w:spacing w:after="0"/>
              <w:rPr>
                <w:sz w:val="20"/>
                <w:szCs w:val="20"/>
                <w:color w:val="auto"/>
              </w:rPr>
            </w:pPr>
            <w:r>
              <w:rPr>
                <w:rFonts w:ascii="Arial" w:cs="Arial" w:eastAsia="Arial" w:hAnsi="Arial"/>
                <w:sz w:val="14"/>
                <w:szCs w:val="14"/>
                <w:color w:val="auto"/>
              </w:rPr>
              <w:t>$90</w:t>
            </w:r>
          </w:p>
        </w:tc>
        <w:tc>
          <w:tcPr>
            <w:tcW w:w="120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$140</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54.8%</w:t>
            </w:r>
          </w:p>
        </w:tc>
        <w:tc>
          <w:tcPr>
            <w:tcW w:w="2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$358</w:t>
            </w:r>
          </w:p>
        </w:tc>
        <w:tc>
          <w:tcPr>
            <w:tcW w:w="140" w:type="dxa"/>
            <w:vAlign w:val="bottom"/>
          </w:tcPr>
          <w:p>
            <w:pPr>
              <w:spacing w:after="0"/>
              <w:rPr>
                <w:sz w:val="24"/>
                <w:szCs w:val="24"/>
                <w:color w:val="auto"/>
              </w:rPr>
            </w:pPr>
          </w:p>
        </w:tc>
        <w:tc>
          <w:tcPr>
            <w:tcW w:w="100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$345</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(3.6%)</w:t>
            </w:r>
          </w:p>
        </w:tc>
      </w:tr>
      <w:tr>
        <w:trPr>
          <w:trHeight w:val="309"/>
        </w:trPr>
        <w:tc>
          <w:tcPr>
            <w:tcW w:w="4280" w:type="dxa"/>
            <w:vAlign w:val="bottom"/>
          </w:tcPr>
          <w:p>
            <w:pPr>
              <w:spacing w:after="0"/>
              <w:rPr>
                <w:sz w:val="20"/>
                <w:szCs w:val="20"/>
                <w:color w:val="auto"/>
              </w:rPr>
            </w:pPr>
            <w:r>
              <w:rPr>
                <w:rFonts w:ascii="Arial" w:cs="Arial" w:eastAsia="Arial" w:hAnsi="Arial"/>
                <w:sz w:val="14"/>
                <w:szCs w:val="14"/>
                <w:color w:val="auto"/>
              </w:rPr>
              <w:t>2012 Olympics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(120)</w:t>
            </w:r>
          </w:p>
        </w:tc>
        <w:tc>
          <w:tcPr>
            <w:tcW w:w="140" w:type="dxa"/>
            <w:vAlign w:val="bottom"/>
          </w:tcPr>
          <w:p>
            <w:pPr>
              <w:jc w:val="right"/>
              <w:ind w:right="30"/>
              <w:spacing w:after="0"/>
              <w:rPr>
                <w:sz w:val="20"/>
                <w:szCs w:val="20"/>
                <w:color w:val="auto"/>
              </w:rPr>
            </w:pPr>
            <w:r>
              <w:rPr>
                <w:rFonts w:ascii="Arial" w:cs="Arial" w:eastAsia="Arial" w:hAnsi="Arial"/>
                <w:sz w:val="6"/>
                <w:szCs w:val="6"/>
                <w:color w:val="auto"/>
                <w:w w:val="81"/>
              </w:rPr>
              <w:t>(1)</w:t>
            </w:r>
          </w:p>
        </w:tc>
        <w:tc>
          <w:tcPr>
            <w:tcW w:w="80" w:type="dxa"/>
            <w:vAlign w:val="bottom"/>
          </w:tcPr>
          <w:p>
            <w:pPr>
              <w:spacing w:after="0"/>
              <w:rPr>
                <w:sz w:val="24"/>
                <w:szCs w:val="24"/>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18"/>
        </w:trPr>
        <w:tc>
          <w:tcPr>
            <w:tcW w:w="4280" w:type="dxa"/>
            <w:vAlign w:val="bottom"/>
          </w:tcPr>
          <w:p>
            <w:pPr>
              <w:spacing w:after="0"/>
              <w:rPr>
                <w:sz w:val="20"/>
                <w:szCs w:val="20"/>
                <w:color w:val="auto"/>
              </w:rPr>
            </w:pPr>
            <w:r>
              <w:rPr>
                <w:rFonts w:ascii="Arial" w:cs="Arial" w:eastAsia="Arial" w:hAnsi="Arial"/>
                <w:sz w:val="14"/>
                <w:szCs w:val="14"/>
                <w:color w:val="auto"/>
              </w:rPr>
              <w:t>Operating Cash Flow excluding 2012 Olympics</w:t>
            </w:r>
          </w:p>
        </w:tc>
        <w:tc>
          <w:tcPr>
            <w:tcW w:w="880" w:type="dxa"/>
            <w:vAlign w:val="bottom"/>
          </w:tcPr>
          <w:p>
            <w:pPr>
              <w:jc w:val="right"/>
              <w:spacing w:after="0"/>
              <w:rPr>
                <w:sz w:val="20"/>
                <w:szCs w:val="20"/>
                <w:color w:val="auto"/>
              </w:rPr>
            </w:pPr>
            <w:r>
              <w:rPr>
                <w:rFonts w:ascii="Arial" w:cs="Arial" w:eastAsia="Arial" w:hAnsi="Arial"/>
                <w:sz w:val="14"/>
                <w:szCs w:val="14"/>
                <w:color w:val="auto"/>
              </w:rPr>
              <w:t>$90</w:t>
            </w:r>
          </w:p>
        </w:tc>
        <w:tc>
          <w:tcPr>
            <w:tcW w:w="120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$140</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54.8%</w:t>
            </w:r>
          </w:p>
        </w:tc>
        <w:tc>
          <w:tcPr>
            <w:tcW w:w="2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$238</w:t>
            </w:r>
          </w:p>
        </w:tc>
        <w:tc>
          <w:tcPr>
            <w:tcW w:w="140" w:type="dxa"/>
            <w:vAlign w:val="bottom"/>
          </w:tcPr>
          <w:p>
            <w:pPr>
              <w:spacing w:after="0"/>
              <w:rPr>
                <w:sz w:val="24"/>
                <w:szCs w:val="24"/>
                <w:color w:val="auto"/>
              </w:rPr>
            </w:pPr>
          </w:p>
        </w:tc>
        <w:tc>
          <w:tcPr>
            <w:tcW w:w="100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$345</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44.9%</w:t>
            </w:r>
          </w:p>
        </w:tc>
      </w:tr>
      <w:tr>
        <w:trPr>
          <w:trHeight w:val="20"/>
        </w:trPr>
        <w:tc>
          <w:tcPr>
            <w:tcW w:w="42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pacing w:after="0" w:line="318" w:lineRule="exact"/>
        <w:rPr>
          <w:sz w:val="20"/>
          <w:szCs w:val="20"/>
          <w:color w:val="auto"/>
        </w:rPr>
      </w:pPr>
    </w:p>
    <w:p>
      <w:pPr>
        <w:ind w:right="1900" w:firstLine="8"/>
        <w:spacing w:after="0" w:line="230" w:lineRule="auto"/>
        <w:tabs>
          <w:tab w:leader="none" w:pos="189" w:val="left"/>
        </w:tabs>
        <w:numPr>
          <w:ilvl w:val="0"/>
          <w:numId w:val="8"/>
        </w:numPr>
        <w:rPr>
          <w:rFonts w:ascii="Arial" w:cs="Arial" w:eastAsia="Arial" w:hAnsi="Arial"/>
          <w:sz w:val="13"/>
          <w:szCs w:val="13"/>
          <w:color w:val="auto"/>
        </w:rPr>
      </w:pPr>
      <w:r>
        <w:rPr>
          <w:rFonts w:ascii="Arial" w:cs="Arial" w:eastAsia="Arial" w:hAnsi="Arial"/>
          <w:sz w:val="13"/>
          <w:szCs w:val="13"/>
          <w:color w:val="auto"/>
        </w:rPr>
        <w:t xml:space="preserve">Reflects the settlement of a $237 million liability associated with the unfavorable Olympics contract recorded through the application of acquisition accounting in 2011. </w:t>
      </w:r>
      <w:r>
        <w:rPr>
          <w:rFonts w:ascii="Arial" w:cs="Arial" w:eastAsia="Arial" w:hAnsi="Arial"/>
          <w:sz w:val="13"/>
          <w:szCs w:val="13"/>
          <w:u w:val="single" w:color="auto"/>
          <w:color w:val="auto"/>
        </w:rPr>
        <w:t>Note:</w:t>
      </w:r>
      <w:r>
        <w:rPr>
          <w:rFonts w:ascii="Arial" w:cs="Arial" w:eastAsia="Arial" w:hAnsi="Arial"/>
          <w:sz w:val="13"/>
          <w:szCs w:val="13"/>
          <w:color w:val="auto"/>
        </w:rPr>
        <w:t xml:space="preserve"> Minor differences may exist due to rounding.</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140" w:right="339" w:bottom="1440" w:gutter="0" w:footer="0" w:header="0"/>
        </w:sectPr>
      </w:pPr>
    </w:p>
    <w:bookmarkStart w:id="11" w:name="page12"/>
    <w:bookmarkEnd w:id="11"/>
    <w:p>
      <w:pPr>
        <w:jc w:val="right"/>
        <w:spacing w:after="0"/>
        <w:rPr>
          <w:sz w:val="20"/>
          <w:szCs w:val="20"/>
          <w:color w:val="auto"/>
        </w:rPr>
      </w:pPr>
      <w:r>
        <w:rPr>
          <w:rFonts w:ascii="Arial" w:cs="Arial" w:eastAsia="Arial" w:hAnsi="Arial"/>
          <w:sz w:val="17"/>
          <w:szCs w:val="17"/>
          <w:b w:val="1"/>
          <w:bCs w:val="1"/>
          <w:color w:val="auto"/>
        </w:rPr>
        <w:t>Exhibit 99.2</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Exhibit 99.2 – Explanation of Non-GAAP and Other Financial Measures</w:t>
      </w:r>
    </w:p>
    <w:p>
      <w:pPr>
        <w:spacing w:after="0" w:line="216" w:lineRule="exact"/>
        <w:rPr>
          <w:sz w:val="20"/>
          <w:szCs w:val="20"/>
          <w:color w:val="auto"/>
        </w:rPr>
      </w:pPr>
    </w:p>
    <w:p>
      <w:pPr>
        <w:jc w:val="both"/>
        <w:spacing w:after="0" w:line="297" w:lineRule="auto"/>
        <w:rPr>
          <w:sz w:val="20"/>
          <w:szCs w:val="20"/>
          <w:color w:val="auto"/>
        </w:rPr>
      </w:pPr>
      <w:r>
        <w:rPr>
          <w:rFonts w:ascii="Arial" w:cs="Arial" w:eastAsia="Arial" w:hAnsi="Arial"/>
          <w:sz w:val="15"/>
          <w:szCs w:val="15"/>
          <w:color w:val="auto"/>
        </w:rPr>
        <w:t>This Exhibit 99.2 to the accompanying Current Report on Form 8-K for Comcast Corporation (“Company”, “we”, “us” or “our”) sets forth the reasons we believe that presentation of financial measures not in accordance with generally accepted accounting principles in the United States (GAAP) contained in the earnings press release filed as Exhibit 99.1 to the Current Report on Form 8-K provides useful information to investors regarding our financial condition and results of operations. To the extent material, this Exhibit also discloses the additional purposes, if any, for which our management uses these non-GAAP financial measures. A reconciliation of these non-GAAP financial measures with the most directly comparable GAAP financial measures is included in the earnings press release itself.</w:t>
      </w:r>
    </w:p>
    <w:p>
      <w:pPr>
        <w:spacing w:after="0" w:line="148"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Operating Cash Flow is the primary basis used to measure the operational strength and performance of our businesses. Free Cash Flow and Unlevered Free Cash Flow are additional performance measures used as indicators of our ability to service and repay debt, make investments and return capital to investors, through stock repurchases and dividends. We also adjust certain historical data on a pro forma basis following certain acquisitions or dispositions to enhance comparability.</w:t>
      </w:r>
    </w:p>
    <w:p>
      <w:pPr>
        <w:spacing w:after="0" w:line="138" w:lineRule="exact"/>
        <w:rPr>
          <w:sz w:val="20"/>
          <w:szCs w:val="20"/>
          <w:color w:val="auto"/>
        </w:rPr>
      </w:pPr>
    </w:p>
    <w:p>
      <w:pPr>
        <w:jc w:val="both"/>
        <w:spacing w:after="0" w:line="292" w:lineRule="auto"/>
        <w:rPr>
          <w:sz w:val="20"/>
          <w:szCs w:val="20"/>
          <w:color w:val="auto"/>
        </w:rPr>
      </w:pPr>
      <w:r>
        <w:rPr>
          <w:rFonts w:ascii="Arial" w:cs="Arial" w:eastAsia="Arial" w:hAnsi="Arial"/>
          <w:sz w:val="15"/>
          <w:szCs w:val="15"/>
          <w:color w:val="auto"/>
        </w:rPr>
        <w:t>Operating Cash Flow is defined as operating income (loss) before depreciation and amortization, excluding impairment charges related to fixed and intangible assets and gains or losses on sale of assets, if any. This measure eliminates the significant level of non-cash depreciation and amortization expense that results from the capital intensive nature of certain of our businesses and from intangible assets recognized in business combinations. It is also unaffected by our capital structure or investment activities. Our management and Board of Directors use this financial measure to evaluate our consolidated operating performance and the operating performance of our operating segments and to allocate resources and capital to our operating segments. It is also a significant performance measure in our annual incentive compensation programs. We believe that Operating Cash Flow is useful to investors because it is one of the bases for comparing our operating performance with other companies in our industries, although our measure of Operating Cash Flow may not be directly comparable to similar measures used by other companies.</w:t>
      </w:r>
    </w:p>
    <w:p>
      <w:pPr>
        <w:spacing w:after="0" w:line="15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Because we use Operating Cash Flow to measure our segment profit or loss, we reconcile it to operating income, the most directly comparable financial measure calculated and presented in accordance with GAAP, in the business segment footnote to our quarterly and annual consolidated financial statements. Therefore, we believe our measure of Operating Cash Flow for our segments is not a “non-GAAP financial measure” as contemplated by Regulation G adopted by the Securities and Exchange Commission. Consolidated Operating Cash Flow is a non-GAAP financial measure.</w:t>
      </w:r>
    </w:p>
    <w:p>
      <w:pPr>
        <w:spacing w:after="0" w:line="176"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Free Cash Flow, which is a non-GAAP financial measure, is defined as “Net Cash Provided by Operating Activities” (as stated in our Consolidated Statement of Cash Flows) reduced by capital expenditures, cash paid for intangible assets and cash distributions to noncontrolling interests; and adjusted for any payments and receipts related to certain nonoperating items, net of estimated tax benefits (such as income taxes on investment sales and nonrecurring payments related to income tax and litigation contingencies of acquired companies). Unlevered Free Cash Flow is Free Cash Flow before cash paid interest. We believe that Free Cash Flow and Unlevered Free Cash Flow are also useful to investors as the basis for comparing our performance and coverage ratios with other companies in our industries, although our measure of Free Cash Flow and Unlevered Free Cash Flow may not be directly comparable to similar measures used by other companies.</w:t>
      </w:r>
    </w:p>
    <w:p>
      <w:pPr>
        <w:spacing w:after="0" w:line="150"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Pro forma data is used by management to evaluate performance when certain acquisitions or dispositions occur. Historical data reflects results of acquired businesses only after the acquisition dates while pro forma data enhances comparability of financial information between periods by adjusting the data as if the acquisitions or dispositions occurred at the beginning of the preceding year. Our pro forma data is adjusted for the timing of acquisitions or dispositions, the effects of acquisition accounting, eliminating the costs and expenses directly related to the transaction, but does not include adjustments for costs related to integration activities, cost savings or synergies that have been or may be achieved by the combined businesses. We do not believe our pro forma data is a non-GAAP financial measure as contemplated by Regulation G.</w:t>
      </w:r>
    </w:p>
    <w:p>
      <w:pPr>
        <w:spacing w:after="0" w:line="182"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In certain circumstances we also present “adjusted” data, to exclude certain gains, losses or other charges, net of tax (such as from the sales of investments or dispositions of businesses). This “adjusted” data is a non-GAAP financial measure. We believe, among other things, that the “adjusted” data may help investors evaluate our ongoing operations and can assist in making meaningful period-over-period comparisons.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187325</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Exhibit 99.2 – Explanation of Non-GAAP and Other Financial Measures, cont’d</w:t>
      </w:r>
    </w:p>
    <w:p>
      <w:pPr>
        <w:spacing w:after="0" w:line="21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Non-GAAP financial measures should not be considered as substitutes for operating income (loss), net income (loss) attributable to Comcast Corporation, net cash provided by operating activities or other measures of performance or liquidity reported in accordance with GAAP.</w:t>
      </w:r>
    </w:p>
    <w:p>
      <w:pPr>
        <w:spacing w:after="0" w:line="16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Additionally, in the opinion of management, our pro forma data is not necessarily indicative of future results or what our results would have been had the acquired businesses been operated by us after the assumed earlier date.</w:t>
      </w:r>
    </w:p>
    <w:p>
      <w:pPr>
        <w:spacing w:after="0" w:line="161" w:lineRule="exact"/>
        <w:rPr>
          <w:sz w:val="20"/>
          <w:szCs w:val="20"/>
          <w:color w:val="auto"/>
        </w:rPr>
      </w:pPr>
    </w:p>
    <w:p>
      <w:pPr>
        <w:jc w:val="both"/>
        <w:ind w:right="20"/>
        <w:spacing w:after="0" w:line="274" w:lineRule="auto"/>
        <w:rPr>
          <w:sz w:val="20"/>
          <w:szCs w:val="20"/>
          <w:color w:val="auto"/>
        </w:rPr>
      </w:pPr>
      <w:r>
        <w:rPr>
          <w:rFonts w:ascii="Arial" w:cs="Arial" w:eastAsia="Arial" w:hAnsi="Arial"/>
          <w:sz w:val="17"/>
          <w:szCs w:val="17"/>
          <w:color w:val="auto"/>
        </w:rPr>
        <w:t>In Exhibit 99.1 to this Current Report on Form 8-K we provide reconciliations of Free Cash Flow in Table 4, Consolidated Operating Cash Flow in Table 1 and “adjusted” data in Tables 4 and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180340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bullet"/>
      <w:start w:val="1"/>
    </w:lvl>
  </w:abstractNum>
  <w:abstractNum w:abstractNumId="5">
    <w:nsid w:val="41B71EFB"/>
    <w:multiLevelType w:val="hybridMultilevel"/>
    <w:lvl w:ilvl="0">
      <w:lvlJc w:val="left"/>
      <w:lvlText w:val="3"/>
      <w:numFmt w:val="bullet"/>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2019-12-07T03:13:00Z</dcterms:created>
  <dcterms:modified xsi:type="dcterms:W3CDTF">2019-12-07T03:13:00Z</dcterms:modified>
</cp:coreProperties>
</file>