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9" w:lineRule="exact"/>
        <w:rPr>
          <w:sz w:val="24"/>
          <w:szCs w:val="24"/>
          <w:color w:val="auto"/>
        </w:rPr>
      </w:pPr>
    </w:p>
    <w:p>
      <w:pPr>
        <w:ind w:left="3740" w:right="3740" w:hanging="3500"/>
        <w:spacing w:after="0" w:line="279" w:lineRule="auto"/>
        <w:tabs>
          <w:tab w:leader="none" w:pos="58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2017</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7" w:lineRule="exact"/>
        <w:rPr>
          <w:sz w:val="24"/>
          <w:szCs w:val="24"/>
          <w:color w:val="auto"/>
        </w:rPr>
      </w:pPr>
    </w:p>
    <w:p>
      <w:pPr>
        <w:ind w:left="580" w:hanging="367"/>
        <w:spacing w:after="0"/>
        <w:tabs>
          <w:tab w:leader="none" w:pos="580" w:val="left"/>
        </w:tabs>
        <w:numPr>
          <w:ilvl w:val="0"/>
          <w:numId w:val="2"/>
        </w:numPr>
        <w:rPr>
          <w:rFonts w:ascii="Webdings" w:cs="Webdings" w:eastAsia="Webdings" w:hAnsi="Webdings"/>
          <w:sz w:val="29"/>
          <w:szCs w:val="29"/>
          <w:b w:val="1"/>
          <w:bCs w:val="1"/>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 w:lineRule="exact"/>
        <w:rPr>
          <w:sz w:val="24"/>
          <w:szCs w:val="24"/>
          <w:color w:val="auto"/>
        </w:rPr>
      </w:pPr>
    </w:p>
    <w:p>
      <w:pPr>
        <w:ind w:left="3460"/>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105410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226060</wp:posOffset>
            </wp:positionV>
            <wp:extent cx="182689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Exact Name of Registrant; State of</w:t>
      </w:r>
    </w:p>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Incorporation; Address and Telephone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04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Commission File Number</w:t>
            </w:r>
          </w:p>
        </w:tc>
        <w:tc>
          <w:tcPr>
            <w:tcW w:w="5320" w:type="dxa"/>
            <w:vAlign w:val="bottom"/>
            <w:tcBorders>
              <w:bottom w:val="single" w:sz="8" w:color="auto"/>
            </w:tcBorders>
          </w:tcPr>
          <w:p>
            <w:pPr>
              <w:jc w:val="center"/>
              <w:ind w:left="46"/>
              <w:spacing w:after="0"/>
              <w:rPr>
                <w:sz w:val="20"/>
                <w:szCs w:val="20"/>
                <w:color w:val="auto"/>
              </w:rPr>
            </w:pPr>
            <w:r>
              <w:rPr>
                <w:rFonts w:ascii="Times New Roman" w:cs="Times New Roman" w:eastAsia="Times New Roman" w:hAnsi="Times New Roman"/>
                <w:sz w:val="16"/>
                <w:szCs w:val="16"/>
                <w:color w:val="auto"/>
              </w:rPr>
              <w:t>Number of Principal Executive Offices</w:t>
            </w: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91"/>
        </w:trPr>
        <w:tc>
          <w:tcPr>
            <w:tcW w:w="304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001-32871</w:t>
            </w:r>
          </w:p>
        </w:tc>
        <w:tc>
          <w:tcPr>
            <w:tcW w:w="5320" w:type="dxa"/>
            <w:vAlign w:val="bottom"/>
            <w:vMerge w:val="restart"/>
          </w:tcPr>
          <w:p>
            <w:pPr>
              <w:jc w:val="center"/>
              <w:ind w:left="46"/>
              <w:spacing w:after="0"/>
              <w:rPr>
                <w:sz w:val="20"/>
                <w:szCs w:val="20"/>
                <w:color w:val="auto"/>
              </w:rPr>
            </w:pPr>
            <w:r>
              <w:rPr>
                <w:rFonts w:ascii="Times New Roman" w:cs="Times New Roman" w:eastAsia="Times New Roman" w:hAnsi="Times New Roman"/>
                <w:sz w:val="29"/>
                <w:szCs w:val="29"/>
                <w:b w:val="1"/>
                <w:bCs w:val="1"/>
                <w:color w:val="auto"/>
                <w:w w:val="98"/>
              </w:rPr>
              <w:t>COMCAST CORPORATION</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27-0000798</w:t>
            </w: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532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5320" w:type="dxa"/>
            <w:vAlign w:val="bottom"/>
          </w:tcPr>
          <w:p>
            <w:pPr>
              <w:jc w:val="center"/>
              <w:ind w:left="66"/>
              <w:spacing w:after="0" w:line="160" w:lineRule="exact"/>
              <w:rPr>
                <w:sz w:val="20"/>
                <w:szCs w:val="20"/>
                <w:color w:val="auto"/>
              </w:rPr>
            </w:pPr>
            <w:r>
              <w:rPr>
                <w:rFonts w:ascii="Times New Roman" w:cs="Times New Roman" w:eastAsia="Times New Roman" w:hAnsi="Times New Roman"/>
                <w:sz w:val="14"/>
                <w:szCs w:val="14"/>
                <w:b w:val="1"/>
                <w:bCs w:val="1"/>
                <w:color w:val="auto"/>
              </w:rPr>
              <w:t>PENNSYLVANIA</w:t>
            </w:r>
          </w:p>
        </w:tc>
        <w:tc>
          <w:tcPr>
            <w:tcW w:w="3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Times New Roman" w:cs="Times New Roman" w:eastAsia="Times New Roman" w:hAnsi="Times New Roman"/>
                <w:sz w:val="14"/>
                <w:szCs w:val="14"/>
                <w:b w:val="1"/>
                <w:bCs w:val="1"/>
                <w:color w:val="auto"/>
              </w:rPr>
              <w:t>One Comcast Center</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Times New Roman" w:cs="Times New Roman" w:eastAsia="Times New Roman" w:hAnsi="Times New Roman"/>
                <w:sz w:val="14"/>
                <w:szCs w:val="14"/>
                <w:b w:val="1"/>
                <w:bCs w:val="1"/>
                <w:color w:val="auto"/>
              </w:rPr>
              <w:t>Philadelphia, PA 19103-2838</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5320" w:type="dxa"/>
            <w:vAlign w:val="bottom"/>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(215) 286-1700</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04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001-36438</w:t>
            </w:r>
          </w:p>
        </w:tc>
        <w:tc>
          <w:tcPr>
            <w:tcW w:w="5320" w:type="dxa"/>
            <w:vAlign w:val="bottom"/>
            <w:vMerge w:val="restart"/>
          </w:tcPr>
          <w:p>
            <w:pPr>
              <w:jc w:val="center"/>
              <w:ind w:left="66"/>
              <w:spacing w:after="0"/>
              <w:rPr>
                <w:sz w:val="20"/>
                <w:szCs w:val="20"/>
                <w:color w:val="auto"/>
              </w:rPr>
            </w:pPr>
            <w:r>
              <w:rPr>
                <w:rFonts w:ascii="Times New Roman" w:cs="Times New Roman" w:eastAsia="Times New Roman" w:hAnsi="Times New Roman"/>
                <w:sz w:val="29"/>
                <w:szCs w:val="29"/>
                <w:b w:val="1"/>
                <w:bCs w:val="1"/>
                <w:color w:val="auto"/>
                <w:w w:val="98"/>
              </w:rPr>
              <w:t>NBCUNIVERSAL MEDIA, LLC</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14-1682529</w:t>
            </w: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DELAWARE</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30 Rockefeller Plaza</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New York, NY 10112-0015</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13335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3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08" w:lineRule="exact"/>
        <w:rPr>
          <w:sz w:val="24"/>
          <w:szCs w:val="24"/>
          <w:color w:val="auto"/>
        </w:rPr>
      </w:pPr>
    </w:p>
    <w:tbl>
      <w:tblPr>
        <w:tblLayout w:type="fixed"/>
        <w:tblInd w:w="3240" w:type="dxa"/>
        <w:tblCellMar>
          <w:top w:w="0" w:type="dxa"/>
          <w:left w:w="0" w:type="dxa"/>
          <w:bottom w:w="0" w:type="dxa"/>
          <w:right w:w="0" w:type="dxa"/>
        </w:tblCellMar>
      </w:tblPr>
      <w:tr>
        <w:trPr>
          <w:trHeight w:val="188"/>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Comcast Corporation</w:t>
            </w:r>
          </w:p>
        </w:tc>
        <w:tc>
          <w:tcPr>
            <w:tcW w:w="12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rPr>
              <w:t>Yes</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x</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 xml:space="preserve">No </w:t>
            </w:r>
            <w:r>
              <w:rPr>
                <w:rFonts w:ascii="Webdings" w:cs="Webdings" w:eastAsia="Webdings" w:hAnsi="Webdings"/>
                <w:sz w:val="14"/>
                <w:szCs w:val="14"/>
                <w:b w:val="1"/>
                <w:bCs w:val="1"/>
                <w:color w:val="auto"/>
              </w:rPr>
              <w:t></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NBCUniversal Media, LLC</w:t>
            </w:r>
          </w:p>
        </w:tc>
        <w:tc>
          <w:tcPr>
            <w:tcW w:w="12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rPr>
              <w:t>Yes</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x</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 xml:space="preserve">No </w:t>
            </w:r>
            <w:r>
              <w:rPr>
                <w:rFonts w:ascii="Webdings" w:cs="Webdings" w:eastAsia="Webdings" w:hAnsi="Webdings"/>
                <w:sz w:val="14"/>
                <w:szCs w:val="14"/>
                <w:b w:val="1"/>
                <w:bCs w:val="1"/>
                <w:color w:val="auto"/>
              </w:rPr>
              <w:t></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83820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08" w:lineRule="exact"/>
        <w:rPr>
          <w:sz w:val="24"/>
          <w:szCs w:val="24"/>
          <w:color w:val="auto"/>
        </w:rPr>
      </w:pPr>
    </w:p>
    <w:tbl>
      <w:tblPr>
        <w:tblLayout w:type="fixed"/>
        <w:tblInd w:w="3240" w:type="dxa"/>
        <w:tblCellMar>
          <w:top w:w="0" w:type="dxa"/>
          <w:left w:w="0" w:type="dxa"/>
          <w:bottom w:w="0" w:type="dxa"/>
          <w:right w:w="0" w:type="dxa"/>
        </w:tblCellMar>
      </w:tblPr>
      <w:tr>
        <w:trPr>
          <w:trHeight w:val="188"/>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Comcast Corporation</w:t>
            </w:r>
          </w:p>
        </w:tc>
        <w:tc>
          <w:tcPr>
            <w:tcW w:w="12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rPr>
              <w:t>Yes</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x</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 xml:space="preserve">No </w:t>
            </w:r>
            <w:r>
              <w:rPr>
                <w:rFonts w:ascii="Webdings" w:cs="Webdings" w:eastAsia="Webdings" w:hAnsi="Webdings"/>
                <w:sz w:val="14"/>
                <w:szCs w:val="14"/>
                <w:b w:val="1"/>
                <w:bCs w:val="1"/>
                <w:color w:val="auto"/>
              </w:rPr>
              <w:t></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NBCUniversal Media, LLC</w:t>
            </w:r>
          </w:p>
        </w:tc>
        <w:tc>
          <w:tcPr>
            <w:tcW w:w="12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rPr>
              <w:t>Yes</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x</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 xml:space="preserve">No </w:t>
            </w:r>
            <w:r>
              <w:rPr>
                <w:rFonts w:ascii="Webdings" w:cs="Webdings" w:eastAsia="Webdings" w:hAnsi="Webdings"/>
                <w:sz w:val="14"/>
                <w:szCs w:val="14"/>
                <w:b w:val="1"/>
                <w:bCs w:val="1"/>
                <w:color w:val="auto"/>
              </w:rPr>
              <w:t></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Comcast Corporation</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x  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Webdings" w:cs="Webdings" w:eastAsia="Webdings" w:hAnsi="Webdings"/>
          <w:sz w:val="14"/>
          <w:szCs w:val="14"/>
          <w:b w:val="1"/>
          <w:bCs w:val="1"/>
          <w:color w:val="auto"/>
        </w:rPr>
        <w:t xml:space="preserve"> </w:t>
      </w: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spacing w:after="0"/>
        <w:rPr>
          <w:sz w:val="20"/>
          <w:szCs w:val="20"/>
          <w:color w:val="auto"/>
        </w:rPr>
      </w:pPr>
      <w:r>
        <w:rPr>
          <w:rFonts w:ascii="Webdings" w:cs="Webdings" w:eastAsia="Webdings" w:hAnsi="Webdings"/>
          <w:sz w:val="14"/>
          <w:szCs w:val="14"/>
          <w:b w:val="1"/>
          <w:bCs w:val="1"/>
          <w:color w:val="auto"/>
        </w:rPr>
        <w:t xml:space="preserve"> </w:t>
      </w: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spacing w:after="0"/>
        <w:rPr>
          <w:sz w:val="20"/>
          <w:szCs w:val="20"/>
          <w:color w:val="auto"/>
        </w:rPr>
      </w:pPr>
      <w:r>
        <w:rPr>
          <w:rFonts w:ascii="Webdings" w:cs="Webdings" w:eastAsia="Webdings" w:hAnsi="Webdings"/>
          <w:sz w:val="14"/>
          <w:szCs w:val="14"/>
          <w:b w:val="1"/>
          <w:bCs w:val="1"/>
          <w:color w:val="auto"/>
        </w:rPr>
        <w:t xml:space="preserve"> </w:t>
      </w: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Webdings" w:cs="Webdings" w:eastAsia="Webdings" w:hAnsi="Webdings"/>
          <w:sz w:val="14"/>
          <w:szCs w:val="14"/>
          <w:b w:val="1"/>
          <w:bCs w:val="1"/>
          <w:color w:val="auto"/>
        </w:rPr>
        <w:t></w:t>
      </w:r>
    </w:p>
    <w:p>
      <w:pPr>
        <w:spacing w:after="0" w:line="33" w:lineRule="exact"/>
        <w:rPr>
          <w:sz w:val="24"/>
          <w:szCs w:val="24"/>
          <w:color w:val="auto"/>
        </w:rPr>
      </w:pPr>
    </w:p>
    <w:p>
      <w:pPr>
        <w:sectPr>
          <w:pgSz w:w="11900" w:h="16838" w:orient="portrait"/>
          <w:cols w:equalWidth="0" w:num="7">
            <w:col w:w="1280" w:space="700"/>
            <w:col w:w="1300" w:space="360"/>
            <w:col w:w="1140" w:space="300"/>
            <w:col w:w="1440" w:space="400"/>
            <w:col w:w="1800" w:space="380"/>
            <w:col w:w="1780" w:space="360"/>
            <w:col w:w="180"/>
          </w:cols>
          <w:pgMar w:left="240" w:top="225"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4"/>
          <w:szCs w:val="14"/>
          <w:color w:val="auto"/>
        </w:rPr>
        <w:t>NBCUniversal Media, LLC</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Webdings" w:cs="Webdings" w:eastAsia="Webdings" w:hAnsi="Webdings"/>
          <w:sz w:val="14"/>
          <w:szCs w:val="14"/>
          <w:b w:val="1"/>
          <w:bCs w:val="1"/>
          <w:color w:val="auto"/>
        </w:rPr>
        <w:t xml:space="preserve"> </w:t>
      </w: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ebdings" w:cs="Webdings" w:eastAsia="Webdings" w:hAnsi="Webdings"/>
          <w:sz w:val="14"/>
          <w:szCs w:val="14"/>
          <w:b w:val="1"/>
          <w:bCs w:val="1"/>
          <w:color w:val="auto"/>
        </w:rPr>
        <w:t xml:space="preserve"> </w:t>
      </w: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x  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Webdings" w:cs="Webdings" w:eastAsia="Webdings" w:hAnsi="Webdings"/>
          <w:sz w:val="14"/>
          <w:szCs w:val="14"/>
          <w:b w:val="1"/>
          <w:bCs w:val="1"/>
          <w:color w:val="auto"/>
        </w:rPr>
        <w:t xml:space="preserve"> </w:t>
      </w: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Webdings" w:cs="Webdings" w:eastAsia="Webdings" w:hAnsi="Webdings"/>
          <w:sz w:val="14"/>
          <w:szCs w:val="14"/>
          <w:b w:val="1"/>
          <w:bCs w:val="1"/>
          <w:color w:val="auto"/>
        </w:rPr>
        <w:t></w:t>
      </w:r>
    </w:p>
    <w:p>
      <w:pPr>
        <w:spacing w:after="0" w:line="115" w:lineRule="exact"/>
        <w:rPr>
          <w:sz w:val="24"/>
          <w:szCs w:val="24"/>
          <w:color w:val="auto"/>
        </w:rPr>
      </w:pPr>
    </w:p>
    <w:p>
      <w:pPr>
        <w:sectPr>
          <w:pgSz w:w="11900" w:h="16838" w:orient="portrait"/>
          <w:cols w:equalWidth="0" w:num="7">
            <w:col w:w="1640" w:space="340"/>
            <w:col w:w="1300" w:space="320"/>
            <w:col w:w="1180" w:space="300"/>
            <w:col w:w="1440" w:space="440"/>
            <w:col w:w="1760" w:space="380"/>
            <w:col w:w="1780" w:space="360"/>
            <w:col w:w="180"/>
          </w:cols>
          <w:pgMar w:left="240" w:top="225" w:right="2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ind w:left="3600"/>
              <w:spacing w:after="0"/>
              <w:rPr>
                <w:sz w:val="20"/>
                <w:szCs w:val="20"/>
                <w:color w:val="auto"/>
              </w:rPr>
            </w:pPr>
            <w:r>
              <w:rPr>
                <w:rFonts w:ascii="Times New Roman" w:cs="Times New Roman" w:eastAsia="Times New Roman" w:hAnsi="Times New Roman"/>
                <w:sz w:val="14"/>
                <w:szCs w:val="14"/>
                <w:color w:val="auto"/>
              </w:rPr>
              <w:t>Comcast Corporation</w:t>
            </w:r>
          </w:p>
        </w:tc>
        <w:tc>
          <w:tcPr>
            <w:tcW w:w="1060" w:type="dxa"/>
            <w:vAlign w:val="bottom"/>
          </w:tcPr>
          <w:p>
            <w:pPr>
              <w:spacing w:after="0"/>
              <w:rPr>
                <w:sz w:val="16"/>
                <w:szCs w:val="16"/>
                <w:color w:val="auto"/>
              </w:rPr>
            </w:pPr>
          </w:p>
        </w:tc>
        <w:tc>
          <w:tcPr>
            <w:tcW w:w="700" w:type="dxa"/>
            <w:vAlign w:val="bottom"/>
          </w:tcPr>
          <w:p>
            <w:pPr>
              <w:ind w:left="280"/>
              <w:spacing w:after="0"/>
              <w:rPr>
                <w:sz w:val="20"/>
                <w:szCs w:val="20"/>
                <w:color w:val="auto"/>
              </w:rPr>
            </w:pPr>
            <w:r>
              <w:rPr>
                <w:rFonts w:ascii="Webdings" w:cs="Webdings" w:eastAsia="Webdings" w:hAnsi="Webdings"/>
                <w:sz w:val="14"/>
                <w:szCs w:val="14"/>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600"/>
              <w:spacing w:after="0"/>
              <w:rPr>
                <w:sz w:val="20"/>
                <w:szCs w:val="20"/>
                <w:color w:val="auto"/>
              </w:rPr>
            </w:pPr>
            <w:r>
              <w:rPr>
                <w:rFonts w:ascii="Times New Roman" w:cs="Times New Roman" w:eastAsia="Times New Roman" w:hAnsi="Times New Roman"/>
                <w:sz w:val="14"/>
                <w:szCs w:val="14"/>
                <w:color w:val="auto"/>
              </w:rPr>
              <w:t>NBCUniversal Media, LLC</w:t>
            </w:r>
          </w:p>
        </w:tc>
        <w:tc>
          <w:tcPr>
            <w:tcW w:w="1060" w:type="dxa"/>
            <w:vAlign w:val="bottom"/>
          </w:tcPr>
          <w:p>
            <w:pPr>
              <w:spacing w:after="0"/>
              <w:rPr>
                <w:sz w:val="17"/>
                <w:szCs w:val="17"/>
                <w:color w:val="auto"/>
              </w:rPr>
            </w:pPr>
          </w:p>
        </w:tc>
        <w:tc>
          <w:tcPr>
            <w:tcW w:w="700" w:type="dxa"/>
            <w:vAlign w:val="bottom"/>
          </w:tcPr>
          <w:p>
            <w:pPr>
              <w:ind w:left="280"/>
              <w:spacing w:after="0"/>
              <w:rPr>
                <w:sz w:val="20"/>
                <w:szCs w:val="20"/>
                <w:color w:val="auto"/>
              </w:rPr>
            </w:pPr>
            <w:r>
              <w:rPr>
                <w:rFonts w:ascii="Webdings" w:cs="Webdings" w:eastAsia="Webdings" w:hAnsi="Webdings"/>
                <w:sz w:val="14"/>
                <w:szCs w:val="14"/>
                <w:b w:val="1"/>
                <w:bCs w:val="1"/>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Comcast Corporation</w:t>
            </w:r>
          </w:p>
        </w:tc>
        <w:tc>
          <w:tcPr>
            <w:tcW w:w="10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 xml:space="preserve">Yes </w:t>
            </w:r>
            <w:r>
              <w:rPr>
                <w:rFonts w:ascii="Webdings" w:cs="Webdings" w:eastAsia="Webdings" w:hAnsi="Webdings"/>
                <w:sz w:val="14"/>
                <w:szCs w:val="14"/>
                <w:b w:val="1"/>
                <w:bCs w:val="1"/>
                <w:color w:val="auto"/>
              </w:rPr>
              <w:t></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No</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NBCUniversal Media, LLC</w:t>
            </w:r>
          </w:p>
        </w:tc>
        <w:tc>
          <w:tcPr>
            <w:tcW w:w="10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 xml:space="preserve">Yes </w:t>
            </w:r>
            <w:r>
              <w:rPr>
                <w:rFonts w:ascii="Webdings" w:cs="Webdings" w:eastAsia="Webdings" w:hAnsi="Webdings"/>
                <w:sz w:val="14"/>
                <w:szCs w:val="14"/>
                <w:b w:val="1"/>
                <w:bCs w:val="1"/>
                <w:color w:val="auto"/>
              </w:rPr>
              <w:t></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No</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stock, as of the latest practical date:</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2017, there were 4,664,327,455 shares of Comcast Corporation Class A common stock and 9,444,375 shares of Comcast Corporation Class B common stock outstanding.</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Not applicable for NBCUniversal Media, LLC.</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3"/>
        </w:trPr>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080" w:type="dxa"/>
            <w:vAlign w:val="bottom"/>
            <w:tcBorders>
              <w:bottom w:val="single" w:sz="8" w:color="0000EE"/>
            </w:tcBorders>
            <w:gridSpan w:val="10"/>
          </w:tcPr>
          <w:p>
            <w:pPr>
              <w:spacing w:after="0" w:line="201" w:lineRule="exact"/>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FINANCIAL INFORMATION</w:t>
              </w:r>
            </w:hyperlink>
          </w:p>
        </w:tc>
        <w:tc>
          <w:tcPr>
            <w:tcW w:w="7420" w:type="dxa"/>
            <w:vAlign w:val="bottom"/>
            <w:gridSpan w:val="13"/>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Comcast Corporation Financial Statements</w:t>
              </w:r>
            </w:hyperlink>
          </w:p>
        </w:tc>
        <w:tc>
          <w:tcPr>
            <w:tcW w:w="5920" w:type="dxa"/>
            <w:vAlign w:val="bottom"/>
            <w:gridSpan w:val="10"/>
          </w:tcPr>
          <w:p>
            <w:pPr>
              <w:spacing w:after="0"/>
              <w:rPr>
                <w:sz w:val="21"/>
                <w:szCs w:val="21"/>
                <w:color w:val="auto"/>
              </w:rPr>
            </w:pPr>
          </w:p>
        </w:tc>
        <w:tc>
          <w:tcPr>
            <w:tcW w:w="8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2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 as of September 30, 2017 and December 31, 2016 (Unaudited)</w:t>
              </w:r>
            </w:hyperlink>
          </w:p>
        </w:tc>
        <w:tc>
          <w:tcPr>
            <w:tcW w:w="8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20" w:type="dxa"/>
            <w:vAlign w:val="bottom"/>
            <w:gridSpan w:val="2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 of Income for the Three and Nine Months Ended September 30, 2017 and 2016</w:t>
              </w:r>
            </w:hyperlink>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(Unaudited)</w:t>
              </w:r>
            </w:hyperlink>
          </w:p>
        </w:tc>
        <w:tc>
          <w:tcPr>
            <w:tcW w:w="7440" w:type="dxa"/>
            <w:vAlign w:val="bottom"/>
            <w:tcBorders>
              <w:top w:val="single" w:sz="8" w:color="0000EE"/>
            </w:tcBorders>
            <w:gridSpan w:val="15"/>
          </w:tcPr>
          <w:p>
            <w:pPr>
              <w:spacing w:after="0"/>
              <w:rPr>
                <w:sz w:val="17"/>
                <w:szCs w:val="17"/>
                <w:color w:val="auto"/>
              </w:rPr>
            </w:pPr>
          </w:p>
        </w:tc>
        <w:tc>
          <w:tcPr>
            <w:tcW w:w="700" w:type="dxa"/>
            <w:vAlign w:val="bottom"/>
            <w:gridSpan w:val="4"/>
          </w:tcPr>
          <w:p>
            <w:pPr>
              <w:spacing w:after="0"/>
              <w:rPr>
                <w:sz w:val="17"/>
                <w:szCs w:val="17"/>
                <w:color w:val="auto"/>
              </w:rPr>
            </w:pPr>
          </w:p>
        </w:tc>
        <w:tc>
          <w:tcPr>
            <w:tcW w:w="880" w:type="dxa"/>
            <w:vAlign w:val="bottom"/>
          </w:tcPr>
          <w:p>
            <w:pPr>
              <w:jc w:val="right"/>
              <w:spacing w:after="0" w:line="196" w:lineRule="exact"/>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 of Comprehensive Income for the Three and Nine Months Ended September 30, 2017</w:t>
              </w:r>
            </w:hyperlink>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20" w:type="dxa"/>
            <w:vAlign w:val="bottom"/>
            <w:gridSpan w:val="21"/>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and 2016 (Unaudited)</w:t>
              </w:r>
            </w:hyperlink>
          </w:p>
        </w:tc>
        <w:tc>
          <w:tcPr>
            <w:tcW w:w="880" w:type="dxa"/>
            <w:vAlign w:val="bottom"/>
          </w:tcPr>
          <w:p>
            <w:pPr>
              <w:jc w:val="right"/>
              <w:spacing w:after="0" w:line="196" w:lineRule="exact"/>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7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 of Cash Flows for the Nine Months Ended September 30, 2017 and 2016 (Unaudited)</w:t>
              </w:r>
            </w:hyperlink>
          </w:p>
        </w:tc>
        <w:tc>
          <w:tcPr>
            <w:tcW w:w="240" w:type="dxa"/>
            <w:vAlign w:val="bottom"/>
            <w:gridSpan w:val="2"/>
          </w:tcPr>
          <w:p>
            <w:pPr>
              <w:spacing w:after="0"/>
              <w:rPr>
                <w:sz w:val="21"/>
                <w:szCs w:val="21"/>
                <w:color w:val="auto"/>
              </w:rPr>
            </w:pPr>
          </w:p>
        </w:tc>
        <w:tc>
          <w:tcPr>
            <w:tcW w:w="88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20" w:type="dxa"/>
            <w:vAlign w:val="bottom"/>
            <w:gridSpan w:val="21"/>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 of Changes in Equity for the Nine Months Ended September 30, 2017 and 2016</w:t>
              </w:r>
            </w:hyperlink>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(Unaudited)</w:t>
              </w:r>
            </w:hyperlink>
          </w:p>
        </w:tc>
        <w:tc>
          <w:tcPr>
            <w:tcW w:w="7460" w:type="dxa"/>
            <w:vAlign w:val="bottom"/>
            <w:tcBorders>
              <w:top w:val="single" w:sz="8" w:color="0000EE"/>
            </w:tcBorders>
            <w:gridSpan w:val="16"/>
          </w:tcPr>
          <w:p>
            <w:pPr>
              <w:spacing w:after="0"/>
              <w:rPr>
                <w:sz w:val="17"/>
                <w:szCs w:val="17"/>
                <w:color w:val="auto"/>
              </w:rPr>
            </w:pPr>
          </w:p>
        </w:tc>
        <w:tc>
          <w:tcPr>
            <w:tcW w:w="680" w:type="dxa"/>
            <w:vAlign w:val="bottom"/>
            <w:gridSpan w:val="3"/>
          </w:tcPr>
          <w:p>
            <w:pPr>
              <w:spacing w:after="0"/>
              <w:rPr>
                <w:sz w:val="17"/>
                <w:szCs w:val="17"/>
                <w:color w:val="auto"/>
              </w:rPr>
            </w:pPr>
          </w:p>
        </w:tc>
        <w:tc>
          <w:tcPr>
            <w:tcW w:w="880" w:type="dxa"/>
            <w:vAlign w:val="bottom"/>
          </w:tcPr>
          <w:p>
            <w:pPr>
              <w:jc w:val="right"/>
              <w:spacing w:after="0" w:line="196" w:lineRule="exact"/>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20" w:type="dxa"/>
            <w:vAlign w:val="bottom"/>
            <w:gridSpan w:val="21"/>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 (Unaudited)</w:t>
              </w:r>
            </w:hyperlink>
          </w:p>
        </w:tc>
        <w:tc>
          <w:tcPr>
            <w:tcW w:w="880" w:type="dxa"/>
            <w:vAlign w:val="bottom"/>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6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560" w:type="dxa"/>
            <w:vAlign w:val="bottom"/>
            <w:gridSpan w:val="6"/>
          </w:tcPr>
          <w:p>
            <w:pPr>
              <w:spacing w:after="0"/>
              <w:rPr>
                <w:sz w:val="21"/>
                <w:szCs w:val="21"/>
                <w:color w:val="auto"/>
              </w:rPr>
            </w:pPr>
          </w:p>
        </w:tc>
        <w:tc>
          <w:tcPr>
            <w:tcW w:w="88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Quantitative and Qualitative Disclosures About Market Risk</w:t>
              </w:r>
            </w:hyperlink>
          </w:p>
        </w:tc>
        <w:tc>
          <w:tcPr>
            <w:tcW w:w="4660" w:type="dxa"/>
            <w:vAlign w:val="bottom"/>
            <w:gridSpan w:val="8"/>
          </w:tcPr>
          <w:p>
            <w:pPr>
              <w:spacing w:after="0"/>
              <w:rPr>
                <w:sz w:val="21"/>
                <w:szCs w:val="21"/>
                <w:color w:val="auto"/>
              </w:rPr>
            </w:pPr>
          </w:p>
        </w:tc>
        <w:tc>
          <w:tcPr>
            <w:tcW w:w="880" w:type="dxa"/>
            <w:vAlign w:val="bottom"/>
          </w:tcPr>
          <w:p>
            <w:pPr>
              <w:jc w:val="right"/>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Controls and Procedures</w:t>
              </w:r>
            </w:hyperlink>
          </w:p>
        </w:tc>
        <w:tc>
          <w:tcPr>
            <w:tcW w:w="7240" w:type="dxa"/>
            <w:vAlign w:val="bottom"/>
            <w:gridSpan w:val="12"/>
          </w:tcPr>
          <w:p>
            <w:pPr>
              <w:spacing w:after="0"/>
              <w:rPr>
                <w:sz w:val="21"/>
                <w:szCs w:val="21"/>
                <w:color w:val="auto"/>
              </w:rPr>
            </w:pPr>
          </w:p>
        </w:tc>
        <w:tc>
          <w:tcPr>
            <w:tcW w:w="880" w:type="dxa"/>
            <w:vAlign w:val="bottom"/>
          </w:tcPr>
          <w:p>
            <w:pPr>
              <w:jc w:val="right"/>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500" w:type="dxa"/>
            <w:vAlign w:val="bottom"/>
            <w:gridSpan w:val="23"/>
          </w:tcPr>
          <w:p>
            <w:pPr>
              <w:spacing w:after="0"/>
              <w:rPr>
                <w:rFonts w:ascii="Times New Roman" w:cs="Times New Roman" w:eastAsia="Times New Roman" w:hAnsi="Times New Roman"/>
                <w:sz w:val="18"/>
                <w:szCs w:val="18"/>
                <w:b w:val="1"/>
                <w:bCs w:val="1"/>
                <w:color w:val="0000EE"/>
              </w:rPr>
            </w:pPr>
            <w:hyperlink w:anchor="page43">
              <w:r>
                <w:rPr>
                  <w:rFonts w:ascii="Times New Roman" w:cs="Times New Roman" w:eastAsia="Times New Roman" w:hAnsi="Times New Roman"/>
                  <w:sz w:val="18"/>
                  <w:szCs w:val="18"/>
                  <w:b w:val="1"/>
                  <w:bCs w:val="1"/>
                  <w:color w:val="0000EE"/>
                </w:rPr>
                <w:t>PART II. OTHER INFORMATION</w:t>
              </w:r>
            </w:hyperlink>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Legal Proceedings</w:t>
              </w:r>
            </w:hyperlink>
          </w:p>
        </w:tc>
        <w:tc>
          <w:tcPr>
            <w:tcW w:w="7680" w:type="dxa"/>
            <w:vAlign w:val="bottom"/>
            <w:gridSpan w:val="15"/>
          </w:tcPr>
          <w:p>
            <w:pPr>
              <w:spacing w:after="0"/>
              <w:rPr>
                <w:sz w:val="21"/>
                <w:szCs w:val="21"/>
                <w:color w:val="auto"/>
              </w:rPr>
            </w:pPr>
          </w:p>
        </w:tc>
        <w:tc>
          <w:tcPr>
            <w:tcW w:w="880" w:type="dxa"/>
            <w:vAlign w:val="bottom"/>
          </w:tcPr>
          <w:p>
            <w:pPr>
              <w:jc w:val="right"/>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020" w:type="dxa"/>
            <w:vAlign w:val="bottom"/>
            <w:gridSpan w:val="21"/>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Risk Factors</w:t>
              </w:r>
            </w:hyperlink>
          </w:p>
        </w:tc>
        <w:tc>
          <w:tcPr>
            <w:tcW w:w="880" w:type="dxa"/>
            <w:vAlign w:val="bottom"/>
          </w:tcPr>
          <w:p>
            <w:pPr>
              <w:jc w:val="right"/>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41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9020" w:type="dxa"/>
            <w:vAlign w:val="bottom"/>
            <w:gridSpan w:val="21"/>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Unregistered Sales of Equity Securities and Use of Proceeds</w:t>
              </w:r>
            </w:hyperlink>
          </w:p>
        </w:tc>
        <w:tc>
          <w:tcPr>
            <w:tcW w:w="880" w:type="dxa"/>
            <w:vAlign w:val="bottom"/>
          </w:tcPr>
          <w:p>
            <w:pPr>
              <w:jc w:val="right"/>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41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3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Other Information</w:t>
              </w:r>
            </w:hyperlink>
          </w:p>
        </w:tc>
        <w:tc>
          <w:tcPr>
            <w:tcW w:w="3020" w:type="dxa"/>
            <w:vAlign w:val="bottom"/>
            <w:tcBorders>
              <w:top w:val="single" w:sz="8" w:color="0000EE"/>
            </w:tcBorders>
            <w:gridSpan w:val="7"/>
          </w:tcPr>
          <w:p>
            <w:pPr>
              <w:spacing w:after="0"/>
              <w:rPr>
                <w:sz w:val="21"/>
                <w:szCs w:val="21"/>
                <w:color w:val="auto"/>
              </w:rPr>
            </w:pPr>
          </w:p>
        </w:tc>
        <w:tc>
          <w:tcPr>
            <w:tcW w:w="4680" w:type="dxa"/>
            <w:vAlign w:val="bottom"/>
            <w:gridSpan w:val="9"/>
          </w:tcPr>
          <w:p>
            <w:pPr>
              <w:spacing w:after="0"/>
              <w:rPr>
                <w:sz w:val="21"/>
                <w:szCs w:val="21"/>
                <w:color w:val="auto"/>
              </w:rPr>
            </w:pPr>
          </w:p>
        </w:tc>
        <w:tc>
          <w:tcPr>
            <w:tcW w:w="880" w:type="dxa"/>
            <w:vAlign w:val="bottom"/>
          </w:tcPr>
          <w:p>
            <w:pPr>
              <w:jc w:val="right"/>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41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20" w:type="dxa"/>
            <w:vAlign w:val="bottom"/>
            <w:gridSpan w:val="21"/>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Exhibits</w:t>
              </w:r>
            </w:hyperlink>
          </w:p>
        </w:tc>
        <w:tc>
          <w:tcPr>
            <w:tcW w:w="880" w:type="dxa"/>
            <w:vAlign w:val="bottom"/>
          </w:tcPr>
          <w:p>
            <w:pPr>
              <w:jc w:val="right"/>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42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46">
              <w:r>
                <w:rPr>
                  <w:rFonts w:ascii="Times New Roman" w:cs="Times New Roman" w:eastAsia="Times New Roman" w:hAnsi="Times New Roman"/>
                  <w:sz w:val="18"/>
                  <w:szCs w:val="18"/>
                  <w:b w:val="1"/>
                  <w:bCs w:val="1"/>
                  <w:color w:val="0000EE"/>
                  <w:w w:val="97"/>
                </w:rPr>
                <w:t>SIGNATURES</w:t>
              </w:r>
            </w:hyperlink>
          </w:p>
        </w:tc>
        <w:tc>
          <w:tcPr>
            <w:tcW w:w="32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500" w:type="dxa"/>
            <w:vAlign w:val="bottom"/>
            <w:gridSpan w:val="23"/>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NBCUniversal Media, LLC Financial Statements</w:t>
              </w:r>
            </w:hyperlink>
          </w:p>
        </w:tc>
        <w:tc>
          <w:tcPr>
            <w:tcW w:w="880" w:type="dxa"/>
            <w:vAlign w:val="bottom"/>
          </w:tcPr>
          <w:p>
            <w:pPr>
              <w:jc w:val="right"/>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44</w:t>
              </w:r>
            </w:hyperlink>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11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NBCUniversal, LLC as “NBCUniversal Holdings;” and NBCUniversal Enterprise, Inc. as “NBCUniversal Enterprise.”</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is for the three and nine months ended September 30, 2017. This Quarterly Report on Form 10-Q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ectPr>
          <w:pgSz w:w="11900" w:h="16838" w:orient="portrait"/>
          <w:cols w:equalWidth="0" w:num="1">
            <w:col w:w="11420"/>
          </w:cols>
          <w:pgMar w:left="240" w:top="414" w:right="2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You should carefully review the information contained in this Quarterly Report on Form 10-Q and particularly consider any risk factors set forth in this Quarterly Report on Form 10-Q and in other reports or documents that we file from time to time with the SEC. In this Quarterly Report on Form 10-Q,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outlined below and in other reports we file with the SEC. Actual events or our actual results could differ materially from our forward-looking statements as a result of any such factors, which could adversely affect our businesses, results of operations or financial condition. We undertake no obligation to update any forward-looking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currently face a wide range of competition, and our businesses and results of operations could be adversely affected if we do not compete effectively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driven by new technologies and distribution platforms for viewing content may adversely affect our businesses and challenge existing business models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may impose additional costs and restrictions on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existing statutes, rules, regulations, or interpretations thereof, or adoption of new ones, could have an adverse effect on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which could adversely affect our Cable Communications segment’s video business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NBCUniversal’s programming distribution agreements, or the renewal of these agreements on less favorable terms, could adversely affect its businesses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the intellectual property rights of others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initiatives, including the launch of our wireless phone service, present many risks, and we may not realize the financial and strategic goals that we had contemplated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32"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240" w:type="dxa"/>
            <w:vAlign w:val="bottom"/>
          </w:tcPr>
          <w:p>
            <w:pPr>
              <w:spacing w:after="0"/>
              <w:rPr>
                <w:sz w:val="13"/>
                <w:szCs w:val="13"/>
                <w:color w:val="auto"/>
              </w:rPr>
            </w:pPr>
          </w:p>
        </w:tc>
        <w:tc>
          <w:tcPr>
            <w:tcW w:w="138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42"/>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4,114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7,915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7,955</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 rights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1,779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2,152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3,855</w:t>
            </w:r>
          </w:p>
        </w:tc>
        <w:tc>
          <w:tcPr>
            <w:tcW w:w="0" w:type="dxa"/>
            <w:vAlign w:val="bottom"/>
          </w:tcPr>
          <w:p>
            <w:pPr>
              <w:spacing w:after="0"/>
              <w:rPr>
                <w:sz w:val="1"/>
                <w:szCs w:val="1"/>
                <w:color w:val="auto"/>
              </w:rPr>
            </w:pP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15,960</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16,361</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6,796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6,695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$49,943 and $49,694</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37,856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36,253</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Franchise rights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59,364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59,364</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36,752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35,980</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$12,371 and $11,013</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18,733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17,274</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3,145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185,301</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180,500</w:t>
            </w:r>
          </w:p>
        </w:tc>
        <w:tc>
          <w:tcPr>
            <w:tcW w:w="0" w:type="dxa"/>
            <w:vAlign w:val="bottom"/>
          </w:tcPr>
          <w:p>
            <w:pPr>
              <w:spacing w:after="0"/>
              <w:rPr>
                <w:sz w:val="1"/>
                <w:szCs w:val="1"/>
                <w:color w:val="auto"/>
              </w:rPr>
            </w:pPr>
          </w:p>
        </w:tc>
      </w:tr>
      <w:tr>
        <w:trPr>
          <w:trHeight w:val="34"/>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6,976</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6,915</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1,811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1,572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5,849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6,282</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5,241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5,480</w:t>
            </w:r>
          </w:p>
        </w:tc>
        <w:tc>
          <w:tcPr>
            <w:tcW w:w="0" w:type="dxa"/>
            <w:vAlign w:val="bottom"/>
          </w:tcPr>
          <w:p>
            <w:pPr>
              <w:spacing w:after="0"/>
              <w:rPr>
                <w:sz w:val="1"/>
                <w:szCs w:val="1"/>
                <w:color w:val="auto"/>
              </w:rPr>
            </w:pP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21,449</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21,535</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59,720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55,566</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35,602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34,854</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10,914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10,925</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interests and redeemable subsidiary preferred stock</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1,353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Class A common stock, $0.01 par value—authorized, 7,500,000,000 shares; issued, 5,537,118,483 and</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5,614,950,039; outstanding, 4,664,327,455 and 4,742,159,011</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37,529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38,230</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24,979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23,076</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872,791,028 Class A common shares</w:t>
            </w:r>
          </w:p>
        </w:tc>
        <w:tc>
          <w:tcPr>
            <w:tcW w:w="240" w:type="dxa"/>
            <w:vAlign w:val="bottom"/>
          </w:tcPr>
          <w:p>
            <w:pPr>
              <w:spacing w:after="0"/>
              <w:rPr>
                <w:sz w:val="23"/>
                <w:szCs w:val="23"/>
                <w:color w:val="auto"/>
              </w:rPr>
            </w:pP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(7,517)</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70"/>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381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Comcast Corporation shareholders’ equity</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55,427</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53,943</w:t>
            </w:r>
          </w:p>
        </w:tc>
        <w:tc>
          <w:tcPr>
            <w:tcW w:w="0" w:type="dxa"/>
            <w:vAlign w:val="bottom"/>
          </w:tcPr>
          <w:p>
            <w:pPr>
              <w:spacing w:after="0"/>
              <w:rPr>
                <w:sz w:val="1"/>
                <w:szCs w:val="1"/>
                <w:color w:val="auto"/>
              </w:rPr>
            </w:pPr>
          </w:p>
        </w:tc>
      </w:tr>
      <w:tr>
        <w:trPr>
          <w:trHeight w:val="27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836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56,263</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56,174</w:t>
            </w:r>
          </w:p>
        </w:tc>
        <w:tc>
          <w:tcPr>
            <w:tcW w:w="0" w:type="dxa"/>
            <w:vAlign w:val="bottom"/>
          </w:tcPr>
          <w:p>
            <w:pPr>
              <w:spacing w:after="0"/>
              <w:rPr>
                <w:sz w:val="1"/>
                <w:szCs w:val="1"/>
                <w:color w:val="auto"/>
              </w:rPr>
            </w:pP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185,301</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180,500</w:t>
            </w:r>
          </w:p>
        </w:tc>
        <w:tc>
          <w:tcPr>
            <w:tcW w:w="0" w:type="dxa"/>
            <w:vAlign w:val="bottom"/>
          </w:tcPr>
          <w:p>
            <w:pPr>
              <w:spacing w:after="0"/>
              <w:rPr>
                <w:sz w:val="1"/>
                <w:szCs w:val="1"/>
                <w:color w:val="auto"/>
              </w:rPr>
            </w:pPr>
          </w:p>
        </w:tc>
      </w:tr>
      <w:tr>
        <w:trPr>
          <w:trHeight w:val="34"/>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20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1"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7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2"/>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5"/>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2016</w:t>
            </w:r>
          </w:p>
        </w:tc>
        <w:tc>
          <w:tcPr>
            <w:tcW w:w="4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20,983</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21,319</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62,611</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59,378</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6,077</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7,003</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18,492</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17,926</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6,423</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5,996</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18,310</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17,285</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1,553</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1,485</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4,748</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4,510</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1,991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1,865</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5,876</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5,518</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589</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530</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1,747</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1,544</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gains</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(442)</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(442)</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16,191</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16,879</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48,731</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46,783</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4,792</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4,440</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13,880</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12,595</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(766)</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(751)</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(2,279)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205</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82</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(696)</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(716)</w:t>
            </w:r>
          </w:p>
        </w:tc>
        <w:tc>
          <w:tcPr>
            <w:tcW w:w="48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(1,980)</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4,096</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3,724</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11,900</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10,617</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(1,413)</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(1,400)</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(4,035)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2,683</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2,324</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7,865</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6,628</w:t>
            </w:r>
          </w:p>
        </w:tc>
      </w:tr>
      <w:tr>
        <w:trPr>
          <w:trHeight w:val="25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 and</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(87)</w:t>
            </w:r>
          </w:p>
        </w:tc>
        <w:tc>
          <w:tcPr>
            <w:tcW w:w="48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(136)</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2,650</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2,237</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7,729</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6,399</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1"/>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0.56</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0.47</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1.64</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1.32</w:t>
            </w:r>
          </w:p>
        </w:tc>
      </w:tr>
      <w:tr>
        <w:trPr>
          <w:trHeight w:val="248"/>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8"/>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0.55</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0.46</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1.61</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1.31</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0.1575</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0.1375</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0.4725</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0.4125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3"/>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2,683</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2,324</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7,865</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6,628</w:t>
            </w:r>
          </w:p>
        </w:tc>
      </w:tr>
      <w:tr>
        <w:trPr>
          <w:trHeight w:val="25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gains (losses) on marketable securities, net of</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taxes of $35, $—, $26 and $(1)</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(59)</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5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gains (losses) on cash flow hedges, net of deferred taxes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$(9), $(7), ($16) and $46</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reclassified to net income: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2"/>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Realized (gains) losses on marketable securities, net of</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taxes of $—, $—, $— and $1</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2"/>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Realized (gains) losses on cash flow hedges, net of deferred</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taxes of $7, $(6), $15 and $(42)</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r>
      <w:tr>
        <w:trPr>
          <w:trHeight w:val="25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obligations, net of deferred taxes of $3, $—,</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 and $(2)</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5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$(8),</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 $(47) and $(122)</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166</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2,641</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2,391</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8,041</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7,157</w:t>
            </w:r>
          </w:p>
        </w:tc>
      </w:tr>
      <w:tr>
        <w:trPr>
          <w:trHeight w:val="25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 and</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(87)</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(136)</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5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attributable to noncontrolling</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interests</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(87)</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Comcast Corporation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2,603</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2,270</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7,818</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6,607</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3"/>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7"/>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5"/>
        </w:trPr>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15,961</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13,989</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(6,839)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(1,240)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 and construction of real estate properties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120</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(2,064)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Deposits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750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(10,027)</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(14,152)</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(repayments of) short-term borrowings,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(2,807)</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610</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11,460</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9,231</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(5,021)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(4,212)</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(2,147)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Universal Studios Japan noncontrolling interests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(2,299)</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noncontrolling interests and dividends for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(198)</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(5,121)</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675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813</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512</w:t>
            </w: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3,301</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4,114</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2,807</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3"/>
        </w:trPr>
        <w:tc>
          <w:tcPr>
            <w:tcW w:w="824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7"/>
        </w:trPr>
        <w:tc>
          <w:tcPr>
            <w:tcW w:w="8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Borders>
              <w:right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rPr>
              <w:t>Redeemable</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tcPr>
          <w:p>
            <w:pPr>
              <w:jc w:val="center"/>
              <w:ind w:right="117"/>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tcPr>
          <w:p>
            <w:pPr>
              <w:jc w:val="center"/>
              <w:ind w:right="97"/>
              <w:spacing w:after="0" w:line="149" w:lineRule="exact"/>
              <w:rPr>
                <w:sz w:val="20"/>
                <w:szCs w:val="20"/>
                <w:color w:val="auto"/>
              </w:rPr>
            </w:pPr>
            <w:r>
              <w:rPr>
                <w:rFonts w:ascii="Times New Roman" w:cs="Times New Roman" w:eastAsia="Times New Roman" w:hAnsi="Times New Roman"/>
                <w:sz w:val="14"/>
                <w:szCs w:val="14"/>
                <w:color w:val="auto"/>
              </w:rPr>
              <w:t>Interests and</w:t>
            </w:r>
          </w:p>
        </w:tc>
        <w:tc>
          <w:tcPr>
            <w:tcW w:w="16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right w:val="single" w:sz="8" w:color="auto"/>
            </w:tcBorders>
          </w:tcPr>
          <w:p>
            <w:pPr>
              <w:jc w:val="center"/>
              <w:ind w:right="97"/>
              <w:spacing w:after="0" w:line="125" w:lineRule="exact"/>
              <w:rPr>
                <w:sz w:val="20"/>
                <w:szCs w:val="20"/>
                <w:color w:val="auto"/>
              </w:rPr>
            </w:pPr>
            <w:r>
              <w:rPr>
                <w:rFonts w:ascii="Times New Roman" w:cs="Times New Roman" w:eastAsia="Times New Roman" w:hAnsi="Times New Roman"/>
                <w:sz w:val="14"/>
                <w:szCs w:val="14"/>
                <w:color w:val="auto"/>
              </w:rPr>
              <w:t>Redeemable</w:t>
            </w: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53"/>
              <w:spacing w:after="0" w:line="125" w:lineRule="exact"/>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Times New Roman" w:cs="Times New Roman" w:eastAsia="Times New Roman" w:hAnsi="Times New Roman"/>
                <w:sz w:val="14"/>
                <w:szCs w:val="14"/>
                <w:color w:val="auto"/>
              </w:rPr>
              <w:t>Treasury</w:t>
            </w:r>
          </w:p>
        </w:tc>
        <w:tc>
          <w:tcPr>
            <w:tcW w:w="160" w:type="dxa"/>
            <w:vAlign w:val="bottom"/>
          </w:tcPr>
          <w:p>
            <w:pPr>
              <w:spacing w:after="0"/>
              <w:rPr>
                <w:sz w:val="10"/>
                <w:szCs w:val="10"/>
                <w:color w:val="auto"/>
              </w:rPr>
            </w:pPr>
          </w:p>
        </w:tc>
        <w:tc>
          <w:tcPr>
            <w:tcW w:w="1100" w:type="dxa"/>
            <w:vAlign w:val="bottom"/>
          </w:tcPr>
          <w:p>
            <w:pPr>
              <w:jc w:val="center"/>
              <w:ind w:right="57"/>
              <w:spacing w:after="0" w:line="12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0"/>
                <w:szCs w:val="10"/>
                <w:color w:val="auto"/>
              </w:rPr>
            </w:pPr>
          </w:p>
        </w:tc>
        <w:tc>
          <w:tcPr>
            <w:tcW w:w="760" w:type="dxa"/>
            <w:vAlign w:val="bottom"/>
          </w:tcPr>
          <w:p>
            <w:pPr>
              <w:jc w:val="center"/>
              <w:ind w:right="13"/>
              <w:spacing w:after="0" w:line="125" w:lineRule="exact"/>
              <w:rPr>
                <w:sz w:val="20"/>
                <w:szCs w:val="20"/>
                <w:color w:val="auto"/>
              </w:rPr>
            </w:pPr>
            <w:r>
              <w:rPr>
                <w:rFonts w:ascii="Times New Roman" w:cs="Times New Roman" w:eastAsia="Times New Roman" w:hAnsi="Times New Roman"/>
                <w:sz w:val="14"/>
                <w:szCs w:val="14"/>
                <w:color w:val="auto"/>
              </w:rPr>
              <w:t>Non-</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3"/>
                <w:szCs w:val="13"/>
                <w:color w:val="auto"/>
              </w:rPr>
            </w:pPr>
          </w:p>
        </w:tc>
        <w:tc>
          <w:tcPr>
            <w:tcW w:w="1160" w:type="dxa"/>
            <w:vAlign w:val="bottom"/>
            <w:tcBorders>
              <w:right w:val="single" w:sz="8" w:color="auto"/>
            </w:tcBorders>
          </w:tcPr>
          <w:p>
            <w:pPr>
              <w:jc w:val="center"/>
              <w:ind w:right="97"/>
              <w:spacing w:after="0" w:line="153" w:lineRule="exact"/>
              <w:rPr>
                <w:sz w:val="20"/>
                <w:szCs w:val="20"/>
                <w:color w:val="auto"/>
              </w:rPr>
            </w:pPr>
            <w:r>
              <w:rPr>
                <w:rFonts w:ascii="Times New Roman" w:cs="Times New Roman" w:eastAsia="Times New Roman" w:hAnsi="Times New Roman"/>
                <w:sz w:val="14"/>
                <w:szCs w:val="14"/>
                <w:color w:val="auto"/>
              </w:rPr>
              <w:t>Subsidiary</w:t>
            </w:r>
          </w:p>
        </w:tc>
        <w:tc>
          <w:tcPr>
            <w:tcW w:w="160" w:type="dxa"/>
            <w:vAlign w:val="bottom"/>
          </w:tcPr>
          <w:p>
            <w:pPr>
              <w:spacing w:after="0"/>
              <w:rPr>
                <w:sz w:val="13"/>
                <w:szCs w:val="13"/>
                <w:color w:val="auto"/>
              </w:rPr>
            </w:pPr>
          </w:p>
        </w:tc>
        <w:tc>
          <w:tcPr>
            <w:tcW w:w="50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3"/>
                <w:szCs w:val="13"/>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140" w:type="dxa"/>
            <w:vAlign w:val="bottom"/>
          </w:tcPr>
          <w:p>
            <w:pPr>
              <w:spacing w:after="0"/>
              <w:rPr>
                <w:sz w:val="13"/>
                <w:szCs w:val="13"/>
                <w:color w:val="auto"/>
              </w:rPr>
            </w:pPr>
          </w:p>
        </w:tc>
        <w:tc>
          <w:tcPr>
            <w:tcW w:w="760" w:type="dxa"/>
            <w:vAlign w:val="bottom"/>
          </w:tcPr>
          <w:p>
            <w:pPr>
              <w:jc w:val="right"/>
              <w:ind w:right="153"/>
              <w:spacing w:after="0" w:line="153" w:lineRule="exact"/>
              <w:rPr>
                <w:sz w:val="20"/>
                <w:szCs w:val="20"/>
                <w:color w:val="auto"/>
              </w:rPr>
            </w:pPr>
            <w:r>
              <w:rPr>
                <w:rFonts w:ascii="Times New Roman" w:cs="Times New Roman" w:eastAsia="Times New Roman" w:hAnsi="Times New Roman"/>
                <w:sz w:val="14"/>
                <w:szCs w:val="14"/>
                <w:color w:val="auto"/>
              </w:rPr>
              <w:t>Paid-In</w:t>
            </w:r>
          </w:p>
        </w:tc>
        <w:tc>
          <w:tcPr>
            <w:tcW w:w="160" w:type="dxa"/>
            <w:vAlign w:val="bottom"/>
          </w:tcPr>
          <w:p>
            <w:pPr>
              <w:spacing w:after="0"/>
              <w:rPr>
                <w:sz w:val="13"/>
                <w:szCs w:val="13"/>
                <w:color w:val="auto"/>
              </w:rPr>
            </w:pPr>
          </w:p>
        </w:tc>
        <w:tc>
          <w:tcPr>
            <w:tcW w:w="740" w:type="dxa"/>
            <w:vAlign w:val="bottom"/>
          </w:tcPr>
          <w:p>
            <w:pPr>
              <w:jc w:val="right"/>
              <w:ind w:right="93"/>
              <w:spacing w:after="0" w:line="153" w:lineRule="exact"/>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3"/>
                <w:szCs w:val="13"/>
                <w:color w:val="auto"/>
              </w:rPr>
            </w:pPr>
          </w:p>
        </w:tc>
        <w:tc>
          <w:tcPr>
            <w:tcW w:w="740" w:type="dxa"/>
            <w:vAlign w:val="bottom"/>
          </w:tcPr>
          <w:p>
            <w:pPr>
              <w:ind w:left="60"/>
              <w:spacing w:after="0" w:line="153" w:lineRule="exact"/>
              <w:rPr>
                <w:sz w:val="20"/>
                <w:szCs w:val="20"/>
                <w:color w:val="auto"/>
              </w:rPr>
            </w:pPr>
            <w:r>
              <w:rPr>
                <w:rFonts w:ascii="Times New Roman" w:cs="Times New Roman" w:eastAsia="Times New Roman" w:hAnsi="Times New Roman"/>
                <w:sz w:val="14"/>
                <w:szCs w:val="14"/>
                <w:color w:val="auto"/>
              </w:rPr>
              <w:t>Stock at</w:t>
            </w:r>
          </w:p>
        </w:tc>
        <w:tc>
          <w:tcPr>
            <w:tcW w:w="160" w:type="dxa"/>
            <w:vAlign w:val="bottom"/>
          </w:tcPr>
          <w:p>
            <w:pPr>
              <w:spacing w:after="0"/>
              <w:rPr>
                <w:sz w:val="13"/>
                <w:szCs w:val="13"/>
                <w:color w:val="auto"/>
              </w:rPr>
            </w:pPr>
          </w:p>
        </w:tc>
        <w:tc>
          <w:tcPr>
            <w:tcW w:w="1100" w:type="dxa"/>
            <w:vAlign w:val="bottom"/>
          </w:tcPr>
          <w:p>
            <w:pPr>
              <w:jc w:val="center"/>
              <w:ind w:right="37"/>
              <w:spacing w:after="0" w:line="153"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3"/>
                <w:szCs w:val="13"/>
                <w:color w:val="auto"/>
              </w:rPr>
            </w:pPr>
          </w:p>
        </w:tc>
        <w:tc>
          <w:tcPr>
            <w:tcW w:w="760" w:type="dxa"/>
            <w:vAlign w:val="bottom"/>
          </w:tcPr>
          <w:p>
            <w:pPr>
              <w:jc w:val="center"/>
              <w:ind w:right="33"/>
              <w:spacing w:after="0" w:line="153" w:lineRule="exact"/>
              <w:rPr>
                <w:sz w:val="20"/>
                <w:szCs w:val="20"/>
                <w:color w:val="auto"/>
              </w:rPr>
            </w:pPr>
            <w:r>
              <w:rPr>
                <w:rFonts w:ascii="Times New Roman" w:cs="Times New Roman" w:eastAsia="Times New Roman" w:hAnsi="Times New Roman"/>
                <w:sz w:val="14"/>
                <w:szCs w:val="14"/>
                <w:color w:val="auto"/>
              </w:rPr>
              <w:t>controlling</w:t>
            </w:r>
          </w:p>
        </w:tc>
        <w:tc>
          <w:tcPr>
            <w:tcW w:w="200" w:type="dxa"/>
            <w:vAlign w:val="bottom"/>
          </w:tcPr>
          <w:p>
            <w:pPr>
              <w:spacing w:after="0"/>
              <w:rPr>
                <w:sz w:val="13"/>
                <w:szCs w:val="13"/>
                <w:color w:val="auto"/>
              </w:rPr>
            </w:pPr>
          </w:p>
        </w:tc>
        <w:tc>
          <w:tcPr>
            <w:tcW w:w="720" w:type="dxa"/>
            <w:vAlign w:val="bottom"/>
          </w:tcPr>
          <w:p>
            <w:pPr>
              <w:jc w:val="right"/>
              <w:ind w:right="212"/>
              <w:spacing w:after="0" w:line="153"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2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rPr>
              <w:t>Preferred Stock</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color w:val="auto"/>
              </w:rPr>
              <w:t>Income (Loss)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rPr>
              <w:t>Interests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42"/>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1,221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38,490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53,978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compensation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52"/>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Repurchases of common stock under</w:t>
            </w:r>
          </w:p>
        </w:tc>
        <w:tc>
          <w:tcPr>
            <w:tcW w:w="2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program and employee</w:t>
            </w: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52"/>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 from (distributions to)</w:t>
            </w:r>
          </w:p>
        </w:tc>
        <w:tc>
          <w:tcPr>
            <w:tcW w:w="2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 net</w:t>
            </w:r>
          </w:p>
        </w:tc>
        <w:tc>
          <w:tcPr>
            <w:tcW w:w="280" w:type="dxa"/>
            <w:vAlign w:val="bottom"/>
          </w:tcPr>
          <w:p>
            <w:pPr>
              <w:spacing w:after="0"/>
              <w:rPr>
                <w:sz w:val="20"/>
                <w:szCs w:val="20"/>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6,399</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6,565</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September 30, 2016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1,326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38,398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22,510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(7,517)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2,342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55,823</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2016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38,230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23,076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56,174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compensation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52"/>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Repurchases of common stock under</w:t>
            </w:r>
          </w:p>
        </w:tc>
        <w:tc>
          <w:tcPr>
            <w:tcW w:w="2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program and employee</w:t>
            </w: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52"/>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 from (distributions to)</w:t>
            </w:r>
          </w:p>
        </w:tc>
        <w:tc>
          <w:tcPr>
            <w:tcW w:w="2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 net</w:t>
            </w:r>
          </w:p>
        </w:tc>
        <w:tc>
          <w:tcPr>
            <w:tcW w:w="280" w:type="dxa"/>
            <w:vAlign w:val="bottom"/>
          </w:tcPr>
          <w:p>
            <w:pPr>
              <w:spacing w:after="0"/>
              <w:rPr>
                <w:sz w:val="20"/>
                <w:szCs w:val="20"/>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2"/>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Universal Studios Japan</w:t>
            </w:r>
          </w:p>
        </w:tc>
        <w:tc>
          <w:tcPr>
            <w:tcW w:w="2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7,729</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September 30, 2017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1,353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37,529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24,979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(7,517)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381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836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56,263</w:t>
            </w:r>
          </w:p>
        </w:tc>
        <w:tc>
          <w:tcPr>
            <w:tcW w:w="0" w:type="dxa"/>
            <w:vAlign w:val="bottom"/>
          </w:tcPr>
          <w:p>
            <w:pPr>
              <w:spacing w:after="0"/>
              <w:rPr>
                <w:sz w:val="1"/>
                <w:szCs w:val="1"/>
                <w:color w:val="auto"/>
              </w:rPr>
            </w:pPr>
          </w:p>
        </w:tc>
      </w:tr>
      <w:tr>
        <w:trPr>
          <w:trHeight w:val="34"/>
        </w:trPr>
        <w:tc>
          <w:tcPr>
            <w:tcW w:w="4300" w:type="dxa"/>
            <w:vAlign w:val="bottom"/>
            <w:tcBorders>
              <w:bottom w:val="single" w:sz="8" w:color="auto"/>
              <w:right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7"/>
        </w:trPr>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4" w:lineRule="exact"/>
        <w:rPr>
          <w:sz w:val="20"/>
          <w:szCs w:val="20"/>
          <w:color w:val="auto"/>
        </w:rPr>
      </w:pPr>
    </w:p>
    <w:p>
      <w:pPr>
        <w:ind w:right="4380"/>
        <w:spacing w:after="0" w:line="293"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2016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24, 2017, our Board of Directors approved a two-for-one stock split in the form of a 100% stock dividend that was distributed on February 17, 2017 to shareholders of record as of February 8, 2017. The stock split was in the form of one additional share for every share held and was payable in shares of Class A common stock on the existing Class A common stock and Class B common stock. All share-based data, including the number of shares outstanding and per share amounts, have been adjusted to reflect the stock split for all periods presented.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 have been made to our condensed consolidated financial statements for the prior year periods to conform to classifications used in 2017.</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substantially completed the review of our revenue arrangements and do not currently expect that the adoption of the new standard will have a material impact on our financial position or results of operations. Upon adoption, we anticipate implementing certain changes in the presentation of revenue and expenses, including changes related to the allocation of revenue among the cable services included in a bundle that our residential customers purchase at a discount. We also expect that the new standard will impact the timing of recognition for (1) our Cable Communications segment’s installation revenue and commission expenses, which will be recognized as revenue and costs over a period of time instead of immediately, and (2) our Cable Networks, Broadcast Television and Filmed Entertainment segments’ content licensing revenue associated with renewals or extensions of existing program licensing agreements, which will be recognized as revenue when the licensed content becomes available under the renewal or extension instead of when the agreement is renewed or extended. In addition, the updated guidance requires additional disclosures regarding the nature, timing and uncertainty of our revenue transactions. We intend to adopt the provisions of the guidance using the full retrospective method, under which we will adjust any prior periods presented to reflect the updated guidance.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in the year the guidance is adopted with certain exceptions. If we had adopted the provisions of the updated guidance as of January 1, 2017 for our equity investments classified as available-for-sale securities, primarily our investment in Snap Inc. (see Note 6), net income attributable to Comcast Corporation would have decreased for the three and nine months ended September 30, 2017 by $63 million and $47 million, respectively. We are currently in the process of determining the impact that the updated accounting guidance will have on our cost method investments.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were under the prior guidance. In addition, the updated guidance requires that, when an employer withholds shares upon exercise of options or the vesting of restricted stock for the purpose of meeting withholding tax requirements, the cash paid for withholding taxes be classified as a financing activity and we include these amounts in the caption “repurchases of common stock under repurchase program and employee plans” in our consolidated statement of cash flows. We previously recorded these amounts as operating activities.</w:t>
      </w:r>
    </w:p>
    <w:p>
      <w:pPr>
        <w:spacing w:after="0" w:line="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adopted the updated guidance as of January 1, 2017 and, as required, we prospectively adopted the provisions that relate to the recognition of the excess income tax benefits or deficiencies in our condensed consolidated statement of income. The excess tax benefits resulted in a decrease to income tax expense of $49 million and $247 million for the three and nine months ended September 30, 2017, respectively. In addition, the excess tax benefits resulted in an increase to diluted earnings per common share attributable to Comcast Corporation shareholders of $0.01 and $0.04 for the three and nine months ended September 30, 2017, respectively. As required by the updated guidance, the prior year periods in our condensed consolidated statement of income were not adjusted as a result of these provisions.</w:t>
      </w:r>
    </w:p>
    <w:p>
      <w:pPr>
        <w:spacing w:after="0" w:line="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retrospectively adopted the provisions of this guidance related to changes to the statement of cash flows for all periods presented. This resulted in increases to net cash provided by operating activities and decreases to net cash provided by (used in) financing activities of $644 million and $492 million for the nine months ended September 30, 2017 and 2016,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22"/>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2017</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1" w:lineRule="exact"/>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1" w:lineRule="exact"/>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Per Share</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color w:val="auto"/>
              </w:rPr>
              <w:t>Shares</w:t>
            </w: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114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color w:val="auto"/>
              </w:rPr>
              <w:t>Shares</w:t>
            </w:r>
          </w:p>
        </w:tc>
        <w:tc>
          <w:tcPr>
            <w:tcW w:w="3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3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Times New Roman" w:cs="Times New Roman" w:eastAsia="Times New Roman" w:hAnsi="Times New Roman"/>
                <w:sz w:val="14"/>
                <w:szCs w:val="14"/>
                <w:color w:val="auto"/>
              </w:rPr>
              <w:t>Corporation</w:t>
            </w:r>
          </w:p>
        </w:tc>
        <w:tc>
          <w:tcPr>
            <w:tcW w:w="11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Times New Roman" w:cs="Times New Roman" w:eastAsia="Times New Roman" w:hAnsi="Times New Roman"/>
                <w:sz w:val="14"/>
                <w:szCs w:val="14"/>
                <w:color w:val="auto"/>
              </w:rPr>
              <w:t>Corporation</w:t>
            </w:r>
          </w:p>
        </w:tc>
        <w:tc>
          <w:tcPr>
            <w:tcW w:w="11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Corporation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62"/>
              <w:spacing w:after="0"/>
              <w:rPr>
                <w:sz w:val="20"/>
                <w:szCs w:val="20"/>
                <w:color w:val="auto"/>
              </w:rPr>
            </w:pPr>
            <w:r>
              <w:rPr>
                <w:rFonts w:ascii="Times New Roman" w:cs="Times New Roman" w:eastAsia="Times New Roman" w:hAnsi="Times New Roman"/>
                <w:sz w:val="18"/>
                <w:szCs w:val="18"/>
                <w:color w:val="auto"/>
              </w:rPr>
              <w:t>2,650</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4,698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42"/>
              <w:spacing w:after="0"/>
              <w:rPr>
                <w:sz w:val="20"/>
                <w:szCs w:val="20"/>
                <w:color w:val="auto"/>
              </w:rPr>
            </w:pPr>
            <w:r>
              <w:rPr>
                <w:rFonts w:ascii="Times New Roman" w:cs="Times New Roman" w:eastAsia="Times New Roman" w:hAnsi="Times New Roman"/>
                <w:sz w:val="18"/>
                <w:szCs w:val="18"/>
                <w:color w:val="auto"/>
              </w:rPr>
              <w:t>2,237</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4,805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exercise or issuance of</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2,650</w:t>
            </w: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4,777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0.55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2,237</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4,861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0.46</w:t>
            </w:r>
          </w:p>
        </w:tc>
        <w:tc>
          <w:tcPr>
            <w:tcW w:w="0" w:type="dxa"/>
            <w:vAlign w:val="bottom"/>
          </w:tcPr>
          <w:p>
            <w:pPr>
              <w:spacing w:after="0"/>
              <w:rPr>
                <w:sz w:val="1"/>
                <w:szCs w:val="1"/>
                <w:color w:val="auto"/>
              </w:rPr>
            </w:pP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462"/>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color w:val="auto"/>
              </w:rPr>
              <w:t>2017</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1" w:lineRule="exact"/>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1" w:lineRule="exact"/>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color w:val="auto"/>
              </w:rPr>
              <w:t>Per Share</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116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color w:val="auto"/>
              </w:rPr>
              <w:t>Shares</w:t>
            </w: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114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color w:val="auto"/>
              </w:rPr>
              <w:t>Shares</w:t>
            </w:r>
          </w:p>
        </w:tc>
        <w:tc>
          <w:tcPr>
            <w:tcW w:w="3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3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Times New Roman" w:cs="Times New Roman" w:eastAsia="Times New Roman" w:hAnsi="Times New Roman"/>
                <w:sz w:val="14"/>
                <w:szCs w:val="14"/>
                <w:color w:val="auto"/>
              </w:rPr>
              <w:t>Corporation</w:t>
            </w: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Times New Roman" w:cs="Times New Roman" w:eastAsia="Times New Roman" w:hAnsi="Times New Roman"/>
                <w:sz w:val="14"/>
                <w:szCs w:val="14"/>
                <w:color w:val="auto"/>
              </w:rPr>
              <w:t>Corporation</w:t>
            </w:r>
          </w:p>
        </w:tc>
        <w:tc>
          <w:tcPr>
            <w:tcW w:w="11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Corporation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62"/>
              <w:spacing w:after="0"/>
              <w:rPr>
                <w:sz w:val="20"/>
                <w:szCs w:val="20"/>
                <w:color w:val="auto"/>
              </w:rPr>
            </w:pPr>
            <w:r>
              <w:rPr>
                <w:rFonts w:ascii="Times New Roman" w:cs="Times New Roman" w:eastAsia="Times New Roman" w:hAnsi="Times New Roman"/>
                <w:sz w:val="18"/>
                <w:szCs w:val="18"/>
                <w:color w:val="auto"/>
              </w:rPr>
              <w:t>7,729</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4,725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42"/>
              <w:spacing w:after="0"/>
              <w:rPr>
                <w:sz w:val="20"/>
                <w:szCs w:val="20"/>
                <w:color w:val="auto"/>
              </w:rPr>
            </w:pPr>
            <w:r>
              <w:rPr>
                <w:rFonts w:ascii="Times New Roman" w:cs="Times New Roman" w:eastAsia="Times New Roman" w:hAnsi="Times New Roman"/>
                <w:sz w:val="18"/>
                <w:szCs w:val="18"/>
                <w:color w:val="auto"/>
              </w:rPr>
              <w:t>6,399</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4,837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exercise or issuance of</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Corporation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7,729</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4,806</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1.61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6,399</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4,893</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1.31</w:t>
            </w:r>
          </w:p>
        </w:tc>
        <w:tc>
          <w:tcPr>
            <w:tcW w:w="0" w:type="dxa"/>
            <w:vAlign w:val="bottom"/>
          </w:tcPr>
          <w:p>
            <w:pPr>
              <w:spacing w:after="0"/>
              <w:rPr>
                <w:sz w:val="1"/>
                <w:szCs w:val="1"/>
                <w:color w:val="auto"/>
              </w:rPr>
            </w:pP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and nine months ended September 30, 2017 and 2016.</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13, 2017, the Federal Communications Commission announced the results of its spectrum auction. In the auction, NBCUniversal relinquished its spectrum rights in the New York, Philadelphia and Chicago designated market areas (“DMAs”) where NBC and Telemundo had overlapping spectrum. NBCUniversal received proceeds of $482 million in July 2017, which were recorded in other investing activities in our condensed consolidated statement of cash flows. NBCUniversal recognized a pretax gain of $337 million in other operating gains for the three months ended September 30, 2017 in our condensed consolidated statement of income. NBC and Telemundo stations will share broadcast signals in these DMAs. In connection with the auction, we also acquired the rights to $1.7 billion of spectrum, which were recorded to other intangible assets, net in our condensed consolidated balance sheet. We had previously made a deposit of $1.8 billion to participate in the auction in the third quarter of 2016 and received a refund for amounts in excess of the purchase price in the second quarter of 2017.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6, 2017, we acquired the remaining interests in Universal Studios Japan that we did not already own for $2.3 billion. The acquisition was funded through cash on hand and borrowings under our commercial paper program. Because we maintained control of Universal Studios Japan, the difference between the consideration transferred and the recorded value of the noncontrolling interests, as well as the related tax and accumulated other comprehensive income impacts, were recorded to additional paid-in capital.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 Animation</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22, 2016, we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 The results of operations for DreamWorks Animation are reported in our Filmed Entertainment segment following the acquisition date.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valuation analyses. In valuing acquired assets and liabilities, fair value estimates were primarily based on Level 3 inputs, including future expected cash flows, market rate assumptions and discount rates. The fair value of the assumed debt was primarily based on quoted market values. The fair value of the liability related to a tax receivable agreement that DreamWorks Animation had previously entered into with one of its former stockholders (the “tax receivable agreement”) was based on the contractual settlement provisions in the agreement. Further, we recorded deferred income taxes based on the tax basis of the acquired net assets and the valuation allowances based on the expected use of net operating loss carryforwards. The goodwill is not deductible for tax purposes. During the nine months ended September 30, 2017, we updated the allocation of purchase price for DreamWorks Animation based on final valuation analyses, which primarily resulted in increases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noncontrolling interests, intangible assets and goodwill and decreases to working capital and deferred income tax assets. The changes did not have a material impact on our condensed consolidated financial statements.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allocation of the purchase price to the assets and liabilities of DreamWorks Animation.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00" w:type="dxa"/>
            <w:vAlign w:val="bottom"/>
          </w:tcPr>
          <w:p>
            <w:pPr>
              <w:spacing w:after="0"/>
              <w:rPr>
                <w:sz w:val="21"/>
                <w:szCs w:val="21"/>
                <w:color w:val="auto"/>
              </w:rPr>
            </w:pPr>
          </w:p>
        </w:tc>
        <w:tc>
          <w:tcPr>
            <w:tcW w:w="6680" w:type="dxa"/>
            <w:vAlign w:val="bottom"/>
          </w:tcPr>
          <w:p>
            <w:pPr>
              <w:jc w:val="right"/>
              <w:ind w:right="3450"/>
              <w:spacing w:after="0"/>
              <w:rPr>
                <w:sz w:val="20"/>
                <w:szCs w:val="20"/>
                <w:color w:val="auto"/>
              </w:rPr>
            </w:pPr>
            <w:r>
              <w:rPr>
                <w:rFonts w:ascii="Arial" w:cs="Arial" w:eastAsia="Arial" w:hAnsi="Arial"/>
                <w:sz w:val="18"/>
                <w:szCs w:val="18"/>
                <w:b w:val="1"/>
                <w:bCs w:val="1"/>
                <w:color w:val="auto"/>
              </w:rPr>
              <w:t>Allocation of Purchase Price</w:t>
            </w:r>
          </w:p>
        </w:tc>
        <w:tc>
          <w:tcPr>
            <w:tcW w:w="940" w:type="dxa"/>
            <w:vAlign w:val="bottom"/>
          </w:tcPr>
          <w:p>
            <w:pPr>
              <w:spacing w:after="0"/>
              <w:rPr>
                <w:sz w:val="21"/>
                <w:szCs w:val="21"/>
                <w:color w:val="auto"/>
              </w:rPr>
            </w:pPr>
          </w:p>
        </w:tc>
      </w:tr>
      <w:tr>
        <w:trPr>
          <w:trHeight w:val="199"/>
        </w:trPr>
        <w:tc>
          <w:tcPr>
            <w:tcW w:w="3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6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42"/>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6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r>
      <w:tr>
        <w:trPr>
          <w:trHeight w:val="270"/>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r>
      <w:tr>
        <w:trPr>
          <w:trHeight w:val="270"/>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70"/>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6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70"/>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receivable agreement</w:t>
            </w:r>
          </w:p>
        </w:tc>
        <w:tc>
          <w:tcPr>
            <w:tcW w:w="6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70"/>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r>
      <w:tr>
        <w:trPr>
          <w:trHeight w:val="270"/>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380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Identifiable net assets (liabilities) acquired</w:t>
            </w:r>
          </w:p>
        </w:tc>
        <w:tc>
          <w:tcPr>
            <w:tcW w:w="66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r>
      <w:tr>
        <w:trPr>
          <w:trHeight w:val="270"/>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70"/>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2,786</w:t>
            </w:r>
          </w:p>
        </w:tc>
      </w:tr>
      <w:tr>
        <w:trPr>
          <w:trHeight w:val="27"/>
        </w:trPr>
        <w:tc>
          <w:tcPr>
            <w:tcW w:w="380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consideration transferred</w:t>
            </w:r>
          </w:p>
        </w:tc>
        <w:tc>
          <w:tcPr>
            <w:tcW w:w="6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3,773</w:t>
            </w:r>
          </w:p>
        </w:tc>
      </w:tr>
      <w:tr>
        <w:trPr>
          <w:trHeight w:val="34"/>
        </w:trPr>
        <w:tc>
          <w:tcPr>
            <w:tcW w:w="380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receivable agreement was settled immediately following the acquisition and the payment was recorded as an operating activity in our condensed consolidated statement of cash flows in the third quarter of 2016. We also repaid all of the assumed debt of DreamWorks Animation in the third quarter of 2016.</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and net income attributable to the acquisition of DreamWorks Animation were not material for the three and nine months ended September 30, 2017 and 2016.</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980" w:type="dxa"/>
            <w:vAlign w:val="bottom"/>
          </w:tcPr>
          <w:p>
            <w:pPr>
              <w:spacing w:after="0"/>
              <w:rPr>
                <w:sz w:val="13"/>
                <w:szCs w:val="13"/>
                <w:color w:val="auto"/>
              </w:rPr>
            </w:pPr>
          </w:p>
        </w:tc>
        <w:tc>
          <w:tcPr>
            <w:tcW w:w="136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September 30,</w:t>
            </w:r>
          </w:p>
        </w:tc>
        <w:tc>
          <w:tcPr>
            <w:tcW w:w="360" w:type="dxa"/>
            <w:vAlign w:val="bottom"/>
          </w:tcPr>
          <w:p>
            <w:pPr>
              <w:spacing w:after="0"/>
              <w:rPr>
                <w:sz w:val="13"/>
                <w:szCs w:val="13"/>
                <w:color w:val="auto"/>
              </w:rPr>
            </w:pPr>
          </w:p>
        </w:tc>
        <w:tc>
          <w:tcPr>
            <w:tcW w:w="126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4460" w:type="dxa"/>
            <w:vAlign w:val="bottom"/>
            <w:tcBorders>
              <w:bottom w:val="single" w:sz="8" w:color="auto"/>
            </w:tcBorders>
            <w:vMerge w:val="continue"/>
          </w:tcPr>
          <w:p>
            <w:pPr>
              <w:spacing w:after="0"/>
              <w:rPr>
                <w:sz w:val="16"/>
                <w:szCs w:val="16"/>
                <w:color w:val="auto"/>
              </w:rPr>
            </w:pPr>
          </w:p>
        </w:tc>
        <w:tc>
          <w:tcPr>
            <w:tcW w:w="3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42"/>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Film Costs:</w:t>
            </w:r>
          </w:p>
        </w:tc>
        <w:tc>
          <w:tcPr>
            <w:tcW w:w="3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3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1,747</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0"/>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Completed, not released</w:t>
            </w:r>
          </w:p>
        </w:tc>
        <w:tc>
          <w:tcPr>
            <w:tcW w:w="39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9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829</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2,774</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Television Costs:</w:t>
            </w:r>
          </w:p>
        </w:tc>
        <w:tc>
          <w:tcPr>
            <w:tcW w:w="39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39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2,047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70"/>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9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853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2,900</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Programming rights, less amortization</w:t>
            </w:r>
          </w:p>
        </w:tc>
        <w:tc>
          <w:tcPr>
            <w:tcW w:w="39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2,901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8,575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8,502</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 of programming rights</w:t>
            </w:r>
          </w:p>
        </w:tc>
        <w:tc>
          <w:tcPr>
            <w:tcW w:w="39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1,779</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3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6,796</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7,252</w:t>
            </w:r>
          </w:p>
        </w:tc>
        <w:tc>
          <w:tcPr>
            <w:tcW w:w="0" w:type="dxa"/>
            <w:vAlign w:val="bottom"/>
          </w:tcPr>
          <w:p>
            <w:pPr>
              <w:spacing w:after="0"/>
              <w:rPr>
                <w:sz w:val="1"/>
                <w:szCs w:val="1"/>
                <w:color w:val="auto"/>
              </w:rPr>
            </w:pPr>
          </w:p>
        </w:tc>
      </w:tr>
      <w:tr>
        <w:trPr>
          <w:trHeight w:val="34"/>
        </w:trPr>
        <w:tc>
          <w:tcPr>
            <w:tcW w:w="4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4460" w:type="dxa"/>
            <w:vAlign w:val="bottom"/>
          </w:tcPr>
          <w:p>
            <w:pPr>
              <w:spacing w:after="0"/>
              <w:rPr>
                <w:sz w:val="24"/>
                <w:szCs w:val="24"/>
                <w:color w:val="auto"/>
              </w:rPr>
            </w:pPr>
          </w:p>
        </w:tc>
        <w:tc>
          <w:tcPr>
            <w:tcW w:w="398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rPr>
              <w:t>September 30,</w:t>
            </w:r>
          </w:p>
        </w:tc>
        <w:tc>
          <w:tcPr>
            <w:tcW w:w="280" w:type="dxa"/>
            <w:vAlign w:val="bottom"/>
          </w:tcPr>
          <w:p>
            <w:pPr>
              <w:spacing w:after="0"/>
              <w:rPr>
                <w:sz w:val="13"/>
                <w:szCs w:val="13"/>
                <w:color w:val="auto"/>
              </w:rPr>
            </w:pPr>
          </w:p>
        </w:tc>
        <w:tc>
          <w:tcPr>
            <w:tcW w:w="126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43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color w:val="auto"/>
              </w:rPr>
              <w:t>2017</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42"/>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Method:</w:t>
            </w: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Snap</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427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Method:</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Atairos</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2,225</w:t>
            </w:r>
          </w:p>
        </w:tc>
        <w:tc>
          <w:tcPr>
            <w:tcW w:w="28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70"/>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Hulu</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0"/>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871</w:t>
            </w:r>
          </w:p>
        </w:tc>
        <w:tc>
          <w:tcPr>
            <w:tcW w:w="28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3,351</w:t>
            </w:r>
          </w:p>
        </w:tc>
        <w:tc>
          <w:tcPr>
            <w:tcW w:w="2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Method:</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AirTouch</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1,610</w:t>
            </w:r>
          </w:p>
        </w:tc>
        <w:tc>
          <w:tcPr>
            <w:tcW w:w="28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70"/>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BuzzFeed</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0"/>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2,766</w:t>
            </w:r>
          </w:p>
        </w:tc>
        <w:tc>
          <w:tcPr>
            <w:tcW w:w="2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6,708</w:t>
            </w:r>
          </w:p>
        </w:tc>
        <w:tc>
          <w:tcPr>
            <w:tcW w:w="2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investments</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 investments</w:t>
            </w: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6,695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5,247</w:t>
            </w:r>
          </w:p>
        </w:tc>
        <w:tc>
          <w:tcPr>
            <w:tcW w:w="0" w:type="dxa"/>
            <w:vAlign w:val="bottom"/>
          </w:tcPr>
          <w:p>
            <w:pPr>
              <w:spacing w:after="0"/>
              <w:rPr>
                <w:sz w:val="1"/>
                <w:szCs w:val="1"/>
                <w:color w:val="auto"/>
              </w:rPr>
            </w:pPr>
          </w:p>
        </w:tc>
      </w:tr>
      <w:tr>
        <w:trPr>
          <w:trHeight w:val="34"/>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5"/>
        </w:trPr>
        <w:tc>
          <w:tcPr>
            <w:tcW w:w="4300" w:type="dxa"/>
            <w:vAlign w:val="bottom"/>
          </w:tcPr>
          <w:p>
            <w:pPr>
              <w:spacing w:after="0"/>
              <w:rPr>
                <w:sz w:val="24"/>
                <w:szCs w:val="24"/>
                <w:color w:val="auto"/>
              </w:rPr>
            </w:pPr>
          </w:p>
        </w:tc>
        <w:tc>
          <w:tcPr>
            <w:tcW w:w="3520" w:type="dxa"/>
            <w:vAlign w:val="bottom"/>
            <w:gridSpan w:val="4"/>
          </w:tcPr>
          <w:p>
            <w:pPr>
              <w:jc w:val="right"/>
              <w:ind w:right="716"/>
              <w:spacing w:after="0"/>
              <w:rPr>
                <w:sz w:val="20"/>
                <w:szCs w:val="20"/>
                <w:color w:val="auto"/>
              </w:rPr>
            </w:pPr>
            <w:r>
              <w:rPr>
                <w:rFonts w:ascii="Arial" w:cs="Arial" w:eastAsia="Arial" w:hAnsi="Arial"/>
                <w:sz w:val="18"/>
                <w:szCs w:val="18"/>
                <w:b w:val="1"/>
                <w:bCs w:val="1"/>
                <w:color w:val="auto"/>
              </w:rPr>
              <w:t>Investment Income (Loss), Net</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4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color w:val="auto"/>
              </w:rPr>
              <w:t>Three Months Ended</w:t>
            </w: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900" w:type="dxa"/>
            <w:vAlign w:val="bottom"/>
            <w:gridSpan w:val="3"/>
          </w:tcPr>
          <w:p>
            <w:pPr>
              <w:jc w:val="right"/>
              <w:ind w:right="85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3"/>
        </w:trPr>
        <w:tc>
          <w:tcPr>
            <w:tcW w:w="4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616"/>
              <w:spacing w:after="0"/>
              <w:rPr>
                <w:sz w:val="20"/>
                <w:szCs w:val="20"/>
                <w:color w:val="auto"/>
              </w:rPr>
            </w:pPr>
            <w:r>
              <w:rPr>
                <w:rFonts w:ascii="Times New Roman" w:cs="Times New Roman" w:eastAsia="Times New Roman" w:hAnsi="Times New Roman"/>
                <w:sz w:val="14"/>
                <w:szCs w:val="14"/>
                <w:color w:val="auto"/>
              </w:rPr>
              <w:t>September 30</w:t>
            </w:r>
          </w:p>
        </w:tc>
        <w:tc>
          <w:tcPr>
            <w:tcW w:w="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1032"/>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264"/>
        </w:trPr>
        <w:tc>
          <w:tcPr>
            <w:tcW w:w="4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rPr>
              <w:t>2016</w:t>
            </w:r>
          </w:p>
        </w:tc>
        <w:tc>
          <w:tcPr>
            <w:tcW w:w="4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2017</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42"/>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Gains (losses) on sales and exchanges of investments, net</w:t>
            </w: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impairment losses</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3"/>
                <w:szCs w:val="2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3"/>
                <w:szCs w:val="2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 income (loss), net</w:t>
            </w: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82</w:t>
            </w:r>
          </w:p>
        </w:tc>
        <w:tc>
          <w:tcPr>
            <w:tcW w:w="1120" w:type="dxa"/>
            <w:vAlign w:val="bottom"/>
          </w:tcPr>
          <w:p>
            <w:pPr>
              <w:jc w:val="right"/>
              <w:ind w:right="83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r>
        <w:trPr>
          <w:trHeight w:val="34"/>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2017, we acquired an interest in Snap Inc. for $500 million as part of its initial public offering, which we have classified as an available-for-sale security. Snap is a camera company whose primary product is Snapchat, a camera app that was created to help people communicate through short videos and images.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2017, we made cash capital contributions totaling $994 million to Atairos Group, Inc., which included amounts accrued as of December 31, 2016. Atairos follows investment company accounting and records its investments at their fair values each reporting period with the net gains or losses reflected in its statement of income. We recognize our share of these gains and losses in equity in net income (losses) of investees, net. For the three and nine months ended September 30, 2017, our share of Atairos income was $7 million and $106 million, respectively. For the three and nine months ended September 30, 2016, our share of Atairos losses was $9 million and $36 million, respectively.</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2017, we sold a business to a company owned by Atairos and received as consideration an investment in that company, which we account for as an equity method investment. In connection with the sale of the business, we recognized a pretax gain of $105 million in other operating gains for the three months ended September 30, 2017.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 for the nine months ended September 30, 2016.</w:t>
      </w:r>
    </w:p>
    <w:p>
      <w:pPr>
        <w:sectPr>
          <w:pgSz w:w="11900" w:h="16838" w:orient="portrait"/>
          <w:cols w:equalWidth="0" w:num="1">
            <w:col w:w="11420"/>
          </w:cols>
          <w:pgMar w:left="240" w:top="117" w:right="239" w:bottom="1089"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089"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hold two series of preferred stock of Verizon Americas, Inc., formerly known as AirTouch Communications, Inc. (“AirTouch”), a subsidiary of Verizon Communications Inc., which are redeemable in April 2020. As of September 30, 2017, the estimated fair value of the AirTouch preferred stock was $1.7 billion. The estimated fair value of the associated liability related to the redeemable subsidiary preferred shares issued by one of our consolidated subsidiaries was $1.8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2017, our debt had a carrying value of $65.0 billion and an estimated fair value of $71.7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2017, we issued $1.65 billion aggregate principal amount of 3.15% senior notes due 2028 and $850 million aggregate principal amount of 4.00% senior notes due 2047. In June 2017, NBCUniversal Enterprise issued $1.5 billion aggregate principal amount of senior floating rate notes due 2021. In March 2017, we issued $1.005 billion aggregate principal amount of 4.45% senior notes due 2047. In January 2017, we issued $1.25 billion aggregate principal amount of 3.00% senior notes due 2024 and $1.25 billion aggregate principal amount of 3.30% senior notes due 2027.</w:t>
      </w:r>
    </w:p>
    <w:p>
      <w:pPr>
        <w:spacing w:after="0" w:line="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2017, we repaid at maturity $550 million aggregate principal amount of 8.875% senior notes due 2017. In January 2017, we repaid at maturity $1.0 billion aggregate principal amount of 6.50% senior notes due 2017.</w:t>
      </w:r>
    </w:p>
    <w:p>
      <w:pPr>
        <w:spacing w:after="0" w:line="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2017, Universal Studios Japan entered into ¥450 billion ($3.9 billion at issuance) of new term loans with a final maturity of March 2022. We used the proceeds from these borrowings to repay in full $3.3 billion of Universal Studios Japan’s existing yen-denominated term loans and a portion of amounts outstanding under our commercial paper program.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2017, amounts available under our consolidated revolving credit facilities, net of amounts outstanding under our commercial paper programs and outstanding letters of credit, totaled $8.3 billion, which included $1.5 billion available under NBCUniversal Enterprise’s revolving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2017, we increased the Comcast and NBCUniversal Enterprise commercial paper programs to $7.0 billion and $1.5 billion, respectively, to coincide with the borrowing capacities under the Comcast and NBCUniversal Enterprise revolving credit facilities.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2017, Comcast and NBCUniversal Enterprise had no commercial paper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Exchange</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2017, we and NBCUniversal announced and settled a private debt exchange transaction. We issued $2.0 billion aggregate principal amount of new 3.969% senior notes due 2047, $2.0 billion aggregate principal amount of new 3.999% senior notes due 2049, and $1.5 billion aggregate principal amount of new 4.049% senior notes due 2052 in exchange for $3.9 billion aggregate principal amount of certain series of outstanding senior notes issued by Comcast and NBCUniversal. The new notes are fully and unconditionally guaranteed by NBCUniversal and Comcast Cable Communications, LLC.</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2017, we granted 10.6 million RSUs and 39.1 million stock options related to our annual management awards. The weighted-average fair values associated with these grants were $37.42 per RSU and $7.01 per stock option.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3"/>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color w:val="auto"/>
              </w:rPr>
              <w:t>2017</w:t>
            </w:r>
          </w:p>
        </w:tc>
        <w:tc>
          <w:tcPr>
            <w:tcW w:w="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2016</w:t>
            </w: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 units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99</w:t>
            </w: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284</w:t>
            </w: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236</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tcPr>
          <w:p>
            <w:pPr>
              <w:spacing w:after="0"/>
              <w:rPr>
                <w:sz w:val="23"/>
                <w:szCs w:val="23"/>
                <w:color w:val="auto"/>
              </w:rPr>
            </w:pP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52</w:t>
            </w:r>
          </w:p>
        </w:tc>
        <w:tc>
          <w:tcPr>
            <w:tcW w:w="72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155</w:t>
            </w:r>
          </w:p>
        </w:tc>
        <w:tc>
          <w:tcPr>
            <w:tcW w:w="6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360" w:type="dxa"/>
            <w:vAlign w:val="bottom"/>
          </w:tcPr>
          <w:p>
            <w:pPr>
              <w:spacing w:after="0"/>
              <w:rPr>
                <w:sz w:val="23"/>
                <w:szCs w:val="23"/>
                <w:color w:val="auto"/>
              </w:rPr>
            </w:pP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rPr>
              <w:t>159</w:t>
            </w: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131</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rPr>
              <w:t>464</w:t>
            </w: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391</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2017, we had unrecognized pretax compensation expense of $886 million and $451 million related to nonvested RSUs and nonvested stock options,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3"/>
                <w:szCs w:val="13"/>
                <w:color w:val="auto"/>
              </w:rPr>
            </w:pPr>
          </w:p>
        </w:tc>
        <w:tc>
          <w:tcPr>
            <w:tcW w:w="1380" w:type="dxa"/>
            <w:vAlign w:val="bottom"/>
          </w:tcPr>
          <w:p>
            <w:pPr>
              <w:jc w:val="center"/>
              <w:ind w:right="254"/>
              <w:spacing w:after="0"/>
              <w:rPr>
                <w:sz w:val="20"/>
                <w:szCs w:val="20"/>
                <w:color w:val="auto"/>
              </w:rPr>
            </w:pPr>
            <w:r>
              <w:rPr>
                <w:rFonts w:ascii="Times New Roman" w:cs="Times New Roman" w:eastAsia="Times New Roman" w:hAnsi="Times New Roman"/>
                <w:sz w:val="14"/>
                <w:szCs w:val="14"/>
                <w:color w:val="auto"/>
              </w:rPr>
              <w:t>September 30,</w:t>
            </w:r>
          </w:p>
        </w:tc>
        <w:tc>
          <w:tcPr>
            <w:tcW w:w="420" w:type="dxa"/>
            <w:vAlign w:val="bottom"/>
          </w:tcPr>
          <w:p>
            <w:pPr>
              <w:spacing w:after="0"/>
              <w:rPr>
                <w:sz w:val="13"/>
                <w:szCs w:val="13"/>
                <w:color w:val="auto"/>
              </w:rPr>
            </w:pPr>
          </w:p>
        </w:tc>
        <w:tc>
          <w:tcPr>
            <w:tcW w:w="1180" w:type="dxa"/>
            <w:vAlign w:val="bottom"/>
          </w:tcPr>
          <w:p>
            <w:pPr>
              <w:jc w:val="center"/>
              <w:ind w:right="25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color w:val="auto"/>
                <w:w w:val="99"/>
              </w:rPr>
              <w:t>2017</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color w:val="auto"/>
                <w:w w:val="99"/>
              </w:rPr>
              <w:t>2016</w:t>
            </w:r>
          </w:p>
        </w:tc>
        <w:tc>
          <w:tcPr>
            <w:tcW w:w="0" w:type="dxa"/>
            <w:vAlign w:val="bottom"/>
          </w:tcPr>
          <w:p>
            <w:pPr>
              <w:spacing w:after="0"/>
              <w:rPr>
                <w:sz w:val="1"/>
                <w:szCs w:val="1"/>
                <w:color w:val="auto"/>
              </w:rPr>
            </w:pPr>
          </w:p>
        </w:tc>
      </w:tr>
      <w:tr>
        <w:trPr>
          <w:trHeight w:val="242"/>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Receivables, gross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8,549</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8,622</w:t>
            </w:r>
          </w:p>
        </w:tc>
        <w:tc>
          <w:tcPr>
            <w:tcW w:w="0" w:type="dxa"/>
            <w:vAlign w:val="bottom"/>
          </w:tcPr>
          <w:p>
            <w:pPr>
              <w:spacing w:after="0"/>
              <w:rPr>
                <w:sz w:val="1"/>
                <w:szCs w:val="1"/>
                <w:color w:val="auto"/>
              </w:rPr>
            </w:pP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 for returns and customer incentives</w:t>
            </w:r>
          </w:p>
        </w:tc>
        <w:tc>
          <w:tcPr>
            <w:tcW w:w="200" w:type="dxa"/>
            <w:vAlign w:val="bottom"/>
          </w:tcPr>
          <w:p>
            <w:pPr>
              <w:spacing w:after="0"/>
              <w:rPr>
                <w:sz w:val="23"/>
                <w:szCs w:val="23"/>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357</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0" w:type="dxa"/>
            <w:vAlign w:val="bottom"/>
          </w:tcPr>
          <w:p>
            <w:pPr>
              <w:spacing w:after="0"/>
              <w:rPr>
                <w:sz w:val="23"/>
                <w:szCs w:val="23"/>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277</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7,915</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7,955</w:t>
            </w:r>
          </w:p>
        </w:tc>
        <w:tc>
          <w:tcPr>
            <w:tcW w:w="0" w:type="dxa"/>
            <w:vAlign w:val="bottom"/>
          </w:tcPr>
          <w:p>
            <w:pPr>
              <w:spacing w:after="0"/>
              <w:rPr>
                <w:sz w:val="1"/>
                <w:szCs w:val="1"/>
                <w:color w:val="auto"/>
              </w:rPr>
            </w:pPr>
          </w:p>
        </w:tc>
      </w:tr>
      <w:tr>
        <w:trPr>
          <w:trHeight w:val="34"/>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7"/>
        </w:trPr>
        <w:tc>
          <w:tcPr>
            <w:tcW w:w="824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24"/>
                <w:szCs w:val="24"/>
                <w:color w:val="auto"/>
              </w:rPr>
            </w:pPr>
          </w:p>
        </w:tc>
        <w:tc>
          <w:tcPr>
            <w:tcW w:w="1380" w:type="dxa"/>
            <w:vAlign w:val="bottom"/>
          </w:tcPr>
          <w:p>
            <w:pPr>
              <w:jc w:val="center"/>
              <w:ind w:right="254"/>
              <w:spacing w:after="0"/>
              <w:rPr>
                <w:sz w:val="20"/>
                <w:szCs w:val="20"/>
                <w:color w:val="auto"/>
              </w:rPr>
            </w:pPr>
            <w:r>
              <w:rPr>
                <w:rFonts w:ascii="Times New Roman" w:cs="Times New Roman" w:eastAsia="Times New Roman" w:hAnsi="Times New Roman"/>
                <w:sz w:val="14"/>
                <w:szCs w:val="14"/>
                <w:color w:val="auto"/>
              </w:rPr>
              <w:t>September 30,</w:t>
            </w:r>
          </w:p>
        </w:tc>
        <w:tc>
          <w:tcPr>
            <w:tcW w:w="420" w:type="dxa"/>
            <w:vAlign w:val="bottom"/>
          </w:tcPr>
          <w:p>
            <w:pPr>
              <w:spacing w:after="0"/>
              <w:rPr>
                <w:sz w:val="24"/>
                <w:szCs w:val="24"/>
                <w:color w:val="auto"/>
              </w:rPr>
            </w:pPr>
          </w:p>
        </w:tc>
        <w:tc>
          <w:tcPr>
            <w:tcW w:w="1180" w:type="dxa"/>
            <w:vAlign w:val="bottom"/>
          </w:tcPr>
          <w:p>
            <w:pPr>
              <w:jc w:val="center"/>
              <w:ind w:right="233"/>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3"/>
        </w:trPr>
        <w:tc>
          <w:tcPr>
            <w:tcW w:w="8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color w:val="auto"/>
                <w:w w:val="99"/>
              </w:rPr>
              <w:t>2017</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color w:val="auto"/>
                <w:w w:val="99"/>
              </w:rPr>
              <w:t>2016</w:t>
            </w:r>
          </w:p>
        </w:tc>
        <w:tc>
          <w:tcPr>
            <w:tcW w:w="0" w:type="dxa"/>
            <w:vAlign w:val="bottom"/>
          </w:tcPr>
          <w:p>
            <w:pPr>
              <w:spacing w:after="0"/>
              <w:rPr>
                <w:sz w:val="1"/>
                <w:szCs w:val="1"/>
                <w:color w:val="auto"/>
              </w:rPr>
            </w:pPr>
          </w:p>
        </w:tc>
      </w:tr>
      <w:tr>
        <w:trPr>
          <w:trHeight w:val="242"/>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gains (losses) on 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200" w:type="dxa"/>
            <w:vAlign w:val="bottom"/>
          </w:tcPr>
          <w:p>
            <w:pPr>
              <w:spacing w:after="0"/>
              <w:rPr>
                <w:sz w:val="23"/>
                <w:szCs w:val="2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w:t>
            </w:r>
          </w:p>
        </w:tc>
        <w:tc>
          <w:tcPr>
            <w:tcW w:w="200" w:type="dxa"/>
            <w:vAlign w:val="bottom"/>
          </w:tcPr>
          <w:p>
            <w:pPr>
              <w:spacing w:after="0"/>
              <w:rPr>
                <w:sz w:val="23"/>
                <w:szCs w:val="23"/>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00" w:type="dxa"/>
            <w:vAlign w:val="bottom"/>
          </w:tcPr>
          <w:p>
            <w:pPr>
              <w:spacing w:after="0"/>
              <w:rPr>
                <w:sz w:val="23"/>
                <w:szCs w:val="23"/>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deferred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381</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34"/>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7"/>
        </w:trPr>
        <w:tc>
          <w:tcPr>
            <w:tcW w:w="8240" w:type="dxa"/>
            <w:vAlign w:val="bottom"/>
          </w:tcPr>
          <w:p>
            <w:pPr>
              <w:ind w:left="3900"/>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jc w:val="right"/>
              <w:ind w:right="913"/>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3"/>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color w:val="auto"/>
                <w:w w:val="99"/>
              </w:rPr>
              <w:t>2017</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color w:val="auto"/>
                <w:w w:val="99"/>
              </w:rPr>
              <w:t>2016</w:t>
            </w:r>
          </w:p>
        </w:tc>
        <w:tc>
          <w:tcPr>
            <w:tcW w:w="0" w:type="dxa"/>
            <w:vAlign w:val="bottom"/>
          </w:tcPr>
          <w:p>
            <w:pPr>
              <w:spacing w:after="0"/>
              <w:rPr>
                <w:sz w:val="1"/>
                <w:szCs w:val="1"/>
                <w:color w:val="auto"/>
              </w:rPr>
            </w:pPr>
          </w:p>
        </w:tc>
      </w:tr>
      <w:tr>
        <w:trPr>
          <w:trHeight w:val="242"/>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7,865</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amortization and other operating gains</w:t>
            </w:r>
          </w:p>
        </w:tc>
        <w:tc>
          <w:tcPr>
            <w:tcW w:w="200" w:type="dxa"/>
            <w:vAlign w:val="bottom"/>
          </w:tcPr>
          <w:p>
            <w:pPr>
              <w:spacing w:after="0"/>
              <w:rPr>
                <w:sz w:val="23"/>
                <w:szCs w:val="23"/>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7,181</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7,062</w:t>
            </w:r>
          </w:p>
        </w:tc>
        <w:tc>
          <w:tcPr>
            <w:tcW w:w="0" w:type="dxa"/>
            <w:vAlign w:val="bottom"/>
          </w:tcPr>
          <w:p>
            <w:pPr>
              <w:spacing w:after="0"/>
              <w:rPr>
                <w:sz w:val="1"/>
                <w:szCs w:val="1"/>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23"/>
                <w:szCs w:val="23"/>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594</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200" w:type="dxa"/>
            <w:vAlign w:val="bottom"/>
          </w:tcPr>
          <w:p>
            <w:pPr>
              <w:spacing w:after="0"/>
              <w:rPr>
                <w:sz w:val="23"/>
                <w:szCs w:val="23"/>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187</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200" w:type="dxa"/>
            <w:vAlign w:val="bottom"/>
          </w:tcPr>
          <w:p>
            <w:pPr>
              <w:spacing w:after="0"/>
              <w:rPr>
                <w:sz w:val="23"/>
                <w:szCs w:val="2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received from investees</w:t>
            </w:r>
          </w:p>
        </w:tc>
        <w:tc>
          <w:tcPr>
            <w:tcW w:w="200" w:type="dxa"/>
            <w:vAlign w:val="bottom"/>
          </w:tcPr>
          <w:p>
            <w:pPr>
              <w:spacing w:after="0"/>
              <w:rPr>
                <w:sz w:val="23"/>
                <w:szCs w:val="23"/>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200" w:type="dxa"/>
            <w:vAlign w:val="bottom"/>
          </w:tcPr>
          <w:p>
            <w:pPr>
              <w:spacing w:after="0"/>
              <w:rPr>
                <w:sz w:val="23"/>
                <w:szCs w:val="2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(193)</w:t>
            </w: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3"/>
                <w:szCs w:val="23"/>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678</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200" w:type="dxa"/>
            <w:vAlign w:val="bottom"/>
          </w:tcPr>
          <w:p>
            <w:pPr>
              <w:spacing w:after="0"/>
              <w:rPr>
                <w:sz w:val="23"/>
                <w:szCs w:val="23"/>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200" w:type="dxa"/>
            <w:vAlign w:val="bottom"/>
          </w:tcPr>
          <w:p>
            <w:pPr>
              <w:spacing w:after="0"/>
              <w:rPr>
                <w:sz w:val="23"/>
                <w:szCs w:val="2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200" w:type="dxa"/>
            <w:vAlign w:val="bottom"/>
          </w:tcPr>
          <w:p>
            <w:pPr>
              <w:spacing w:after="0"/>
              <w:rPr>
                <w:sz w:val="23"/>
                <w:szCs w:val="2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0"/>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200" w:type="dxa"/>
            <w:vAlign w:val="bottom"/>
          </w:tcPr>
          <w:p>
            <w:pPr>
              <w:spacing w:after="0"/>
              <w:rPr>
                <w:sz w:val="23"/>
                <w:szCs w:val="2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(351)</w:t>
            </w: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15,961</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13,989</w:t>
            </w:r>
          </w:p>
        </w:tc>
        <w:tc>
          <w:tcPr>
            <w:tcW w:w="0" w:type="dxa"/>
            <w:vAlign w:val="bottom"/>
          </w:tcPr>
          <w:p>
            <w:pPr>
              <w:spacing w:after="0"/>
              <w:rPr>
                <w:sz w:val="1"/>
                <w:szCs w:val="1"/>
                <w:color w:val="auto"/>
              </w:rPr>
            </w:pPr>
          </w:p>
        </w:tc>
      </w:tr>
      <w:tr>
        <w:trPr>
          <w:trHeight w:val="34"/>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3"/>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color w:val="auto"/>
              </w:rPr>
              <w:t>2017</w:t>
            </w:r>
          </w:p>
        </w:tc>
        <w:tc>
          <w:tcPr>
            <w:tcW w:w="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color w:val="auto"/>
              </w:rPr>
              <w:t>2016</w:t>
            </w: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905</w:t>
            </w: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808</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2,277</w:t>
            </w: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2,043</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1,206</w:t>
            </w: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1,031</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3,415</w:t>
            </w: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2,716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2017:</w:t>
      </w:r>
    </w:p>
    <w:p>
      <w:pPr>
        <w:spacing w:after="0" w:line="7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$1.4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$736 million for a quarterly cash dividend of $0.1575 per common share to be paid in October 2017</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2017, the fair value of the NBCUniversal Enterprise redeemable subsidiary preferred stock was $756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a defendant in a lawsuit filed in December 2011 by Sprint Communications Company L.P. (“Sprint”) in the United States District Court for the District of Kansas. Sprint’s initial complaint alleged that Comcast Digital Voice and XFINITY Voice infringe twelve Sprint patents covering various aspects of a telecommunications system. In March 2015, Sprint withdrew its allegations of infringement for two of the patents. In December 2016, the Court granted summary judgment for us with respect to non-infringement on one of the patents and granted summary judgment for Sprint on one of the patents as to infringement with respect to some but not all of our accused telecommunications systems but not as to the patent’s validity. In January 2017, the Court entered judgment in favor of us on Sprint’s claims for infringement of two of the patents. In March 2017, Sprint indicated that it would not proceed to trial on three of the patents. Trial with respect to the four remaining patents, including the patent for which the Court granted partial summary judgment to Sprint, was set to begin on October 23, 2017. On October 16, 2017, the parties entered into a settlement agreement which dismisses all claims and resolves the parties’ disputes asserted in the matters described above, as well as in all other outstanding patent litigation matters between the parties, for a payment to Sprint and certain contractual rights. In connection therewith, we recorded a charge of $250 million in the third quarter of 2017.</w:t>
      </w:r>
    </w:p>
    <w:p>
      <w:pPr>
        <w:spacing w:after="0" w:line="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Financial Data by Business Segment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our operations in five reportable business segments:</w:t>
      </w:r>
    </w:p>
    <w:p>
      <w:pPr>
        <w:spacing w:after="0" w:line="73" w:lineRule="exact"/>
        <w:rPr>
          <w:sz w:val="20"/>
          <w:szCs w:val="20"/>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Communications: </w:t>
      </w:r>
      <w:r>
        <w:rPr>
          <w:rFonts w:ascii="Times New Roman" w:cs="Times New Roman" w:eastAsia="Times New Roman" w:hAnsi="Times New Roman"/>
          <w:sz w:val="18"/>
          <w:szCs w:val="18"/>
          <w:color w:val="auto"/>
        </w:rPr>
        <w:t>Consists of the operations of Comcast Cable, which is one of the nation’s largest providers of video, high-speed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voice, and security and automation services to residential customers under the XFINITY brand; we also provide these and other services to business customers and sell advertising.</w:t>
      </w:r>
    </w:p>
    <w:p>
      <w:pPr>
        <w:spacing w:after="0" w:line="22"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Networks: </w:t>
      </w:r>
      <w:r>
        <w:rPr>
          <w:rFonts w:ascii="Times New Roman" w:cs="Times New Roman" w:eastAsia="Times New Roman" w:hAnsi="Times New Roman"/>
          <w:sz w:val="18"/>
          <w:szCs w:val="18"/>
          <w:color w:val="auto"/>
        </w:rPr>
        <w:t>Consists primarily of our national cable networks, our regional sports and news networks, our international cable networks,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cable television studio production operations.</w:t>
      </w:r>
    </w:p>
    <w:p>
      <w:pPr>
        <w:spacing w:after="0" w:line="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Broadcast Television: </w:t>
      </w:r>
      <w:r>
        <w:rPr>
          <w:rFonts w:ascii="Times New Roman" w:cs="Times New Roman" w:eastAsia="Times New Roman" w:hAnsi="Times New Roman"/>
          <w:sz w:val="18"/>
          <w:szCs w:val="18"/>
          <w:color w:val="auto"/>
        </w:rPr>
        <w:t>Consists primarily of the NBC and Telemundo broadcast networks, our NBC and Telemundo owned local broadcast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television stations, the NBC Universo national cable network, and our broadcast television studio production operations.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13" w:lineRule="exact"/>
        <w:rPr>
          <w:sz w:val="20"/>
          <w:szCs w:val="20"/>
          <w:color w:val="auto"/>
        </w:rPr>
      </w:pPr>
    </w:p>
    <w:p>
      <w:pPr>
        <w:ind w:left="660" w:hanging="328"/>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Filmed Entertainment: </w:t>
      </w:r>
      <w:r>
        <w:rPr>
          <w:rFonts w:ascii="Times New Roman" w:cs="Times New Roman" w:eastAsia="Times New Roman" w:hAnsi="Times New Roman"/>
          <w:sz w:val="18"/>
          <w:szCs w:val="18"/>
          <w:color w:val="auto"/>
        </w:rPr>
        <w:t>Consists primarily of the operations of Universal Pictures, which produces, acquires, markets and distributes filmed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entertainment worldwide; our films are also produced under the Illumination, Focus Features and DreamWorks Animation names.</w:t>
      </w:r>
    </w:p>
    <w:p>
      <w:pPr>
        <w:spacing w:after="0" w:line="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Florida; Hollywood, California; and Osaka, Japan.</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 Adjusted EBITDA to evaluate the profitability of our operating segments and the components of net income attributable to Comcast Corporation below Adjusted EBITDA are not separately evaluated. Our financial data by business segment is presented in the tables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September 30, 2017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4"/>
              <w:spacing w:after="0" w:line="151" w:lineRule="exact"/>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3"/>
                <w:szCs w:val="13"/>
                <w:color w:val="auto"/>
              </w:rPr>
            </w:pPr>
          </w:p>
        </w:tc>
        <w:tc>
          <w:tcPr>
            <w:tcW w:w="10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color w:val="auto"/>
                <w:w w:val="99"/>
              </w:rPr>
              <w:t>Operating</w:t>
            </w:r>
          </w:p>
        </w:tc>
        <w:tc>
          <w:tcPr>
            <w:tcW w:w="200" w:type="dxa"/>
            <w:vAlign w:val="bottom"/>
          </w:tcPr>
          <w:p>
            <w:pPr>
              <w:spacing w:after="0"/>
              <w:rPr>
                <w:sz w:val="13"/>
                <w:szCs w:val="13"/>
                <w:color w:val="auto"/>
              </w:rPr>
            </w:pPr>
          </w:p>
        </w:tc>
        <w:tc>
          <w:tcPr>
            <w:tcW w:w="10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3"/>
                <w:szCs w:val="13"/>
                <w:color w:val="auto"/>
              </w:rPr>
            </w:pPr>
          </w:p>
        </w:tc>
        <w:tc>
          <w:tcPr>
            <w:tcW w:w="114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8"/>
                <w:szCs w:val="8"/>
                <w:color w:val="auto"/>
              </w:rPr>
              <w:t>(f)</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8"/>
                <w:szCs w:val="8"/>
                <w:color w:val="auto"/>
              </w:rPr>
              <w:t>(g)</w:t>
            </w:r>
          </w:p>
        </w:tc>
        <w:tc>
          <w:tcPr>
            <w:tcW w:w="120" w:type="dxa"/>
            <w:vAlign w:val="bottom"/>
          </w:tcPr>
          <w:p>
            <w:pPr>
              <w:spacing w:after="0"/>
              <w:rPr>
                <w:sz w:val="12"/>
                <w:szCs w:val="12"/>
                <w:color w:val="auto"/>
              </w:rPr>
            </w:pPr>
          </w:p>
        </w:tc>
        <w:tc>
          <w:tcPr>
            <w:tcW w:w="112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color w:val="auto"/>
              </w:rPr>
              <w:t>Amortization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8"/>
                <w:szCs w:val="8"/>
                <w:color w:val="auto"/>
              </w:rPr>
              <w:t>(h)</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77"/>
        </w:trPr>
        <w:tc>
          <w:tcPr>
            <w:tcW w:w="3880" w:type="dxa"/>
            <w:vAlign w:val="bottom"/>
          </w:tcPr>
          <w:p>
            <w:pPr>
              <w:ind w:left="40"/>
              <w:spacing w:after="0" w:line="277" w:lineRule="exact"/>
              <w:rPr>
                <w:sz w:val="20"/>
                <w:szCs w:val="20"/>
                <w:color w:val="auto"/>
              </w:rPr>
            </w:pPr>
            <w:r>
              <w:rPr>
                <w:rFonts w:ascii="Times New Roman" w:cs="Times New Roman" w:eastAsia="Times New Roman" w:hAnsi="Times New Roman"/>
                <w:sz w:val="18"/>
                <w:szCs w:val="18"/>
                <w:color w:val="auto"/>
              </w:rPr>
              <w:t>Cable Communications</w:t>
            </w:r>
            <w:r>
              <w:rPr>
                <w:rFonts w:ascii="Times New Roman" w:cs="Times New Roman" w:eastAsia="Times New Roman" w:hAnsi="Times New Roman"/>
                <w:sz w:val="25"/>
                <w:szCs w:val="25"/>
                <w:color w:val="auto"/>
                <w:vertAlign w:val="superscript"/>
              </w:rPr>
              <w:t>(a)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3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3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3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3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6"/>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Headquarters and Other</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38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2,105</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0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4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20,983</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2,388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4,792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404</w:t>
            </w:r>
          </w:p>
        </w:tc>
        <w:tc>
          <w:tcPr>
            <w:tcW w:w="0" w:type="dxa"/>
            <w:vAlign w:val="bottom"/>
          </w:tcPr>
          <w:p>
            <w:pPr>
              <w:spacing w:after="0"/>
              <w:rPr>
                <w:sz w:val="1"/>
                <w:szCs w:val="1"/>
                <w:color w:val="auto"/>
              </w:rPr>
            </w:pP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5"/>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September 30,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4"/>
              <w:spacing w:after="0" w:line="151" w:lineRule="exact"/>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3"/>
                <w:szCs w:val="13"/>
                <w:color w:val="auto"/>
              </w:rPr>
            </w:pPr>
          </w:p>
        </w:tc>
        <w:tc>
          <w:tcPr>
            <w:tcW w:w="10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color w:val="auto"/>
                <w:w w:val="99"/>
              </w:rPr>
              <w:t>Operating</w:t>
            </w:r>
          </w:p>
        </w:tc>
        <w:tc>
          <w:tcPr>
            <w:tcW w:w="200" w:type="dxa"/>
            <w:vAlign w:val="bottom"/>
          </w:tcPr>
          <w:p>
            <w:pPr>
              <w:spacing w:after="0"/>
              <w:rPr>
                <w:sz w:val="13"/>
                <w:szCs w:val="13"/>
                <w:color w:val="auto"/>
              </w:rPr>
            </w:pPr>
          </w:p>
        </w:tc>
        <w:tc>
          <w:tcPr>
            <w:tcW w:w="10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3"/>
                <w:szCs w:val="13"/>
                <w:color w:val="auto"/>
              </w:rPr>
            </w:pPr>
          </w:p>
        </w:tc>
        <w:tc>
          <w:tcPr>
            <w:tcW w:w="114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8"/>
                <w:szCs w:val="8"/>
                <w:color w:val="auto"/>
              </w:rPr>
              <w:t>(f)</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8"/>
                <w:szCs w:val="8"/>
                <w:color w:val="auto"/>
              </w:rPr>
              <w:t>(g)</w:t>
            </w:r>
          </w:p>
        </w:tc>
        <w:tc>
          <w:tcPr>
            <w:tcW w:w="120" w:type="dxa"/>
            <w:vAlign w:val="bottom"/>
          </w:tcPr>
          <w:p>
            <w:pPr>
              <w:spacing w:after="0"/>
              <w:rPr>
                <w:sz w:val="12"/>
                <w:szCs w:val="12"/>
                <w:color w:val="auto"/>
              </w:rPr>
            </w:pPr>
          </w:p>
        </w:tc>
        <w:tc>
          <w:tcPr>
            <w:tcW w:w="112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color w:val="auto"/>
              </w:rPr>
              <w:t>Amortization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77"/>
        </w:trPr>
        <w:tc>
          <w:tcPr>
            <w:tcW w:w="3880" w:type="dxa"/>
            <w:vAlign w:val="bottom"/>
          </w:tcPr>
          <w:p>
            <w:pPr>
              <w:ind w:left="40"/>
              <w:spacing w:after="0" w:line="277" w:lineRule="exact"/>
              <w:rPr>
                <w:sz w:val="20"/>
                <w:szCs w:val="20"/>
                <w:color w:val="auto"/>
              </w:rPr>
            </w:pPr>
            <w:r>
              <w:rPr>
                <w:rFonts w:ascii="Times New Roman" w:cs="Times New Roman" w:eastAsia="Times New Roman" w:hAnsi="Times New Roman"/>
                <w:sz w:val="18"/>
                <w:szCs w:val="18"/>
                <w:color w:val="auto"/>
              </w:rPr>
              <w:t>Cable Communications</w:t>
            </w:r>
            <w:r>
              <w:rPr>
                <w:rFonts w:ascii="Times New Roman" w:cs="Times New Roman" w:eastAsia="Times New Roman" w:hAnsi="Times New Roman"/>
                <w:sz w:val="25"/>
                <w:szCs w:val="25"/>
                <w:color w:val="auto"/>
                <w:vertAlign w:val="superscript"/>
              </w:rPr>
              <w:t>(a)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Cable Networks</w:t>
            </w:r>
            <w:r>
              <w:rPr>
                <w:rFonts w:ascii="Times New Roman" w:cs="Times New Roman" w:eastAsia="Times New Roman" w:hAnsi="Times New Roman"/>
                <w:sz w:val="25"/>
                <w:szCs w:val="25"/>
                <w:color w:val="auto"/>
                <w:vertAlign w:val="superscript"/>
              </w:rPr>
              <w:t>(e)</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3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24"/>
                <w:szCs w:val="24"/>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Broadcast Television</w:t>
            </w:r>
            <w:r>
              <w:rPr>
                <w:rFonts w:ascii="Times New Roman" w:cs="Times New Roman" w:eastAsia="Times New Roman" w:hAnsi="Times New Roman"/>
                <w:sz w:val="25"/>
                <w:szCs w:val="25"/>
                <w:color w:val="auto"/>
                <w:vertAlign w:val="superscript"/>
              </w:rPr>
              <w:t>(e)</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3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Filmed Entertainment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3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6"/>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Headquarters and Other</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38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3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1,701</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0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4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21,319</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2,395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4,440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426</w:t>
            </w:r>
          </w:p>
        </w:tc>
        <w:tc>
          <w:tcPr>
            <w:tcW w:w="0" w:type="dxa"/>
            <w:vAlign w:val="bottom"/>
          </w:tcPr>
          <w:p>
            <w:pPr>
              <w:spacing w:after="0"/>
              <w:rPr>
                <w:sz w:val="1"/>
                <w:szCs w:val="1"/>
                <w:color w:val="auto"/>
              </w:rPr>
            </w:pP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1"/>
        </w:trPr>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Nine Months Ended September 30, 2017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4"/>
              <w:spacing w:after="0" w:line="151" w:lineRule="exact"/>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3"/>
                <w:szCs w:val="13"/>
                <w:color w:val="auto"/>
              </w:rPr>
            </w:pPr>
          </w:p>
        </w:tc>
        <w:tc>
          <w:tcPr>
            <w:tcW w:w="10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color w:val="auto"/>
                <w:w w:val="99"/>
              </w:rPr>
              <w:t>Operating</w:t>
            </w:r>
          </w:p>
        </w:tc>
        <w:tc>
          <w:tcPr>
            <w:tcW w:w="200" w:type="dxa"/>
            <w:vAlign w:val="bottom"/>
          </w:tcPr>
          <w:p>
            <w:pPr>
              <w:spacing w:after="0"/>
              <w:rPr>
                <w:sz w:val="13"/>
                <w:szCs w:val="13"/>
                <w:color w:val="auto"/>
              </w:rPr>
            </w:pPr>
          </w:p>
        </w:tc>
        <w:tc>
          <w:tcPr>
            <w:tcW w:w="10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3"/>
                <w:szCs w:val="13"/>
                <w:color w:val="auto"/>
              </w:rPr>
            </w:pPr>
          </w:p>
        </w:tc>
        <w:tc>
          <w:tcPr>
            <w:tcW w:w="114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8"/>
                <w:szCs w:val="8"/>
                <w:color w:val="auto"/>
              </w:rPr>
              <w:t>(f)</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8"/>
                <w:szCs w:val="8"/>
                <w:color w:val="auto"/>
              </w:rPr>
              <w:t>(g)</w:t>
            </w:r>
          </w:p>
        </w:tc>
        <w:tc>
          <w:tcPr>
            <w:tcW w:w="120" w:type="dxa"/>
            <w:vAlign w:val="bottom"/>
          </w:tcPr>
          <w:p>
            <w:pPr>
              <w:spacing w:after="0"/>
              <w:rPr>
                <w:sz w:val="12"/>
                <w:szCs w:val="12"/>
                <w:color w:val="auto"/>
              </w:rPr>
            </w:pPr>
          </w:p>
        </w:tc>
        <w:tc>
          <w:tcPr>
            <w:tcW w:w="112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color w:val="auto"/>
              </w:rPr>
              <w:t>Amortization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8"/>
                <w:szCs w:val="8"/>
                <w:color w:val="auto"/>
              </w:rPr>
              <w:t>(h)</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77"/>
        </w:trPr>
        <w:tc>
          <w:tcPr>
            <w:tcW w:w="3880" w:type="dxa"/>
            <w:vAlign w:val="bottom"/>
          </w:tcPr>
          <w:p>
            <w:pPr>
              <w:ind w:left="40"/>
              <w:spacing w:after="0" w:line="277" w:lineRule="exact"/>
              <w:rPr>
                <w:sz w:val="20"/>
                <w:szCs w:val="20"/>
                <w:color w:val="auto"/>
              </w:rPr>
            </w:pPr>
            <w:r>
              <w:rPr>
                <w:rFonts w:ascii="Times New Roman" w:cs="Times New Roman" w:eastAsia="Times New Roman" w:hAnsi="Times New Roman"/>
                <w:sz w:val="18"/>
                <w:szCs w:val="18"/>
                <w:color w:val="auto"/>
              </w:rPr>
              <w:t>Cable Communications</w:t>
            </w:r>
            <w:r>
              <w:rPr>
                <w:rFonts w:ascii="Times New Roman" w:cs="Times New Roman" w:eastAsia="Times New Roman" w:hAnsi="Times New Roman"/>
                <w:sz w:val="25"/>
                <w:szCs w:val="25"/>
                <w:color w:val="auto"/>
                <w:vertAlign w:val="superscript"/>
              </w:rPr>
              <w:t>(a)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39,237</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40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40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1,301</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40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40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06"/>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Headquarters and Other</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38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24,213</w:t>
            </w:r>
          </w:p>
        </w:tc>
        <w:tc>
          <w:tcPr>
            <w:tcW w:w="4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5,165</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30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4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62,611</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21,311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7,431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13,880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1,240</w:t>
            </w:r>
          </w:p>
        </w:tc>
        <w:tc>
          <w:tcPr>
            <w:tcW w:w="0" w:type="dxa"/>
            <w:vAlign w:val="bottom"/>
          </w:tcPr>
          <w:p>
            <w:pPr>
              <w:spacing w:after="0"/>
              <w:rPr>
                <w:sz w:val="1"/>
                <w:szCs w:val="1"/>
                <w:color w:val="auto"/>
              </w:rPr>
            </w:pP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5"/>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Nine Months Ended September 30,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4"/>
              <w:spacing w:after="0" w:line="151" w:lineRule="exact"/>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3"/>
                <w:szCs w:val="13"/>
                <w:color w:val="auto"/>
              </w:rPr>
            </w:pPr>
          </w:p>
        </w:tc>
        <w:tc>
          <w:tcPr>
            <w:tcW w:w="10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color w:val="auto"/>
                <w:w w:val="99"/>
              </w:rPr>
              <w:t>Operating</w:t>
            </w:r>
          </w:p>
        </w:tc>
        <w:tc>
          <w:tcPr>
            <w:tcW w:w="200" w:type="dxa"/>
            <w:vAlign w:val="bottom"/>
          </w:tcPr>
          <w:p>
            <w:pPr>
              <w:spacing w:after="0"/>
              <w:rPr>
                <w:sz w:val="13"/>
                <w:szCs w:val="13"/>
                <w:color w:val="auto"/>
              </w:rPr>
            </w:pPr>
          </w:p>
        </w:tc>
        <w:tc>
          <w:tcPr>
            <w:tcW w:w="10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3"/>
                <w:szCs w:val="13"/>
                <w:color w:val="auto"/>
              </w:rPr>
            </w:pPr>
          </w:p>
        </w:tc>
        <w:tc>
          <w:tcPr>
            <w:tcW w:w="114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8"/>
                <w:szCs w:val="8"/>
                <w:color w:val="auto"/>
              </w:rPr>
              <w:t>(f)</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8"/>
                <w:szCs w:val="8"/>
                <w:color w:val="auto"/>
              </w:rPr>
              <w:t>(g)</w:t>
            </w:r>
          </w:p>
        </w:tc>
        <w:tc>
          <w:tcPr>
            <w:tcW w:w="120" w:type="dxa"/>
            <w:vAlign w:val="bottom"/>
          </w:tcPr>
          <w:p>
            <w:pPr>
              <w:spacing w:after="0"/>
              <w:rPr>
                <w:sz w:val="12"/>
                <w:szCs w:val="12"/>
                <w:color w:val="auto"/>
              </w:rPr>
            </w:pPr>
          </w:p>
        </w:tc>
        <w:tc>
          <w:tcPr>
            <w:tcW w:w="112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color w:val="auto"/>
              </w:rPr>
              <w:t>Amortization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77"/>
        </w:trPr>
        <w:tc>
          <w:tcPr>
            <w:tcW w:w="3880" w:type="dxa"/>
            <w:vAlign w:val="bottom"/>
          </w:tcPr>
          <w:p>
            <w:pPr>
              <w:ind w:left="40"/>
              <w:spacing w:after="0" w:line="277" w:lineRule="exact"/>
              <w:rPr>
                <w:sz w:val="20"/>
                <w:szCs w:val="20"/>
                <w:color w:val="auto"/>
              </w:rPr>
            </w:pPr>
            <w:r>
              <w:rPr>
                <w:rFonts w:ascii="Times New Roman" w:cs="Times New Roman" w:eastAsia="Times New Roman" w:hAnsi="Times New Roman"/>
                <w:sz w:val="18"/>
                <w:szCs w:val="18"/>
                <w:color w:val="auto"/>
              </w:rPr>
              <w:t>Cable Communications</w:t>
            </w:r>
            <w:r>
              <w:rPr>
                <w:rFonts w:ascii="Times New Roman" w:cs="Times New Roman" w:eastAsia="Times New Roman" w:hAnsi="Times New Roman"/>
                <w:sz w:val="25"/>
                <w:szCs w:val="25"/>
                <w:color w:val="auto"/>
                <w:vertAlign w:val="superscript"/>
              </w:rPr>
              <w:t>(a)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37,205</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Cable Networks</w:t>
            </w:r>
            <w:r>
              <w:rPr>
                <w:rFonts w:ascii="Times New Roman" w:cs="Times New Roman" w:eastAsia="Times New Roman" w:hAnsi="Times New Roman"/>
                <w:sz w:val="25"/>
                <w:szCs w:val="25"/>
                <w:color w:val="auto"/>
                <w:vertAlign w:val="superscript"/>
              </w:rPr>
              <w:t>(e)</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40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Pr>
          <w:p>
            <w:pPr>
              <w:spacing w:after="0"/>
              <w:rPr>
                <w:sz w:val="24"/>
                <w:szCs w:val="24"/>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2,232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Broadcast Television</w:t>
            </w:r>
            <w:r>
              <w:rPr>
                <w:rFonts w:ascii="Times New Roman" w:cs="Times New Roman" w:eastAsia="Times New Roman" w:hAnsi="Times New Roman"/>
                <w:sz w:val="25"/>
                <w:szCs w:val="25"/>
                <w:color w:val="auto"/>
                <w:vertAlign w:val="superscript"/>
              </w:rPr>
              <w:t>(e)</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40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Filmed Entertainment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4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40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06"/>
        </w:trPr>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Headquarters and Other</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38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w:t>
            </w:r>
          </w:p>
        </w:tc>
        <w:tc>
          <w:tcPr>
            <w:tcW w:w="4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5,457</w:t>
            </w:r>
          </w:p>
        </w:tc>
        <w:tc>
          <w:tcPr>
            <w:tcW w:w="1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4,133</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30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4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59,378</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19,657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7,062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12,595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1,163</w:t>
            </w:r>
          </w:p>
        </w:tc>
        <w:tc>
          <w:tcPr>
            <w:tcW w:w="0" w:type="dxa"/>
            <w:vAlign w:val="bottom"/>
          </w:tcPr>
          <w:p>
            <w:pPr>
              <w:spacing w:after="0"/>
              <w:rPr>
                <w:sz w:val="1"/>
                <w:szCs w:val="1"/>
                <w:color w:val="auto"/>
              </w:rPr>
            </w:pP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2017 and 2016, Cable Communications segment revenue was derived from the following sources: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26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3"/>
        </w:trPr>
        <w:tc>
          <w:tcPr>
            <w:tcW w:w="3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September 30</w:t>
            </w:r>
          </w:p>
        </w:tc>
        <w:tc>
          <w:tcPr>
            <w:tcW w:w="1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4640" w:type="dxa"/>
            <w:vAlign w:val="bottom"/>
            <w:tcBorders>
              <w:bottom w:val="single" w:sz="8" w:color="auto"/>
            </w:tcBorders>
            <w:gridSpan w:val="2"/>
          </w:tcPr>
          <w:p>
            <w:pPr>
              <w:ind w:left="4320"/>
              <w:spacing w:after="0"/>
              <w:rPr>
                <w:sz w:val="20"/>
                <w:szCs w:val="20"/>
                <w:color w:val="auto"/>
              </w:rPr>
            </w:pPr>
            <w:r>
              <w:rPr>
                <w:rFonts w:ascii="Times New Roman" w:cs="Times New Roman" w:eastAsia="Times New Roman" w:hAnsi="Times New Roman"/>
                <w:sz w:val="14"/>
                <w:szCs w:val="14"/>
                <w:color w:val="auto"/>
              </w:rPr>
              <w:t>2017</w:t>
            </w:r>
          </w:p>
        </w:tc>
        <w:tc>
          <w:tcPr>
            <w:tcW w:w="1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2016</w:t>
            </w:r>
          </w:p>
        </w:tc>
        <w:tc>
          <w:tcPr>
            <w:tcW w:w="2000" w:type="dxa"/>
            <w:vAlign w:val="bottom"/>
            <w:tcBorders>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color w:val="auto"/>
              </w:rPr>
              <w:t>2017</w:t>
            </w:r>
          </w:p>
        </w:tc>
        <w:tc>
          <w:tcPr>
            <w:tcW w:w="9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rPr>
              <w:t>2016</w:t>
            </w:r>
          </w:p>
        </w:tc>
      </w:tr>
      <w:tr>
        <w:trPr>
          <w:trHeight w:val="25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Video</w:t>
            </w:r>
          </w:p>
        </w:tc>
        <w:tc>
          <w:tcPr>
            <w:tcW w:w="12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44.1%</w:t>
            </w: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44.5%</w:t>
            </w:r>
          </w:p>
        </w:tc>
        <w:tc>
          <w:tcPr>
            <w:tcW w:w="20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44.3%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270"/>
        </w:trPr>
        <w:tc>
          <w:tcPr>
            <w:tcW w:w="4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High-speed Internet</w:t>
            </w:r>
          </w:p>
        </w:tc>
        <w:tc>
          <w:tcPr>
            <w:tcW w:w="12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28.1%</w:t>
            </w: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27.1%</w:t>
            </w:r>
          </w:p>
        </w:tc>
        <w:tc>
          <w:tcPr>
            <w:tcW w:w="20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28.0%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270"/>
        </w:trPr>
        <w:tc>
          <w:tcPr>
            <w:tcW w:w="4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Voice</w:t>
            </w:r>
          </w:p>
        </w:tc>
        <w:tc>
          <w:tcPr>
            <w:tcW w:w="12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6.4%</w:t>
            </w: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7.0%</w:t>
            </w:r>
          </w:p>
        </w:tc>
        <w:tc>
          <w:tcPr>
            <w:tcW w:w="20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6.5%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7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12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11.9%</w:t>
            </w: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11.1%</w:t>
            </w:r>
          </w:p>
        </w:tc>
        <w:tc>
          <w:tcPr>
            <w:tcW w:w="20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11.7%</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27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Advertising</w:t>
            </w:r>
          </w:p>
        </w:tc>
        <w:tc>
          <w:tcPr>
            <w:tcW w:w="12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4.1%</w:t>
            </w: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5.0%</w:t>
            </w:r>
          </w:p>
        </w:tc>
        <w:tc>
          <w:tcPr>
            <w:tcW w:w="200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75"/>
        </w:trPr>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5.4%</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5.3%</w:t>
            </w:r>
          </w:p>
        </w:tc>
        <w:tc>
          <w:tcPr>
            <w:tcW w:w="20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5.4%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76"/>
        </w:trPr>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rPr>
              <w:t>100.0%</w:t>
            </w: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100.0%</w:t>
            </w:r>
          </w:p>
        </w:tc>
        <w:tc>
          <w:tcPr>
            <w:tcW w:w="20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r>
    </w:tbl>
    <w:p>
      <w:pPr>
        <w:spacing w:after="0" w:line="4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4"/>
          <w:szCs w:val="14"/>
          <w:color w:val="auto"/>
        </w:rPr>
        <w:t>Subscription revenue received from residential customers who purchase bundled services at a discounted rate is allocated proportionally to each cable service based on the individual service’s price on a stand-alone basis.</w:t>
      </w:r>
    </w:p>
    <w:p>
      <w:pPr>
        <w:spacing w:after="0" w:line="13"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4"/>
          <w:szCs w:val="14"/>
          <w:color w:val="auto"/>
        </w:rPr>
        <w:t>For the three and nine months ended September 30, 2017, 2.7% and 2.8%, respectively, of Cable Communications segment revenue was derived from franchise and other regulatory fees. For both the three and nine months ended September 30, 2016, 2.8% of Cable Communications segment revenue was derived from franchise and other regulatory fees.</w:t>
      </w:r>
    </w:p>
    <w:p>
      <w:pPr>
        <w:spacing w:after="0" w:line="13"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Headquarters and Other activities include costs associated with overhead, allocations, personnel costs and headquarter initiatives.</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Eliminations are transactions that our segments enter into with one another. The most common types of transactions are the following:</w:t>
      </w:r>
    </w:p>
    <w:p>
      <w:pPr>
        <w:spacing w:after="0" w:line="68" w:lineRule="exact"/>
        <w:rPr>
          <w:rFonts w:ascii="Times New Roman" w:cs="Times New Roman" w:eastAsia="Times New Roman" w:hAnsi="Times New Roman"/>
          <w:sz w:val="14"/>
          <w:szCs w:val="14"/>
          <w:color w:val="auto"/>
        </w:rPr>
      </w:pPr>
    </w:p>
    <w:p>
      <w:pPr>
        <w:ind w:left="980" w:hanging="81"/>
        <w:spacing w:after="0" w:line="282" w:lineRule="auto"/>
        <w:tabs>
          <w:tab w:leader="none" w:pos="9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Cable Networks segment generates revenue by selling programming to our Cable Communications segment, which represents a substantial majority of the revenue elimination amount</w:t>
      </w:r>
    </w:p>
    <w:p>
      <w:pPr>
        <w:spacing w:after="0" w:line="13" w:lineRule="exact"/>
        <w:rPr>
          <w:rFonts w:ascii="Times New Roman" w:cs="Times New Roman" w:eastAsia="Times New Roman" w:hAnsi="Times New Roman"/>
          <w:sz w:val="14"/>
          <w:szCs w:val="14"/>
          <w:color w:val="auto"/>
        </w:rPr>
      </w:pPr>
    </w:p>
    <w:p>
      <w:pPr>
        <w:ind w:left="980" w:hanging="81"/>
        <w:spacing w:after="0"/>
        <w:tabs>
          <w:tab w:leader="none" w:pos="9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Broadcast Television segment generates revenue from the fees received under retransmission consent agreements with our Cable Communications segment</w:t>
      </w:r>
    </w:p>
    <w:p>
      <w:pPr>
        <w:spacing w:after="0" w:line="68" w:lineRule="exact"/>
        <w:rPr>
          <w:rFonts w:ascii="Times New Roman" w:cs="Times New Roman" w:eastAsia="Times New Roman" w:hAnsi="Times New Roman"/>
          <w:sz w:val="14"/>
          <w:szCs w:val="14"/>
          <w:color w:val="auto"/>
        </w:rPr>
      </w:pPr>
    </w:p>
    <w:p>
      <w:pPr>
        <w:ind w:left="980" w:hanging="81"/>
        <w:spacing w:after="0"/>
        <w:tabs>
          <w:tab w:leader="none" w:pos="9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Cable Communications segment generates revenue by selling advertising and by selling the use of satellite feeds to our Cable Networks segment</w:t>
      </w:r>
    </w:p>
    <w:p>
      <w:pPr>
        <w:sectPr>
          <w:pgSz w:w="11900" w:h="16838" w:orient="portrait"/>
          <w:cols w:equalWidth="0" w:num="1">
            <w:col w:w="11420"/>
          </w:cols>
          <w:pgMar w:left="240" w:top="117" w:right="239" w:bottom="725"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725"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13" w:lineRule="exact"/>
        <w:rPr>
          <w:sz w:val="20"/>
          <w:szCs w:val="20"/>
          <w:color w:val="auto"/>
        </w:rPr>
      </w:pPr>
    </w:p>
    <w:p>
      <w:pPr>
        <w:ind w:left="980" w:hanging="81"/>
        <w:spacing w:after="0"/>
        <w:tabs>
          <w:tab w:leader="none" w:pos="98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Filmed Entertainment and Broadcast Television segments generate revenue from the licensing of film and television content to our Cable Networks segment</w:t>
      </w:r>
    </w:p>
    <w:p>
      <w:pPr>
        <w:spacing w:after="0" w:line="68" w:lineRule="exact"/>
        <w:rPr>
          <w:rFonts w:ascii="Times New Roman" w:cs="Times New Roman" w:eastAsia="Times New Roman" w:hAnsi="Times New Roman"/>
          <w:sz w:val="14"/>
          <w:szCs w:val="14"/>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and Other activities include costs associated with overhead and personnel, the costs of other business development initiatives, including our new wireless phone service, and the operations of Comcast Spectacor, which owns the Philadelphia Flyers and the Wells Fargo Center arena in Philadelphia, Pennsylvania and operates arena management-related businesses.</w:t>
      </w:r>
    </w:p>
    <w:p>
      <w:pPr>
        <w:spacing w:after="0" w:line="1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and operating costs and expenses associated with our broadcast of the 2016 Rio Olympics were reported in our Cable Networks and Broadcast Television segments.</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single customer accounted for a significant amount of revenue in any period.</w:t>
      </w:r>
    </w:p>
    <w:p>
      <w:pPr>
        <w:spacing w:after="0" w:line="68" w:lineRule="exact"/>
        <w:rPr>
          <w:rFonts w:ascii="Times New Roman" w:cs="Times New Roman" w:eastAsia="Times New Roman" w:hAnsi="Times New Roman"/>
          <w:sz w:val="14"/>
          <w:szCs w:val="14"/>
          <w:color w:val="auto"/>
        </w:rPr>
      </w:pPr>
    </w:p>
    <w:p>
      <w:pPr>
        <w:jc w:val="both"/>
        <w:ind w:left="340" w:hanging="332"/>
        <w:spacing w:after="0" w:line="245"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other income (expense) items, net,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Other income (expense) items, net include interest expense, investment income (loss), equity in net income (losses) of investees, and other income (expense), net (as stated in our condensed consolidated statement of income). This measure eliminates the significant level of noncash depreciation and amortization expense that results from the capital-intensive nature of certain of our businesses and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income (loss) attributable to Comcast Corporation, net cash provided by operating activities, or other measures of performance or liquidity we have reported in accordance with GAAP. Our reconciliation of the aggregate amount of Adjusted EBITDA for our reportable segments to consolidated income before income taxes is presented in the table below.</w:t>
      </w:r>
    </w:p>
    <w:p>
      <w:pPr>
        <w:spacing w:after="0" w:line="35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60" w:type="dxa"/>
            <w:vAlign w:val="bottom"/>
          </w:tcPr>
          <w:p>
            <w:pPr>
              <w:spacing w:after="0"/>
              <w:rPr>
                <w:sz w:val="13"/>
                <w:szCs w:val="13"/>
                <w:color w:val="auto"/>
              </w:rPr>
            </w:pPr>
          </w:p>
        </w:tc>
      </w:tr>
      <w:tr>
        <w:trPr>
          <w:trHeight w:val="193"/>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w w:val="99"/>
              </w:rPr>
              <w:t>2016</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2016</w:t>
            </w:r>
          </w:p>
        </w:tc>
      </w:tr>
      <w:tr>
        <w:trPr>
          <w:trHeight w:val="25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7,180</w:t>
            </w:r>
          </w:p>
        </w:tc>
        <w:tc>
          <w:tcPr>
            <w:tcW w:w="6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6,835</w:t>
            </w:r>
          </w:p>
        </w:tc>
        <w:tc>
          <w:tcPr>
            <w:tcW w:w="4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21,311</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19,657</w:t>
            </w: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for legal settlement</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(250)</w:t>
            </w:r>
          </w:p>
        </w:tc>
        <w:tc>
          <w:tcPr>
            <w:tcW w:w="66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(250)</w:t>
            </w:r>
          </w:p>
        </w:tc>
        <w:tc>
          <w:tcPr>
            <w:tcW w:w="6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(1,991)</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(1,865)</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(5,876)</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(5,518)</w:t>
            </w: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(589)</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(530)</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(1,747)</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gains</w:t>
            </w:r>
          </w:p>
        </w:tc>
        <w:tc>
          <w:tcPr>
            <w:tcW w:w="34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442</w:t>
            </w:r>
          </w:p>
        </w:tc>
        <w:tc>
          <w:tcPr>
            <w:tcW w:w="66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442</w:t>
            </w:r>
          </w:p>
        </w:tc>
        <w:tc>
          <w:tcPr>
            <w:tcW w:w="6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 items, net</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(696)</w:t>
            </w:r>
          </w:p>
        </w:tc>
        <w:tc>
          <w:tcPr>
            <w:tcW w:w="6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(716)</w:t>
            </w: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(1,980)</w:t>
            </w:r>
          </w:p>
        </w:tc>
        <w:tc>
          <w:tcPr>
            <w:tcW w:w="6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w:t>
            </w:r>
          </w:p>
        </w:tc>
      </w:tr>
      <w:tr>
        <w:trPr>
          <w:trHeight w:val="276"/>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4,096</w:t>
            </w:r>
          </w:p>
        </w:tc>
        <w:tc>
          <w:tcPr>
            <w:tcW w:w="6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3,724</w:t>
            </w:r>
          </w:p>
        </w:tc>
        <w:tc>
          <w:tcPr>
            <w:tcW w:w="4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11,900</w:t>
            </w:r>
          </w:p>
        </w:tc>
        <w:tc>
          <w:tcPr>
            <w:tcW w:w="6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10,617</w:t>
            </w:r>
          </w:p>
        </w:tc>
      </w:tr>
    </w:tbl>
    <w:p>
      <w:pPr>
        <w:spacing w:after="0" w:line="45" w:lineRule="exact"/>
        <w:rPr>
          <w:sz w:val="20"/>
          <w:szCs w:val="20"/>
          <w:color w:val="auto"/>
        </w:rPr>
      </w:pPr>
    </w:p>
    <w:p>
      <w:pPr>
        <w:jc w:val="both"/>
        <w:ind w:left="340" w:hanging="332"/>
        <w:spacing w:after="0" w:line="255"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other operating gains in our condensed consolidated statement of income and a charge related to a legal settlement. For both the three and nine months ended September 30, 2017, other operating gains included a pretax gain of $337 million related to NBCUniversal’s relinquishment of spectrum rights in our Broadcast Television segment and a pretax gain of $105 million related to the sale of a business in Corporate and Other. A charge related to a legal settlement of $250 million was recorded in other operating and administrative expenses in Corporate and Other and was excluded from Adjusted EBITDA for both the three and nine months ended September 30, 2017.</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Comcast (“Comcast Parent”), Comcast Cable Communications, LLC (“CCCL Parent”), and NBCUniversal (“NBCUniversal Media Parent”) have fully and unconditionally guaranteed each other’s debt securities, including the Comcast revolving credit facility.</w:t>
      </w:r>
    </w:p>
    <w:p>
      <w:pPr>
        <w:spacing w:after="0" w:line="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Comcast Parent and CCCL Parent also fully and unconditionally guarantee NBCUniversal Enterprise’s $4.8 billion aggregate principal amount of senior notes, $1.5 billion revolving credit facility and commercial paper program. NBCUniversal Media Parent does not guarantee the NBCUniversal Enterprise senior notes, revolving credit facility or commercial paper program.</w:t>
      </w:r>
    </w:p>
    <w:p>
      <w:pPr>
        <w:spacing w:after="0" w:line="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Comcast Parent provides an unconditional guarantee of the Universal Studios Japan ¥450 billion term loans with a final maturity of March 2022. Comcast Parent also provides an unconditional subordinated guarantee of the $185 million principal amount currently outstanding of Comcast Holdings’ ZONES due October 2029. Neither CCCL Parent nor NBCUniversal Media Parent guarantee the Comcast Holdings’ ZONES due October 2029. None of Comcast Parent, CCCL Parent nor NBCUniversal Media Parent guarantee the $62 million principal amount currently outstanding of Comcast Holdings’ ZONES due November 2029.</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color w:val="auto"/>
                <w:w w:val="97"/>
              </w:rPr>
              <w:t>Non-</w:t>
            </w:r>
          </w:p>
        </w:tc>
        <w:tc>
          <w:tcPr>
            <w:tcW w:w="220" w:type="dxa"/>
            <w:vAlign w:val="bottom"/>
          </w:tcPr>
          <w:p>
            <w:pPr>
              <w:spacing w:after="0"/>
              <w:rPr>
                <w:sz w:val="13"/>
                <w:szCs w:val="13"/>
                <w:color w:val="auto"/>
              </w:rPr>
            </w:pP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Elimination</w:t>
            </w:r>
          </w:p>
        </w:tc>
        <w:tc>
          <w:tcPr>
            <w:tcW w:w="180" w:type="dxa"/>
            <w:vAlign w:val="bottom"/>
          </w:tcPr>
          <w:p>
            <w:pPr>
              <w:spacing w:after="0"/>
              <w:rPr>
                <w:sz w:val="13"/>
                <w:szCs w:val="13"/>
                <w:color w:val="auto"/>
              </w:rPr>
            </w:pPr>
          </w:p>
        </w:tc>
        <w:tc>
          <w:tcPr>
            <w:tcW w:w="108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Comcast</w:t>
            </w:r>
          </w:p>
        </w:tc>
        <w:tc>
          <w:tcPr>
            <w:tcW w:w="280" w:type="dxa"/>
            <w:vAlign w:val="bottom"/>
          </w:tcPr>
          <w:p>
            <w:pPr>
              <w:spacing w:after="0"/>
              <w:rPr>
                <w:sz w:val="12"/>
                <w:szCs w:val="12"/>
                <w:color w:val="auto"/>
              </w:rPr>
            </w:pPr>
          </w:p>
        </w:tc>
        <w:tc>
          <w:tcPr>
            <w:tcW w:w="98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Comcast</w:t>
            </w:r>
          </w:p>
        </w:tc>
        <w:tc>
          <w:tcPr>
            <w:tcW w:w="280" w:type="dxa"/>
            <w:vAlign w:val="bottom"/>
          </w:tcPr>
          <w:p>
            <w:pPr>
              <w:spacing w:after="0"/>
              <w:rPr>
                <w:sz w:val="12"/>
                <w:szCs w:val="12"/>
                <w:color w:val="auto"/>
              </w:rPr>
            </w:pPr>
          </w:p>
        </w:tc>
        <w:tc>
          <w:tcPr>
            <w:tcW w:w="8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CCCL</w:t>
            </w:r>
          </w:p>
        </w:tc>
        <w:tc>
          <w:tcPr>
            <w:tcW w:w="200" w:type="dxa"/>
            <w:vAlign w:val="bottom"/>
          </w:tcPr>
          <w:p>
            <w:pPr>
              <w:spacing w:after="0"/>
              <w:rPr>
                <w:sz w:val="12"/>
                <w:szCs w:val="12"/>
                <w:color w:val="auto"/>
              </w:rPr>
            </w:pPr>
          </w:p>
        </w:tc>
        <w:tc>
          <w:tcPr>
            <w:tcW w:w="10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NBCUniversal</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0" w:type="dxa"/>
            <w:vAlign w:val="bottom"/>
          </w:tcPr>
          <w:p>
            <w:pPr>
              <w:spacing w:after="0"/>
              <w:rPr>
                <w:sz w:val="1"/>
                <w:szCs w:val="1"/>
                <w:color w:val="auto"/>
              </w:rPr>
            </w:pPr>
          </w:p>
        </w:tc>
      </w:tr>
      <w:tr>
        <w:trPr>
          <w:trHeight w:val="193"/>
        </w:trPr>
        <w:tc>
          <w:tcPr>
            <w:tcW w:w="2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Holdings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color w:val="auto"/>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color w:val="auto"/>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color w:val="auto"/>
              </w:rPr>
              <w:t>Corporation</w:t>
            </w:r>
          </w:p>
        </w:tc>
        <w:tc>
          <w:tcPr>
            <w:tcW w:w="0" w:type="dxa"/>
            <w:vAlign w:val="bottom"/>
          </w:tcPr>
          <w:p>
            <w:pPr>
              <w:spacing w:after="0"/>
              <w:rPr>
                <w:sz w:val="1"/>
                <w:szCs w:val="1"/>
                <w:color w:val="auto"/>
              </w:rPr>
            </w:pPr>
          </w:p>
        </w:tc>
      </w:tr>
      <w:tr>
        <w:trPr>
          <w:trHeight w:val="242"/>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70"/>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7,915</w:t>
            </w:r>
          </w:p>
        </w:tc>
        <w:tc>
          <w:tcPr>
            <w:tcW w:w="0" w:type="dxa"/>
            <w:vAlign w:val="bottom"/>
          </w:tcPr>
          <w:p>
            <w:pPr>
              <w:spacing w:after="0"/>
              <w:rPr>
                <w:sz w:val="1"/>
                <w:szCs w:val="1"/>
                <w:color w:val="auto"/>
              </w:rPr>
            </w:pPr>
          </w:p>
        </w:tc>
      </w:tr>
      <w:tr>
        <w:trPr>
          <w:trHeight w:val="270"/>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 rights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70"/>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15,960</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6,796</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6,695</w:t>
            </w:r>
          </w:p>
        </w:tc>
        <w:tc>
          <w:tcPr>
            <w:tcW w:w="0" w:type="dxa"/>
            <w:vAlign w:val="bottom"/>
          </w:tcPr>
          <w:p>
            <w:pPr>
              <w:spacing w:after="0"/>
              <w:rPr>
                <w:sz w:val="1"/>
                <w:szCs w:val="1"/>
                <w:color w:val="auto"/>
              </w:rPr>
            </w:pPr>
          </w:p>
        </w:tc>
      </w:tr>
      <w:tr>
        <w:trPr>
          <w:trHeight w:val="252"/>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in and amounts due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from subsidiaries eliminated upon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126,361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(519,515)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37,856</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Franchise rights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59,364</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36,752</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18,733</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104,798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129,361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126,440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293,731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(520,570)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185,301</w:t>
            </w:r>
          </w:p>
        </w:tc>
        <w:tc>
          <w:tcPr>
            <w:tcW w:w="0" w:type="dxa"/>
            <w:vAlign w:val="bottom"/>
          </w:tcPr>
          <w:p>
            <w:pPr>
              <w:spacing w:after="0"/>
              <w:rPr>
                <w:sz w:val="1"/>
                <w:szCs w:val="1"/>
                <w:color w:val="auto"/>
              </w:rPr>
            </w:pPr>
          </w:p>
        </w:tc>
      </w:tr>
      <w:tr>
        <w:trPr>
          <w:trHeight w:val="34"/>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 related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trade creditors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52"/>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participations and</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residuals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52"/>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7,421</w:t>
            </w:r>
          </w:p>
        </w:tc>
        <w:tc>
          <w:tcPr>
            <w:tcW w:w="0" w:type="dxa"/>
            <w:vAlign w:val="bottom"/>
          </w:tcPr>
          <w:p>
            <w:pPr>
              <w:spacing w:after="0"/>
              <w:rPr>
                <w:sz w:val="1"/>
                <w:szCs w:val="1"/>
                <w:color w:val="auto"/>
              </w:rPr>
            </w:pPr>
          </w:p>
        </w:tc>
      </w:tr>
      <w:tr>
        <w:trPr>
          <w:trHeight w:val="270"/>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21,449</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59,720</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35,602</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10,914</w:t>
            </w:r>
          </w:p>
        </w:tc>
        <w:tc>
          <w:tcPr>
            <w:tcW w:w="0" w:type="dxa"/>
            <w:vAlign w:val="bottom"/>
          </w:tcPr>
          <w:p>
            <w:pPr>
              <w:spacing w:after="0"/>
              <w:rPr>
                <w:sz w:val="1"/>
                <w:szCs w:val="1"/>
                <w:color w:val="auto"/>
              </w:rPr>
            </w:pPr>
          </w:p>
        </w:tc>
      </w:tr>
      <w:tr>
        <w:trPr>
          <w:trHeight w:val="252"/>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redeemable subsidiary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0"/>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shareholders’ equity</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128,638</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(519,515)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55,372</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Comcast Corporation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128,638</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(519,515)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55,427</w:t>
            </w:r>
          </w:p>
        </w:tc>
        <w:tc>
          <w:tcPr>
            <w:tcW w:w="0" w:type="dxa"/>
            <w:vAlign w:val="bottom"/>
          </w:tcPr>
          <w:p>
            <w:pPr>
              <w:spacing w:after="0"/>
              <w:rPr>
                <w:sz w:val="1"/>
                <w:szCs w:val="1"/>
                <w:color w:val="auto"/>
              </w:rPr>
            </w:pPr>
          </w:p>
        </w:tc>
      </w:tr>
      <w:tr>
        <w:trPr>
          <w:trHeight w:val="270"/>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128,638</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225,850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(519,515)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56,263</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104,798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129,361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126,440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51,541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293,731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(520,570)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185,301</w:t>
            </w:r>
          </w:p>
        </w:tc>
        <w:tc>
          <w:tcPr>
            <w:tcW w:w="0" w:type="dxa"/>
            <w:vAlign w:val="bottom"/>
          </w:tcPr>
          <w:p>
            <w:pPr>
              <w:spacing w:after="0"/>
              <w:rPr>
                <w:sz w:val="1"/>
                <w:szCs w:val="1"/>
                <w:color w:val="auto"/>
              </w:rPr>
            </w:pPr>
          </w:p>
        </w:tc>
      </w:tr>
      <w:tr>
        <w:trPr>
          <w:trHeight w:val="34"/>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color w:val="auto"/>
                <w:w w:val="97"/>
              </w:rPr>
              <w:t>Non-</w:t>
            </w:r>
          </w:p>
        </w:tc>
        <w:tc>
          <w:tcPr>
            <w:tcW w:w="220" w:type="dxa"/>
            <w:vAlign w:val="bottom"/>
          </w:tcPr>
          <w:p>
            <w:pPr>
              <w:spacing w:after="0"/>
              <w:rPr>
                <w:sz w:val="13"/>
                <w:szCs w:val="13"/>
                <w:color w:val="auto"/>
              </w:rPr>
            </w:pP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Elimination</w:t>
            </w:r>
          </w:p>
        </w:tc>
        <w:tc>
          <w:tcPr>
            <w:tcW w:w="180" w:type="dxa"/>
            <w:vAlign w:val="bottom"/>
          </w:tcPr>
          <w:p>
            <w:pPr>
              <w:spacing w:after="0"/>
              <w:rPr>
                <w:sz w:val="13"/>
                <w:szCs w:val="13"/>
                <w:color w:val="auto"/>
              </w:rPr>
            </w:pPr>
          </w:p>
        </w:tc>
        <w:tc>
          <w:tcPr>
            <w:tcW w:w="108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Comcast</w:t>
            </w:r>
          </w:p>
        </w:tc>
        <w:tc>
          <w:tcPr>
            <w:tcW w:w="280" w:type="dxa"/>
            <w:vAlign w:val="bottom"/>
          </w:tcPr>
          <w:p>
            <w:pPr>
              <w:spacing w:after="0"/>
              <w:rPr>
                <w:sz w:val="12"/>
                <w:szCs w:val="12"/>
                <w:color w:val="auto"/>
              </w:rPr>
            </w:pPr>
          </w:p>
        </w:tc>
        <w:tc>
          <w:tcPr>
            <w:tcW w:w="98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Comcast</w:t>
            </w:r>
          </w:p>
        </w:tc>
        <w:tc>
          <w:tcPr>
            <w:tcW w:w="320" w:type="dxa"/>
            <w:vAlign w:val="bottom"/>
          </w:tcPr>
          <w:p>
            <w:pPr>
              <w:spacing w:after="0"/>
              <w:rPr>
                <w:sz w:val="12"/>
                <w:szCs w:val="12"/>
                <w:color w:val="auto"/>
              </w:rPr>
            </w:pPr>
          </w:p>
        </w:tc>
        <w:tc>
          <w:tcPr>
            <w:tcW w:w="9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color w:val="auto"/>
              </w:rPr>
              <w:t>CCCL</w:t>
            </w:r>
          </w:p>
        </w:tc>
        <w:tc>
          <w:tcPr>
            <w:tcW w:w="200" w:type="dxa"/>
            <w:vAlign w:val="bottom"/>
          </w:tcPr>
          <w:p>
            <w:pPr>
              <w:spacing w:after="0"/>
              <w:rPr>
                <w:sz w:val="12"/>
                <w:szCs w:val="12"/>
                <w:color w:val="auto"/>
              </w:rPr>
            </w:pPr>
          </w:p>
        </w:tc>
        <w:tc>
          <w:tcPr>
            <w:tcW w:w="10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NBCUniversal</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0" w:type="dxa"/>
            <w:vAlign w:val="bottom"/>
          </w:tcPr>
          <w:p>
            <w:pPr>
              <w:spacing w:after="0"/>
              <w:rPr>
                <w:sz w:val="1"/>
                <w:szCs w:val="1"/>
                <w:color w:val="auto"/>
              </w:rPr>
            </w:pPr>
          </w:p>
        </w:tc>
      </w:tr>
      <w:tr>
        <w:trPr>
          <w:trHeight w:val="193"/>
        </w:trPr>
        <w:tc>
          <w:tcPr>
            <w:tcW w:w="26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color w:val="auto"/>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color w:val="auto"/>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color w:val="auto"/>
              </w:rPr>
              <w:t>Corporation</w:t>
            </w:r>
          </w:p>
        </w:tc>
        <w:tc>
          <w:tcPr>
            <w:tcW w:w="0" w:type="dxa"/>
            <w:vAlign w:val="bottom"/>
          </w:tcPr>
          <w:p>
            <w:pPr>
              <w:spacing w:after="0"/>
              <w:rPr>
                <w:sz w:val="1"/>
                <w:szCs w:val="1"/>
                <w:color w:val="auto"/>
              </w:rPr>
            </w:pPr>
          </w:p>
        </w:tc>
      </w:tr>
      <w:tr>
        <w:trPr>
          <w:trHeight w:val="242"/>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70"/>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7,955</w:t>
            </w:r>
          </w:p>
        </w:tc>
        <w:tc>
          <w:tcPr>
            <w:tcW w:w="0" w:type="dxa"/>
            <w:vAlign w:val="bottom"/>
          </w:tcPr>
          <w:p>
            <w:pPr>
              <w:spacing w:after="0"/>
              <w:rPr>
                <w:sz w:val="1"/>
                <w:szCs w:val="1"/>
                <w:color w:val="auto"/>
              </w:rPr>
            </w:pPr>
          </w:p>
        </w:tc>
      </w:tr>
      <w:tr>
        <w:trPr>
          <w:trHeight w:val="270"/>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70"/>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3,855</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16,361</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52"/>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in and amounts due</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36,253</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59,364</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35,980</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17,274</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100,025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120,709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117,696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275,650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(482,231)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180,500</w:t>
            </w:r>
          </w:p>
        </w:tc>
        <w:tc>
          <w:tcPr>
            <w:tcW w:w="0" w:type="dxa"/>
            <w:vAlign w:val="bottom"/>
          </w:tcPr>
          <w:p>
            <w:pPr>
              <w:spacing w:after="0"/>
              <w:rPr>
                <w:sz w:val="1"/>
                <w:szCs w:val="1"/>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trade creditors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6,915</w:t>
            </w:r>
          </w:p>
        </w:tc>
        <w:tc>
          <w:tcPr>
            <w:tcW w:w="0" w:type="dxa"/>
            <w:vAlign w:val="bottom"/>
          </w:tcPr>
          <w:p>
            <w:pPr>
              <w:spacing w:after="0"/>
              <w:rPr>
                <w:sz w:val="1"/>
                <w:szCs w:val="1"/>
                <w:color w:val="auto"/>
              </w:rPr>
            </w:pPr>
          </w:p>
        </w:tc>
      </w:tr>
      <w:tr>
        <w:trPr>
          <w:trHeight w:val="252"/>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participations and</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52"/>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7,414</w:t>
            </w:r>
          </w:p>
        </w:tc>
        <w:tc>
          <w:tcPr>
            <w:tcW w:w="0" w:type="dxa"/>
            <w:vAlign w:val="bottom"/>
          </w:tcPr>
          <w:p>
            <w:pPr>
              <w:spacing w:after="0"/>
              <w:rPr>
                <w:sz w:val="1"/>
                <w:szCs w:val="1"/>
                <w:color w:val="auto"/>
              </w:rPr>
            </w:pPr>
          </w:p>
        </w:tc>
      </w:tr>
      <w:tr>
        <w:trPr>
          <w:trHeight w:val="270"/>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5,480</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21,535</w:t>
            </w:r>
          </w:p>
        </w:tc>
        <w:tc>
          <w:tcPr>
            <w:tcW w:w="0" w:type="dxa"/>
            <w:vAlign w:val="bottom"/>
          </w:tcPr>
          <w:p>
            <w:pPr>
              <w:spacing w:after="0"/>
              <w:rPr>
                <w:sz w:val="1"/>
                <w:szCs w:val="1"/>
                <w:color w:val="auto"/>
              </w:rPr>
            </w:pPr>
          </w:p>
        </w:tc>
      </w:tr>
      <w:tr>
        <w:trPr>
          <w:trHeight w:val="252"/>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55,566</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35,259</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34,854</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10,925</w:t>
            </w:r>
          </w:p>
        </w:tc>
        <w:tc>
          <w:tcPr>
            <w:tcW w:w="0" w:type="dxa"/>
            <w:vAlign w:val="bottom"/>
          </w:tcPr>
          <w:p>
            <w:pPr>
              <w:spacing w:after="0"/>
              <w:rPr>
                <w:sz w:val="1"/>
                <w:szCs w:val="1"/>
                <w:color w:val="auto"/>
              </w:rPr>
            </w:pPr>
          </w:p>
        </w:tc>
      </w:tr>
      <w:tr>
        <w:trPr>
          <w:trHeight w:val="252"/>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noncontrolling</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0"/>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120,026</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207,582</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(481,214)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53,887</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Comcast Corporation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207,582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53,943</w:t>
            </w:r>
          </w:p>
        </w:tc>
        <w:tc>
          <w:tcPr>
            <w:tcW w:w="0" w:type="dxa"/>
            <w:vAlign w:val="bottom"/>
          </w:tcPr>
          <w:p>
            <w:pPr>
              <w:spacing w:after="0"/>
              <w:rPr>
                <w:sz w:val="1"/>
                <w:szCs w:val="1"/>
                <w:color w:val="auto"/>
              </w:rPr>
            </w:pPr>
          </w:p>
        </w:tc>
      </w:tr>
      <w:tr>
        <w:trPr>
          <w:trHeight w:val="27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209,813</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56,174</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100,025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120,709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117,696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275,650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(482,231)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180,500</w:t>
            </w:r>
          </w:p>
        </w:tc>
        <w:tc>
          <w:tcPr>
            <w:tcW w:w="0" w:type="dxa"/>
            <w:vAlign w:val="bottom"/>
          </w:tcPr>
          <w:p>
            <w:pPr>
              <w:spacing w:after="0"/>
              <w:rPr>
                <w:sz w:val="1"/>
                <w:szCs w:val="1"/>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For the Three Months Ended September 30, 2017</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color w:val="auto"/>
              </w:rPr>
              <w:t>Non-</w:t>
            </w:r>
          </w:p>
        </w:tc>
        <w:tc>
          <w:tcPr>
            <w:tcW w:w="160" w:type="dxa"/>
            <w:vAlign w:val="bottom"/>
          </w:tcPr>
          <w:p>
            <w:pPr>
              <w:spacing w:after="0"/>
              <w:rPr>
                <w:sz w:val="13"/>
                <w:szCs w:val="13"/>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Elimination</w:t>
            </w:r>
          </w:p>
        </w:tc>
        <w:tc>
          <w:tcPr>
            <w:tcW w:w="160" w:type="dxa"/>
            <w:vAlign w:val="bottom"/>
          </w:tcPr>
          <w:p>
            <w:pPr>
              <w:spacing w:after="0"/>
              <w:rPr>
                <w:sz w:val="13"/>
                <w:szCs w:val="13"/>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Comcast</w:t>
            </w:r>
          </w:p>
        </w:tc>
        <w:tc>
          <w:tcPr>
            <w:tcW w:w="22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Comcast</w:t>
            </w:r>
          </w:p>
        </w:tc>
        <w:tc>
          <w:tcPr>
            <w:tcW w:w="300" w:type="dxa"/>
            <w:vAlign w:val="bottom"/>
          </w:tcPr>
          <w:p>
            <w:pPr>
              <w:spacing w:after="0"/>
              <w:rPr>
                <w:sz w:val="12"/>
                <w:szCs w:val="12"/>
                <w:color w:val="auto"/>
              </w:rPr>
            </w:pPr>
          </w:p>
        </w:tc>
        <w:tc>
          <w:tcPr>
            <w:tcW w:w="8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CCCL</w:t>
            </w:r>
          </w:p>
        </w:tc>
        <w:tc>
          <w:tcPr>
            <w:tcW w:w="180" w:type="dxa"/>
            <w:vAlign w:val="bottom"/>
          </w:tcPr>
          <w:p>
            <w:pPr>
              <w:spacing w:after="0"/>
              <w:rPr>
                <w:sz w:val="12"/>
                <w:szCs w:val="12"/>
                <w:color w:val="auto"/>
              </w:rPr>
            </w:pPr>
          </w:p>
        </w:tc>
        <w:tc>
          <w:tcPr>
            <w:tcW w:w="10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NBCUniversal</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60" w:type="dxa"/>
            <w:vAlign w:val="bottom"/>
          </w:tcPr>
          <w:p>
            <w:pPr>
              <w:spacing w:after="0"/>
              <w:rPr>
                <w:sz w:val="12"/>
                <w:szCs w:val="12"/>
                <w:color w:val="auto"/>
              </w:rPr>
            </w:pPr>
          </w:p>
        </w:tc>
        <w:tc>
          <w:tcPr>
            <w:tcW w:w="100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0" w:type="dxa"/>
            <w:vAlign w:val="bottom"/>
          </w:tcPr>
          <w:p>
            <w:pPr>
              <w:spacing w:after="0"/>
              <w:rPr>
                <w:sz w:val="1"/>
                <w:szCs w:val="1"/>
                <w:color w:val="auto"/>
              </w:rPr>
            </w:pPr>
          </w:p>
        </w:tc>
      </w:tr>
      <w:tr>
        <w:trPr>
          <w:trHeight w:val="193"/>
        </w:trPr>
        <w:tc>
          <w:tcPr>
            <w:tcW w:w="32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Media Parent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color w:val="auto"/>
              </w:rPr>
              <w:t>Subsidiaries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Adjustments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color w:val="auto"/>
              </w:rPr>
              <w:t>Corporation</w:t>
            </w:r>
          </w:p>
        </w:tc>
        <w:tc>
          <w:tcPr>
            <w:tcW w:w="0" w:type="dxa"/>
            <w:vAlign w:val="bottom"/>
          </w:tcPr>
          <w:p>
            <w:pPr>
              <w:spacing w:after="0"/>
              <w:rPr>
                <w:sz w:val="1"/>
                <w:szCs w:val="1"/>
                <w:color w:val="auto"/>
              </w:rPr>
            </w:pPr>
          </w:p>
        </w:tc>
      </w:tr>
      <w:tr>
        <w:trPr>
          <w:trHeight w:val="242"/>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20,983</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fee revenue</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20,983</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20,983</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6,077</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6,077</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6,248</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6,423</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1,553</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1,984</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gains</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16,008</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16,191</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4,975</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52"/>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net income (losses) of</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investees, net</w:t>
            </w: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2,944</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2,483</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2,221</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1,786</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2,398</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2,512</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2,108</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1,807</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2,492</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2,512</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1,831</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6,782</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2,650</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2,502</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1,825</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5,210</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52"/>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 and redeemable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subsidiary preferred stock</w:t>
            </w: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Comcast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Corporation</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2,502</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5,177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2,650</w:t>
            </w:r>
          </w:p>
        </w:tc>
        <w:tc>
          <w:tcPr>
            <w:tcW w:w="0" w:type="dxa"/>
            <w:vAlign w:val="bottom"/>
          </w:tcPr>
          <w:p>
            <w:pPr>
              <w:spacing w:after="0"/>
              <w:rPr>
                <w:sz w:val="1"/>
                <w:szCs w:val="1"/>
                <w:color w:val="auto"/>
              </w:rPr>
            </w:pP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 Comcast Corporation</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2,603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2,486</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2,603</w:t>
            </w:r>
          </w:p>
        </w:tc>
        <w:tc>
          <w:tcPr>
            <w:tcW w:w="0" w:type="dxa"/>
            <w:vAlign w:val="bottom"/>
          </w:tcPr>
          <w:p>
            <w:pPr>
              <w:spacing w:after="0"/>
              <w:rPr>
                <w:sz w:val="1"/>
                <w:szCs w:val="1"/>
                <w:color w:val="auto"/>
              </w:rPr>
            </w:pP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1"/>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4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For the Three Months Ended September 30, 2016</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color w:val="auto"/>
              </w:rPr>
              <w:t>Non-</w:t>
            </w:r>
          </w:p>
        </w:tc>
        <w:tc>
          <w:tcPr>
            <w:tcW w:w="160" w:type="dxa"/>
            <w:vAlign w:val="bottom"/>
          </w:tcPr>
          <w:p>
            <w:pPr>
              <w:spacing w:after="0"/>
              <w:rPr>
                <w:sz w:val="13"/>
                <w:szCs w:val="13"/>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4"/>
                <w:szCs w:val="14"/>
                <w:color w:val="auto"/>
              </w:rPr>
              <w:t>Elimination</w:t>
            </w:r>
          </w:p>
        </w:tc>
        <w:tc>
          <w:tcPr>
            <w:tcW w:w="160" w:type="dxa"/>
            <w:vAlign w:val="bottom"/>
          </w:tcPr>
          <w:p>
            <w:pPr>
              <w:spacing w:after="0"/>
              <w:rPr>
                <w:sz w:val="13"/>
                <w:szCs w:val="13"/>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Comcast</w:t>
            </w:r>
          </w:p>
        </w:tc>
        <w:tc>
          <w:tcPr>
            <w:tcW w:w="22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Comcast</w:t>
            </w:r>
          </w:p>
        </w:tc>
        <w:tc>
          <w:tcPr>
            <w:tcW w:w="300" w:type="dxa"/>
            <w:vAlign w:val="bottom"/>
          </w:tcPr>
          <w:p>
            <w:pPr>
              <w:spacing w:after="0"/>
              <w:rPr>
                <w:sz w:val="12"/>
                <w:szCs w:val="12"/>
                <w:color w:val="auto"/>
              </w:rPr>
            </w:pPr>
          </w:p>
        </w:tc>
        <w:tc>
          <w:tcPr>
            <w:tcW w:w="8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CCCL</w:t>
            </w:r>
          </w:p>
        </w:tc>
        <w:tc>
          <w:tcPr>
            <w:tcW w:w="180" w:type="dxa"/>
            <w:vAlign w:val="bottom"/>
          </w:tcPr>
          <w:p>
            <w:pPr>
              <w:spacing w:after="0"/>
              <w:rPr>
                <w:sz w:val="12"/>
                <w:szCs w:val="12"/>
                <w:color w:val="auto"/>
              </w:rPr>
            </w:pPr>
          </w:p>
        </w:tc>
        <w:tc>
          <w:tcPr>
            <w:tcW w:w="10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NBCUniversal</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60" w:type="dxa"/>
            <w:vAlign w:val="bottom"/>
          </w:tcPr>
          <w:p>
            <w:pPr>
              <w:spacing w:after="0"/>
              <w:rPr>
                <w:sz w:val="12"/>
                <w:szCs w:val="12"/>
                <w:color w:val="auto"/>
              </w:rPr>
            </w:pPr>
          </w:p>
        </w:tc>
        <w:tc>
          <w:tcPr>
            <w:tcW w:w="100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0" w:type="dxa"/>
            <w:vAlign w:val="bottom"/>
          </w:tcPr>
          <w:p>
            <w:pPr>
              <w:spacing w:after="0"/>
              <w:rPr>
                <w:sz w:val="1"/>
                <w:szCs w:val="1"/>
                <w:color w:val="auto"/>
              </w:rPr>
            </w:pPr>
          </w:p>
        </w:tc>
      </w:tr>
      <w:tr>
        <w:trPr>
          <w:trHeight w:val="193"/>
        </w:trPr>
        <w:tc>
          <w:tcPr>
            <w:tcW w:w="32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Media Parent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color w:val="auto"/>
              </w:rPr>
              <w:t>Subsidiaries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Adjustments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color w:val="auto"/>
              </w:rPr>
              <w:t>Corporation</w:t>
            </w:r>
          </w:p>
        </w:tc>
        <w:tc>
          <w:tcPr>
            <w:tcW w:w="0" w:type="dxa"/>
            <w:vAlign w:val="bottom"/>
          </w:tcPr>
          <w:p>
            <w:pPr>
              <w:spacing w:after="0"/>
              <w:rPr>
                <w:sz w:val="1"/>
                <w:szCs w:val="1"/>
                <w:color w:val="auto"/>
              </w:rPr>
            </w:pPr>
          </w:p>
        </w:tc>
      </w:tr>
      <w:tr>
        <w:trPr>
          <w:trHeight w:val="242"/>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21,319</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fee revenue</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21,319</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21,319</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7,003</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5,848</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1,485</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1,858</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gains</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16,723</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4,596</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4,440</w:t>
            </w:r>
          </w:p>
        </w:tc>
        <w:tc>
          <w:tcPr>
            <w:tcW w:w="0" w:type="dxa"/>
            <w:vAlign w:val="bottom"/>
          </w:tcPr>
          <w:p>
            <w:pPr>
              <w:spacing w:after="0"/>
              <w:rPr>
                <w:sz w:val="1"/>
                <w:szCs w:val="1"/>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2"/>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net income (losses) of investees,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2,519</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2,385</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1,644</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0"/>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2,378</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1,517</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2,086</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2,378</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1,295</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5,861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2,237</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2,380</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1,289</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4,293</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52"/>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 and redeemable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subsidiary preferred stock</w:t>
            </w:r>
          </w:p>
        </w:tc>
        <w:tc>
          <w:tcPr>
            <w:tcW w:w="2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Comcast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Corporation</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2,237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2,380</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4,206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2,237</w:t>
            </w:r>
          </w:p>
        </w:tc>
        <w:tc>
          <w:tcPr>
            <w:tcW w:w="0" w:type="dxa"/>
            <w:vAlign w:val="bottom"/>
          </w:tcPr>
          <w:p>
            <w:pPr>
              <w:spacing w:after="0"/>
              <w:rPr>
                <w:sz w:val="1"/>
                <w:szCs w:val="1"/>
                <w:color w:val="auto"/>
              </w:rPr>
            </w:pP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 Comcast Corporation</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2,270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2,388</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4,235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2,270</w:t>
            </w:r>
          </w:p>
        </w:tc>
        <w:tc>
          <w:tcPr>
            <w:tcW w:w="0" w:type="dxa"/>
            <w:vAlign w:val="bottom"/>
          </w:tcPr>
          <w:p>
            <w:pPr>
              <w:spacing w:after="0"/>
              <w:rPr>
                <w:sz w:val="1"/>
                <w:szCs w:val="1"/>
                <w:color w:val="auto"/>
              </w:rPr>
            </w:pP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1"/>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color w:val="auto"/>
                <w:w w:val="97"/>
              </w:rPr>
              <w:t>Non-</w:t>
            </w:r>
          </w:p>
        </w:tc>
        <w:tc>
          <w:tcPr>
            <w:tcW w:w="180" w:type="dxa"/>
            <w:vAlign w:val="bottom"/>
          </w:tcPr>
          <w:p>
            <w:pPr>
              <w:spacing w:after="0"/>
              <w:rPr>
                <w:sz w:val="13"/>
                <w:szCs w:val="13"/>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4"/>
                <w:szCs w:val="14"/>
                <w:color w:val="auto"/>
              </w:rPr>
              <w:t>Elimination</w:t>
            </w:r>
          </w:p>
        </w:tc>
        <w:tc>
          <w:tcPr>
            <w:tcW w:w="180" w:type="dxa"/>
            <w:vAlign w:val="bottom"/>
          </w:tcPr>
          <w:p>
            <w:pPr>
              <w:spacing w:after="0"/>
              <w:rPr>
                <w:sz w:val="13"/>
                <w:szCs w:val="13"/>
                <w:color w:val="auto"/>
              </w:rPr>
            </w:pPr>
          </w:p>
        </w:tc>
        <w:tc>
          <w:tcPr>
            <w:tcW w:w="108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Comcast</w:t>
            </w:r>
          </w:p>
        </w:tc>
        <w:tc>
          <w:tcPr>
            <w:tcW w:w="240" w:type="dxa"/>
            <w:vAlign w:val="bottom"/>
          </w:tcPr>
          <w:p>
            <w:pPr>
              <w:spacing w:after="0"/>
              <w:rPr>
                <w:sz w:val="12"/>
                <w:szCs w:val="12"/>
                <w:color w:val="auto"/>
              </w:rPr>
            </w:pPr>
          </w:p>
        </w:tc>
        <w:tc>
          <w:tcPr>
            <w:tcW w:w="10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Comcast</w:t>
            </w:r>
          </w:p>
        </w:tc>
        <w:tc>
          <w:tcPr>
            <w:tcW w:w="300" w:type="dxa"/>
            <w:vAlign w:val="bottom"/>
          </w:tcPr>
          <w:p>
            <w:pPr>
              <w:spacing w:after="0"/>
              <w:rPr>
                <w:sz w:val="12"/>
                <w:szCs w:val="12"/>
                <w:color w:val="auto"/>
              </w:rPr>
            </w:pPr>
          </w:p>
        </w:tc>
        <w:tc>
          <w:tcPr>
            <w:tcW w:w="9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CCCL</w:t>
            </w:r>
          </w:p>
        </w:tc>
        <w:tc>
          <w:tcPr>
            <w:tcW w:w="180" w:type="dxa"/>
            <w:vAlign w:val="bottom"/>
          </w:tcPr>
          <w:p>
            <w:pPr>
              <w:spacing w:after="0"/>
              <w:rPr>
                <w:sz w:val="12"/>
                <w:szCs w:val="12"/>
                <w:color w:val="auto"/>
              </w:rPr>
            </w:pPr>
          </w:p>
        </w:tc>
        <w:tc>
          <w:tcPr>
            <w:tcW w:w="10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NBCUniversal</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0" w:type="dxa"/>
            <w:vAlign w:val="bottom"/>
          </w:tcPr>
          <w:p>
            <w:pPr>
              <w:spacing w:after="0"/>
              <w:rPr>
                <w:sz w:val="1"/>
                <w:szCs w:val="1"/>
                <w:color w:val="auto"/>
              </w:rPr>
            </w:pPr>
          </w:p>
        </w:tc>
      </w:tr>
      <w:tr>
        <w:trPr>
          <w:trHeight w:val="193"/>
        </w:trPr>
        <w:tc>
          <w:tcPr>
            <w:tcW w:w="25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color w:val="auto"/>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color w:val="auto"/>
              </w:rPr>
              <w:t>Corporation</w:t>
            </w:r>
          </w:p>
        </w:tc>
        <w:tc>
          <w:tcPr>
            <w:tcW w:w="0" w:type="dxa"/>
            <w:vAlign w:val="bottom"/>
          </w:tcPr>
          <w:p>
            <w:pPr>
              <w:spacing w:after="0"/>
              <w:rPr>
                <w:sz w:val="1"/>
                <w:szCs w:val="1"/>
                <w:color w:val="auto"/>
              </w:rPr>
            </w:pPr>
          </w:p>
        </w:tc>
      </w:tr>
      <w:tr>
        <w:trPr>
          <w:trHeight w:val="242"/>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62,611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62,611</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62,611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62,611</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18,492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18,492</w:t>
            </w:r>
          </w:p>
        </w:tc>
        <w:tc>
          <w:tcPr>
            <w:tcW w:w="0" w:type="dxa"/>
            <w:vAlign w:val="bottom"/>
          </w:tcPr>
          <w:p>
            <w:pPr>
              <w:spacing w:after="0"/>
              <w:rPr>
                <w:sz w:val="1"/>
                <w:szCs w:val="1"/>
                <w:color w:val="auto"/>
              </w:rPr>
            </w:pPr>
          </w:p>
        </w:tc>
      </w:tr>
      <w:tr>
        <w:trPr>
          <w:trHeight w:val="252"/>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and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17,754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18,310</w:t>
            </w:r>
          </w:p>
        </w:tc>
        <w:tc>
          <w:tcPr>
            <w:tcW w:w="0" w:type="dxa"/>
            <w:vAlign w:val="bottom"/>
          </w:tcPr>
          <w:p>
            <w:pPr>
              <w:spacing w:after="0"/>
              <w:rPr>
                <w:sz w:val="1"/>
                <w:szCs w:val="1"/>
                <w:color w:val="auto"/>
              </w:rPr>
            </w:pPr>
          </w:p>
        </w:tc>
      </w:tr>
      <w:tr>
        <w:trPr>
          <w:trHeight w:val="252"/>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marketing and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4,748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4,748</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5,855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5,876</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1,743</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48,150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48,731</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14,461</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13,880</w:t>
            </w:r>
          </w:p>
        </w:tc>
        <w:tc>
          <w:tcPr>
            <w:tcW w:w="0" w:type="dxa"/>
            <w:vAlign w:val="bottom"/>
          </w:tcPr>
          <w:p>
            <w:pPr>
              <w:spacing w:after="0"/>
              <w:rPr>
                <w:sz w:val="1"/>
                <w:szCs w:val="1"/>
                <w:color w:val="auto"/>
              </w:rPr>
            </w:pPr>
          </w:p>
        </w:tc>
      </w:tr>
      <w:tr>
        <w:trPr>
          <w:trHeight w:val="270"/>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52"/>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net income (losses) of</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investees, net</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8,594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6,613</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5,477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4,313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6,454</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5,162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4,313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7,264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6,454</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4,318</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18,774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11,900</w:t>
            </w:r>
          </w:p>
        </w:tc>
        <w:tc>
          <w:tcPr>
            <w:tcW w:w="0" w:type="dxa"/>
            <w:vAlign w:val="bottom"/>
          </w:tcPr>
          <w:p>
            <w:pPr>
              <w:spacing w:after="0"/>
              <w:rPr>
                <w:sz w:val="1"/>
                <w:szCs w:val="1"/>
                <w:color w:val="auto"/>
              </w:rPr>
            </w:pPr>
          </w:p>
        </w:tc>
      </w:tr>
      <w:tr>
        <w:trPr>
          <w:trHeight w:val="270"/>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7,729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6,510</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14,261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7,865</w:t>
            </w:r>
          </w:p>
        </w:tc>
        <w:tc>
          <w:tcPr>
            <w:tcW w:w="0" w:type="dxa"/>
            <w:vAlign w:val="bottom"/>
          </w:tcPr>
          <w:p>
            <w:pPr>
              <w:spacing w:after="0"/>
              <w:rPr>
                <w:sz w:val="1"/>
                <w:szCs w:val="1"/>
                <w:color w:val="auto"/>
              </w:rPr>
            </w:pPr>
          </w:p>
        </w:tc>
      </w:tr>
      <w:tr>
        <w:trPr>
          <w:trHeight w:val="252"/>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redeemable subsidiary preferred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7,729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7,795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6,510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4,301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14,125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7,729</w:t>
            </w:r>
          </w:p>
        </w:tc>
        <w:tc>
          <w:tcPr>
            <w:tcW w:w="0" w:type="dxa"/>
            <w:vAlign w:val="bottom"/>
          </w:tcPr>
          <w:p>
            <w:pPr>
              <w:spacing w:after="0"/>
              <w:rPr>
                <w:sz w:val="1"/>
                <w:szCs w:val="1"/>
                <w:color w:val="auto"/>
              </w:rPr>
            </w:pP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Corporation</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7,818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7,793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6,516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4,266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13,998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7,818</w:t>
            </w:r>
          </w:p>
        </w:tc>
        <w:tc>
          <w:tcPr>
            <w:tcW w:w="0" w:type="dxa"/>
            <w:vAlign w:val="bottom"/>
          </w:tcPr>
          <w:p>
            <w:pPr>
              <w:spacing w:after="0"/>
              <w:rPr>
                <w:sz w:val="1"/>
                <w:szCs w:val="1"/>
                <w:color w:val="auto"/>
              </w:rPr>
            </w:pP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color w:val="auto"/>
                <w:w w:val="97"/>
              </w:rPr>
              <w:t>Non-</w:t>
            </w:r>
          </w:p>
        </w:tc>
        <w:tc>
          <w:tcPr>
            <w:tcW w:w="180" w:type="dxa"/>
            <w:vAlign w:val="bottom"/>
          </w:tcPr>
          <w:p>
            <w:pPr>
              <w:spacing w:after="0"/>
              <w:rPr>
                <w:sz w:val="13"/>
                <w:szCs w:val="13"/>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4"/>
                <w:szCs w:val="14"/>
                <w:color w:val="auto"/>
              </w:rPr>
              <w:t>Elimination</w:t>
            </w:r>
          </w:p>
        </w:tc>
        <w:tc>
          <w:tcPr>
            <w:tcW w:w="180" w:type="dxa"/>
            <w:vAlign w:val="bottom"/>
          </w:tcPr>
          <w:p>
            <w:pPr>
              <w:spacing w:after="0"/>
              <w:rPr>
                <w:sz w:val="13"/>
                <w:szCs w:val="13"/>
                <w:color w:val="auto"/>
              </w:rPr>
            </w:pPr>
          </w:p>
        </w:tc>
        <w:tc>
          <w:tcPr>
            <w:tcW w:w="108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Comcast</w:t>
            </w:r>
          </w:p>
        </w:tc>
        <w:tc>
          <w:tcPr>
            <w:tcW w:w="240" w:type="dxa"/>
            <w:vAlign w:val="bottom"/>
          </w:tcPr>
          <w:p>
            <w:pPr>
              <w:spacing w:after="0"/>
              <w:rPr>
                <w:sz w:val="12"/>
                <w:szCs w:val="12"/>
                <w:color w:val="auto"/>
              </w:rPr>
            </w:pPr>
          </w:p>
        </w:tc>
        <w:tc>
          <w:tcPr>
            <w:tcW w:w="10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Comcast</w:t>
            </w:r>
          </w:p>
        </w:tc>
        <w:tc>
          <w:tcPr>
            <w:tcW w:w="300" w:type="dxa"/>
            <w:vAlign w:val="bottom"/>
          </w:tcPr>
          <w:p>
            <w:pPr>
              <w:spacing w:after="0"/>
              <w:rPr>
                <w:sz w:val="12"/>
                <w:szCs w:val="12"/>
                <w:color w:val="auto"/>
              </w:rPr>
            </w:pPr>
          </w:p>
        </w:tc>
        <w:tc>
          <w:tcPr>
            <w:tcW w:w="9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CCCL</w:t>
            </w:r>
          </w:p>
        </w:tc>
        <w:tc>
          <w:tcPr>
            <w:tcW w:w="180" w:type="dxa"/>
            <w:vAlign w:val="bottom"/>
          </w:tcPr>
          <w:p>
            <w:pPr>
              <w:spacing w:after="0"/>
              <w:rPr>
                <w:sz w:val="12"/>
                <w:szCs w:val="12"/>
                <w:color w:val="auto"/>
              </w:rPr>
            </w:pPr>
          </w:p>
        </w:tc>
        <w:tc>
          <w:tcPr>
            <w:tcW w:w="10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NBCUniversal</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0" w:type="dxa"/>
            <w:vAlign w:val="bottom"/>
          </w:tcPr>
          <w:p>
            <w:pPr>
              <w:spacing w:after="0"/>
              <w:rPr>
                <w:sz w:val="1"/>
                <w:szCs w:val="1"/>
                <w:color w:val="auto"/>
              </w:rPr>
            </w:pPr>
          </w:p>
        </w:tc>
      </w:tr>
      <w:tr>
        <w:trPr>
          <w:trHeight w:val="193"/>
        </w:trPr>
        <w:tc>
          <w:tcPr>
            <w:tcW w:w="25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color w:val="auto"/>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color w:val="auto"/>
              </w:rPr>
              <w:t>Corporation</w:t>
            </w:r>
          </w:p>
        </w:tc>
        <w:tc>
          <w:tcPr>
            <w:tcW w:w="0" w:type="dxa"/>
            <w:vAlign w:val="bottom"/>
          </w:tcPr>
          <w:p>
            <w:pPr>
              <w:spacing w:after="0"/>
              <w:rPr>
                <w:sz w:val="1"/>
                <w:szCs w:val="1"/>
                <w:color w:val="auto"/>
              </w:rPr>
            </w:pPr>
          </w:p>
        </w:tc>
      </w:tr>
      <w:tr>
        <w:trPr>
          <w:trHeight w:val="242"/>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59,378</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778</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778</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59,378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59,378</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17,926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17,926</w:t>
            </w:r>
          </w:p>
        </w:tc>
        <w:tc>
          <w:tcPr>
            <w:tcW w:w="0" w:type="dxa"/>
            <w:vAlign w:val="bottom"/>
          </w:tcPr>
          <w:p>
            <w:pPr>
              <w:spacing w:after="0"/>
              <w:rPr>
                <w:sz w:val="1"/>
                <w:szCs w:val="1"/>
                <w:color w:val="auto"/>
              </w:rPr>
            </w:pPr>
          </w:p>
        </w:tc>
      </w:tr>
      <w:tr>
        <w:trPr>
          <w:trHeight w:val="252"/>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and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778</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16,704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17,285</w:t>
            </w:r>
          </w:p>
        </w:tc>
        <w:tc>
          <w:tcPr>
            <w:tcW w:w="0" w:type="dxa"/>
            <w:vAlign w:val="bottom"/>
          </w:tcPr>
          <w:p>
            <w:pPr>
              <w:spacing w:after="0"/>
              <w:rPr>
                <w:sz w:val="1"/>
                <w:szCs w:val="1"/>
                <w:color w:val="auto"/>
              </w:rPr>
            </w:pPr>
          </w:p>
        </w:tc>
      </w:tr>
      <w:tr>
        <w:trPr>
          <w:trHeight w:val="252"/>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marketing and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4,510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5,518</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778</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46,177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46,783</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13,201</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12,595</w:t>
            </w:r>
          </w:p>
        </w:tc>
        <w:tc>
          <w:tcPr>
            <w:tcW w:w="0" w:type="dxa"/>
            <w:vAlign w:val="bottom"/>
          </w:tcPr>
          <w:p>
            <w:pPr>
              <w:spacing w:after="0"/>
              <w:rPr>
                <w:sz w:val="1"/>
                <w:szCs w:val="1"/>
                <w:color w:val="auto"/>
              </w:rPr>
            </w:pPr>
          </w:p>
        </w:tc>
      </w:tr>
      <w:tr>
        <w:trPr>
          <w:trHeight w:val="270"/>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52"/>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net income (losses) of</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investees, net</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7,239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6,375</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4,229</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3,160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0"/>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5,814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6,196</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3,109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5,947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6,196</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16,310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10,617</w:t>
            </w:r>
          </w:p>
        </w:tc>
        <w:tc>
          <w:tcPr>
            <w:tcW w:w="0" w:type="dxa"/>
            <w:vAlign w:val="bottom"/>
          </w:tcPr>
          <w:p>
            <w:pPr>
              <w:spacing w:after="0"/>
              <w:rPr>
                <w:sz w:val="1"/>
                <w:szCs w:val="1"/>
                <w:color w:val="auto"/>
              </w:rPr>
            </w:pPr>
          </w:p>
        </w:tc>
      </w:tr>
      <w:tr>
        <w:trPr>
          <w:trHeight w:val="270"/>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6,399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6,259</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52"/>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redeemable subsidiary preferred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3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6,399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6,259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3,224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11,592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6,399</w:t>
            </w:r>
          </w:p>
        </w:tc>
        <w:tc>
          <w:tcPr>
            <w:tcW w:w="0" w:type="dxa"/>
            <w:vAlign w:val="bottom"/>
          </w:tcPr>
          <w:p>
            <w:pPr>
              <w:spacing w:after="0"/>
              <w:rPr>
                <w:sz w:val="1"/>
                <w:szCs w:val="1"/>
                <w:color w:val="auto"/>
              </w:rPr>
            </w:pP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Corporation</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6,607</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6,261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12,134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6,607</w:t>
            </w:r>
          </w:p>
        </w:tc>
        <w:tc>
          <w:tcPr>
            <w:tcW w:w="0" w:type="dxa"/>
            <w:vAlign w:val="bottom"/>
          </w:tcPr>
          <w:p>
            <w:pPr>
              <w:spacing w:after="0"/>
              <w:rPr>
                <w:sz w:val="1"/>
                <w:szCs w:val="1"/>
                <w:color w:val="auto"/>
              </w:rPr>
            </w:pP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color w:val="auto"/>
                <w:w w:val="97"/>
              </w:rPr>
              <w:t>Non-</w:t>
            </w:r>
          </w:p>
        </w:tc>
        <w:tc>
          <w:tcPr>
            <w:tcW w:w="180" w:type="dxa"/>
            <w:vAlign w:val="bottom"/>
          </w:tcPr>
          <w:p>
            <w:pPr>
              <w:spacing w:after="0"/>
              <w:rPr>
                <w:sz w:val="13"/>
                <w:szCs w:val="13"/>
                <w:color w:val="auto"/>
              </w:rPr>
            </w:pPr>
          </w:p>
        </w:tc>
        <w:tc>
          <w:tcPr>
            <w:tcW w:w="104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Elimination</w:t>
            </w:r>
          </w:p>
        </w:tc>
        <w:tc>
          <w:tcPr>
            <w:tcW w:w="220" w:type="dxa"/>
            <w:vAlign w:val="bottom"/>
          </w:tcPr>
          <w:p>
            <w:pPr>
              <w:spacing w:after="0"/>
              <w:rPr>
                <w:sz w:val="13"/>
                <w:szCs w:val="13"/>
                <w:color w:val="auto"/>
              </w:rPr>
            </w:pPr>
          </w:p>
        </w:tc>
        <w:tc>
          <w:tcPr>
            <w:tcW w:w="108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Comcast</w:t>
            </w:r>
          </w:p>
        </w:tc>
        <w:tc>
          <w:tcPr>
            <w:tcW w:w="240" w:type="dxa"/>
            <w:vAlign w:val="bottom"/>
          </w:tcPr>
          <w:p>
            <w:pPr>
              <w:spacing w:after="0"/>
              <w:rPr>
                <w:sz w:val="12"/>
                <w:szCs w:val="12"/>
                <w:color w:val="auto"/>
              </w:rPr>
            </w:pPr>
          </w:p>
        </w:tc>
        <w:tc>
          <w:tcPr>
            <w:tcW w:w="10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Comcast</w:t>
            </w:r>
          </w:p>
        </w:tc>
        <w:tc>
          <w:tcPr>
            <w:tcW w:w="300" w:type="dxa"/>
            <w:vAlign w:val="bottom"/>
          </w:tcPr>
          <w:p>
            <w:pPr>
              <w:spacing w:after="0"/>
              <w:rPr>
                <w:sz w:val="12"/>
                <w:szCs w:val="12"/>
                <w:color w:val="auto"/>
              </w:rPr>
            </w:pPr>
          </w:p>
        </w:tc>
        <w:tc>
          <w:tcPr>
            <w:tcW w:w="9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CCCL</w:t>
            </w:r>
          </w:p>
        </w:tc>
        <w:tc>
          <w:tcPr>
            <w:tcW w:w="180" w:type="dxa"/>
            <w:vAlign w:val="bottom"/>
          </w:tcPr>
          <w:p>
            <w:pPr>
              <w:spacing w:after="0"/>
              <w:rPr>
                <w:sz w:val="12"/>
                <w:szCs w:val="12"/>
                <w:color w:val="auto"/>
              </w:rPr>
            </w:pPr>
          </w:p>
        </w:tc>
        <w:tc>
          <w:tcPr>
            <w:tcW w:w="10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NBCUniversal</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0" w:type="dxa"/>
            <w:vAlign w:val="bottom"/>
          </w:tcPr>
          <w:p>
            <w:pPr>
              <w:spacing w:after="0"/>
              <w:rPr>
                <w:sz w:val="1"/>
                <w:szCs w:val="1"/>
                <w:color w:val="auto"/>
              </w:rPr>
            </w:pPr>
          </w:p>
        </w:tc>
      </w:tr>
      <w:tr>
        <w:trPr>
          <w:trHeight w:val="193"/>
        </w:trPr>
        <w:tc>
          <w:tcPr>
            <w:tcW w:w="26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color w:val="auto"/>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color w:val="auto"/>
              </w:rPr>
              <w:t>Corporation</w:t>
            </w:r>
          </w:p>
        </w:tc>
        <w:tc>
          <w:tcPr>
            <w:tcW w:w="0" w:type="dxa"/>
            <w:vAlign w:val="bottom"/>
          </w:tcPr>
          <w:p>
            <w:pPr>
              <w:spacing w:after="0"/>
              <w:rPr>
                <w:sz w:val="1"/>
                <w:szCs w:val="1"/>
                <w:color w:val="auto"/>
              </w:rPr>
            </w:pPr>
          </w:p>
        </w:tc>
      </w:tr>
      <w:tr>
        <w:trPr>
          <w:trHeight w:val="219"/>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18,088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15,961</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and construction of</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4,063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783</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(repayments of)</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5,997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5,463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11,460</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and repayments of</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Universal Studios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 noncontrolling interests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52"/>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3,854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4,114</w:t>
            </w:r>
          </w:p>
        </w:tc>
        <w:tc>
          <w:tcPr>
            <w:tcW w:w="0" w:type="dxa"/>
            <w:vAlign w:val="bottom"/>
          </w:tcPr>
          <w:p>
            <w:pPr>
              <w:spacing w:after="0"/>
              <w:rPr>
                <w:sz w:val="1"/>
                <w:szCs w:val="1"/>
                <w:color w:val="auto"/>
              </w:rPr>
            </w:pP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color w:val="auto"/>
                <w:w w:val="97"/>
              </w:rPr>
              <w:t>Non-</w:t>
            </w:r>
          </w:p>
        </w:tc>
        <w:tc>
          <w:tcPr>
            <w:tcW w:w="180" w:type="dxa"/>
            <w:vAlign w:val="bottom"/>
          </w:tcPr>
          <w:p>
            <w:pPr>
              <w:spacing w:after="0"/>
              <w:rPr>
                <w:sz w:val="13"/>
                <w:szCs w:val="13"/>
                <w:color w:val="auto"/>
              </w:rPr>
            </w:pPr>
          </w:p>
        </w:tc>
        <w:tc>
          <w:tcPr>
            <w:tcW w:w="104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Elimination</w:t>
            </w:r>
          </w:p>
        </w:tc>
        <w:tc>
          <w:tcPr>
            <w:tcW w:w="220" w:type="dxa"/>
            <w:vAlign w:val="bottom"/>
          </w:tcPr>
          <w:p>
            <w:pPr>
              <w:spacing w:after="0"/>
              <w:rPr>
                <w:sz w:val="13"/>
                <w:szCs w:val="13"/>
                <w:color w:val="auto"/>
              </w:rPr>
            </w:pPr>
          </w:p>
        </w:tc>
        <w:tc>
          <w:tcPr>
            <w:tcW w:w="108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Comcast</w:t>
            </w:r>
          </w:p>
        </w:tc>
        <w:tc>
          <w:tcPr>
            <w:tcW w:w="24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Comcast</w:t>
            </w:r>
          </w:p>
        </w:tc>
        <w:tc>
          <w:tcPr>
            <w:tcW w:w="320" w:type="dxa"/>
            <w:vAlign w:val="bottom"/>
          </w:tcPr>
          <w:p>
            <w:pPr>
              <w:spacing w:after="0"/>
              <w:rPr>
                <w:sz w:val="12"/>
                <w:szCs w:val="12"/>
                <w:color w:val="auto"/>
              </w:rPr>
            </w:pPr>
          </w:p>
        </w:tc>
        <w:tc>
          <w:tcPr>
            <w:tcW w:w="9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CCCL</w:t>
            </w:r>
          </w:p>
        </w:tc>
        <w:tc>
          <w:tcPr>
            <w:tcW w:w="180" w:type="dxa"/>
            <w:vAlign w:val="bottom"/>
          </w:tcPr>
          <w:p>
            <w:pPr>
              <w:spacing w:after="0"/>
              <w:rPr>
                <w:sz w:val="12"/>
                <w:szCs w:val="12"/>
                <w:color w:val="auto"/>
              </w:rPr>
            </w:pPr>
          </w:p>
        </w:tc>
        <w:tc>
          <w:tcPr>
            <w:tcW w:w="10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NBCUniversal</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color w:val="auto"/>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color w:val="auto"/>
              </w:rPr>
              <w:t>Comcast</w:t>
            </w:r>
          </w:p>
        </w:tc>
        <w:tc>
          <w:tcPr>
            <w:tcW w:w="0" w:type="dxa"/>
            <w:vAlign w:val="bottom"/>
          </w:tcPr>
          <w:p>
            <w:pPr>
              <w:spacing w:after="0"/>
              <w:rPr>
                <w:sz w:val="1"/>
                <w:szCs w:val="1"/>
                <w:color w:val="auto"/>
              </w:rPr>
            </w:pPr>
          </w:p>
        </w:tc>
      </w:tr>
      <w:tr>
        <w:trPr>
          <w:trHeight w:val="193"/>
        </w:trPr>
        <w:tc>
          <w:tcPr>
            <w:tcW w:w="26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color w:val="auto"/>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color w:val="auto"/>
              </w:rPr>
              <w:t>Corporation</w:t>
            </w:r>
          </w:p>
        </w:tc>
        <w:tc>
          <w:tcPr>
            <w:tcW w:w="0" w:type="dxa"/>
            <w:vAlign w:val="bottom"/>
          </w:tcPr>
          <w:p>
            <w:pPr>
              <w:spacing w:after="0"/>
              <w:rPr>
                <w:sz w:val="1"/>
                <w:szCs w:val="1"/>
                <w:color w:val="auto"/>
              </w:rPr>
            </w:pPr>
          </w:p>
        </w:tc>
      </w:tr>
      <w:tr>
        <w:trPr>
          <w:trHeight w:val="219"/>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13,989</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and construction of</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(repayments of)</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9,231</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9,231</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and repayments of</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2,529</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52"/>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1,881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2,807</w:t>
            </w:r>
          </w:p>
        </w:tc>
        <w:tc>
          <w:tcPr>
            <w:tcW w:w="0" w:type="dxa"/>
            <w:vAlign w:val="bottom"/>
          </w:tcPr>
          <w:p>
            <w:pPr>
              <w:spacing w:after="0"/>
              <w:rPr>
                <w:sz w:val="1"/>
                <w:szCs w:val="1"/>
                <w:color w:val="auto"/>
              </w:rPr>
            </w:pP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940"/>
        <w:spacing w:after="0" w:line="293"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Comcast Cable is one of the nation’s largest providers of video, high-speed Internet, voice, and security and automation services (“cable services”) to residential customers under the XFINITY brand; we also provide these and other services to business customers and sell advertising. As of September 30, 2017, our cable systems had 29.1 million total customer relationships, including 27.0 million residential and 2.1 million business customer relationships, and passed more than 57 million homes and businesses. Our Cable Communications segment generates revenue primarily from residential and business customers that subscribe to our cable services, which we market individually and as bundled services, and from the sale of advertising. During the nine months ended September 30, 2017, our Cable Communications segment generated 63% of our consolidated revenue and 70% of the aggregate Adjusted EBITDA for our reportable business segments.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related digital media properties. Our Cable Networks segment generates revenue primarily from the distribution of our cable network programming to traditional and virtual multichannel video providers; from the sale of advertising on our cable networks and related digital media properties; from the licensing of our owned programming, including programming from our cable television studio production operations, to cable and broadcast networks and subscription video on demand services; and from the sale of our owned programming on standard-definition digital video discs and Blu-ray discs (together, “DVDs”) and through digital distribution services such as iTunes.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related digital media properties. Our Broadcast Television segment generates revenue primarily from the sale of advertising on our broadcast networks, owned local broadcast television stations and related digital media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Filmed Entertainment segment primarily produces, acquires, markets and distributes filmed entertainment worldwide, and it also develops, produces and licenses live stage plays. Our films are produced primarily under the Universal Pictures, Illumination, Focus Features and DreamWorks Animation names. 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producing and licensing live stage plays, from the distribution of filmed entertainment produced by third parties, and from Fandango, our movie ticketing and entertainment business.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71"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Theme Parks segment consists primarily of our Universal theme parks in Orlando, Florida; Hollywood, California; and Osaka, Japan. In addition, along with a consortium of Chinese state-owned companies, we are developing a theme park in China. Our Theme Parks segment generates revenue primarily from ticket sales and guest spending at our Universal theme parks.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operates arena management-related businesses.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pursuing other business development initiatives, such as our wireless phone service that we launched in the second quarter of 2017 on a small scale to our residential cable customers using our virtual network operator rights to provide the service over Verizon’s wireless network and our existing network of in-home and outdoor Wi-Fi hotspots. We offer the wireless phone service only as part of our bundled service offerings to residential customers subscribing to our high-speed Internet service within our cable distribution footprint and may in the future also offer wireless phone service to our small business customers on similar terms. The wireless phone service has success-based working capital requirements, primarily associated with the procurement of handsets, which customers are able to pay for upfront or finance interest-free over 24 months, and other equipment.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additional information on the competition our businesses face, see our 2016 Annual Report on Form 10-K and refer to Item 1: Business and Item 1A: Risk Factors. Within the Business section, refer to the “Competition” discussion, and within the Risk Factors section, refer to the risk factors entitled “Our businesses currently face a wide range of competition, and our businesses and results of operations could be adversely affected if we do not compete effectively” and “Changes in consumer behavior driven by new technologies and distribution platforms for viewing content may adversely affect our businesses and challenge existing business models.”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of each year.</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 Our revenue and operating costs and expenses are cyclical as a result of our periodic broadcasts of major sporting events, such as the Olympic Games, which affect our Cable Networks and Broadcast Television segments, and the Super Bowl, which affects our Broadcast Television segment. We define our operating costs and expenses as total costs and expenses, excluding depreciation and amortization expense and other operating gains. Our advertising revenue increases in the period of these broadcasts due to increased demand for advertising time, and our operating costs and expenses also increase as a result of our production costs and the amortization of the related rights fees.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in our Filmed Entertainment segment fluctuates due to the timing of the release of films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Revenue in our Cable Networks, Broadcast Television and Filmed Entertainment segments also fluctuates due to the timing of when our content is made available to licensees.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71"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3"/>
          </w:tcPr>
          <w:p>
            <w:pPr>
              <w:jc w:val="right"/>
              <w:ind w:right="791"/>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Increase/</w:t>
            </w:r>
          </w:p>
        </w:tc>
        <w:tc>
          <w:tcPr>
            <w:tcW w:w="340" w:type="dxa"/>
            <w:vAlign w:val="bottom"/>
          </w:tcPr>
          <w:p>
            <w:pPr>
              <w:spacing w:after="0"/>
              <w:rPr>
                <w:sz w:val="13"/>
                <w:szCs w:val="13"/>
                <w:color w:val="auto"/>
              </w:rPr>
            </w:pPr>
          </w:p>
        </w:tc>
        <w:tc>
          <w:tcPr>
            <w:tcW w:w="250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color w:val="auto"/>
              </w:rPr>
              <w:t>Nine Months Ended</w:t>
            </w:r>
          </w:p>
        </w:tc>
        <w:tc>
          <w:tcPr>
            <w:tcW w:w="12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Increase/</w:t>
            </w:r>
          </w:p>
        </w:tc>
      </w:tr>
      <w:tr>
        <w:trPr>
          <w:trHeight w:val="193"/>
        </w:trPr>
        <w:tc>
          <w:tcPr>
            <w:tcW w:w="3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(Decrease)</w:t>
            </w:r>
          </w:p>
        </w:tc>
      </w:tr>
      <w:tr>
        <w:trPr>
          <w:trHeight w:val="264"/>
        </w:trPr>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2016</w:t>
            </w:r>
          </w:p>
        </w:tc>
        <w:tc>
          <w:tcPr>
            <w:tcW w:w="1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2016</w:t>
            </w:r>
          </w:p>
        </w:tc>
        <w:tc>
          <w:tcPr>
            <w:tcW w:w="1260" w:type="dxa"/>
            <w:vAlign w:val="bottom"/>
            <w:tcBorders>
              <w:bottom w:val="single" w:sz="8" w:color="auto"/>
            </w:tcBorders>
          </w:tcPr>
          <w:p>
            <w:pPr>
              <w:spacing w:after="0"/>
              <w:rPr>
                <w:sz w:val="22"/>
                <w:szCs w:val="22"/>
                <w:color w:val="auto"/>
              </w:rPr>
            </w:pPr>
          </w:p>
        </w:tc>
      </w:tr>
      <w:tr>
        <w:trPr>
          <w:trHeight w:val="242"/>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20,983</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21,319</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62,611</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59,378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0"/>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6,077</w:t>
            </w:r>
          </w:p>
        </w:tc>
        <w:tc>
          <w:tcPr>
            <w:tcW w:w="48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7,003</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18,492</w:t>
            </w:r>
          </w:p>
        </w:tc>
        <w:tc>
          <w:tcPr>
            <w:tcW w:w="48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17,926</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6,423</w:t>
            </w:r>
          </w:p>
        </w:tc>
        <w:tc>
          <w:tcPr>
            <w:tcW w:w="48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5,996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18,310</w:t>
            </w:r>
          </w:p>
        </w:tc>
        <w:tc>
          <w:tcPr>
            <w:tcW w:w="48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17,285</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5.9</w:t>
            </w:r>
          </w:p>
        </w:tc>
      </w:tr>
      <w:tr>
        <w:trPr>
          <w:trHeight w:val="270"/>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1,553</w:t>
            </w:r>
          </w:p>
        </w:tc>
        <w:tc>
          <w:tcPr>
            <w:tcW w:w="48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1,485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4,748</w:t>
            </w:r>
          </w:p>
        </w:tc>
        <w:tc>
          <w:tcPr>
            <w:tcW w:w="48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4,510</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5.3</w:t>
            </w:r>
          </w:p>
        </w:tc>
      </w:tr>
      <w:tr>
        <w:trPr>
          <w:trHeight w:val="270"/>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1,991</w:t>
            </w:r>
          </w:p>
        </w:tc>
        <w:tc>
          <w:tcPr>
            <w:tcW w:w="48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1,865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5,876</w:t>
            </w:r>
          </w:p>
        </w:tc>
        <w:tc>
          <w:tcPr>
            <w:tcW w:w="48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5,518</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589</w:t>
            </w:r>
          </w:p>
        </w:tc>
        <w:tc>
          <w:tcPr>
            <w:tcW w:w="48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530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1,747</w:t>
            </w:r>
          </w:p>
        </w:tc>
        <w:tc>
          <w:tcPr>
            <w:tcW w:w="48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1,544</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13.1</w:t>
            </w:r>
          </w:p>
        </w:tc>
      </w:tr>
      <w:tr>
        <w:trPr>
          <w:trHeight w:val="270"/>
        </w:trPr>
        <w:tc>
          <w:tcPr>
            <w:tcW w:w="3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gains</w:t>
            </w:r>
          </w:p>
        </w:tc>
        <w:tc>
          <w:tcPr>
            <w:tcW w:w="3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(442)</w:t>
            </w:r>
          </w:p>
        </w:tc>
        <w:tc>
          <w:tcPr>
            <w:tcW w:w="48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(442)</w:t>
            </w:r>
          </w:p>
        </w:tc>
        <w:tc>
          <w:tcPr>
            <w:tcW w:w="48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4,792</w:t>
            </w:r>
          </w:p>
        </w:tc>
        <w:tc>
          <w:tcPr>
            <w:tcW w:w="48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4,440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13,880</w:t>
            </w:r>
          </w:p>
        </w:tc>
        <w:tc>
          <w:tcPr>
            <w:tcW w:w="480" w:type="dxa"/>
            <w:vAlign w:val="bottom"/>
          </w:tcPr>
          <w:p>
            <w:pPr>
              <w:spacing w:after="0"/>
              <w:rPr>
                <w:sz w:val="20"/>
                <w:szCs w:val="20"/>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12,595</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10.2</w:t>
            </w:r>
          </w:p>
        </w:tc>
      </w:tr>
      <w:tr>
        <w:trPr>
          <w:trHeight w:val="270"/>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items, net</w:t>
            </w:r>
          </w:p>
        </w:tc>
        <w:tc>
          <w:tcPr>
            <w:tcW w:w="3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(696)</w:t>
            </w:r>
          </w:p>
        </w:tc>
        <w:tc>
          <w:tcPr>
            <w:tcW w:w="480" w:type="dxa"/>
            <w:vAlign w:val="bottom"/>
          </w:tcPr>
          <w:p>
            <w:pPr>
              <w:spacing w:after="0"/>
              <w:rPr>
                <w:sz w:val="23"/>
                <w:szCs w:val="23"/>
                <w:color w:val="auto"/>
              </w:rPr>
            </w:pPr>
          </w:p>
        </w:tc>
        <w:tc>
          <w:tcPr>
            <w:tcW w:w="10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(716)</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(1,980)</w:t>
            </w:r>
          </w:p>
        </w:tc>
        <w:tc>
          <w:tcPr>
            <w:tcW w:w="48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(1,978)</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4,096</w:t>
            </w:r>
          </w:p>
        </w:tc>
        <w:tc>
          <w:tcPr>
            <w:tcW w:w="48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3,724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11,900</w:t>
            </w:r>
          </w:p>
        </w:tc>
        <w:tc>
          <w:tcPr>
            <w:tcW w:w="480" w:type="dxa"/>
            <w:vAlign w:val="bottom"/>
          </w:tcPr>
          <w:p>
            <w:pPr>
              <w:spacing w:after="0"/>
              <w:rPr>
                <w:sz w:val="20"/>
                <w:szCs w:val="20"/>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10,617</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12.1</w:t>
            </w:r>
          </w:p>
        </w:tc>
      </w:tr>
      <w:tr>
        <w:trPr>
          <w:trHeight w:val="270"/>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(1,413)</w:t>
            </w:r>
          </w:p>
        </w:tc>
        <w:tc>
          <w:tcPr>
            <w:tcW w:w="480" w:type="dxa"/>
            <w:vAlign w:val="bottom"/>
          </w:tcPr>
          <w:p>
            <w:pPr>
              <w:spacing w:after="0"/>
              <w:rPr>
                <w:sz w:val="23"/>
                <w:szCs w:val="23"/>
                <w:color w:val="auto"/>
              </w:rPr>
            </w:pPr>
          </w:p>
        </w:tc>
        <w:tc>
          <w:tcPr>
            <w:tcW w:w="10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(1,400)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(4,035)</w:t>
            </w:r>
          </w:p>
        </w:tc>
        <w:tc>
          <w:tcPr>
            <w:tcW w:w="480" w:type="dxa"/>
            <w:vAlign w:val="bottom"/>
          </w:tcPr>
          <w:p>
            <w:pPr>
              <w:spacing w:after="0"/>
              <w:rPr>
                <w:sz w:val="23"/>
                <w:szCs w:val="23"/>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(3,989)</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2,683</w:t>
            </w:r>
          </w:p>
        </w:tc>
        <w:tc>
          <w:tcPr>
            <w:tcW w:w="48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2,324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7,865</w:t>
            </w:r>
          </w:p>
        </w:tc>
        <w:tc>
          <w:tcPr>
            <w:tcW w:w="480" w:type="dxa"/>
            <w:vAlign w:val="bottom"/>
          </w:tcPr>
          <w:p>
            <w:pPr>
              <w:spacing w:after="0"/>
              <w:rPr>
                <w:sz w:val="20"/>
                <w:szCs w:val="20"/>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6,628</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18.7</w:t>
            </w:r>
          </w:p>
        </w:tc>
      </w:tr>
      <w:tr>
        <w:trPr>
          <w:trHeight w:val="252"/>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 and redeemable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subsidiary preferred stock</w:t>
            </w:r>
          </w:p>
        </w:tc>
        <w:tc>
          <w:tcPr>
            <w:tcW w:w="3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tcPr>
          <w:p>
            <w:pPr>
              <w:spacing w:after="0"/>
              <w:rPr>
                <w:sz w:val="20"/>
                <w:szCs w:val="20"/>
                <w:color w:val="auto"/>
              </w:rPr>
            </w:pPr>
          </w:p>
        </w:tc>
        <w:tc>
          <w:tcPr>
            <w:tcW w:w="10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(87)</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(61.9)</w:t>
            </w:r>
          </w:p>
        </w:tc>
        <w:tc>
          <w:tcPr>
            <w:tcW w:w="3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w:t>
            </w:r>
          </w:p>
        </w:tc>
        <w:tc>
          <w:tcPr>
            <w:tcW w:w="48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(229)</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(40.7)</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Comcast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Corporation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2,650</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2,237</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18.5 %</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7,729</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6,399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percentages are calculated based on actual amounts. Minor differences may exist due to rounding.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Consolidated revenue decreased for the three months ended September 30, 2017 primarily due to revenue associated with our broadcast of the Rio Olympics in August 2016, which is reflected in our Cable Networks and Broadcast Television segments in the prior year period. The decrease was partially offset by increases in revenue in our Cable Communications and Theme Parks segments. Excluding $1.5 billion of revenue associated with our broadcast of the 2016 Rio Olympics, consolidated revenue increased 5.8% for the three months ended September 30, 2017.</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Cable Communications, Filmed Entertainment and Theme Parks segments accounted for the increase in consolidated revenue for the nine months ended September 30, 2017, which was partially offset by decreases in our Cable Networks and Broadcast Television segments due to revenue associated with our broadcast of the 2016 Rio Olympics in the prior year period. Excluding $1.5 billion of revenue associated with our broadcast of the 2016 Rio Olympics, consolidated revenue increased 8.2% for the nine months ended September 30, 2017.</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our segments is discussed separately below under the heading “Segment Operating Results.” Revenue for our other businesses is discussed separately below under the heading “Corporate and Other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Consolidated operating costs and expenses decreased for the three months ended September 30, 2017 primarily due to expenses associated with our broadcast of the 2016 Rio Olympics, which is reflected in our Cable Networks and Broadcast Television segments in the prior year period. The decrease was partially offset by increases in operating costs and expenses in our Cable Communications segment.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Cable Communications, Filmed Entertainment and Theme Parks segments accounted for the increase in consolidated operating costs and expenses for the nine months ended September 30, 2017, which was partially offset by decreases in our Cable Networks and Broadcast Television segments due to expenses associated with our broadcast of the 2016 Rio Olympics in the prior year period.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costs and expenses for our segments are discussed separately below under the heading “Segment Operating Results.” Operating costs and expenses for our corporate and other businesses and initiatives are discussed separately below under the heading “Corporate and Other Results of Operations.”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71"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color w:val="auto"/>
              </w:rPr>
              <w:t>Three Months Ended</w:t>
            </w:r>
          </w:p>
        </w:tc>
        <w:tc>
          <w:tcPr>
            <w:tcW w:w="144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Increase/</w:t>
            </w:r>
          </w:p>
        </w:tc>
        <w:tc>
          <w:tcPr>
            <w:tcW w:w="400" w:type="dxa"/>
            <w:vAlign w:val="bottom"/>
          </w:tcPr>
          <w:p>
            <w:pPr>
              <w:spacing w:after="0"/>
              <w:rPr>
                <w:sz w:val="13"/>
                <w:szCs w:val="13"/>
                <w:color w:val="auto"/>
              </w:rPr>
            </w:pPr>
          </w:p>
        </w:tc>
        <w:tc>
          <w:tcPr>
            <w:tcW w:w="2640" w:type="dxa"/>
            <w:vAlign w:val="bottom"/>
            <w:gridSpan w:val="3"/>
          </w:tcPr>
          <w:p>
            <w:pPr>
              <w:jc w:val="right"/>
              <w:ind w:right="914"/>
              <w:spacing w:after="0"/>
              <w:rPr>
                <w:sz w:val="20"/>
                <w:szCs w:val="20"/>
                <w:color w:val="auto"/>
              </w:rPr>
            </w:pPr>
            <w:r>
              <w:rPr>
                <w:rFonts w:ascii="Times New Roman" w:cs="Times New Roman" w:eastAsia="Times New Roman" w:hAnsi="Times New Roman"/>
                <w:sz w:val="14"/>
                <w:szCs w:val="14"/>
                <w:color w:val="auto"/>
              </w:rPr>
              <w:t>Nine Months Ended</w:t>
            </w:r>
          </w:p>
        </w:tc>
        <w:tc>
          <w:tcPr>
            <w:tcW w:w="1360" w:type="dxa"/>
            <w:vAlign w:val="bottom"/>
          </w:tcPr>
          <w:p>
            <w:pPr>
              <w:jc w:val="right"/>
              <w:ind w:right="336"/>
              <w:spacing w:after="0"/>
              <w:rPr>
                <w:sz w:val="20"/>
                <w:szCs w:val="20"/>
                <w:color w:val="auto"/>
              </w:rPr>
            </w:pPr>
            <w:r>
              <w:rPr>
                <w:rFonts w:ascii="Times New Roman" w:cs="Times New Roman" w:eastAsia="Times New Roman" w:hAnsi="Times New Roman"/>
                <w:sz w:val="14"/>
                <w:szCs w:val="14"/>
                <w:color w:val="auto"/>
              </w:rPr>
              <w:t>Increase/</w:t>
            </w:r>
          </w:p>
        </w:tc>
      </w:tr>
      <w:tr>
        <w:trPr>
          <w:trHeight w:val="193"/>
        </w:trPr>
        <w:tc>
          <w:tcPr>
            <w:tcW w:w="2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(Decrease)</w:t>
            </w: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September 30</w:t>
            </w:r>
          </w:p>
        </w:tc>
        <w:tc>
          <w:tcPr>
            <w:tcW w:w="10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rPr>
              <w:t>(Decrease)</w:t>
            </w:r>
          </w:p>
        </w:tc>
      </w:tr>
      <w:tr>
        <w:trPr>
          <w:trHeight w:val="264"/>
        </w:trPr>
        <w:tc>
          <w:tcPr>
            <w:tcW w:w="2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color w:val="auto"/>
              </w:rPr>
              <w:t>2017</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2016</w:t>
            </w:r>
          </w:p>
        </w:tc>
        <w:tc>
          <w:tcPr>
            <w:tcW w:w="14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color w:val="auto"/>
              </w:rPr>
              <w:t>2017</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rPr>
              <w:t>2016</w:t>
            </w:r>
          </w:p>
        </w:tc>
        <w:tc>
          <w:tcPr>
            <w:tcW w:w="1360" w:type="dxa"/>
            <w:vAlign w:val="bottom"/>
            <w:tcBorders>
              <w:bottom w:val="single" w:sz="8" w:color="auto"/>
            </w:tcBorders>
          </w:tcPr>
          <w:p>
            <w:pPr>
              <w:spacing w:after="0"/>
              <w:rPr>
                <w:sz w:val="22"/>
                <w:szCs w:val="22"/>
                <w:color w:val="auto"/>
              </w:rPr>
            </w:pPr>
          </w:p>
        </w:tc>
      </w:tr>
      <w:tr>
        <w:trPr>
          <w:trHeight w:val="242"/>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Cable Communications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2,049</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1,929</w:t>
            </w: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6,030</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5,676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70"/>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NBCUniversal</w:t>
            </w:r>
          </w:p>
        </w:tc>
        <w:tc>
          <w:tcPr>
            <w:tcW w:w="300" w:type="dxa"/>
            <w:vAlign w:val="bottom"/>
          </w:tcPr>
          <w:p>
            <w:pPr>
              <w:spacing w:after="0"/>
              <w:rPr>
                <w:sz w:val="23"/>
                <w:szCs w:val="23"/>
                <w:color w:val="auto"/>
              </w:rPr>
            </w:pPr>
          </w:p>
        </w:tc>
        <w:tc>
          <w:tcPr>
            <w:tcW w:w="10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506</w:t>
            </w:r>
          </w:p>
        </w:tc>
        <w:tc>
          <w:tcPr>
            <w:tcW w:w="540" w:type="dxa"/>
            <w:vAlign w:val="bottom"/>
          </w:tcPr>
          <w:p>
            <w:pPr>
              <w:spacing w:after="0"/>
              <w:rPr>
                <w:sz w:val="23"/>
                <w:szCs w:val="23"/>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445</w:t>
            </w:r>
          </w:p>
        </w:tc>
        <w:tc>
          <w:tcPr>
            <w:tcW w:w="1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13.5</w:t>
            </w:r>
          </w:p>
        </w:tc>
        <w:tc>
          <w:tcPr>
            <w:tcW w:w="400" w:type="dxa"/>
            <w:vAlign w:val="bottom"/>
          </w:tcPr>
          <w:p>
            <w:pPr>
              <w:spacing w:after="0"/>
              <w:rPr>
                <w:sz w:val="23"/>
                <w:szCs w:val="23"/>
                <w:color w:val="auto"/>
              </w:rPr>
            </w:pPr>
          </w:p>
        </w:tc>
        <w:tc>
          <w:tcPr>
            <w:tcW w:w="10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1,534</w:t>
            </w:r>
          </w:p>
        </w:tc>
        <w:tc>
          <w:tcPr>
            <w:tcW w:w="540" w:type="dxa"/>
            <w:vAlign w:val="bottom"/>
          </w:tcPr>
          <w:p>
            <w:pPr>
              <w:spacing w:after="0"/>
              <w:rPr>
                <w:sz w:val="23"/>
                <w:szCs w:val="23"/>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1,324</w:t>
            </w:r>
          </w:p>
        </w:tc>
        <w:tc>
          <w:tcPr>
            <w:tcW w:w="1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15.8</w:t>
            </w:r>
          </w:p>
        </w:tc>
      </w:tr>
      <w:tr>
        <w:trPr>
          <w:trHeight w:val="270"/>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Pr>
          <w:p>
            <w:pPr>
              <w:spacing w:after="0"/>
              <w:rPr>
                <w:sz w:val="23"/>
                <w:szCs w:val="23"/>
                <w:color w:val="auto"/>
              </w:rPr>
            </w:pPr>
          </w:p>
        </w:tc>
        <w:tc>
          <w:tcPr>
            <w:tcW w:w="10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23"/>
                <w:szCs w:val="23"/>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tcPr>
          <w:p>
            <w:pPr>
              <w:spacing w:after="0"/>
              <w:rPr>
                <w:sz w:val="23"/>
                <w:szCs w:val="23"/>
                <w:color w:val="auto"/>
              </w:rPr>
            </w:pPr>
          </w:p>
        </w:tc>
        <w:tc>
          <w:tcPr>
            <w:tcW w:w="10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59</w:t>
            </w:r>
          </w:p>
        </w:tc>
        <w:tc>
          <w:tcPr>
            <w:tcW w:w="540" w:type="dxa"/>
            <w:vAlign w:val="bottom"/>
          </w:tcPr>
          <w:p>
            <w:pPr>
              <w:spacing w:after="0"/>
              <w:rPr>
                <w:sz w:val="23"/>
                <w:szCs w:val="23"/>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62</w:t>
            </w: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2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rPr>
              <w:t>2,580</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2,395</w:t>
            </w: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7.7%</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rPr>
              <w:t>7,623</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7,062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r>
      <w:tr>
        <w:trPr>
          <w:trHeight w:val="34"/>
        </w:trPr>
        <w:tc>
          <w:tcPr>
            <w:tcW w:w="2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depreciation and amortization expense increased for both the three and nine months ended September 30, 2017 primarily due to increases in capital expenditures, as well as expenditures for software, in our Cable Communications segment in recent years and our continued investments in new attractions in our Theme Parks segment. We continue to invest to increase our network capacity and in customer premise equipment, primarily for our X1 platform, cloud DVR technology and wireless gateways. Certain of these assets have shorter estimated useful lives, which is also a contributor to the increase in depreciation expense for both the three and nine months ended September 30, 2017 in our Cable Communications segment.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Other Operating Gains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other operating gains for both the three and nine months ended September 30, 2017 included $337 million related to NBCUniversal’s relinquishment of spectrum rights (see Note 4 to Comcast’s condensed consolidated financial statements and Note 3 to NBCUniversal's condensed consolidated financial statements) and $105 million related to the sale of a business in Corporate and Other (see Note 6 to Comcast's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other income (expense) items, net,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Other income (expense) items, net include interest expense, investment income (loss), equity in net income (losses) of investees and other income (expense), net, as stated in our condensed consolidated statement of income. This measure eliminates the significant level of noncash depreciation and amortization expense that results from the capital-intensive nature of certain of our businesses and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We reconcile the aggregate amount of Adjusted EBITDA for our reportable business segments to consolidated income before income taxes in the business segment footnote to our condensed consolidated financial statements (see Note 11 to Comcast’s condensed consolidated financial statements and Note 10 to NBCUniversal’s condensed consolidated financial statements). This measure should not be considered a substitute for operating income (loss), net income (loss), net income (loss) attributable to Comcast Corporation or NBCUniversal, net cash provided by operating activities, or other measures of performance or liquidity we have reported in accordance with generally accepted accounting principles in the United States.</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be consistent with our current management reporting presentation, certain 2016 operating results were reclassified within the Cable Communications segment.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71"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gridSpan w:val="3"/>
          </w:tcPr>
          <w:p>
            <w:pPr>
              <w:jc w:val="right"/>
              <w:ind w:right="791"/>
              <w:spacing w:after="0"/>
              <w:rPr>
                <w:sz w:val="20"/>
                <w:szCs w:val="20"/>
                <w:color w:val="auto"/>
              </w:rPr>
            </w:pPr>
            <w:r>
              <w:rPr>
                <w:rFonts w:ascii="Times New Roman" w:cs="Times New Roman" w:eastAsia="Times New Roman" w:hAnsi="Times New Roman"/>
                <w:sz w:val="14"/>
                <w:szCs w:val="14"/>
                <w:color w:val="auto"/>
              </w:rPr>
              <w:t>Three Months Ended</w:t>
            </w:r>
          </w:p>
        </w:tc>
        <w:tc>
          <w:tcPr>
            <w:tcW w:w="520" w:type="dxa"/>
            <w:vAlign w:val="bottom"/>
          </w:tcPr>
          <w:p>
            <w:pPr>
              <w:spacing w:after="0"/>
              <w:rPr>
                <w:sz w:val="13"/>
                <w:szCs w:val="13"/>
                <w:color w:val="auto"/>
              </w:rPr>
            </w:pPr>
          </w:p>
        </w:tc>
        <w:tc>
          <w:tcPr>
            <w:tcW w:w="170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Increase/</w:t>
            </w: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3"/>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(Decrease)</w:t>
            </w: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2016</w:t>
            </w:r>
          </w:p>
        </w:tc>
        <w:tc>
          <w:tcPr>
            <w:tcW w:w="5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22"/>
                <w:szCs w:val="22"/>
                <w:color w:val="auto"/>
              </w:rPr>
            </w:pPr>
          </w:p>
        </w:tc>
      </w:tr>
      <w:tr>
        <w:trPr>
          <w:trHeight w:val="242"/>
        </w:trPr>
        <w:tc>
          <w:tcPr>
            <w:tcW w:w="4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Video</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5,825</w:t>
            </w: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234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High-speed Internet</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3,709</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52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304</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Voice</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840</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520" w:type="dxa"/>
            <w:vAlign w:val="bottom"/>
          </w:tcPr>
          <w:p>
            <w:pPr>
              <w:spacing w:after="0"/>
              <w:rPr>
                <w:sz w:val="23"/>
                <w:szCs w:val="23"/>
                <w:color w:val="auto"/>
              </w:rPr>
            </w:pPr>
          </w:p>
        </w:tc>
        <w:tc>
          <w:tcPr>
            <w:tcW w:w="170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Business services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1,575</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52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176</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542</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520" w:type="dxa"/>
            <w:vAlign w:val="bottom"/>
          </w:tcPr>
          <w:p>
            <w:pPr>
              <w:spacing w:after="0"/>
              <w:rPr>
                <w:sz w:val="23"/>
                <w:szCs w:val="23"/>
                <w:color w:val="auto"/>
              </w:rPr>
            </w:pPr>
          </w:p>
        </w:tc>
        <w:tc>
          <w:tcPr>
            <w:tcW w:w="170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(83)</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712</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52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53</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13,203</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12,557</w:t>
            </w:r>
          </w:p>
        </w:tc>
        <w:tc>
          <w:tcPr>
            <w:tcW w:w="520" w:type="dxa"/>
            <w:vAlign w:val="bottom"/>
          </w:tcPr>
          <w:p>
            <w:pPr>
              <w:spacing w:after="0"/>
              <w:rPr>
                <w:sz w:val="20"/>
                <w:szCs w:val="20"/>
                <w:color w:val="auto"/>
              </w:rPr>
            </w:pP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646</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5.1</w:t>
            </w:r>
          </w:p>
        </w:tc>
        <w:tc>
          <w:tcPr>
            <w:tcW w:w="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3,264</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52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359</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Technical and product support</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1,633</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52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service</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626</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520" w:type="dxa"/>
            <w:vAlign w:val="bottom"/>
          </w:tcPr>
          <w:p>
            <w:pPr>
              <w:spacing w:after="0"/>
              <w:rPr>
                <w:sz w:val="23"/>
                <w:szCs w:val="23"/>
                <w:color w:val="auto"/>
              </w:rPr>
            </w:pPr>
          </w:p>
        </w:tc>
        <w:tc>
          <w:tcPr>
            <w:tcW w:w="170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912</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520" w:type="dxa"/>
            <w:vAlign w:val="bottom"/>
          </w:tcPr>
          <w:p>
            <w:pPr>
              <w:spacing w:after="0"/>
              <w:rPr>
                <w:sz w:val="23"/>
                <w:szCs w:val="23"/>
                <w:color w:val="auto"/>
              </w:rPr>
            </w:pPr>
          </w:p>
        </w:tc>
        <w:tc>
          <w:tcPr>
            <w:tcW w:w="170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Franchise and other regulatory fees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379</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52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1,143</w:t>
            </w:r>
          </w:p>
        </w:tc>
        <w:tc>
          <w:tcPr>
            <w:tcW w:w="6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52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7,957</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520" w:type="dxa"/>
            <w:vAlign w:val="bottom"/>
          </w:tcPr>
          <w:p>
            <w:pPr>
              <w:spacing w:after="0"/>
              <w:rPr>
                <w:sz w:val="20"/>
                <w:szCs w:val="20"/>
                <w:color w:val="auto"/>
              </w:rPr>
            </w:pP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386</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5,246</w:t>
            </w: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4,986</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260</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5.2 %</w:t>
            </w:r>
          </w:p>
        </w:tc>
      </w:tr>
      <w:tr>
        <w:trPr>
          <w:trHeight w:val="34"/>
        </w:trPr>
        <w:tc>
          <w:tcPr>
            <w:tcW w:w="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788"/>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Increase/</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(Decrease)</w:t>
            </w: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64"/>
        </w:trPr>
        <w:tc>
          <w:tcPr>
            <w:tcW w:w="5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2016</w:t>
            </w:r>
          </w:p>
        </w:tc>
        <w:tc>
          <w:tcPr>
            <w:tcW w:w="5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273"/>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r>
      <w:tr>
        <w:trPr>
          <w:trHeight w:val="242"/>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Video</w:t>
            </w: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17,396</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16,710</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686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High-speed Internet</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10,994</w:t>
            </w:r>
          </w:p>
        </w:tc>
        <w:tc>
          <w:tcPr>
            <w:tcW w:w="6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10,049</w:t>
            </w:r>
          </w:p>
        </w:tc>
        <w:tc>
          <w:tcPr>
            <w:tcW w:w="520" w:type="dxa"/>
            <w:vAlign w:val="bottom"/>
          </w:tcPr>
          <w:p>
            <w:pPr>
              <w:spacing w:after="0"/>
              <w:rPr>
                <w:sz w:val="23"/>
                <w:szCs w:val="23"/>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945</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Voice</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2,559</w:t>
            </w:r>
          </w:p>
        </w:tc>
        <w:tc>
          <w:tcPr>
            <w:tcW w:w="6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2,667</w:t>
            </w:r>
          </w:p>
        </w:tc>
        <w:tc>
          <w:tcPr>
            <w:tcW w:w="520" w:type="dxa"/>
            <w:vAlign w:val="bottom"/>
          </w:tcPr>
          <w:p>
            <w:pPr>
              <w:spacing w:after="0"/>
              <w:rPr>
                <w:sz w:val="23"/>
                <w:szCs w:val="23"/>
                <w:color w:val="auto"/>
              </w:rPr>
            </w:pPr>
          </w:p>
        </w:tc>
        <w:tc>
          <w:tcPr>
            <w:tcW w:w="170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(108)</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Business services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4,596</w:t>
            </w:r>
          </w:p>
        </w:tc>
        <w:tc>
          <w:tcPr>
            <w:tcW w:w="6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4,070</w:t>
            </w:r>
          </w:p>
        </w:tc>
        <w:tc>
          <w:tcPr>
            <w:tcW w:w="520" w:type="dxa"/>
            <w:vAlign w:val="bottom"/>
          </w:tcPr>
          <w:p>
            <w:pPr>
              <w:spacing w:after="0"/>
              <w:rPr>
                <w:sz w:val="23"/>
                <w:szCs w:val="23"/>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526</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Advertising</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1,628</w:t>
            </w:r>
          </w:p>
        </w:tc>
        <w:tc>
          <w:tcPr>
            <w:tcW w:w="6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1,757</w:t>
            </w:r>
          </w:p>
        </w:tc>
        <w:tc>
          <w:tcPr>
            <w:tcW w:w="520" w:type="dxa"/>
            <w:vAlign w:val="bottom"/>
          </w:tcPr>
          <w:p>
            <w:pPr>
              <w:spacing w:after="0"/>
              <w:rPr>
                <w:sz w:val="23"/>
                <w:szCs w:val="23"/>
                <w:color w:val="auto"/>
              </w:rPr>
            </w:pPr>
          </w:p>
        </w:tc>
        <w:tc>
          <w:tcPr>
            <w:tcW w:w="170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(129)</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2,064</w:t>
            </w:r>
          </w:p>
        </w:tc>
        <w:tc>
          <w:tcPr>
            <w:tcW w:w="6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1,952</w:t>
            </w:r>
          </w:p>
        </w:tc>
        <w:tc>
          <w:tcPr>
            <w:tcW w:w="520" w:type="dxa"/>
            <w:vAlign w:val="bottom"/>
          </w:tcPr>
          <w:p>
            <w:pPr>
              <w:spacing w:after="0"/>
              <w:rPr>
                <w:sz w:val="23"/>
                <w:szCs w:val="23"/>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112</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3"/>
                <w:szCs w:val="23"/>
                <w:color w:val="auto"/>
              </w:rPr>
            </w:pPr>
          </w:p>
        </w:tc>
      </w:tr>
      <w:tr>
        <w:trPr>
          <w:trHeight w:val="27"/>
        </w:trPr>
        <w:tc>
          <w:tcPr>
            <w:tcW w:w="5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39,237</w:t>
            </w:r>
          </w:p>
        </w:tc>
        <w:tc>
          <w:tcPr>
            <w:tcW w:w="6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37,205</w:t>
            </w:r>
          </w:p>
        </w:tc>
        <w:tc>
          <w:tcPr>
            <w:tcW w:w="520" w:type="dxa"/>
            <w:vAlign w:val="bottom"/>
          </w:tcPr>
          <w:p>
            <w:pPr>
              <w:spacing w:after="0"/>
              <w:rPr>
                <w:sz w:val="20"/>
                <w:szCs w:val="20"/>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2,032</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5.5</w:t>
            </w:r>
          </w:p>
        </w:tc>
        <w:tc>
          <w:tcPr>
            <w:tcW w:w="40" w:type="dxa"/>
            <w:vAlign w:val="bottom"/>
          </w:tcPr>
          <w:p>
            <w:pPr>
              <w:spacing w:after="0"/>
              <w:rPr>
                <w:sz w:val="20"/>
                <w:szCs w:val="20"/>
                <w:color w:val="auto"/>
              </w:rPr>
            </w:pPr>
          </w:p>
        </w:tc>
      </w:tr>
      <w:tr>
        <w:trPr>
          <w:trHeight w:val="270"/>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Programming</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9,698</w:t>
            </w:r>
          </w:p>
        </w:tc>
        <w:tc>
          <w:tcPr>
            <w:tcW w:w="6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8,659</w:t>
            </w:r>
          </w:p>
        </w:tc>
        <w:tc>
          <w:tcPr>
            <w:tcW w:w="520" w:type="dxa"/>
            <w:vAlign w:val="bottom"/>
          </w:tcPr>
          <w:p>
            <w:pPr>
              <w:spacing w:after="0"/>
              <w:rPr>
                <w:sz w:val="23"/>
                <w:szCs w:val="23"/>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1,039</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Technical and product support</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4,778</w:t>
            </w:r>
          </w:p>
        </w:tc>
        <w:tc>
          <w:tcPr>
            <w:tcW w:w="6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4,674</w:t>
            </w:r>
          </w:p>
        </w:tc>
        <w:tc>
          <w:tcPr>
            <w:tcW w:w="520" w:type="dxa"/>
            <w:vAlign w:val="bottom"/>
          </w:tcPr>
          <w:p>
            <w:pPr>
              <w:spacing w:after="0"/>
              <w:rPr>
                <w:sz w:val="23"/>
                <w:szCs w:val="23"/>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service</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1,854</w:t>
            </w:r>
          </w:p>
        </w:tc>
        <w:tc>
          <w:tcPr>
            <w:tcW w:w="6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1,869</w:t>
            </w:r>
          </w:p>
        </w:tc>
        <w:tc>
          <w:tcPr>
            <w:tcW w:w="520" w:type="dxa"/>
            <w:vAlign w:val="bottom"/>
          </w:tcPr>
          <w:p>
            <w:pPr>
              <w:spacing w:after="0"/>
              <w:rPr>
                <w:sz w:val="23"/>
                <w:szCs w:val="23"/>
                <w:color w:val="auto"/>
              </w:rPr>
            </w:pPr>
          </w:p>
        </w:tc>
        <w:tc>
          <w:tcPr>
            <w:tcW w:w="170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2,666</w:t>
            </w:r>
          </w:p>
        </w:tc>
        <w:tc>
          <w:tcPr>
            <w:tcW w:w="6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2,646</w:t>
            </w:r>
          </w:p>
        </w:tc>
        <w:tc>
          <w:tcPr>
            <w:tcW w:w="520" w:type="dxa"/>
            <w:vAlign w:val="bottom"/>
          </w:tcPr>
          <w:p>
            <w:pPr>
              <w:spacing w:after="0"/>
              <w:rPr>
                <w:sz w:val="23"/>
                <w:szCs w:val="23"/>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Franchise and other regulatory fees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1,142</w:t>
            </w:r>
          </w:p>
        </w:tc>
        <w:tc>
          <w:tcPr>
            <w:tcW w:w="6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1,106</w:t>
            </w:r>
          </w:p>
        </w:tc>
        <w:tc>
          <w:tcPr>
            <w:tcW w:w="520" w:type="dxa"/>
            <w:vAlign w:val="bottom"/>
          </w:tcPr>
          <w:p>
            <w:pPr>
              <w:spacing w:after="0"/>
              <w:rPr>
                <w:sz w:val="23"/>
                <w:szCs w:val="23"/>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36</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3,335</w:t>
            </w:r>
          </w:p>
        </w:tc>
        <w:tc>
          <w:tcPr>
            <w:tcW w:w="64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3,328</w:t>
            </w:r>
          </w:p>
        </w:tc>
        <w:tc>
          <w:tcPr>
            <w:tcW w:w="520" w:type="dxa"/>
            <w:vAlign w:val="bottom"/>
          </w:tcPr>
          <w:p>
            <w:pPr>
              <w:spacing w:after="0"/>
              <w:rPr>
                <w:sz w:val="23"/>
                <w:szCs w:val="23"/>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23"/>
                <w:szCs w:val="23"/>
                <w:color w:val="auto"/>
              </w:rPr>
            </w:pPr>
          </w:p>
        </w:tc>
      </w:tr>
      <w:tr>
        <w:trPr>
          <w:trHeight w:val="27"/>
        </w:trPr>
        <w:tc>
          <w:tcPr>
            <w:tcW w:w="5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23,473</w:t>
            </w:r>
          </w:p>
        </w:tc>
        <w:tc>
          <w:tcPr>
            <w:tcW w:w="6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22,282</w:t>
            </w:r>
          </w:p>
        </w:tc>
        <w:tc>
          <w:tcPr>
            <w:tcW w:w="520" w:type="dxa"/>
            <w:vAlign w:val="bottom"/>
          </w:tcPr>
          <w:p>
            <w:pPr>
              <w:spacing w:after="0"/>
              <w:rPr>
                <w:sz w:val="20"/>
                <w:szCs w:val="20"/>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1,191</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20"/>
                <w:szCs w:val="20"/>
                <w:color w:val="auto"/>
              </w:rPr>
            </w:pPr>
          </w:p>
        </w:tc>
      </w:tr>
      <w:tr>
        <w:trPr>
          <w:trHeight w:val="27"/>
        </w:trPr>
        <w:tc>
          <w:tcPr>
            <w:tcW w:w="5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15,764</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14,923</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841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5.6 %</w:t>
            </w:r>
          </w:p>
        </w:tc>
        <w:tc>
          <w:tcPr>
            <w:tcW w:w="40" w:type="dxa"/>
            <w:vAlign w:val="bottom"/>
          </w:tcPr>
          <w:p>
            <w:pPr>
              <w:spacing w:after="0"/>
              <w:rPr>
                <w:sz w:val="20"/>
                <w:szCs w:val="20"/>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71" w:right="25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71" w:right="25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2200" w:type="dxa"/>
            <w:vAlign w:val="bottom"/>
            <w:tcBorders>
              <w:bottom w:val="single" w:sz="8" w:color="auto"/>
            </w:tcBorders>
            <w:gridSpan w:val="2"/>
          </w:tcPr>
          <w:p>
            <w:pPr>
              <w:jc w:val="right"/>
              <w:ind w:right="591"/>
              <w:spacing w:after="0"/>
              <w:rPr>
                <w:sz w:val="20"/>
                <w:szCs w:val="20"/>
                <w:color w:val="auto"/>
              </w:rPr>
            </w:pPr>
            <w:r>
              <w:rPr>
                <w:rFonts w:ascii="Times New Roman" w:cs="Times New Roman" w:eastAsia="Times New Roman" w:hAnsi="Times New Roman"/>
                <w:sz w:val="14"/>
                <w:szCs w:val="14"/>
                <w:color w:val="auto"/>
              </w:rPr>
              <w:t>Total Customers</w:t>
            </w:r>
          </w:p>
        </w:tc>
        <w:tc>
          <w:tcPr>
            <w:tcW w:w="10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333"/>
              <w:spacing w:after="0"/>
              <w:rPr>
                <w:sz w:val="20"/>
                <w:szCs w:val="20"/>
                <w:color w:val="auto"/>
              </w:rPr>
            </w:pPr>
            <w:r>
              <w:rPr>
                <w:rFonts w:ascii="Times New Roman" w:cs="Times New Roman" w:eastAsia="Times New Roman" w:hAnsi="Times New Roman"/>
                <w:sz w:val="14"/>
                <w:szCs w:val="14"/>
                <w:color w:val="auto"/>
              </w:rPr>
              <w:t>Net Additional Customers</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260" w:type="dxa"/>
            <w:vAlign w:val="bottom"/>
          </w:tcPr>
          <w:p>
            <w:pPr>
              <w:spacing w:after="0"/>
              <w:rPr>
                <w:sz w:val="13"/>
                <w:szCs w:val="13"/>
                <w:color w:val="auto"/>
              </w:rPr>
            </w:pPr>
          </w:p>
        </w:tc>
        <w:tc>
          <w:tcPr>
            <w:tcW w:w="2200" w:type="dxa"/>
            <w:vAlign w:val="bottom"/>
            <w:gridSpan w:val="2"/>
            <w:vMerge w:val="restart"/>
          </w:tcPr>
          <w:p>
            <w:pPr>
              <w:jc w:val="right"/>
              <w:ind w:right="651"/>
              <w:spacing w:after="0"/>
              <w:rPr>
                <w:sz w:val="20"/>
                <w:szCs w:val="20"/>
                <w:color w:val="auto"/>
              </w:rPr>
            </w:pPr>
            <w:r>
              <w:rPr>
                <w:rFonts w:ascii="Times New Roman" w:cs="Times New Roman" w:eastAsia="Times New Roman" w:hAnsi="Times New Roman"/>
                <w:sz w:val="14"/>
                <w:szCs w:val="14"/>
                <w:color w:val="auto"/>
              </w:rPr>
              <w:t>September 30</w:t>
            </w:r>
          </w:p>
        </w:tc>
        <w:tc>
          <w:tcPr>
            <w:tcW w:w="2100" w:type="dxa"/>
            <w:vAlign w:val="bottom"/>
            <w:gridSpan w:val="2"/>
          </w:tcPr>
          <w:p>
            <w:pPr>
              <w:jc w:val="right"/>
              <w:ind w:right="492"/>
              <w:spacing w:after="0" w:line="151" w:lineRule="exact"/>
              <w:rPr>
                <w:sz w:val="20"/>
                <w:szCs w:val="20"/>
                <w:color w:val="auto"/>
              </w:rPr>
            </w:pPr>
            <w:r>
              <w:rPr>
                <w:rFonts w:ascii="Times New Roman" w:cs="Times New Roman" w:eastAsia="Times New Roman" w:hAnsi="Times New Roman"/>
                <w:sz w:val="14"/>
                <w:szCs w:val="14"/>
                <w:color w:val="auto"/>
              </w:rPr>
              <w:t>Three Months Ended</w:t>
            </w:r>
          </w:p>
        </w:tc>
        <w:tc>
          <w:tcPr>
            <w:tcW w:w="1860" w:type="dxa"/>
            <w:vAlign w:val="bottom"/>
            <w:gridSpan w:val="2"/>
          </w:tcPr>
          <w:p>
            <w:pPr>
              <w:jc w:val="right"/>
              <w:ind w:right="331"/>
              <w:spacing w:after="0" w:line="151" w:lineRule="exact"/>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0" w:type="dxa"/>
            <w:vAlign w:val="bottom"/>
            <w:tcBorders>
              <w:bottom w:val="single" w:sz="8" w:color="auto"/>
            </w:tcBorders>
            <w:gridSpan w:val="2"/>
            <w:vMerge w:val="continue"/>
          </w:tcPr>
          <w:p>
            <w:pPr>
              <w:spacing w:after="0"/>
              <w:rPr>
                <w:sz w:val="16"/>
                <w:szCs w:val="16"/>
                <w:color w:val="auto"/>
              </w:rPr>
            </w:pPr>
          </w:p>
        </w:tc>
        <w:tc>
          <w:tcPr>
            <w:tcW w:w="2100" w:type="dxa"/>
            <w:vAlign w:val="bottom"/>
            <w:tcBorders>
              <w:bottom w:val="single" w:sz="8" w:color="auto"/>
            </w:tcBorders>
            <w:gridSpan w:val="2"/>
          </w:tcPr>
          <w:p>
            <w:pPr>
              <w:jc w:val="right"/>
              <w:ind w:right="692"/>
              <w:spacing w:after="0"/>
              <w:rPr>
                <w:sz w:val="20"/>
                <w:szCs w:val="20"/>
                <w:color w:val="auto"/>
              </w:rPr>
            </w:pPr>
            <w:r>
              <w:rPr>
                <w:rFonts w:ascii="Times New Roman" w:cs="Times New Roman" w:eastAsia="Times New Roman" w:hAnsi="Times New Roman"/>
                <w:sz w:val="14"/>
                <w:szCs w:val="14"/>
                <w:color w:val="auto"/>
              </w:rPr>
              <w:t>September 30</w:t>
            </w:r>
          </w:p>
        </w:tc>
        <w:tc>
          <w:tcPr>
            <w:tcW w:w="1860" w:type="dxa"/>
            <w:vAlign w:val="bottom"/>
            <w:tcBorders>
              <w:bottom w:val="single" w:sz="8" w:color="auto"/>
            </w:tcBorders>
            <w:gridSpan w:val="2"/>
          </w:tcPr>
          <w:p>
            <w:pPr>
              <w:jc w:val="right"/>
              <w:ind w:right="511"/>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8"/>
        </w:trPr>
        <w:tc>
          <w:tcPr>
            <w:tcW w:w="5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 except per customer amounts)</w:t>
            </w: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2017</w:t>
            </w: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2016</w:t>
            </w: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2017</w:t>
            </w: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2016</w:t>
            </w: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2017</w:t>
            </w: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42"/>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Video</w:t>
            </w: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Video residential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21,341</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21,420</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(134)</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(147)</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Video business services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1,049</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1,007</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video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22,390</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22,428</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(125)</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(118)</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High-Speed Internet</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High-speed Internet residential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23,546</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22,477</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182</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288</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718</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7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High-speed Internet business services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1,974</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1,839</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high-speed Internet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25,519</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24,316</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214</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330</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818</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Voice</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Voice residential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10,351</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10,527</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(119)</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(195)</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Voice business services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1,214</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1,116</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74</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voice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11,565</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11,643</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(94)</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(122)</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Security and Automation</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and automation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1,079</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815</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188</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customer relationships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26,957</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26,312</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83</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175</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424</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7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services customer relationships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2,146</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2,006</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29,104</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28,318</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217</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527</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Residential customer relationships mix</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Single product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8,055</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7,722</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125</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299</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Double product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8,983</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8,682</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97</w:t>
            </w: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186</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Triple and quad product customers</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9,919</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9,908</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(79)</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(61)</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Customer metrics are presented based on actual amounts. Minor differences may exist due to rounding. Beginning in 2017, we include prepaid customers, which are customers who prepay for at least 30 days of service, in our customer metrics. Residential video and high-speed Internet customers as of September 30, 2017 included prepaid customers totaling approximately 2,000 and 42,000, respectively. Customer relationships represent the number of residential and business customers that subscribe to at least one of our cable services. Single product, double product, and triple and quad product customers represent residential customers that subscribe to one, two, or three and four of our cable services, respectively. Beginning in 2017, we include customers subscribing to our security and automation services in customer relationship information. All periods presented have been adjusted for the inclusion of security and automation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monthly total revenue per customer relationship for the three and nine months ended September 30, 2017 was $151.51 and $151.16,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monthly total revenue per customer relationship for the three and nine months ended September 30, 2016 was $148.38 and $147.55,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Video revenue increased 4.2% and 4.1% for the three and nine months ended September 30, 2017, respectively, compared to the same periods in 2016. The primary contributors to revenue growth were rate adjustments, revenue received from a boxing event available on pay-per-view and increases in the number of residential customers subscribing to additional services such as advanced services, which are high-definition video and DVR services. These contributors accounted for substantially all of the increases in revenue for the three and nine months ended September 30, 2017. We have experienced, and may experience in the future, declines in the number of residential video customers due to competitive pressures and the impact of rate adjustments. Competition is intense, both from traditional multichannel video providers and from new technologies and distribution platforms for viewing content. We have responded to this competition, and have attempted to mitigate industry-wide declines in residential video customers at traditional multichannel video providers, through our X1 platform and sales and marketing programs, such as promotions, bundled service offerings and service offerings targeted at specific market segments.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High-speed Internet revenue increased 8.9% and 9.4% for the three and nine months ended September 30, 2017, respectively, compared to the same periods in 2016. Increases in the number of residential customers receiving our high-speed Internet services accounted for increases in revenue of 5.0% and 5.2% for the three and nine months ended September 30, 2017, respectively. The remaining increases in revenue were primarily due to increases in the number of customers receiving higher levels of service and</w:t>
      </w:r>
    </w:p>
    <w:p>
      <w:pPr>
        <w:sectPr>
          <w:pgSz w:w="11900" w:h="16838" w:orient="portrait"/>
          <w:cols w:equalWidth="0" w:num="1">
            <w:col w:w="11420"/>
          </w:cols>
          <w:pgMar w:left="240" w:top="171"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71"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ind w:right="180"/>
        <w:spacing w:after="0" w:line="359" w:lineRule="auto"/>
        <w:rPr>
          <w:sz w:val="20"/>
          <w:szCs w:val="20"/>
          <w:color w:val="auto"/>
        </w:rPr>
      </w:pPr>
      <w:r>
        <w:rPr>
          <w:rFonts w:ascii="Times New Roman" w:cs="Times New Roman" w:eastAsia="Times New Roman" w:hAnsi="Times New Roman"/>
          <w:sz w:val="18"/>
          <w:szCs w:val="18"/>
          <w:color w:val="auto"/>
        </w:rPr>
        <w:t xml:space="preserve">the impact of rate adjustments. Our customer base continues to grow as consumers choose our high-speed Internet services and seek higher-speed offerings. </w:t>
      </w:r>
      <w:r>
        <w:rPr>
          <w:rFonts w:ascii="Arial" w:cs="Arial" w:eastAsia="Arial" w:hAnsi="Arial"/>
          <w:sz w:val="18"/>
          <w:szCs w:val="18"/>
          <w:b w:val="1"/>
          <w:bCs w:val="1"/>
          <w:i w:val="1"/>
          <w:iCs w:val="1"/>
          <w:color w:val="auto"/>
        </w:rPr>
        <w:t>Voice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Voice revenue decreased 4.5% and 4.1% for the three and nine months ended September 30, 2017, respectively, compared to the same periods in 2016. The decreases were primarily due to the allocation of voice revenue for our customers who received bundled services. The amount allocated to voice revenue in the rate charged for bundled services decreased for the three and nine months ended September 30, 2017 because video and high-speed Internet rates increased while voice rates remained relatively flat. The decreases in revenue were also partially due to decreases in the number of residential voice customers, which may continue to decline.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services revenue increased 12.6% and 12.9% for the three and nine months ended September 30, 2017, respectively, compared to the same periods in 2016. The increases were primarily due to increases in the number of customers receiving our small and medium-sized business services offerings. We believe the increases in the number of business customers are primarily the result of our efforts to gain market share from competitors by offering competitive services and pricing, although the rate of growth in the number of our small business customers may slow as the business matures.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revenue decreased 13.2% and 7.3% for the three and nine months ended September 30, 2017, respectively, compared to the same periods in 2016 primarily due to decreases in political advertising revenue. Excluding political advertising revenue, advertising revenue decreased 4.7% and 2.7% for the three and nine months ended September 30, 2017, respectively, compared to the same periods in 2016.</w:t>
      </w:r>
    </w:p>
    <w:p>
      <w:pPr>
        <w:spacing w:after="0" w:line="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both the three and nine months ended September 30, 2017, 4% of our Cable Communications segment advertising revenue was generated from our NBCUniversal segments. For both the three and nine months ended September 30, 2016, 5% of our Cable Communications segment advertising revenue was generated from our NBCUniversal segments. These amounts are eliminated in our condensed consolidated financial statements but are included in the amounts presented above.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increased 7.8% and 5.7% for the three and nine months ended September 30, 2017, respectively, compared to the same periods in 2016 primarily due to increases in revenue associated with the licensing of our X1 platform to other multichannel video providers, increases in revenue from our security and automation services, and increases in cable franchise and other regulatory fees.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Programming expenses increased for the three and nine months ended September 30, 2017 compared to the same periods in 2016 primarily due to the timing of contract renewals, other increases in programming license fees, including retransmission consent fees and sports programming costs, and fees associated with a boxing event available on pay-per-view.</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Technical and product support expenses increased for the three and nine months ended September 30, 2017 compared to the same periods in 2016 primarily due to expenses related to the development, delivery and support of our X1 platform, cloud DVR technology and wireless gateways, and the continued growth in business services and security and automation services.</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service expenses remained relatively flat for the three and nine months ended September 30, 2017 compared to the same periods in 2016 primarily due to reduced call volumes, which were partially offset by increased personnel costs.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Advertising, marketing and promotion expenses decreased for the three months ended September 30, 2017 compared to the same period in 2016 primarily due to higher advertising expenses associated with the 2016 Rio Olympics in the prior year period. Advertising, marketing and promotion expenses remained relatively flat for the nine months ended September 30, 2017 compared to the same period in 2016, which reflects increases in spending in the current year period associated with attracting new customers and encouraging existing customers to add additional or higher-tier services offset by higher advertising expenses associated with the 2016 Rio Olympics.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Franchise and other regulatory fees increased for the three and nine months ended September 30, 2017 compared to the same periods in 2016 primarily due to increases in the revenue to which the fees apply.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costs and expenses remained relatively flat for the three and nine months ended September 30, 2017 compared to the same periods in 2016.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71"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Margin</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 We expect that our programming expenses will continue to increase, which may negatively impact our operating margin. We will attempt to mitigate increases in operating costs and expenses by growing revenue, particularly in our high-speed Internet, video and business services businesses, and through cost management. Adjusted EBITDA was negatively impacted by two hurricanes that affected our service areas in the third quarter of 2017.</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margin for both the three months ended September 30, 2017 and 2016 was 39.7%. Our operating margin for the nine months ended September 30, 2017 and 2016 was 40.2% and 40.1%,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2"/>
          </w:tcPr>
          <w:p>
            <w:pPr>
              <w:jc w:val="center"/>
              <w:ind w:left="513"/>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center"/>
              <w:ind w:left="574"/>
              <w:spacing w:after="0"/>
              <w:rPr>
                <w:sz w:val="20"/>
                <w:szCs w:val="20"/>
                <w:color w:val="auto"/>
              </w:rPr>
            </w:pPr>
            <w:r>
              <w:rPr>
                <w:rFonts w:ascii="Times New Roman" w:cs="Times New Roman" w:eastAsia="Times New Roman" w:hAnsi="Times New Roman"/>
                <w:sz w:val="14"/>
                <w:szCs w:val="14"/>
                <w:color w:val="auto"/>
              </w:rPr>
              <w:t>Increase/</w:t>
            </w:r>
          </w:p>
        </w:tc>
        <w:tc>
          <w:tcPr>
            <w:tcW w:w="1040" w:type="dxa"/>
            <w:vAlign w:val="bottom"/>
          </w:tcPr>
          <w:p>
            <w:pPr>
              <w:spacing w:after="0"/>
              <w:rPr>
                <w:sz w:val="13"/>
                <w:szCs w:val="13"/>
                <w:color w:val="auto"/>
              </w:rPr>
            </w:pPr>
          </w:p>
        </w:tc>
      </w:tr>
      <w:tr>
        <w:trPr>
          <w:trHeight w:val="193"/>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3"/>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74"/>
              <w:spacing w:after="0"/>
              <w:rPr>
                <w:sz w:val="20"/>
                <w:szCs w:val="20"/>
                <w:color w:val="auto"/>
              </w:rPr>
            </w:pPr>
            <w:r>
              <w:rPr>
                <w:rFonts w:ascii="Times New Roman" w:cs="Times New Roman" w:eastAsia="Times New Roman" w:hAnsi="Times New Roman"/>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2016</w:t>
            </w:r>
          </w:p>
        </w:tc>
        <w:tc>
          <w:tcPr>
            <w:tcW w:w="5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4"/>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Cable Networks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2,603</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2,942</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(339)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2,133</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3,087</w:t>
            </w:r>
          </w:p>
        </w:tc>
        <w:tc>
          <w:tcPr>
            <w:tcW w:w="52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(954)</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(30.9)</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1,784</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1,792</w:t>
            </w:r>
          </w:p>
        </w:tc>
        <w:tc>
          <w:tcPr>
            <w:tcW w:w="52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1,550</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1,440</w:t>
            </w:r>
          </w:p>
        </w:tc>
        <w:tc>
          <w:tcPr>
            <w:tcW w:w="52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7.7</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(83)</w:t>
            </w:r>
          </w:p>
        </w:tc>
        <w:tc>
          <w:tcPr>
            <w:tcW w:w="52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8,014</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9,178</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(1,164)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Cable Networks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905</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893</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321</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378</w:t>
            </w:r>
          </w:p>
        </w:tc>
        <w:tc>
          <w:tcPr>
            <w:tcW w:w="52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(57)</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394</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353</w:t>
            </w:r>
          </w:p>
        </w:tc>
        <w:tc>
          <w:tcPr>
            <w:tcW w:w="52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11.9</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775</w:t>
            </w:r>
          </w:p>
        </w:tc>
        <w:tc>
          <w:tcPr>
            <w:tcW w:w="66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706</w:t>
            </w:r>
          </w:p>
        </w:tc>
        <w:tc>
          <w:tcPr>
            <w:tcW w:w="52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69</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9.8</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(121)</w:t>
            </w:r>
          </w:p>
        </w:tc>
        <w:tc>
          <w:tcPr>
            <w:tcW w:w="6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(184)</w:t>
            </w:r>
          </w:p>
        </w:tc>
        <w:tc>
          <w:tcPr>
            <w:tcW w:w="52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63</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2,274</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2,146</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128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96"/>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left="513"/>
              <w:spacing w:after="0"/>
              <w:rPr>
                <w:sz w:val="20"/>
                <w:szCs w:val="20"/>
                <w:color w:val="auto"/>
              </w:rPr>
            </w:pPr>
            <w:r>
              <w:rPr>
                <w:rFonts w:ascii="Times New Roman" w:cs="Times New Roman" w:eastAsia="Times New Roman" w:hAnsi="Times New Roman"/>
                <w:sz w:val="14"/>
                <w:szCs w:val="14"/>
                <w:color w:val="auto"/>
              </w:rPr>
              <w:t>Nine Months Ended</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jc w:val="center"/>
              <w:ind w:left="574"/>
              <w:spacing w:after="0"/>
              <w:rPr>
                <w:sz w:val="20"/>
                <w:szCs w:val="20"/>
                <w:color w:val="auto"/>
              </w:rPr>
            </w:pPr>
            <w:r>
              <w:rPr>
                <w:rFonts w:ascii="Times New Roman" w:cs="Times New Roman" w:eastAsia="Times New Roman" w:hAnsi="Times New Roman"/>
                <w:sz w:val="14"/>
                <w:szCs w:val="14"/>
                <w:color w:val="auto"/>
              </w:rPr>
              <w:t>Increase/</w:t>
            </w:r>
          </w:p>
        </w:tc>
        <w:tc>
          <w:tcPr>
            <w:tcW w:w="1040" w:type="dxa"/>
            <w:vAlign w:val="bottom"/>
          </w:tcPr>
          <w:p>
            <w:pPr>
              <w:spacing w:after="0"/>
              <w:rPr>
                <w:sz w:val="24"/>
                <w:szCs w:val="24"/>
                <w:color w:val="auto"/>
              </w:rPr>
            </w:pPr>
          </w:p>
        </w:tc>
      </w:tr>
      <w:tr>
        <w:trPr>
          <w:trHeight w:val="193"/>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3"/>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94"/>
              <w:spacing w:after="0"/>
              <w:rPr>
                <w:sz w:val="20"/>
                <w:szCs w:val="20"/>
                <w:color w:val="auto"/>
              </w:rPr>
            </w:pPr>
            <w:r>
              <w:rPr>
                <w:rFonts w:ascii="Times New Roman" w:cs="Times New Roman" w:eastAsia="Times New Roman" w:hAnsi="Times New Roman"/>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2016</w:t>
            </w:r>
          </w:p>
        </w:tc>
        <w:tc>
          <w:tcPr>
            <w:tcW w:w="5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Cable Networks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7,940</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7,961</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6,582</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7,299</w:t>
            </w:r>
          </w:p>
        </w:tc>
        <w:tc>
          <w:tcPr>
            <w:tcW w:w="52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(717)</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(9.8)</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5,920</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4,526</w:t>
            </w:r>
          </w:p>
        </w:tc>
        <w:tc>
          <w:tcPr>
            <w:tcW w:w="5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1,394</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30.8</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3,982</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3,602</w:t>
            </w:r>
          </w:p>
        </w:tc>
        <w:tc>
          <w:tcPr>
            <w:tcW w:w="5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380</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(211)</w:t>
            </w:r>
          </w:p>
        </w:tc>
        <w:tc>
          <w:tcPr>
            <w:tcW w:w="66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(246)</w:t>
            </w:r>
          </w:p>
        </w:tc>
        <w:tc>
          <w:tcPr>
            <w:tcW w:w="5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24,213</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23,142</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1,071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Cable Networks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3,076</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2,793</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283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1,059</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1,056</w:t>
            </w:r>
          </w:p>
        </w:tc>
        <w:tc>
          <w:tcPr>
            <w:tcW w:w="5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1,047</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576</w:t>
            </w:r>
          </w:p>
        </w:tc>
        <w:tc>
          <w:tcPr>
            <w:tcW w:w="5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471</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81.9</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1,723</w:t>
            </w:r>
          </w:p>
        </w:tc>
        <w:tc>
          <w:tcPr>
            <w:tcW w:w="660" w:type="dxa"/>
            <w:vAlign w:val="bottom"/>
          </w:tcPr>
          <w:p>
            <w:pPr>
              <w:spacing w:after="0"/>
              <w:rPr>
                <w:sz w:val="23"/>
                <w:szCs w:val="23"/>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1,550</w:t>
            </w:r>
          </w:p>
        </w:tc>
        <w:tc>
          <w:tcPr>
            <w:tcW w:w="52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173</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11.2</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(543)</w:t>
            </w:r>
          </w:p>
        </w:tc>
        <w:tc>
          <w:tcPr>
            <w:tcW w:w="66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(518)</w:t>
            </w:r>
          </w:p>
        </w:tc>
        <w:tc>
          <w:tcPr>
            <w:tcW w:w="52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6,362</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5,457</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905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13"/>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71"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center"/>
              <w:ind w:left="474"/>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40" w:type="dxa"/>
            <w:vAlign w:val="bottom"/>
          </w:tcPr>
          <w:p>
            <w:pPr>
              <w:jc w:val="center"/>
              <w:ind w:left="554"/>
              <w:spacing w:after="0"/>
              <w:rPr>
                <w:sz w:val="20"/>
                <w:szCs w:val="20"/>
                <w:color w:val="auto"/>
              </w:rPr>
            </w:pPr>
            <w:r>
              <w:rPr>
                <w:rFonts w:ascii="Times New Roman" w:cs="Times New Roman" w:eastAsia="Times New Roman" w:hAnsi="Times New Roman"/>
                <w:sz w:val="14"/>
                <w:szCs w:val="14"/>
                <w:color w:val="auto"/>
              </w:rPr>
              <w:t>Increase/</w:t>
            </w:r>
          </w:p>
        </w:tc>
        <w:tc>
          <w:tcPr>
            <w:tcW w:w="1040" w:type="dxa"/>
            <w:vAlign w:val="bottom"/>
          </w:tcPr>
          <w:p>
            <w:pPr>
              <w:spacing w:after="0"/>
              <w:rPr>
                <w:sz w:val="13"/>
                <w:szCs w:val="13"/>
                <w:color w:val="auto"/>
              </w:rPr>
            </w:pPr>
          </w:p>
        </w:tc>
      </w:tr>
      <w:tr>
        <w:trPr>
          <w:trHeight w:val="193"/>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Times New Roman" w:cs="Times New Roman" w:eastAsia="Times New Roman" w:hAnsi="Times New Roman"/>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2016</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1,533</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1,772</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(239)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787</w:t>
            </w:r>
          </w:p>
        </w:tc>
        <w:tc>
          <w:tcPr>
            <w:tcW w:w="6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943</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(156)</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(16.5)</w:t>
            </w: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283</w:t>
            </w:r>
          </w:p>
        </w:tc>
        <w:tc>
          <w:tcPr>
            <w:tcW w:w="6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227</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56</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24.0</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2,603</w:t>
            </w:r>
          </w:p>
        </w:tc>
        <w:tc>
          <w:tcPr>
            <w:tcW w:w="64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2,942</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(339)</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(11.5)</w:t>
            </w:r>
          </w:p>
        </w:tc>
      </w:tr>
      <w:tr>
        <w:trPr>
          <w:trHeight w:val="270"/>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1,219</w:t>
            </w:r>
          </w:p>
        </w:tc>
        <w:tc>
          <w:tcPr>
            <w:tcW w:w="6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1,572</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(353)</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(22.5)</w:t>
            </w: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344</w:t>
            </w:r>
          </w:p>
        </w:tc>
        <w:tc>
          <w:tcPr>
            <w:tcW w:w="6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344</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135</w:t>
            </w:r>
          </w:p>
        </w:tc>
        <w:tc>
          <w:tcPr>
            <w:tcW w:w="6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1,698</w:t>
            </w:r>
          </w:p>
        </w:tc>
        <w:tc>
          <w:tcPr>
            <w:tcW w:w="64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2,049</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(351)</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905</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893</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12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r>
      <w:tr>
        <w:trPr>
          <w:trHeight w:val="34"/>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2"/>
          </w:tcPr>
          <w:p>
            <w:pPr>
              <w:jc w:val="center"/>
              <w:ind w:left="454"/>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54"/>
              <w:spacing w:after="0"/>
              <w:rPr>
                <w:sz w:val="20"/>
                <w:szCs w:val="20"/>
                <w:color w:val="auto"/>
              </w:rPr>
            </w:pPr>
            <w:r>
              <w:rPr>
                <w:rFonts w:ascii="Times New Roman" w:cs="Times New Roman" w:eastAsia="Times New Roman" w:hAnsi="Times New Roman"/>
                <w:sz w:val="14"/>
                <w:szCs w:val="14"/>
                <w:color w:val="auto"/>
              </w:rPr>
              <w:t>Increase/</w:t>
            </w:r>
          </w:p>
        </w:tc>
        <w:tc>
          <w:tcPr>
            <w:tcW w:w="1040" w:type="dxa"/>
            <w:vAlign w:val="bottom"/>
          </w:tcPr>
          <w:p>
            <w:pPr>
              <w:spacing w:after="0"/>
              <w:rPr>
                <w:sz w:val="24"/>
                <w:szCs w:val="24"/>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Times New Roman" w:cs="Times New Roman" w:eastAsia="Times New Roman" w:hAnsi="Times New Roman"/>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5"/>
        </w:trPr>
        <w:tc>
          <w:tcPr>
            <w:tcW w:w="5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2017</w:t>
            </w:r>
          </w:p>
        </w:tc>
        <w:tc>
          <w:tcPr>
            <w:tcW w:w="6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2016</w:t>
            </w:r>
          </w:p>
        </w:tc>
        <w:tc>
          <w:tcPr>
            <w:tcW w:w="5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4,645</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4,644</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2,519</w:t>
            </w:r>
          </w:p>
        </w:tc>
        <w:tc>
          <w:tcPr>
            <w:tcW w:w="6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2,708</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(189)</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(7.0)</w:t>
            </w: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776</w:t>
            </w:r>
          </w:p>
        </w:tc>
        <w:tc>
          <w:tcPr>
            <w:tcW w:w="6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609</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167</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27.3</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7,940</w:t>
            </w:r>
          </w:p>
        </w:tc>
        <w:tc>
          <w:tcPr>
            <w:tcW w:w="64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7,961</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(21)</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70"/>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3,499</w:t>
            </w:r>
          </w:p>
        </w:tc>
        <w:tc>
          <w:tcPr>
            <w:tcW w:w="6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3,824</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(325)</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(8.5)</w:t>
            </w: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990</w:t>
            </w:r>
          </w:p>
        </w:tc>
        <w:tc>
          <w:tcPr>
            <w:tcW w:w="6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964</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26</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375</w:t>
            </w:r>
          </w:p>
        </w:tc>
        <w:tc>
          <w:tcPr>
            <w:tcW w:w="6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380</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4,864</w:t>
            </w:r>
          </w:p>
        </w:tc>
        <w:tc>
          <w:tcPr>
            <w:tcW w:w="64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5,168</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(304)</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3,076</w:t>
            </w: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2,793</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283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10.1 %</w:t>
            </w:r>
          </w:p>
        </w:tc>
      </w:tr>
      <w:tr>
        <w:trPr>
          <w:trHeight w:val="34"/>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Cable Networks revenue decreased for the three months ended September 30, 2017 compared to the same period in 2016 due to decreases in distribution revenue and advertising revenue, which were partially offset by an increase in content licensing and other revenue. The decrease in distribution revenue was primarily due to our broadcast of the 2016 Rio Olympics and a decline in the number of subscribers at our cable networks in the current year period, which were partially offset by increases in the contractual rates charged under distribution agreements and the timing of contract renewals in the current year period. The decrease in advertising revenue was primarily due to advertising revenue in the prior year period associated with our broadcast of the 2016 Rio Olympics and the impact of continued declines in audience ratings at our networks in the current year period, which was partially offset by higher prices for advertising units sold. The increase in content licensing and other revenue was primarily due to the timing of content provided under our licensing agreements. Excluding $432 million of revenue associated with our broadcast of the 2016 Rio Olympics, Cable Networks segment revenue increased 3.7% for the three months ended September 30, 2017.</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Cable Networks revenue decreased slightly for the nine months ended September 30, 2017 compared to the same period in 2016 due to a decrease in advertising revenue, which was partially offset by an increase in content licensing and other revenue. The decrease in advertising revenue was primarily due to advertising revenue in the prior year period associated with our broadcast of the 2016 Rio Olympics and the impact of continued declines in audience ratings at our networks in the current year period, which was partially offset by higher prices for advertising units sold. The increase in content licensing and other revenue was primarily due to the timing of content provided under our licensing agreements. Distribution revenue remained flat primarily due to increases in the contractual rates charged under distribution agreements and the timing of contract renewals in the current year period, which were offset by our broadcast of the 2016 Rio Olympics and a decline in the number of subscribers at our cable networks. Excluding $432 million of revenue associated with our broadcast of the 2016 Rio Olympics, Cable Networks segment revenue increased 5.5% for the nine months ended September 30, 2017.</w:t>
      </w:r>
    </w:p>
    <w:p>
      <w:pPr>
        <w:sectPr>
          <w:pgSz w:w="11900" w:h="16838" w:orient="portrait"/>
          <w:cols w:equalWidth="0" w:num="1">
            <w:col w:w="11420"/>
          </w:cols>
          <w:pgMar w:left="240" w:top="171"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71"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both the three and nine months ended September 30, 2017, 15% of our Cable Networks segment revenue was generated from our Cable Communications segment. For both the three and nine months ended September 30, 2016, 14% of our Cable Networks segment revenue was generated from our Cable Communications segment. These amounts are eliminated in our condensed consolidated financial statements but are included in the amounts presented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costs and expenses decreased for the three and nine months ended September 30, 2017 compared to the same periods in 2016 primarily due to programming and production costs in the prior year periods associated with the 2016 Rio Olympics. The decreases in programming and production costs were partially offset by increases in sports programming rights costs and higher studio production costs in the current year periods.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2"/>
          </w:tcPr>
          <w:p>
            <w:pPr>
              <w:jc w:val="center"/>
              <w:ind w:left="514"/>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Pr>
          <w:p>
            <w:pPr>
              <w:jc w:val="center"/>
              <w:ind w:left="574"/>
              <w:spacing w:after="0"/>
              <w:rPr>
                <w:sz w:val="20"/>
                <w:szCs w:val="20"/>
                <w:color w:val="auto"/>
              </w:rPr>
            </w:pPr>
            <w:r>
              <w:rPr>
                <w:rFonts w:ascii="Times New Roman" w:cs="Times New Roman" w:eastAsia="Times New Roman" w:hAnsi="Times New Roman"/>
                <w:sz w:val="14"/>
                <w:szCs w:val="14"/>
                <w:color w:val="auto"/>
              </w:rPr>
              <w:t>Increase/</w:t>
            </w:r>
          </w:p>
        </w:tc>
        <w:tc>
          <w:tcPr>
            <w:tcW w:w="1040" w:type="dxa"/>
            <w:vAlign w:val="bottom"/>
          </w:tcPr>
          <w:p>
            <w:pPr>
              <w:spacing w:after="0"/>
              <w:rPr>
                <w:sz w:val="13"/>
                <w:szCs w:val="13"/>
                <w:color w:val="auto"/>
              </w:rPr>
            </w:pPr>
          </w:p>
        </w:tc>
      </w:tr>
      <w:tr>
        <w:trPr>
          <w:trHeight w:val="193"/>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4"/>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74"/>
              <w:spacing w:after="0"/>
              <w:rPr>
                <w:sz w:val="20"/>
                <w:szCs w:val="20"/>
                <w:color w:val="auto"/>
              </w:rPr>
            </w:pPr>
            <w:r>
              <w:rPr>
                <w:rFonts w:ascii="Times New Roman" w:cs="Times New Roman" w:eastAsia="Times New Roman" w:hAnsi="Times New Roman"/>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2017</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2016</w:t>
            </w:r>
          </w:p>
        </w:tc>
        <w:tc>
          <w:tcPr>
            <w:tcW w:w="5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4"/>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1,241</w:t>
            </w:r>
          </w:p>
        </w:tc>
        <w:tc>
          <w:tcPr>
            <w:tcW w:w="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2,281</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(1,040)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440</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365</w:t>
            </w:r>
          </w:p>
        </w:tc>
        <w:tc>
          <w:tcPr>
            <w:tcW w:w="54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20.5</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 and 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452</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441</w:t>
            </w:r>
          </w:p>
        </w:tc>
        <w:tc>
          <w:tcPr>
            <w:tcW w:w="54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2,133</w:t>
            </w:r>
          </w:p>
        </w:tc>
        <w:tc>
          <w:tcPr>
            <w:tcW w:w="70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3,087</w:t>
            </w:r>
          </w:p>
        </w:tc>
        <w:tc>
          <w:tcPr>
            <w:tcW w:w="540" w:type="dxa"/>
            <w:vAlign w:val="bottom"/>
          </w:tcPr>
          <w:p>
            <w:pPr>
              <w:spacing w:after="0"/>
              <w:rPr>
                <w:sz w:val="20"/>
                <w:szCs w:val="20"/>
                <w:color w:val="auto"/>
              </w:rPr>
            </w:pP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(954)</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(30.9)</w:t>
            </w:r>
          </w:p>
        </w:tc>
      </w:tr>
      <w:tr>
        <w:trPr>
          <w:trHeight w:val="270"/>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1,342</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2,205</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(863)</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(39.1)</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337</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371</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(34)</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133</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133</w:t>
            </w:r>
          </w:p>
        </w:tc>
        <w:tc>
          <w:tcPr>
            <w:tcW w:w="54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1,812</w:t>
            </w:r>
          </w:p>
        </w:tc>
        <w:tc>
          <w:tcPr>
            <w:tcW w:w="70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2,709</w:t>
            </w:r>
          </w:p>
        </w:tc>
        <w:tc>
          <w:tcPr>
            <w:tcW w:w="540" w:type="dxa"/>
            <w:vAlign w:val="bottom"/>
          </w:tcPr>
          <w:p>
            <w:pPr>
              <w:spacing w:after="0"/>
              <w:rPr>
                <w:sz w:val="20"/>
                <w:szCs w:val="20"/>
                <w:color w:val="auto"/>
              </w:rPr>
            </w:pP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(897)</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(33.1)</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321</w:t>
            </w:r>
          </w:p>
        </w:tc>
        <w:tc>
          <w:tcPr>
            <w:tcW w:w="7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378</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(57)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50"/>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left="514"/>
              <w:spacing w:after="0"/>
              <w:rPr>
                <w:sz w:val="20"/>
                <w:szCs w:val="20"/>
                <w:color w:val="auto"/>
              </w:rPr>
            </w:pPr>
            <w:r>
              <w:rPr>
                <w:rFonts w:ascii="Times New Roman" w:cs="Times New Roman" w:eastAsia="Times New Roman" w:hAnsi="Times New Roman"/>
                <w:sz w:val="14"/>
                <w:szCs w:val="14"/>
                <w:color w:val="auto"/>
              </w:rPr>
              <w:t>Nine Months Ended</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jc w:val="center"/>
              <w:ind w:left="574"/>
              <w:spacing w:after="0"/>
              <w:rPr>
                <w:sz w:val="20"/>
                <w:szCs w:val="20"/>
                <w:color w:val="auto"/>
              </w:rPr>
            </w:pPr>
            <w:r>
              <w:rPr>
                <w:rFonts w:ascii="Times New Roman" w:cs="Times New Roman" w:eastAsia="Times New Roman" w:hAnsi="Times New Roman"/>
                <w:sz w:val="14"/>
                <w:szCs w:val="14"/>
                <w:color w:val="auto"/>
              </w:rPr>
              <w:t>Increase/</w:t>
            </w:r>
          </w:p>
        </w:tc>
        <w:tc>
          <w:tcPr>
            <w:tcW w:w="1040" w:type="dxa"/>
            <w:vAlign w:val="bottom"/>
          </w:tcPr>
          <w:p>
            <w:pPr>
              <w:spacing w:after="0"/>
              <w:rPr>
                <w:sz w:val="24"/>
                <w:szCs w:val="24"/>
                <w:color w:val="auto"/>
              </w:rPr>
            </w:pPr>
          </w:p>
        </w:tc>
      </w:tr>
      <w:tr>
        <w:trPr>
          <w:trHeight w:val="193"/>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4"/>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94"/>
              <w:spacing w:after="0"/>
              <w:rPr>
                <w:sz w:val="20"/>
                <w:szCs w:val="20"/>
                <w:color w:val="auto"/>
              </w:rPr>
            </w:pPr>
            <w:r>
              <w:rPr>
                <w:rFonts w:ascii="Times New Roman" w:cs="Times New Roman" w:eastAsia="Times New Roman" w:hAnsi="Times New Roman"/>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2017</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2016</w:t>
            </w:r>
          </w:p>
        </w:tc>
        <w:tc>
          <w:tcPr>
            <w:tcW w:w="5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3,790</w:t>
            </w: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4,841</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(1,051)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1,466</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1,367</w:t>
            </w:r>
          </w:p>
        </w:tc>
        <w:tc>
          <w:tcPr>
            <w:tcW w:w="54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99</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 and other</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1,326</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1,091</w:t>
            </w:r>
          </w:p>
        </w:tc>
        <w:tc>
          <w:tcPr>
            <w:tcW w:w="54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235</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6,582</w:t>
            </w:r>
          </w:p>
        </w:tc>
        <w:tc>
          <w:tcPr>
            <w:tcW w:w="7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7,299</w:t>
            </w:r>
          </w:p>
        </w:tc>
        <w:tc>
          <w:tcPr>
            <w:tcW w:w="540" w:type="dxa"/>
            <w:vAlign w:val="bottom"/>
          </w:tcPr>
          <w:p>
            <w:pPr>
              <w:spacing w:after="0"/>
              <w:rPr>
                <w:sz w:val="20"/>
                <w:szCs w:val="20"/>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(717)</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(9.8)</w:t>
            </w:r>
          </w:p>
        </w:tc>
      </w:tr>
      <w:tr>
        <w:trPr>
          <w:trHeight w:val="270"/>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4,126</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4,872</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(746)</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(15.3)</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1,022</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1,024</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375</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347</w:t>
            </w:r>
          </w:p>
        </w:tc>
        <w:tc>
          <w:tcPr>
            <w:tcW w:w="54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5,523</w:t>
            </w:r>
          </w:p>
        </w:tc>
        <w:tc>
          <w:tcPr>
            <w:tcW w:w="7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6,243</w:t>
            </w:r>
          </w:p>
        </w:tc>
        <w:tc>
          <w:tcPr>
            <w:tcW w:w="540" w:type="dxa"/>
            <w:vAlign w:val="bottom"/>
          </w:tcPr>
          <w:p>
            <w:pPr>
              <w:spacing w:after="0"/>
              <w:rPr>
                <w:sz w:val="20"/>
                <w:szCs w:val="20"/>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(720)</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1,059</w:t>
            </w: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1,056</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Broadcast Television revenue decreased for the three and nine months ended September 30, 2017 compared to the same periods in 2016 due to decreases in advertising revenue, which were partially offset by increases in content licensing revenue and distribution and other revenue. The decreases in advertising revenue were primarily due to advertising revenue in the prior year periods associated with our broadcast of the 2016 Rio Olympics and declines in audience ratings in the current year periods, which were partially offset by higher prices for advertising units sold. The increases in content licensing revenue were primarily due to the timing of content provided under our licensing agreements. The increases in distribution and other revenue were primarily due to increases in fees recognized under our retransmission consent agreements, which were partially offset by revenue associated with our broadcast of the 2016 Rio Olympics in the prior year periods. Excluding $1.2 billion of revenue associated with our broadcast of the 2016 Rio Olympics, revenue increased 12.3% and 7.7% for the three and nine months ended September 30, 2017, respectively.</w:t>
      </w:r>
    </w:p>
    <w:p>
      <w:pPr>
        <w:sectPr>
          <w:pgSz w:w="11900" w:h="16838" w:orient="portrait"/>
          <w:cols w:equalWidth="0" w:num="1">
            <w:col w:w="11420"/>
          </w:cols>
          <w:pgMar w:left="240" w:top="171"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71"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costs and expenses decreased for the three and nine months ended September 30, 2017 compared to the same periods in 2016 primarily due to decreases in programming and production costs. The decreases in programming and production costs were primarily due to costs associated with our broadcast of the 2016 Rio Olympics, which were partially offset by higher studio production costs and our continued investment in original programming and sports programming rights in the current year periods.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20" w:type="dxa"/>
            <w:vAlign w:val="bottom"/>
          </w:tcPr>
          <w:p>
            <w:pPr>
              <w:jc w:val="center"/>
              <w:ind w:left="534"/>
              <w:spacing w:after="0"/>
              <w:rPr>
                <w:sz w:val="20"/>
                <w:szCs w:val="20"/>
                <w:color w:val="auto"/>
              </w:rPr>
            </w:pPr>
            <w:r>
              <w:rPr>
                <w:rFonts w:ascii="Times New Roman" w:cs="Times New Roman" w:eastAsia="Times New Roman" w:hAnsi="Times New Roman"/>
                <w:sz w:val="14"/>
                <w:szCs w:val="14"/>
                <w:color w:val="auto"/>
              </w:rPr>
              <w:t>Increase/</w:t>
            </w:r>
          </w:p>
        </w:tc>
        <w:tc>
          <w:tcPr>
            <w:tcW w:w="1040" w:type="dxa"/>
            <w:vAlign w:val="bottom"/>
          </w:tcPr>
          <w:p>
            <w:pPr>
              <w:spacing w:after="0"/>
              <w:rPr>
                <w:sz w:val="13"/>
                <w:szCs w:val="13"/>
                <w:color w:val="auto"/>
              </w:rPr>
            </w:pPr>
          </w:p>
        </w:tc>
      </w:tr>
      <w:tr>
        <w:trPr>
          <w:trHeight w:val="193"/>
        </w:trPr>
        <w:tc>
          <w:tcPr>
            <w:tcW w:w="49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Theatrical</w:t>
            </w: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515</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700</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(185)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Content licensing</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683</w:t>
            </w:r>
          </w:p>
        </w:tc>
        <w:tc>
          <w:tcPr>
            <w:tcW w:w="68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595</w:t>
            </w:r>
          </w:p>
        </w:tc>
        <w:tc>
          <w:tcPr>
            <w:tcW w:w="56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88</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14.9</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Home entertainment</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306</w:t>
            </w:r>
          </w:p>
        </w:tc>
        <w:tc>
          <w:tcPr>
            <w:tcW w:w="68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267</w:t>
            </w:r>
          </w:p>
        </w:tc>
        <w:tc>
          <w:tcPr>
            <w:tcW w:w="56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39</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14.4</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280</w:t>
            </w:r>
          </w:p>
        </w:tc>
        <w:tc>
          <w:tcPr>
            <w:tcW w:w="68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230</w:t>
            </w:r>
          </w:p>
        </w:tc>
        <w:tc>
          <w:tcPr>
            <w:tcW w:w="56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1,784</w:t>
            </w:r>
          </w:p>
        </w:tc>
        <w:tc>
          <w:tcPr>
            <w:tcW w:w="68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1,792</w:t>
            </w:r>
          </w:p>
        </w:tc>
        <w:tc>
          <w:tcPr>
            <w:tcW w:w="560" w:type="dxa"/>
            <w:vAlign w:val="bottom"/>
          </w:tcPr>
          <w:p>
            <w:pPr>
              <w:spacing w:after="0"/>
              <w:rPr>
                <w:sz w:val="20"/>
                <w:szCs w:val="20"/>
                <w:color w:val="auto"/>
              </w:rPr>
            </w:pPr>
          </w:p>
        </w:tc>
        <w:tc>
          <w:tcPr>
            <w:tcW w:w="162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(8)</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(0.5)</w:t>
            </w:r>
          </w:p>
        </w:tc>
      </w:tr>
      <w:tr>
        <w:trPr>
          <w:trHeight w:val="270"/>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789</w:t>
            </w:r>
          </w:p>
        </w:tc>
        <w:tc>
          <w:tcPr>
            <w:tcW w:w="68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800</w:t>
            </w:r>
          </w:p>
        </w:tc>
        <w:tc>
          <w:tcPr>
            <w:tcW w:w="560" w:type="dxa"/>
            <w:vAlign w:val="bottom"/>
          </w:tcPr>
          <w:p>
            <w:pPr>
              <w:spacing w:after="0"/>
              <w:rPr>
                <w:sz w:val="23"/>
                <w:szCs w:val="23"/>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286</w:t>
            </w:r>
          </w:p>
        </w:tc>
        <w:tc>
          <w:tcPr>
            <w:tcW w:w="68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314</w:t>
            </w:r>
          </w:p>
        </w:tc>
        <w:tc>
          <w:tcPr>
            <w:tcW w:w="560" w:type="dxa"/>
            <w:vAlign w:val="bottom"/>
          </w:tcPr>
          <w:p>
            <w:pPr>
              <w:spacing w:after="0"/>
              <w:rPr>
                <w:sz w:val="23"/>
                <w:szCs w:val="23"/>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315</w:t>
            </w:r>
          </w:p>
        </w:tc>
        <w:tc>
          <w:tcPr>
            <w:tcW w:w="68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325</w:t>
            </w:r>
          </w:p>
        </w:tc>
        <w:tc>
          <w:tcPr>
            <w:tcW w:w="560" w:type="dxa"/>
            <w:vAlign w:val="bottom"/>
          </w:tcPr>
          <w:p>
            <w:pPr>
              <w:spacing w:after="0"/>
              <w:rPr>
                <w:sz w:val="23"/>
                <w:szCs w:val="23"/>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1,390</w:t>
            </w:r>
          </w:p>
        </w:tc>
        <w:tc>
          <w:tcPr>
            <w:tcW w:w="68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1,439</w:t>
            </w:r>
          </w:p>
        </w:tc>
        <w:tc>
          <w:tcPr>
            <w:tcW w:w="560" w:type="dxa"/>
            <w:vAlign w:val="bottom"/>
          </w:tcPr>
          <w:p>
            <w:pPr>
              <w:spacing w:after="0"/>
              <w:rPr>
                <w:sz w:val="20"/>
                <w:szCs w:val="20"/>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(49)</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394</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353</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41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11.9 %</w:t>
            </w:r>
          </w:p>
        </w:tc>
      </w:tr>
      <w:tr>
        <w:trPr>
          <w:trHeight w:val="34"/>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50"/>
        </w:trPr>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jc w:val="center"/>
              <w:ind w:left="574"/>
              <w:spacing w:after="0"/>
              <w:rPr>
                <w:sz w:val="20"/>
                <w:szCs w:val="20"/>
                <w:color w:val="auto"/>
              </w:rPr>
            </w:pPr>
            <w:r>
              <w:rPr>
                <w:rFonts w:ascii="Times New Roman" w:cs="Times New Roman" w:eastAsia="Times New Roman" w:hAnsi="Times New Roman"/>
                <w:sz w:val="14"/>
                <w:szCs w:val="14"/>
                <w:color w:val="auto"/>
              </w:rPr>
              <w:t>Increase/</w:t>
            </w:r>
          </w:p>
        </w:tc>
        <w:tc>
          <w:tcPr>
            <w:tcW w:w="1040" w:type="dxa"/>
            <w:vAlign w:val="bottom"/>
          </w:tcPr>
          <w:p>
            <w:pPr>
              <w:spacing w:after="0"/>
              <w:rPr>
                <w:sz w:val="24"/>
                <w:szCs w:val="24"/>
                <w:color w:val="auto"/>
              </w:rPr>
            </w:pPr>
          </w:p>
        </w:tc>
      </w:tr>
      <w:tr>
        <w:trPr>
          <w:trHeight w:val="193"/>
        </w:trPr>
        <w:tc>
          <w:tcPr>
            <w:tcW w:w="4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94"/>
              <w:spacing w:after="0"/>
              <w:rPr>
                <w:sz w:val="20"/>
                <w:szCs w:val="20"/>
                <w:color w:val="auto"/>
              </w:rPr>
            </w:pPr>
            <w:r>
              <w:rPr>
                <w:rFonts w:ascii="Times New Roman" w:cs="Times New Roman" w:eastAsia="Times New Roman" w:hAnsi="Times New Roman"/>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Theatrical</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2,003</w:t>
            </w: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1,233</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770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Content licensing</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2,097</w:t>
            </w:r>
          </w:p>
        </w:tc>
        <w:tc>
          <w:tcPr>
            <w:tcW w:w="68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1,845</w:t>
            </w:r>
          </w:p>
        </w:tc>
        <w:tc>
          <w:tcPr>
            <w:tcW w:w="560" w:type="dxa"/>
            <w:vAlign w:val="bottom"/>
          </w:tcPr>
          <w:p>
            <w:pPr>
              <w:spacing w:after="0"/>
              <w:rPr>
                <w:sz w:val="23"/>
                <w:szCs w:val="23"/>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252</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13.7</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Home entertainment</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949</w:t>
            </w:r>
          </w:p>
        </w:tc>
        <w:tc>
          <w:tcPr>
            <w:tcW w:w="68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783</w:t>
            </w:r>
          </w:p>
        </w:tc>
        <w:tc>
          <w:tcPr>
            <w:tcW w:w="560" w:type="dxa"/>
            <w:vAlign w:val="bottom"/>
          </w:tcPr>
          <w:p>
            <w:pPr>
              <w:spacing w:after="0"/>
              <w:rPr>
                <w:sz w:val="23"/>
                <w:szCs w:val="23"/>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166</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21.1</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871</w:t>
            </w:r>
          </w:p>
        </w:tc>
        <w:tc>
          <w:tcPr>
            <w:tcW w:w="68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665</w:t>
            </w:r>
          </w:p>
        </w:tc>
        <w:tc>
          <w:tcPr>
            <w:tcW w:w="560" w:type="dxa"/>
            <w:vAlign w:val="bottom"/>
          </w:tcPr>
          <w:p>
            <w:pPr>
              <w:spacing w:after="0"/>
              <w:rPr>
                <w:sz w:val="23"/>
                <w:szCs w:val="23"/>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206</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5,920</w:t>
            </w:r>
          </w:p>
        </w:tc>
        <w:tc>
          <w:tcPr>
            <w:tcW w:w="68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4,526</w:t>
            </w:r>
          </w:p>
        </w:tc>
        <w:tc>
          <w:tcPr>
            <w:tcW w:w="560" w:type="dxa"/>
            <w:vAlign w:val="bottom"/>
          </w:tcPr>
          <w:p>
            <w:pPr>
              <w:spacing w:after="0"/>
              <w:rPr>
                <w:sz w:val="20"/>
                <w:szCs w:val="20"/>
                <w:color w:val="auto"/>
              </w:rPr>
            </w:pPr>
          </w:p>
        </w:tc>
        <w:tc>
          <w:tcPr>
            <w:tcW w:w="1620" w:type="dxa"/>
            <w:vAlign w:val="bottom"/>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1,394</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30.8</w:t>
            </w:r>
          </w:p>
        </w:tc>
      </w:tr>
      <w:tr>
        <w:trPr>
          <w:trHeight w:val="270"/>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2,752</w:t>
            </w:r>
          </w:p>
        </w:tc>
        <w:tc>
          <w:tcPr>
            <w:tcW w:w="68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2,050</w:t>
            </w:r>
          </w:p>
        </w:tc>
        <w:tc>
          <w:tcPr>
            <w:tcW w:w="560" w:type="dxa"/>
            <w:vAlign w:val="bottom"/>
          </w:tcPr>
          <w:p>
            <w:pPr>
              <w:spacing w:after="0"/>
              <w:rPr>
                <w:sz w:val="23"/>
                <w:szCs w:val="23"/>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702</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34.2</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948</w:t>
            </w:r>
          </w:p>
        </w:tc>
        <w:tc>
          <w:tcPr>
            <w:tcW w:w="68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750</w:t>
            </w:r>
          </w:p>
        </w:tc>
        <w:tc>
          <w:tcPr>
            <w:tcW w:w="560" w:type="dxa"/>
            <w:vAlign w:val="bottom"/>
          </w:tcPr>
          <w:p>
            <w:pPr>
              <w:spacing w:after="0"/>
              <w:rPr>
                <w:sz w:val="23"/>
                <w:szCs w:val="23"/>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198</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26.4</w:t>
            </w:r>
          </w:p>
        </w:tc>
      </w:tr>
      <w:tr>
        <w:trPr>
          <w:trHeight w:val="27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1,173</w:t>
            </w:r>
          </w:p>
        </w:tc>
        <w:tc>
          <w:tcPr>
            <w:tcW w:w="68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1,150</w:t>
            </w:r>
          </w:p>
        </w:tc>
        <w:tc>
          <w:tcPr>
            <w:tcW w:w="56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4,873</w:t>
            </w:r>
          </w:p>
        </w:tc>
        <w:tc>
          <w:tcPr>
            <w:tcW w:w="68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3,950</w:t>
            </w:r>
          </w:p>
        </w:tc>
        <w:tc>
          <w:tcPr>
            <w:tcW w:w="560" w:type="dxa"/>
            <w:vAlign w:val="bottom"/>
          </w:tcPr>
          <w:p>
            <w:pPr>
              <w:spacing w:after="0"/>
              <w:rPr>
                <w:sz w:val="20"/>
                <w:szCs w:val="20"/>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923</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1,047</w:t>
            </w: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576</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471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81.9%</w:t>
            </w:r>
          </w:p>
        </w:tc>
      </w:tr>
      <w:tr>
        <w:trPr>
          <w:trHeight w:val="34"/>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Filmed Entertainment revenue decreased for the three months ended September 30, 2017 compared to the same period in 2016 due to a decrease in theatrical revenue, which was partially offset by increases in content licensing revenue, other revenue and home entertainment revenue. The decrease in theatrical revenue was primarily due to a higher number of releases in the prior year period, including </w:t>
      </w:r>
      <w:r>
        <w:rPr>
          <w:rFonts w:ascii="Times New Roman" w:cs="Times New Roman" w:eastAsia="Times New Roman" w:hAnsi="Times New Roman"/>
          <w:sz w:val="18"/>
          <w:szCs w:val="18"/>
          <w:i w:val="1"/>
          <w:iCs w:val="1"/>
          <w:color w:val="auto"/>
        </w:rPr>
        <w:t>The Secret Life of Pets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Jason Bourne</w:t>
      </w:r>
      <w:r>
        <w:rPr>
          <w:rFonts w:ascii="Times New Roman" w:cs="Times New Roman" w:eastAsia="Times New Roman" w:hAnsi="Times New Roman"/>
          <w:sz w:val="18"/>
          <w:szCs w:val="18"/>
          <w:color w:val="auto"/>
        </w:rPr>
        <w:t xml:space="preserve">, which was partially offset by the strong performance of </w:t>
      </w:r>
      <w:r>
        <w:rPr>
          <w:rFonts w:ascii="Times New Roman" w:cs="Times New Roman" w:eastAsia="Times New Roman" w:hAnsi="Times New Roman"/>
          <w:sz w:val="18"/>
          <w:szCs w:val="18"/>
          <w:i w:val="1"/>
          <w:iCs w:val="1"/>
          <w:color w:val="auto"/>
        </w:rPr>
        <w:t>Despicable Me 3</w:t>
      </w:r>
      <w:r>
        <w:rPr>
          <w:rFonts w:ascii="Times New Roman" w:cs="Times New Roman" w:eastAsia="Times New Roman" w:hAnsi="Times New Roman"/>
          <w:sz w:val="18"/>
          <w:szCs w:val="18"/>
          <w:color w:val="auto"/>
        </w:rPr>
        <w:t xml:space="preserve"> in the current year period. The increase in content licensing revenue was primarily due to the timing of when content was made available under licensing agreements. The increase in other revenue was primarily due to an increase in revenue from consumer products. The increase in home entertainment revenue was primarily due to strong sales of our 2017 film slate, including </w:t>
      </w:r>
      <w:r>
        <w:rPr>
          <w:rFonts w:ascii="Times New Roman" w:cs="Times New Roman" w:eastAsia="Times New Roman" w:hAnsi="Times New Roman"/>
          <w:sz w:val="18"/>
          <w:szCs w:val="18"/>
          <w:i w:val="1"/>
          <w:iCs w:val="1"/>
          <w:color w:val="auto"/>
        </w:rPr>
        <w:t>The Fate of the Furious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Filmed Entertainment revenue increased for the nine months ended September 30, 2017 compared to the same period in 2016 due to increases in theatrical revenue, content licensing revenue, other revenue and home entertainment revenue. Theatrical revenue</w:t>
      </w:r>
    </w:p>
    <w:p>
      <w:pPr>
        <w:sectPr>
          <w:pgSz w:w="11900" w:h="16838" w:orient="portrait"/>
          <w:cols w:equalWidth="0" w:num="1">
            <w:col w:w="11420"/>
          </w:cols>
          <w:pgMar w:left="240" w:top="171"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71"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increased due to the strong performances of several releases in our 2017 film slate, including </w:t>
      </w:r>
      <w:r>
        <w:rPr>
          <w:rFonts w:ascii="Times New Roman" w:cs="Times New Roman" w:eastAsia="Times New Roman" w:hAnsi="Times New Roman"/>
          <w:sz w:val="18"/>
          <w:szCs w:val="18"/>
          <w:i w:val="1"/>
          <w:iCs w:val="1"/>
          <w:color w:val="auto"/>
        </w:rPr>
        <w:t>The Fate of the Furious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Despicable Me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Fifty Shades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Darker</w:t>
      </w:r>
      <w:r>
        <w:rPr>
          <w:rFonts w:ascii="Times New Roman" w:cs="Times New Roman" w:eastAsia="Times New Roman" w:hAnsi="Times New Roman"/>
          <w:sz w:val="18"/>
          <w:szCs w:val="18"/>
          <w:color w:val="auto"/>
        </w:rPr>
        <w:t>. Content licensing revenue increased primarily due to the inclusion of DreamWorks Animation in the current year period. Other revenue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due to increases in revenue from consumer products, including from DreamWorks Animation, in the current year period. Home entertainment revenue increased primarily due to strong sales of several 2017 releases, including </w:t>
      </w:r>
      <w:r>
        <w:rPr>
          <w:rFonts w:ascii="Times New Roman" w:cs="Times New Roman" w:eastAsia="Times New Roman" w:hAnsi="Times New Roman"/>
          <w:sz w:val="18"/>
          <w:szCs w:val="18"/>
          <w:i w:val="1"/>
          <w:iCs w:val="1"/>
          <w:color w:val="auto"/>
        </w:rPr>
        <w:t>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Fate of the Furious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Fifty Shades Darker.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costs and expenses decreased for the three months ended September 30, 2017 compared to the same period in 2016 due to decreases in other operating and administrative expenses, programming and production costs, and advertising, marketing and promotion costs. The decrease in other operating and administrative expenses was due to $50 million related to severance costs attributable to DreamWorks in the prior year period. The decreases in programming and production costs and advertising, marketing and promotion costs were primarily due to a higher number of releases in the prior year period.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costs and expenses increased for the nine months ended September 30, 2017 compared to the same period in 2016 primarily due to an increase in programming and production costs and other operating and administrative expenses. The increase in programming and production costs was primarily due to higher amortization of film production costs for our 2017 releases, as well as the inclusion of costs associated with DreamWorks Animation. The increase in other operating and administrative expenses was primarily due to an increase in employee-related costs as well as the inclusion of expenses associated with DreamWorks Animation.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2"/>
          </w:tcPr>
          <w:p>
            <w:pPr>
              <w:jc w:val="center"/>
              <w:ind w:left="519"/>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20" w:type="dxa"/>
            <w:vAlign w:val="bottom"/>
          </w:tcPr>
          <w:p>
            <w:pPr>
              <w:jc w:val="center"/>
              <w:ind w:left="539"/>
              <w:spacing w:after="0"/>
              <w:rPr>
                <w:sz w:val="20"/>
                <w:szCs w:val="20"/>
                <w:color w:val="auto"/>
              </w:rPr>
            </w:pPr>
            <w:r>
              <w:rPr>
                <w:rFonts w:ascii="Times New Roman" w:cs="Times New Roman" w:eastAsia="Times New Roman" w:hAnsi="Times New Roman"/>
                <w:sz w:val="14"/>
                <w:szCs w:val="14"/>
                <w:color w:val="auto"/>
              </w:rPr>
              <w:t>Increase/</w:t>
            </w:r>
          </w:p>
        </w:tc>
        <w:tc>
          <w:tcPr>
            <w:tcW w:w="1020" w:type="dxa"/>
            <w:vAlign w:val="bottom"/>
          </w:tcPr>
          <w:p>
            <w:pPr>
              <w:spacing w:after="0"/>
              <w:rPr>
                <w:sz w:val="13"/>
                <w:szCs w:val="13"/>
                <w:color w:val="auto"/>
              </w:rPr>
            </w:pPr>
          </w:p>
        </w:tc>
      </w:tr>
      <w:tr>
        <w:trPr>
          <w:trHeight w:val="193"/>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499"/>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color w:val="auto"/>
              </w:rPr>
              <w:t>2017</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1,550</w:t>
            </w:r>
          </w:p>
        </w:tc>
        <w:tc>
          <w:tcPr>
            <w:tcW w:w="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1,440</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110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0"/>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40" w:type="dxa"/>
            <w:vAlign w:val="bottom"/>
          </w:tcPr>
          <w:p>
            <w:pPr>
              <w:spacing w:after="0"/>
              <w:rPr>
                <w:sz w:val="23"/>
                <w:szCs w:val="23"/>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775</w:t>
            </w:r>
          </w:p>
        </w:tc>
        <w:tc>
          <w:tcPr>
            <w:tcW w:w="70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734</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41</w:t>
            </w: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775</w:t>
            </w:r>
          </w:p>
        </w:tc>
        <w:tc>
          <w:tcPr>
            <w:tcW w:w="7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706</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69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50"/>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9"/>
              <w:spacing w:after="0"/>
              <w:rPr>
                <w:sz w:val="20"/>
                <w:szCs w:val="20"/>
                <w:color w:val="auto"/>
              </w:rPr>
            </w:pPr>
            <w:r>
              <w:rPr>
                <w:rFonts w:ascii="Times New Roman" w:cs="Times New Roman" w:eastAsia="Times New Roman" w:hAnsi="Times New Roman"/>
                <w:sz w:val="14"/>
                <w:szCs w:val="14"/>
                <w:color w:val="auto"/>
              </w:rPr>
              <w:t>Nine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jc w:val="center"/>
              <w:ind w:left="539"/>
              <w:spacing w:after="0"/>
              <w:rPr>
                <w:sz w:val="20"/>
                <w:szCs w:val="20"/>
                <w:color w:val="auto"/>
              </w:rPr>
            </w:pPr>
            <w:r>
              <w:rPr>
                <w:rFonts w:ascii="Times New Roman" w:cs="Times New Roman" w:eastAsia="Times New Roman" w:hAnsi="Times New Roman"/>
                <w:sz w:val="14"/>
                <w:szCs w:val="14"/>
                <w:color w:val="auto"/>
              </w:rPr>
              <w:t>Increase/</w:t>
            </w:r>
          </w:p>
        </w:tc>
        <w:tc>
          <w:tcPr>
            <w:tcW w:w="1020" w:type="dxa"/>
            <w:vAlign w:val="bottom"/>
          </w:tcPr>
          <w:p>
            <w:pPr>
              <w:spacing w:after="0"/>
              <w:rPr>
                <w:sz w:val="24"/>
                <w:szCs w:val="24"/>
                <w:color w:val="auto"/>
              </w:rPr>
            </w:pPr>
          </w:p>
        </w:tc>
      </w:tr>
      <w:tr>
        <w:trPr>
          <w:trHeight w:val="193"/>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499"/>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color w:val="auto"/>
              </w:rPr>
              <w:t>2017</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3,982</w:t>
            </w:r>
          </w:p>
        </w:tc>
        <w:tc>
          <w:tcPr>
            <w:tcW w:w="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3,602</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380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40" w:type="dxa"/>
            <w:vAlign w:val="bottom"/>
          </w:tcPr>
          <w:p>
            <w:pPr>
              <w:spacing w:after="0"/>
              <w:rPr>
                <w:sz w:val="23"/>
                <w:szCs w:val="23"/>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2,259</w:t>
            </w:r>
          </w:p>
        </w:tc>
        <w:tc>
          <w:tcPr>
            <w:tcW w:w="70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2,052</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207</w:t>
            </w: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1,723</w:t>
            </w:r>
          </w:p>
        </w:tc>
        <w:tc>
          <w:tcPr>
            <w:tcW w:w="7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1,550</w:t>
            </w:r>
          </w:p>
        </w:tc>
        <w:tc>
          <w:tcPr>
            <w:tcW w:w="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173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Theme Parks revenue increased for the three and nine months ended September 30, 2017 compared to the same periods in 2016 primarily due to increases in guest spending that reflect the continued success of </w:t>
      </w:r>
      <w:r>
        <w:rPr>
          <w:rFonts w:ascii="Times New Roman" w:cs="Times New Roman" w:eastAsia="Times New Roman" w:hAnsi="Times New Roman"/>
          <w:sz w:val="18"/>
          <w:szCs w:val="18"/>
          <w:i w:val="1"/>
          <w:iCs w:val="1"/>
          <w:color w:val="auto"/>
        </w:rPr>
        <w:t>The Wizarding World of Harry Potter</w:t>
      </w:r>
      <w:r>
        <w:rPr>
          <w:rFonts w:ascii="Times New Roman" w:cs="Times New Roman" w:eastAsia="Times New Roman" w:hAnsi="Times New Roman"/>
          <w:sz w:val="18"/>
          <w:szCs w:val="18"/>
          <w:color w:val="auto"/>
        </w:rPr>
        <w:t xml:space="preserve">™ attraction in Hollywood, which opened in April 2016, and the openings of </w:t>
      </w:r>
      <w:r>
        <w:rPr>
          <w:rFonts w:ascii="Times New Roman" w:cs="Times New Roman" w:eastAsia="Times New Roman" w:hAnsi="Times New Roman"/>
          <w:sz w:val="18"/>
          <w:szCs w:val="18"/>
          <w:i w:val="1"/>
          <w:iCs w:val="1"/>
          <w:color w:val="auto"/>
        </w:rPr>
        <w:t>Minion Park</w:t>
      </w:r>
      <w:r>
        <w:rPr>
          <w:rFonts w:ascii="Times New Roman" w:cs="Times New Roman" w:eastAsia="Times New Roman" w:hAnsi="Times New Roman"/>
          <w:sz w:val="18"/>
          <w:szCs w:val="18"/>
          <w:color w:val="auto"/>
        </w:rPr>
        <w:t xml:space="preserve">™ in Japan in April 2017 and </w:t>
      </w:r>
      <w:r>
        <w:rPr>
          <w:rFonts w:ascii="Times New Roman" w:cs="Times New Roman" w:eastAsia="Times New Roman" w:hAnsi="Times New Roman"/>
          <w:sz w:val="18"/>
          <w:szCs w:val="18"/>
          <w:i w:val="1"/>
          <w:iCs w:val="1"/>
          <w:color w:val="auto"/>
        </w:rPr>
        <w:t>Volcano Bay</w:t>
      </w:r>
      <w:r>
        <w:rPr>
          <w:rFonts w:ascii="Times New Roman" w:cs="Times New Roman" w:eastAsia="Times New Roman" w:hAnsi="Times New Roman"/>
          <w:sz w:val="18"/>
          <w:szCs w:val="18"/>
          <w:color w:val="auto"/>
        </w:rPr>
        <w:t>™ in Orlando in May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costs and expenses increased for the three and nine months ended September 30, 2017 compared to the same periods in 2016 primarily due to higher operating costs related to new attractions, employee-related costs and additional marketing costs associated with our domestic theme parks.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71"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gridSpan w:val="2"/>
          </w:tcPr>
          <w:p>
            <w:pPr>
              <w:jc w:val="center"/>
              <w:ind w:right="196"/>
              <w:spacing w:after="0"/>
              <w:rPr>
                <w:sz w:val="20"/>
                <w:szCs w:val="20"/>
                <w:color w:val="auto"/>
              </w:rPr>
            </w:pPr>
            <w:r>
              <w:rPr>
                <w:rFonts w:ascii="Times New Roman" w:cs="Times New Roman" w:eastAsia="Times New Roman" w:hAnsi="Times New Roman"/>
                <w:sz w:val="14"/>
                <w:szCs w:val="14"/>
                <w:color w:val="auto"/>
              </w:rPr>
              <w:t>Three Months Ended</w:t>
            </w: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jc w:val="center"/>
              <w:ind w:left="136"/>
              <w:spacing w:after="0"/>
              <w:rPr>
                <w:sz w:val="20"/>
                <w:szCs w:val="20"/>
                <w:color w:val="auto"/>
              </w:rPr>
            </w:pPr>
            <w:r>
              <w:rPr>
                <w:rFonts w:ascii="Times New Roman" w:cs="Times New Roman" w:eastAsia="Times New Roman" w:hAnsi="Times New Roman"/>
                <w:sz w:val="14"/>
                <w:szCs w:val="14"/>
                <w:color w:val="auto"/>
              </w:rPr>
              <w:t>Increase/</w:t>
            </w:r>
          </w:p>
        </w:tc>
        <w:tc>
          <w:tcPr>
            <w:tcW w:w="1020" w:type="dxa"/>
            <w:vAlign w:val="bottom"/>
          </w:tcPr>
          <w:p>
            <w:pPr>
              <w:spacing w:after="0"/>
              <w:rPr>
                <w:sz w:val="13"/>
                <w:szCs w:val="13"/>
                <w:color w:val="auto"/>
              </w:rPr>
            </w:pPr>
          </w:p>
        </w:tc>
      </w:tr>
      <w:tr>
        <w:trPr>
          <w:trHeight w:val="193"/>
        </w:trPr>
        <w:tc>
          <w:tcPr>
            <w:tcW w:w="51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76"/>
              <w:spacing w:after="0"/>
              <w:rPr>
                <w:sz w:val="20"/>
                <w:szCs w:val="20"/>
                <w:color w:val="auto"/>
              </w:rPr>
            </w:pPr>
            <w:r>
              <w:rPr>
                <w:rFonts w:ascii="Times New Roman" w:cs="Times New Roman" w:eastAsia="Times New Roman" w:hAnsi="Times New Roman"/>
                <w:sz w:val="14"/>
                <w:szCs w:val="14"/>
                <w:color w:val="auto"/>
              </w:rPr>
              <w:t>September 30</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156"/>
              <w:spacing w:after="0"/>
              <w:rPr>
                <w:sz w:val="20"/>
                <w:szCs w:val="20"/>
                <w:color w:val="auto"/>
              </w:rPr>
            </w:pPr>
            <w:r>
              <w:rPr>
                <w:rFonts w:ascii="Times New Roman" w:cs="Times New Roman" w:eastAsia="Times New Roman" w:hAnsi="Times New Roman"/>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266</w:t>
            </w:r>
          </w:p>
        </w:tc>
        <w:tc>
          <w:tcPr>
            <w:tcW w:w="96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168</w:t>
            </w:r>
          </w:p>
        </w:tc>
        <w:tc>
          <w:tcPr>
            <w:tcW w:w="94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58.2 %</w:t>
            </w:r>
          </w:p>
        </w:tc>
      </w:tr>
      <w:tr>
        <w:trPr>
          <w:trHeight w:val="270"/>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840" w:type="dxa"/>
            <w:vAlign w:val="bottom"/>
          </w:tcPr>
          <w:p>
            <w:pPr>
              <w:spacing w:after="0"/>
              <w:rPr>
                <w:sz w:val="23"/>
                <w:szCs w:val="23"/>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865</w:t>
            </w:r>
          </w:p>
        </w:tc>
        <w:tc>
          <w:tcPr>
            <w:tcW w:w="96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391</w:t>
            </w:r>
          </w:p>
        </w:tc>
        <w:tc>
          <w:tcPr>
            <w:tcW w:w="940" w:type="dxa"/>
            <w:vAlign w:val="bottom"/>
          </w:tcPr>
          <w:p>
            <w:pPr>
              <w:spacing w:after="0"/>
              <w:rPr>
                <w:sz w:val="23"/>
                <w:szCs w:val="23"/>
                <w:color w:val="auto"/>
              </w:rPr>
            </w:pPr>
          </w:p>
        </w:tc>
        <w:tc>
          <w:tcPr>
            <w:tcW w:w="126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474</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NM</w:t>
            </w:r>
          </w:p>
        </w:tc>
      </w:tr>
      <w:tr>
        <w:trPr>
          <w:trHeight w:val="270"/>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 for legal settlement</w:t>
            </w:r>
          </w:p>
        </w:tc>
        <w:tc>
          <w:tcPr>
            <w:tcW w:w="840" w:type="dxa"/>
            <w:vAlign w:val="bottom"/>
          </w:tcPr>
          <w:p>
            <w:pPr>
              <w:spacing w:after="0"/>
              <w:rPr>
                <w:sz w:val="23"/>
                <w:szCs w:val="23"/>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(250)</w:t>
            </w:r>
          </w:p>
        </w:tc>
        <w:tc>
          <w:tcPr>
            <w:tcW w:w="96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3"/>
                <w:szCs w:val="23"/>
                <w:color w:val="auto"/>
              </w:rPr>
            </w:pPr>
          </w:p>
        </w:tc>
        <w:tc>
          <w:tcPr>
            <w:tcW w:w="12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(250)</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(349)</w:t>
            </w:r>
          </w:p>
        </w:tc>
        <w:tc>
          <w:tcPr>
            <w:tcW w:w="960" w:type="dxa"/>
            <w:vAlign w:val="bottom"/>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(223)</w:t>
            </w:r>
          </w:p>
        </w:tc>
        <w:tc>
          <w:tcPr>
            <w:tcW w:w="940" w:type="dxa"/>
            <w:vAlign w:val="bottom"/>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(126)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r>
      <w:tr>
        <w:trPr>
          <w:trHeight w:val="34"/>
        </w:trPr>
        <w:tc>
          <w:tcPr>
            <w:tcW w:w="5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23"/>
        </w:trPr>
        <w:tc>
          <w:tcPr>
            <w:tcW w:w="5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gridSpan w:val="2"/>
          </w:tcPr>
          <w:p>
            <w:pPr>
              <w:jc w:val="center"/>
              <w:ind w:right="176"/>
              <w:spacing w:after="0"/>
              <w:rPr>
                <w:sz w:val="20"/>
                <w:szCs w:val="20"/>
                <w:color w:val="auto"/>
              </w:rPr>
            </w:pPr>
            <w:r>
              <w:rPr>
                <w:rFonts w:ascii="Times New Roman" w:cs="Times New Roman" w:eastAsia="Times New Roman" w:hAnsi="Times New Roman"/>
                <w:sz w:val="14"/>
                <w:szCs w:val="14"/>
                <w:color w:val="auto"/>
              </w:rPr>
              <w:t>Nine Months Ended</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jc w:val="center"/>
              <w:ind w:left="136"/>
              <w:spacing w:after="0"/>
              <w:rPr>
                <w:sz w:val="20"/>
                <w:szCs w:val="20"/>
                <w:color w:val="auto"/>
              </w:rPr>
            </w:pPr>
            <w:r>
              <w:rPr>
                <w:rFonts w:ascii="Times New Roman" w:cs="Times New Roman" w:eastAsia="Times New Roman" w:hAnsi="Times New Roman"/>
                <w:sz w:val="14"/>
                <w:szCs w:val="14"/>
                <w:color w:val="auto"/>
              </w:rPr>
              <w:t>Increase/</w:t>
            </w:r>
          </w:p>
        </w:tc>
        <w:tc>
          <w:tcPr>
            <w:tcW w:w="1020" w:type="dxa"/>
            <w:vAlign w:val="bottom"/>
          </w:tcPr>
          <w:p>
            <w:pPr>
              <w:spacing w:after="0"/>
              <w:rPr>
                <w:sz w:val="24"/>
                <w:szCs w:val="24"/>
                <w:color w:val="auto"/>
              </w:rPr>
            </w:pPr>
          </w:p>
        </w:tc>
      </w:tr>
      <w:tr>
        <w:trPr>
          <w:trHeight w:val="192"/>
        </w:trPr>
        <w:tc>
          <w:tcPr>
            <w:tcW w:w="51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76"/>
              <w:spacing w:after="0"/>
              <w:rPr>
                <w:sz w:val="20"/>
                <w:szCs w:val="20"/>
                <w:color w:val="auto"/>
              </w:rPr>
            </w:pPr>
            <w:r>
              <w:rPr>
                <w:rFonts w:ascii="Times New Roman" w:cs="Times New Roman" w:eastAsia="Times New Roman" w:hAnsi="Times New Roman"/>
                <w:sz w:val="14"/>
                <w:szCs w:val="14"/>
                <w:color w:val="auto"/>
              </w:rPr>
              <w:t>September 30</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156"/>
              <w:spacing w:after="0"/>
              <w:rPr>
                <w:sz w:val="20"/>
                <w:szCs w:val="20"/>
                <w:color w:val="auto"/>
              </w:rPr>
            </w:pPr>
            <w:r>
              <w:rPr>
                <w:rFonts w:ascii="Times New Roman" w:cs="Times New Roman" w:eastAsia="Times New Roman" w:hAnsi="Times New Roman"/>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198"/>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679</w:t>
            </w:r>
          </w:p>
        </w:tc>
        <w:tc>
          <w:tcPr>
            <w:tcW w:w="96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547</w:t>
            </w:r>
          </w:p>
        </w:tc>
        <w:tc>
          <w:tcPr>
            <w:tcW w:w="94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132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70"/>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840" w:type="dxa"/>
            <w:vAlign w:val="bottom"/>
          </w:tcPr>
          <w:p>
            <w:pPr>
              <w:spacing w:after="0"/>
              <w:rPr>
                <w:sz w:val="23"/>
                <w:szCs w:val="23"/>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98"/>
              </w:rPr>
              <w:t>1,774</w:t>
            </w:r>
          </w:p>
        </w:tc>
        <w:tc>
          <w:tcPr>
            <w:tcW w:w="96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1,215</w:t>
            </w:r>
          </w:p>
        </w:tc>
        <w:tc>
          <w:tcPr>
            <w:tcW w:w="940" w:type="dxa"/>
            <w:vAlign w:val="bottom"/>
          </w:tcPr>
          <w:p>
            <w:pPr>
              <w:spacing w:after="0"/>
              <w:rPr>
                <w:sz w:val="23"/>
                <w:szCs w:val="23"/>
                <w:color w:val="auto"/>
              </w:rPr>
            </w:pPr>
          </w:p>
        </w:tc>
        <w:tc>
          <w:tcPr>
            <w:tcW w:w="126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559</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46.1</w:t>
            </w:r>
          </w:p>
        </w:tc>
      </w:tr>
      <w:tr>
        <w:trPr>
          <w:trHeight w:val="270"/>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 for legal settlement</w:t>
            </w:r>
          </w:p>
        </w:tc>
        <w:tc>
          <w:tcPr>
            <w:tcW w:w="840" w:type="dxa"/>
            <w:vAlign w:val="bottom"/>
          </w:tcPr>
          <w:p>
            <w:pPr>
              <w:spacing w:after="0"/>
              <w:rPr>
                <w:sz w:val="23"/>
                <w:szCs w:val="23"/>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(250)</w:t>
            </w:r>
          </w:p>
        </w:tc>
        <w:tc>
          <w:tcPr>
            <w:tcW w:w="960" w:type="dxa"/>
            <w:vAlign w:val="bottom"/>
          </w:tcPr>
          <w:p>
            <w:pPr>
              <w:spacing w:after="0"/>
              <w:rPr>
                <w:sz w:val="23"/>
                <w:szCs w:val="23"/>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3"/>
                <w:szCs w:val="23"/>
                <w:color w:val="auto"/>
              </w:rPr>
            </w:pPr>
          </w:p>
        </w:tc>
        <w:tc>
          <w:tcPr>
            <w:tcW w:w="12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(250)</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(845)</w:t>
            </w:r>
          </w:p>
        </w:tc>
        <w:tc>
          <w:tcPr>
            <w:tcW w:w="960" w:type="dxa"/>
            <w:vAlign w:val="bottom"/>
          </w:tcPr>
          <w:p>
            <w:pPr>
              <w:jc w:val="right"/>
              <w:ind w:right="63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(668)</w:t>
            </w:r>
          </w:p>
        </w:tc>
        <w:tc>
          <w:tcPr>
            <w:tcW w:w="940" w:type="dxa"/>
            <w:vAlign w:val="bottom"/>
          </w:tcPr>
          <w:p>
            <w:pPr>
              <w:jc w:val="right"/>
              <w:ind w:right="616"/>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(177)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r>
      <w:tr>
        <w:trPr>
          <w:trHeight w:val="34"/>
        </w:trPr>
        <w:tc>
          <w:tcPr>
            <w:tcW w:w="5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primarily relates to Comcast Spectacor, which owns the Philadelphia Flyers and the Wells Fargo Center arena in Philadelphia, Pennsylvania and operates arena management-related businesses, as well as revenue from other business development initiatives, such as our wireless phone service.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operating costs and expenses primarily include overhead, personnel costs, the costs of other business development initiatives, and operating costs and expenses associated with Comcast Spectacor.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operating costs and expenses increased for the three and nine months ended September 30, 2017 primarily due to expenses associated with our new wireless phone service. Corporate and Other Adjusted EBITDA excludes $250 million of expense related to a legal settlement for the three and nine months ended September 30, 2017 (see Note 10 to Comcast's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gridSpan w:val="2"/>
          </w:tcPr>
          <w:p>
            <w:pPr>
              <w:jc w:val="right"/>
              <w:ind w:right="316"/>
              <w:spacing w:after="0"/>
              <w:rPr>
                <w:sz w:val="20"/>
                <w:szCs w:val="20"/>
                <w:color w:val="auto"/>
              </w:rPr>
            </w:pPr>
            <w:r>
              <w:rPr>
                <w:rFonts w:ascii="Times New Roman" w:cs="Times New Roman" w:eastAsia="Times New Roman" w:hAnsi="Times New Roman"/>
                <w:sz w:val="14"/>
                <w:szCs w:val="14"/>
                <w:color w:val="auto"/>
              </w:rPr>
              <w:t>Three Months Ended</w:t>
            </w: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3"/>
        </w:trPr>
        <w:tc>
          <w:tcPr>
            <w:tcW w:w="50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536"/>
              <w:spacing w:after="0"/>
              <w:rPr>
                <w:sz w:val="20"/>
                <w:szCs w:val="20"/>
                <w:color w:val="auto"/>
              </w:rPr>
            </w:pPr>
            <w:r>
              <w:rPr>
                <w:rFonts w:ascii="Times New Roman" w:cs="Times New Roman" w:eastAsia="Times New Roman" w:hAnsi="Times New Roman"/>
                <w:sz w:val="14"/>
                <w:szCs w:val="14"/>
                <w:color w:val="auto"/>
              </w:rPr>
              <w:t>September 30</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(766)</w:t>
            </w:r>
          </w:p>
        </w:tc>
        <w:tc>
          <w:tcPr>
            <w:tcW w:w="102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(751)</w:t>
            </w:r>
          </w:p>
        </w:tc>
        <w:tc>
          <w:tcPr>
            <w:tcW w:w="100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8"/>
              </w:rPr>
              <w:t>(2,279)</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70"/>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8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82</w:t>
            </w:r>
          </w:p>
        </w:tc>
        <w:tc>
          <w:tcPr>
            <w:tcW w:w="102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1000" w:type="dxa"/>
            <w:vAlign w:val="bottom"/>
          </w:tcPr>
          <w:p>
            <w:pPr>
              <w:spacing w:after="0"/>
              <w:rPr>
                <w:sz w:val="23"/>
                <w:szCs w:val="23"/>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205</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w:t>
            </w:r>
          </w:p>
        </w:tc>
      </w:tr>
      <w:tr>
        <w:trPr>
          <w:trHeight w:val="270"/>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880" w:type="dxa"/>
            <w:vAlign w:val="bottom"/>
          </w:tcPr>
          <w:p>
            <w:pPr>
              <w:spacing w:after="0"/>
              <w:rPr>
                <w:sz w:val="23"/>
                <w:szCs w:val="23"/>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tcPr>
          <w:p>
            <w:pPr>
              <w:spacing w:after="0"/>
              <w:rPr>
                <w:sz w:val="23"/>
                <w:szCs w:val="23"/>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Pr>
          <w:p>
            <w:pPr>
              <w:spacing w:after="0"/>
              <w:rPr>
                <w:sz w:val="23"/>
                <w:szCs w:val="23"/>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82</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5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(696)</w:t>
            </w:r>
          </w:p>
        </w:tc>
        <w:tc>
          <w:tcPr>
            <w:tcW w:w="1020" w:type="dxa"/>
            <w:vAlign w:val="bottom"/>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(716)</w:t>
            </w:r>
          </w:p>
        </w:tc>
        <w:tc>
          <w:tcPr>
            <w:tcW w:w="1000" w:type="dxa"/>
            <w:vAlign w:val="bottom"/>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98"/>
              </w:rPr>
              <w:t>(1,980)</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(1,978)</w:t>
            </w:r>
          </w:p>
        </w:tc>
      </w:tr>
      <w:tr>
        <w:trPr>
          <w:trHeight w:val="34"/>
        </w:trPr>
        <w:tc>
          <w:tcPr>
            <w:tcW w:w="5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for the three and nine months ended September 30, 2017 compared to the same periods in 2016 primarily due to increases in our debt outstanding.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investment income (loss), net for the three and nine months ended September 30, 2017 and 2016 are presented in a table in Note 6 to Comcast’s condensed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changes in equity in net income (losses) of investees, net for the three and nine months ended September 30, 2017 compared to the same periods in 2016 were primarily related to our equity method investments in Atairos Group, Inc. and Hulu, LLC. Atairos follows investment company accounting and records its investments at their fair values each reporting period with the net gains or losses reflected in its statement of income. We recognize our share of these gains and losses in equity in net income (losses) of</w:t>
      </w:r>
    </w:p>
    <w:p>
      <w:pPr>
        <w:sectPr>
          <w:pgSz w:w="11900" w:h="16838" w:orient="portrait"/>
          <w:cols w:equalWidth="0" w:num="1">
            <w:col w:w="11420"/>
          </w:cols>
          <w:pgMar w:left="240" w:top="171" w:right="239"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71" w:right="2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investees, net. The losses at Hulu were primarily due to its higher programming and marketing costs. The equity in net income (losses) of Atairos and Hulu for the three and nine months ended September 30, 2017 and 2016 are presented in the table below.</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gridSpan w:val="2"/>
          </w:tcPr>
          <w:p>
            <w:pPr>
              <w:jc w:val="right"/>
              <w:ind w:right="336"/>
              <w:spacing w:after="0"/>
              <w:rPr>
                <w:sz w:val="20"/>
                <w:szCs w:val="20"/>
                <w:color w:val="auto"/>
              </w:rPr>
            </w:pPr>
            <w:r>
              <w:rPr>
                <w:rFonts w:ascii="Times New Roman" w:cs="Times New Roman" w:eastAsia="Times New Roman" w:hAnsi="Times New Roman"/>
                <w:sz w:val="14"/>
                <w:szCs w:val="14"/>
                <w:color w:val="auto"/>
              </w:rPr>
              <w:t>Three Months Ended</w:t>
            </w: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3"/>
        </w:trPr>
        <w:tc>
          <w:tcPr>
            <w:tcW w:w="50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536"/>
              <w:spacing w:after="0"/>
              <w:rPr>
                <w:sz w:val="20"/>
                <w:szCs w:val="20"/>
                <w:color w:val="auto"/>
              </w:rPr>
            </w:pPr>
            <w:r>
              <w:rPr>
                <w:rFonts w:ascii="Times New Roman" w:cs="Times New Roman" w:eastAsia="Times New Roman" w:hAnsi="Times New Roman"/>
                <w:sz w:val="14"/>
                <w:szCs w:val="14"/>
                <w:color w:val="auto"/>
              </w:rPr>
              <w:t>September 30</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Atairos</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106</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Hulu</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(62)</w:t>
            </w:r>
          </w:p>
        </w:tc>
        <w:tc>
          <w:tcPr>
            <w:tcW w:w="104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108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(168)</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5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for the nine months ended September 30, 2016 included a gain of $108 million related to the sale of our investment in The Weather Channel’s product and technology businesses.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 expense for the three and nine months ended September 30, 2017 and 2016 reflects an effective income tax rate that differs from the federal statutory rate primarily due to state income taxes and adjustments associated with uncertain tax positions. In 2017, we prospectively adopted the new accounting guidance related to share-based compensation, which resulted in decreases in income tax expense of $49 million and $247 million for the three and nine months ended September 30, 2017, respectively (see Note 2 to Comcast's condensed consolidated financial statements). In addition, our income tax expense decreased $121 million due to the impact of an internal legal reorganization, which was partially offset by an increase of $53 million due to state tax law changes for both the three and nine months ended September 30, 2017. Including the impacts of these items, we expect our 2017 annual effective tax rate to be in the range of 34% to 36%, absent further changes in tax laws or significant changes in uncertain tax positions.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3"/>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13,880</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12,595</w:t>
            </w: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amortization and other operating gains</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7,181</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7,062</w:t>
            </w: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594</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495</w:t>
            </w: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(168)</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of interest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(2,277)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of income taxes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(3,415)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r>
      <w:tr>
        <w:trPr>
          <w:trHeight w:val="270"/>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166</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15,961</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13,989</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variance in changes in operating assets and liabilities for the nine months ended September 30, 2017 compared to the same period in 2016 was primarily due to the timing of collections on our receivables and recognition of deferred revenue associated with our broadcast of the 2016 Rio Olympics and the payment of a tax receivable agreement that DreamWorks previously entered into with one of its former stockholders in the prior year period. The variance was also due to the timing of film and television spending, including certain sports programming obligations, and an increase related to a legal settlement in the current year period.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71"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2017 consisted primarily of capital expenditures, purchases of investments, cash paid for intangible assets and acquisitions. Capital expenditures increased for the nine months ended September 30, 2017 compared to the same period in 2016 primarily due to our Cable Communications segment's continued investment in scalable infrastructure to increase network capacity and increased investment in line extensions primarily for the expansion of business services, partially offset by a decrease in spending on customer premise equipment. NBCUniversal capital expenditures decreased for the nine months ended September 30, 2017 compared to the same period in 2016 primarily due to the timing of real estate and infrastructure spending. Purchases of investments for the nine months ended September 30, 2017 consisted primarily of our cash capital contributions to Atairos of $994 million and our investment in Snap Inc. of $500 million.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13, 2017, the Federal Communications Commission announced the results of its spectrum auction. In the auction, NBCUniversal relinquished its spectrum rights in the New York, Philadelphia and Chicago designated market areas where NBC and Telemundo had overlapping spectrum. NBCUniversal received proceeds of $482 million in July 2017, which were recorded in other investing activities in our condensed consolidated statement of cash flows. In connection with the auction, we also acquired the rights to $1.7 billion of spectrum. We had previously made a deposit of $1.8 billion to participate in the auction in the third quarter of 2016 and received a refund for amounts in excess of the purchase price in the second quarter of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2017 consisted primarily of repayments of debt, repurchases of common stock under our share repurchase program and employee plans, the purchase of the remaining 49% noncontrolling interests in Universal Studios Japan, and dividend payments, which were partially offset by proceeds from borrowings.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See Note 7 to Comcast’s condensed consolidated financial statements for additional information on our financing activities, including details of our debt repayments and borrowings and our exchange of senior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maintain significant availability under our lines of credit and commercial paper programs to meet our short-term liquidity requirements.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2017, amounts available under our consolidated revolving credit facilities, net of amounts outstanding under our commercial paper programs and outstanding letters of credit, totaled $8.3 billion, which included $1.5 billion available under the NBCUniversal Enterprise revolving credit facility.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2017, our Board of Directors increased our share repurchase program authorization to $12 billion, which does not have an expiration date. Under the authorization, we may repurchase shares in the open market or in private transactions. During the nine months ended September 30, 2017, we repurchased a total of 98 million shares of our Class A common stock for $3.8 billion. We expect to make $1.2 billion more in repurchases under this authorization during the remainder of 2017, although the actual repurchase amount may be more or less.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paid $397 million for the nine months ended September 30, 2017 related to employee taxes associated with the administration of our share-based compensation plans.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2017, our Board of Directors approved a 15% increase in our dividend to $0.63 per share on an annualized basis. In July 2017, our Board of Directors approved our third quarter dividend of $0.1575 per share to be paid in October 2017. We expect to continue to pay quarterly dividends, although each dividend is subject to approval by our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71"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judgments and related estimates associated with the valuation and impairment testing of our cable franchise rights and accounting for film and television costs are critical in the preparation of our condensed consolidated financial statements. We performed our annual impairment testing of our cable franchise rights as of July 1, 2017 and no impairment charge was required.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2016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each of Comcast’s and NBCUniversal’s condensed consolidated financial statements for additional information related to recent accounting pronouncements.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our 2016 Annual Report on Form 10-K and there have been no significant changes to this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10 to Comcast’s condensed consolidated financial statements included in this Quarterly Report on Form 10-Q for a discussion of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ectPr>
          <w:pgSz w:w="11900" w:h="16838" w:orient="portrait"/>
          <w:cols w:equalWidth="0" w:num="1">
            <w:col w:w="11420"/>
          </w:cols>
          <w:pgMar w:left="240" w:top="171"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71" w:right="2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from the risk factors previously disclosed in Item 1A of our 2016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Comcast’s common stock repurchases during the three months ended September 30, 2017.</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Purchases of Equity Securities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center"/>
              <w:ind w:right="81"/>
              <w:spacing w:after="0"/>
              <w:rPr>
                <w:sz w:val="20"/>
                <w:szCs w:val="20"/>
                <w:color w:val="auto"/>
              </w:rPr>
            </w:pPr>
            <w:r>
              <w:rPr>
                <w:rFonts w:ascii="Times New Roman" w:cs="Times New Roman" w:eastAsia="Times New Roman" w:hAnsi="Times New Roman"/>
                <w:sz w:val="14"/>
                <w:szCs w:val="14"/>
                <w:color w:val="auto"/>
              </w:rPr>
              <w:t>Total Dollar</w:t>
            </w:r>
          </w:p>
        </w:tc>
        <w:tc>
          <w:tcPr>
            <w:tcW w:w="240" w:type="dxa"/>
            <w:vAlign w:val="bottom"/>
          </w:tcPr>
          <w:p>
            <w:pPr>
              <w:spacing w:after="0"/>
              <w:rPr>
                <w:sz w:val="13"/>
                <w:szCs w:val="13"/>
                <w:color w:val="auto"/>
              </w:rPr>
            </w:pPr>
          </w:p>
        </w:tc>
        <w:tc>
          <w:tcPr>
            <w:tcW w:w="1580" w:type="dxa"/>
            <w:vAlign w:val="bottom"/>
          </w:tcPr>
          <w:p>
            <w:pPr>
              <w:jc w:val="center"/>
              <w:ind w:right="120"/>
              <w:spacing w:after="0"/>
              <w:rPr>
                <w:sz w:val="20"/>
                <w:szCs w:val="20"/>
                <w:color w:val="auto"/>
              </w:rPr>
            </w:pPr>
            <w:r>
              <w:rPr>
                <w:rFonts w:ascii="Times New Roman" w:cs="Times New Roman" w:eastAsia="Times New Roman" w:hAnsi="Times New Roman"/>
                <w:sz w:val="14"/>
                <w:szCs w:val="14"/>
                <w:color w:val="auto"/>
              </w:rPr>
              <w:t>Maximum Dollar</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9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Pr>
          <w:p>
            <w:pPr>
              <w:spacing w:after="0"/>
              <w:rPr>
                <w:sz w:val="12"/>
                <w:szCs w:val="12"/>
                <w:color w:val="auto"/>
              </w:rPr>
            </w:pPr>
          </w:p>
        </w:tc>
        <w:tc>
          <w:tcPr>
            <w:tcW w:w="1060" w:type="dxa"/>
            <w:vAlign w:val="bottom"/>
            <w:vMerge w:val="restart"/>
          </w:tcPr>
          <w:p>
            <w:pPr>
              <w:jc w:val="center"/>
              <w:ind w:right="259"/>
              <w:spacing w:after="0"/>
              <w:rPr>
                <w:sz w:val="20"/>
                <w:szCs w:val="20"/>
                <w:color w:val="auto"/>
              </w:rPr>
            </w:pPr>
            <w:r>
              <w:rPr>
                <w:rFonts w:ascii="Times New Roman" w:cs="Times New Roman" w:eastAsia="Times New Roman" w:hAnsi="Times New Roman"/>
                <w:sz w:val="14"/>
                <w:szCs w:val="14"/>
                <w:color w:val="auto"/>
              </w:rPr>
              <w:t>Average</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May Yet Be</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9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440" w:type="dxa"/>
            <w:vAlign w:val="bottom"/>
          </w:tcPr>
          <w:p>
            <w:pPr>
              <w:spacing w:after="0"/>
              <w:rPr>
                <w:sz w:val="12"/>
                <w:szCs w:val="12"/>
                <w:color w:val="auto"/>
              </w:rPr>
            </w:pPr>
          </w:p>
        </w:tc>
        <w:tc>
          <w:tcPr>
            <w:tcW w:w="106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Price</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color w:val="auto"/>
              </w:rPr>
              <w:t>Under the Publicly</w:t>
            </w:r>
          </w:p>
        </w:tc>
        <w:tc>
          <w:tcPr>
            <w:tcW w:w="18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Purchased Under the Publicly</w:t>
            </w:r>
          </w:p>
        </w:tc>
        <w:tc>
          <w:tcPr>
            <w:tcW w:w="0" w:type="dxa"/>
            <w:vAlign w:val="bottom"/>
          </w:tcPr>
          <w:p>
            <w:pPr>
              <w:spacing w:after="0"/>
              <w:rPr>
                <w:sz w:val="1"/>
                <w:szCs w:val="1"/>
                <w:color w:val="auto"/>
              </w:rPr>
            </w:pPr>
          </w:p>
        </w:tc>
      </w:tr>
      <w:tr>
        <w:trPr>
          <w:trHeight w:val="149"/>
        </w:trPr>
        <w:tc>
          <w:tcPr>
            <w:tcW w:w="2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Period</w:t>
            </w:r>
          </w:p>
        </w:tc>
        <w:tc>
          <w:tcPr>
            <w:tcW w:w="19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color w:val="auto"/>
              </w:rPr>
              <w:t>Per</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 Part of Publicly</w:t>
            </w:r>
          </w:p>
        </w:tc>
        <w:tc>
          <w:tcPr>
            <w:tcW w:w="240" w:type="dxa"/>
            <w:vAlign w:val="bottom"/>
          </w:tcPr>
          <w:p>
            <w:pPr>
              <w:spacing w:after="0"/>
              <w:rPr>
                <w:sz w:val="12"/>
                <w:szCs w:val="12"/>
                <w:color w:val="auto"/>
              </w:rPr>
            </w:pPr>
          </w:p>
        </w:tc>
        <w:tc>
          <w:tcPr>
            <w:tcW w:w="142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color w:val="auto"/>
              </w:rPr>
              <w:t>Announced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Announced</w:t>
            </w:r>
          </w:p>
        </w:tc>
        <w:tc>
          <w:tcPr>
            <w:tcW w:w="0" w:type="dxa"/>
            <w:vAlign w:val="bottom"/>
          </w:tcPr>
          <w:p>
            <w:pPr>
              <w:spacing w:after="0"/>
              <w:rPr>
                <w:sz w:val="1"/>
                <w:szCs w:val="1"/>
                <w:color w:val="auto"/>
              </w:rPr>
            </w:pPr>
          </w:p>
        </w:tc>
      </w:tr>
      <w:tr>
        <w:trPr>
          <w:trHeight w:val="193"/>
        </w:trPr>
        <w:tc>
          <w:tcPr>
            <w:tcW w:w="222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color w:val="auto"/>
              </w:rPr>
              <w:t>Purchased</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color w:val="auto"/>
              </w:rPr>
              <w:t>Share</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Announced Authorization</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color w:val="auto"/>
              </w:rPr>
              <w:t>Authorization</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color w:val="auto"/>
              </w:rPr>
              <w:t>Authorization</w:t>
            </w:r>
            <w:r>
              <w:rPr>
                <w:rFonts w:ascii="Times New Roman" w:cs="Times New Roman" w:eastAsia="Times New Roman" w:hAnsi="Times New Roman"/>
                <w:sz w:val="8"/>
                <w:szCs w:val="8"/>
                <w:color w:val="auto"/>
              </w:rPr>
              <w:t>(a)</w:t>
            </w:r>
          </w:p>
        </w:tc>
        <w:tc>
          <w:tcPr>
            <w:tcW w:w="0" w:type="dxa"/>
            <w:vAlign w:val="bottom"/>
          </w:tcPr>
          <w:p>
            <w:pPr>
              <w:spacing w:after="0"/>
              <w:rPr>
                <w:sz w:val="1"/>
                <w:szCs w:val="1"/>
                <w:color w:val="auto"/>
              </w:rPr>
            </w:pPr>
          </w:p>
        </w:tc>
      </w:tr>
      <w:tr>
        <w:trPr>
          <w:trHeight w:val="242"/>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July 1-31, 2017</w:t>
            </w:r>
          </w:p>
        </w:tc>
        <w:tc>
          <w:tcPr>
            <w:tcW w:w="19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9,868,909,599</w:t>
            </w:r>
          </w:p>
        </w:tc>
        <w:tc>
          <w:tcPr>
            <w:tcW w:w="0" w:type="dxa"/>
            <w:vAlign w:val="bottom"/>
          </w:tcPr>
          <w:p>
            <w:pPr>
              <w:spacing w:after="0"/>
              <w:rPr>
                <w:sz w:val="1"/>
                <w:szCs w:val="1"/>
                <w:color w:val="auto"/>
              </w:rPr>
            </w:pPr>
          </w:p>
        </w:tc>
      </w:tr>
      <w:tr>
        <w:trPr>
          <w:trHeight w:val="270"/>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1-31, 2017</w:t>
            </w:r>
          </w:p>
        </w:tc>
        <w:tc>
          <w:tcPr>
            <w:tcW w:w="19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18,907,754</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39.34</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18,907,754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743,909,599</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9,125,000,000</w:t>
            </w:r>
          </w:p>
        </w:tc>
        <w:tc>
          <w:tcPr>
            <w:tcW w:w="0" w:type="dxa"/>
            <w:vAlign w:val="bottom"/>
          </w:tcPr>
          <w:p>
            <w:pPr>
              <w:spacing w:after="0"/>
              <w:rPr>
                <w:sz w:val="1"/>
                <w:szCs w:val="1"/>
                <w:color w:val="auto"/>
              </w:rPr>
            </w:pPr>
          </w:p>
        </w:tc>
      </w:tr>
      <w:tr>
        <w:trPr>
          <w:trHeight w:val="270"/>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1-30, 2017</w:t>
            </w:r>
          </w:p>
        </w:tc>
        <w:tc>
          <w:tcPr>
            <w:tcW w:w="190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23,975,477</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39.21</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23,975,477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939,986,531</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8,185,013,469</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42,883,231</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39.27</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42,883,231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1,683,896,130</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8,185,013,469</w:t>
            </w:r>
          </w:p>
        </w:tc>
        <w:tc>
          <w:tcPr>
            <w:tcW w:w="0" w:type="dxa"/>
            <w:vAlign w:val="bottom"/>
          </w:tcPr>
          <w:p>
            <w:pPr>
              <w:spacing w:after="0"/>
              <w:rPr>
                <w:sz w:val="1"/>
                <w:szCs w:val="1"/>
                <w:color w:val="auto"/>
              </w:rPr>
            </w:pPr>
          </w:p>
        </w:tc>
      </w:tr>
      <w:tr>
        <w:trPr>
          <w:trHeight w:val="34"/>
        </w:trPr>
        <w:tc>
          <w:tcPr>
            <w:tcW w:w="2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2017, our Board of Directors increased our share repurchase program authorization to $12 billion, which does not have an expiration date. Under this authorization, we may repurchase shares in the open market or in private transactions.</w:t>
      </w:r>
    </w:p>
    <w:p>
      <w:pPr>
        <w:spacing w:after="0" w:line="112"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The total number of shares purchased during the three months ended September 30, 2017 does not include any shares received in the administration of employee share-based compensation plans.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de minimis. As of the date of this report, we are not aware of any activity, transaction or dealing during the three months ended September 30, 2017 that requires disclosure under the Act, except with respect to a January 2016 licensing agreement by a non-U.S. subsidiary of DreamWorks Animation prior to our August 2016 DreamWorks Animation acquisition. The agreement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71"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280"/>
        <w:spacing w:after="0"/>
        <w:tabs>
          <w:tab w:leader="none" w:pos="90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3" w:lineRule="exact"/>
        <w:rPr>
          <w:sz w:val="20"/>
          <w:szCs w:val="20"/>
          <w:color w:val="auto"/>
        </w:rPr>
      </w:pPr>
    </w:p>
    <w:p>
      <w:pPr>
        <w:ind w:left="920" w:right="20" w:hanging="721"/>
        <w:spacing w:after="0" w:line="281" w:lineRule="auto"/>
        <w:tabs>
          <w:tab w:leader="none" w:pos="900" w:val="left"/>
        </w:tabs>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FF"/>
        </w:rPr>
        <w:tab/>
        <w:t>Employment Agreement between Comcast Corporation and Brian L. Roberts, dated as of July 26, 2017 (incorporated by reference to Exhibit 10.2 to Comcast's Quarterly Report on Form 10-Q for the quarter ended June 30, 2017).</w:t>
      </w:r>
    </w:p>
    <w:p>
      <w:pPr>
        <w:spacing w:after="0" w:line="2" w:lineRule="exact"/>
        <w:rPr>
          <w:sz w:val="20"/>
          <w:szCs w:val="20"/>
          <w:color w:val="auto"/>
        </w:rPr>
      </w:pPr>
    </w:p>
    <w:p>
      <w:pPr>
        <w:ind w:left="240"/>
        <w:spacing w:after="0"/>
        <w:tabs>
          <w:tab w:leader="none" w:pos="900" w:val="left"/>
        </w:tabs>
        <w:rPr>
          <w:rFonts w:ascii="Times New Roman" w:cs="Times New Roman" w:eastAsia="Times New Roman" w:hAnsi="Times New Roman"/>
          <w:sz w:val="18"/>
          <w:szCs w:val="18"/>
          <w:color w:val="0000FF"/>
        </w:rPr>
      </w:pPr>
      <w:hyperlink w:anchor="page61">
        <w:r>
          <w:rPr>
            <w:rFonts w:ascii="Times New Roman" w:cs="Times New Roman" w:eastAsia="Times New Roman" w:hAnsi="Times New Roman"/>
            <w:sz w:val="18"/>
            <w:szCs w:val="18"/>
            <w:u w:val="single" w:color="auto"/>
            <w:color w:val="0000FF"/>
          </w:rPr>
          <w:t>31.1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Certification of Chief Executive Officer and Chief Financial Officer pursuant to Section 302 of the Sarbanes-Oxley Act of 2002.</w:t>
      </w:r>
    </w:p>
    <w:p>
      <w:pPr>
        <w:spacing w:after="0" w:line="63" w:lineRule="exact"/>
        <w:rPr>
          <w:sz w:val="20"/>
          <w:szCs w:val="20"/>
          <w:color w:val="auto"/>
        </w:rPr>
      </w:pPr>
    </w:p>
    <w:p>
      <w:pPr>
        <w:ind w:left="240"/>
        <w:spacing w:after="0"/>
        <w:tabs>
          <w:tab w:leader="none" w:pos="900" w:val="left"/>
        </w:tabs>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u w:val="single" w:color="auto"/>
            <w:color w:val="0000FF"/>
          </w:rPr>
          <w:t>32.1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Certification of Chief Executive Officer and Chief Financial Officer pursuant to Section 906 of the Sarbanes-Oxley Act of 2002.</w:t>
      </w:r>
    </w:p>
    <w:p>
      <w:pPr>
        <w:spacing w:after="0" w:line="63" w:lineRule="exact"/>
        <w:rPr>
          <w:sz w:val="20"/>
          <w:szCs w:val="20"/>
          <w:color w:val="auto"/>
        </w:rPr>
      </w:pPr>
    </w:p>
    <w:p>
      <w:pPr>
        <w:jc w:val="both"/>
        <w:ind w:left="920" w:hanging="662"/>
        <w:spacing w:after="0" w:line="258" w:lineRule="auto"/>
        <w:tabs>
          <w:tab w:leader="none" w:pos="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Comcast Corporation’s Quarterly Report on Form 10-Q for the three and nine months ended September 30, 2017, filed with the Securities and Exchange Commission on October 26, 2017,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35"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903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280"/>
        <w:spacing w:after="0"/>
        <w:tabs>
          <w:tab w:leader="none" w:pos="90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3" w:lineRule="exact"/>
        <w:rPr>
          <w:sz w:val="20"/>
          <w:szCs w:val="20"/>
          <w:color w:val="auto"/>
        </w:rPr>
      </w:pPr>
    </w:p>
    <w:p>
      <w:pPr>
        <w:ind w:left="300"/>
        <w:spacing w:after="0"/>
        <w:tabs>
          <w:tab w:leader="none" w:pos="900" w:val="left"/>
        </w:tabs>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Certification of Principal Executive Officer and Principal Financial Officer pursuant to Section 302 of the Sarbanes-Oxley Act of 2002.</w:t>
      </w:r>
    </w:p>
    <w:p>
      <w:pPr>
        <w:spacing w:after="0" w:line="63" w:lineRule="exact"/>
        <w:rPr>
          <w:sz w:val="20"/>
          <w:szCs w:val="20"/>
          <w:color w:val="auto"/>
        </w:rPr>
      </w:pPr>
    </w:p>
    <w:p>
      <w:pPr>
        <w:ind w:left="300"/>
        <w:spacing w:after="0"/>
        <w:tabs>
          <w:tab w:leader="none" w:pos="900" w:val="left"/>
        </w:tabs>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u w:val="single" w:color="auto"/>
            <w:color w:val="0000FF"/>
          </w:rPr>
          <w:t>32.2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Certification of Principal Executive Officer and Principal Financial Officer pursuant to Section 906 of the Sarbanes-Oxley Act of 2002.</w:t>
      </w:r>
    </w:p>
    <w:p>
      <w:pPr>
        <w:spacing w:after="0" w:line="63" w:lineRule="exact"/>
        <w:rPr>
          <w:sz w:val="20"/>
          <w:szCs w:val="20"/>
          <w:color w:val="auto"/>
        </w:rPr>
      </w:pPr>
    </w:p>
    <w:p>
      <w:pPr>
        <w:jc w:val="both"/>
        <w:ind w:left="920" w:hanging="595"/>
        <w:spacing w:after="0" w:line="257"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NBCUniversal Media, LLC’s Quarterly Report on Form 10-Q for the three and nine months ended September 30, 2017, filed with the Securities and Exchange Commission on October 26, 2017, formatted in XBRL (eXtensible Business Reporting Language): (i) the Condensed Consolidated Balance Sheet; (ii) the Condensed Consolidated Statement of Income;</w:t>
      </w:r>
    </w:p>
    <w:p>
      <w:pPr>
        <w:spacing w:after="0" w:line="1" w:lineRule="exact"/>
        <w:rPr>
          <w:rFonts w:ascii="Times New Roman" w:cs="Times New Roman" w:eastAsia="Times New Roman" w:hAnsi="Times New Roman"/>
          <w:sz w:val="18"/>
          <w:szCs w:val="18"/>
          <w:color w:val="auto"/>
        </w:rPr>
      </w:pPr>
    </w:p>
    <w:p>
      <w:pPr>
        <w:ind w:left="920" w:hanging="7"/>
        <w:spacing w:after="0" w:line="261" w:lineRule="auto"/>
        <w:tabs>
          <w:tab w:leader="none" w:pos="124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903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60"/>
          </w:cols>
          <w:pgMar w:left="240" w:top="171" w:right="7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34290</wp:posOffset>
            </wp:positionV>
            <wp:extent cx="31642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Daniel C. Murdock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Senior Vice President, Chief Accounting Officer and Controller</w:t>
      </w:r>
    </w:p>
    <w:p>
      <w:pPr>
        <w:spacing w:after="0" w:line="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2017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34290</wp:posOffset>
            </wp:positionV>
            <wp:extent cx="3164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Daniel C. Murdock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71"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Index</w:t>
            </w:r>
          </w:p>
        </w:tc>
        <w:tc>
          <w:tcPr>
            <w:tcW w:w="378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7"/>
        </w:trPr>
        <w:tc>
          <w:tcPr>
            <w:tcW w:w="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28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Condensed Consolidated Balance Sheet</w:t>
              </w:r>
            </w:hyperlink>
          </w:p>
        </w:tc>
        <w:tc>
          <w:tcPr>
            <w:tcW w:w="4740" w:type="dxa"/>
            <w:vAlign w:val="bottom"/>
            <w:gridSpan w:val="6"/>
          </w:tcPr>
          <w:p>
            <w:pPr>
              <w:spacing w:after="0"/>
              <w:rPr>
                <w:sz w:val="17"/>
                <w:szCs w:val="17"/>
                <w:color w:val="auto"/>
              </w:rPr>
            </w:pPr>
          </w:p>
        </w:tc>
        <w:tc>
          <w:tcPr>
            <w:tcW w:w="3780" w:type="dxa"/>
            <w:vAlign w:val="bottom"/>
          </w:tcPr>
          <w:p>
            <w:pPr>
              <w:jc w:val="center"/>
              <w:ind w:left="2670"/>
              <w:spacing w:after="0" w:line="196" w:lineRule="exact"/>
              <w:rPr>
                <w:rFonts w:ascii="Times New Roman" w:cs="Times New Roman" w:eastAsia="Times New Roman" w:hAnsi="Times New Roman"/>
                <w:sz w:val="18"/>
                <w:szCs w:val="18"/>
                <w:color w:val="auto"/>
                <w:w w:val="99"/>
              </w:rPr>
            </w:pPr>
            <w:hyperlink w:anchor="page48">
              <w:r>
                <w:rPr>
                  <w:rFonts w:ascii="Times New Roman" w:cs="Times New Roman" w:eastAsia="Times New Roman" w:hAnsi="Times New Roman"/>
                  <w:sz w:val="18"/>
                  <w:szCs w:val="18"/>
                  <w:color w:val="auto"/>
                  <w:w w:val="99"/>
                </w:rPr>
                <w:t>45</w:t>
              </w:r>
            </w:hyperlink>
          </w:p>
        </w:tc>
      </w:tr>
      <w:tr>
        <w:trPr>
          <w:trHeight w:val="250"/>
        </w:trPr>
        <w:tc>
          <w:tcPr>
            <w:tcW w:w="40" w:type="dxa"/>
            <w:vAlign w:val="bottom"/>
          </w:tcPr>
          <w:p>
            <w:pPr>
              <w:spacing w:after="0"/>
              <w:rPr>
                <w:sz w:val="21"/>
                <w:szCs w:val="21"/>
                <w:color w:val="auto"/>
              </w:rPr>
            </w:pPr>
          </w:p>
        </w:tc>
        <w:tc>
          <w:tcPr>
            <w:tcW w:w="33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Condensed Consolidated Statement of Income</w:t>
              </w:r>
            </w:hyperlink>
          </w:p>
        </w:tc>
        <w:tc>
          <w:tcPr>
            <w:tcW w:w="4260" w:type="dxa"/>
            <w:vAlign w:val="bottom"/>
            <w:gridSpan w:val="5"/>
          </w:tcPr>
          <w:p>
            <w:pPr>
              <w:spacing w:after="0"/>
              <w:rPr>
                <w:sz w:val="21"/>
                <w:szCs w:val="21"/>
                <w:color w:val="auto"/>
              </w:rPr>
            </w:pPr>
          </w:p>
        </w:tc>
        <w:tc>
          <w:tcPr>
            <w:tcW w:w="3780" w:type="dxa"/>
            <w:vAlign w:val="bottom"/>
          </w:tcPr>
          <w:p>
            <w:pPr>
              <w:jc w:val="center"/>
              <w:ind w:left="2670"/>
              <w:spacing w:after="0"/>
              <w:rPr>
                <w:rFonts w:ascii="Times New Roman" w:cs="Times New Roman" w:eastAsia="Times New Roman" w:hAnsi="Times New Roman"/>
                <w:sz w:val="18"/>
                <w:szCs w:val="18"/>
                <w:color w:val="auto"/>
                <w:w w:val="99"/>
              </w:rPr>
            </w:pPr>
            <w:hyperlink w:anchor="page49">
              <w:r>
                <w:rPr>
                  <w:rFonts w:ascii="Times New Roman" w:cs="Times New Roman" w:eastAsia="Times New Roman" w:hAnsi="Times New Roman"/>
                  <w:sz w:val="18"/>
                  <w:szCs w:val="18"/>
                  <w:color w:val="auto"/>
                  <w:w w:val="99"/>
                </w:rPr>
                <w:t>46</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Condensed Consolidated Statement of Comprehensive Income</w:t>
              </w:r>
            </w:hyperlink>
          </w:p>
        </w:tc>
        <w:tc>
          <w:tcPr>
            <w:tcW w:w="3780" w:type="dxa"/>
            <w:vAlign w:val="bottom"/>
          </w:tcPr>
          <w:p>
            <w:pPr>
              <w:jc w:val="center"/>
              <w:ind w:left="2670"/>
              <w:spacing w:after="0"/>
              <w:rPr>
                <w:rFonts w:ascii="Times New Roman" w:cs="Times New Roman" w:eastAsia="Times New Roman" w:hAnsi="Times New Roman"/>
                <w:sz w:val="18"/>
                <w:szCs w:val="18"/>
                <w:color w:val="auto"/>
                <w:w w:val="99"/>
              </w:rPr>
            </w:pPr>
            <w:hyperlink w:anchor="page50">
              <w:r>
                <w:rPr>
                  <w:rFonts w:ascii="Times New Roman" w:cs="Times New Roman" w:eastAsia="Times New Roman" w:hAnsi="Times New Roman"/>
                  <w:sz w:val="18"/>
                  <w:szCs w:val="18"/>
                  <w:color w:val="auto"/>
                  <w:w w:val="99"/>
                </w:rPr>
                <w:t>47</w:t>
              </w:r>
            </w:hyperlink>
          </w:p>
        </w:tc>
      </w:tr>
      <w:tr>
        <w:trPr>
          <w:trHeight w:val="250"/>
        </w:trPr>
        <w:tc>
          <w:tcPr>
            <w:tcW w:w="40" w:type="dxa"/>
            <w:vAlign w:val="bottom"/>
          </w:tcPr>
          <w:p>
            <w:pPr>
              <w:spacing w:after="0"/>
              <w:rPr>
                <w:sz w:val="21"/>
                <w:szCs w:val="21"/>
                <w:color w:val="auto"/>
              </w:rPr>
            </w:pPr>
          </w:p>
        </w:tc>
        <w:tc>
          <w:tcPr>
            <w:tcW w:w="36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Condensed Consolidated Statement of Cash Flows</w:t>
              </w:r>
            </w:hyperlink>
          </w:p>
        </w:tc>
        <w:tc>
          <w:tcPr>
            <w:tcW w:w="860" w:type="dxa"/>
            <w:vAlign w:val="bottom"/>
            <w:tcBorders>
              <w:top w:val="single" w:sz="8" w:color="0000EE"/>
            </w:tcBorders>
            <w:gridSpan w:val="3"/>
          </w:tcPr>
          <w:p>
            <w:pPr>
              <w:spacing w:after="0"/>
              <w:rPr>
                <w:sz w:val="21"/>
                <w:szCs w:val="21"/>
                <w:color w:val="auto"/>
              </w:rPr>
            </w:pPr>
          </w:p>
        </w:tc>
        <w:tc>
          <w:tcPr>
            <w:tcW w:w="3100" w:type="dxa"/>
            <w:vAlign w:val="bottom"/>
          </w:tcPr>
          <w:p>
            <w:pPr>
              <w:spacing w:after="0"/>
              <w:rPr>
                <w:sz w:val="21"/>
                <w:szCs w:val="21"/>
                <w:color w:val="auto"/>
              </w:rPr>
            </w:pPr>
          </w:p>
        </w:tc>
        <w:tc>
          <w:tcPr>
            <w:tcW w:w="3780" w:type="dxa"/>
            <w:vAlign w:val="bottom"/>
          </w:tcPr>
          <w:p>
            <w:pPr>
              <w:jc w:val="center"/>
              <w:ind w:left="2670"/>
              <w:spacing w:after="0"/>
              <w:rPr>
                <w:rFonts w:ascii="Times New Roman" w:cs="Times New Roman" w:eastAsia="Times New Roman" w:hAnsi="Times New Roman"/>
                <w:sz w:val="18"/>
                <w:szCs w:val="18"/>
                <w:color w:val="auto"/>
                <w:w w:val="99"/>
              </w:rPr>
            </w:pPr>
            <w:hyperlink w:anchor="page51">
              <w:r>
                <w:rPr>
                  <w:rFonts w:ascii="Times New Roman" w:cs="Times New Roman" w:eastAsia="Times New Roman" w:hAnsi="Times New Roman"/>
                  <w:sz w:val="18"/>
                  <w:szCs w:val="18"/>
                  <w:color w:val="auto"/>
                  <w:w w:val="99"/>
                </w:rPr>
                <w:t>48</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Condensed Consolidated Statement of Changes in Equity</w:t>
              </w:r>
            </w:hyperlink>
          </w:p>
        </w:tc>
        <w:tc>
          <w:tcPr>
            <w:tcW w:w="3780" w:type="dxa"/>
            <w:vAlign w:val="bottom"/>
          </w:tcPr>
          <w:p>
            <w:pPr>
              <w:jc w:val="center"/>
              <w:ind w:left="2670"/>
              <w:spacing w:after="0"/>
              <w:rPr>
                <w:rFonts w:ascii="Times New Roman" w:cs="Times New Roman" w:eastAsia="Times New Roman" w:hAnsi="Times New Roman"/>
                <w:sz w:val="18"/>
                <w:szCs w:val="18"/>
                <w:color w:val="auto"/>
                <w:w w:val="99"/>
              </w:rPr>
            </w:pPr>
            <w:hyperlink w:anchor="page52">
              <w:r>
                <w:rPr>
                  <w:rFonts w:ascii="Times New Roman" w:cs="Times New Roman" w:eastAsia="Times New Roman" w:hAnsi="Times New Roman"/>
                  <w:sz w:val="18"/>
                  <w:szCs w:val="18"/>
                  <w:color w:val="auto"/>
                  <w:w w:val="99"/>
                </w:rPr>
                <w:t>49</w:t>
              </w:r>
            </w:hyperlink>
          </w:p>
        </w:tc>
      </w:tr>
      <w:tr>
        <w:trPr>
          <w:trHeight w:val="250"/>
        </w:trPr>
        <w:tc>
          <w:tcPr>
            <w:tcW w:w="40" w:type="dxa"/>
            <w:vAlign w:val="bottom"/>
          </w:tcPr>
          <w:p>
            <w:pPr>
              <w:spacing w:after="0"/>
              <w:rPr>
                <w:sz w:val="21"/>
                <w:szCs w:val="21"/>
                <w:color w:val="auto"/>
              </w:rPr>
            </w:pPr>
          </w:p>
        </w:tc>
        <w:tc>
          <w:tcPr>
            <w:tcW w:w="41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Notes to Condensed Consolidated Financial Statements</w:t>
              </w:r>
            </w:hyperlink>
          </w:p>
        </w:tc>
        <w:tc>
          <w:tcPr>
            <w:tcW w:w="3480" w:type="dxa"/>
            <w:vAlign w:val="bottom"/>
            <w:gridSpan w:val="2"/>
          </w:tcPr>
          <w:p>
            <w:pPr>
              <w:spacing w:after="0"/>
              <w:rPr>
                <w:sz w:val="21"/>
                <w:szCs w:val="21"/>
                <w:color w:val="auto"/>
              </w:rPr>
            </w:pPr>
          </w:p>
        </w:tc>
        <w:tc>
          <w:tcPr>
            <w:tcW w:w="3780" w:type="dxa"/>
            <w:vAlign w:val="bottom"/>
          </w:tcPr>
          <w:p>
            <w:pPr>
              <w:jc w:val="center"/>
              <w:ind w:left="2670"/>
              <w:spacing w:after="0"/>
              <w:rPr>
                <w:rFonts w:ascii="Times New Roman" w:cs="Times New Roman" w:eastAsia="Times New Roman" w:hAnsi="Times New Roman"/>
                <w:sz w:val="18"/>
                <w:szCs w:val="18"/>
                <w:color w:val="auto"/>
                <w:w w:val="99"/>
              </w:rPr>
            </w:pPr>
            <w:hyperlink w:anchor="page53">
              <w:r>
                <w:rPr>
                  <w:rFonts w:ascii="Times New Roman" w:cs="Times New Roman" w:eastAsia="Times New Roman" w:hAnsi="Times New Roman"/>
                  <w:sz w:val="18"/>
                  <w:szCs w:val="18"/>
                  <w:color w:val="auto"/>
                  <w:w w:val="99"/>
                </w:rPr>
                <w:t>50</w:t>
              </w:r>
            </w:hyperlink>
          </w:p>
        </w:tc>
      </w:tr>
      <w:tr>
        <w:trPr>
          <w:trHeight w:val="48"/>
        </w:trPr>
        <w:tc>
          <w:tcPr>
            <w:tcW w:w="40" w:type="dxa"/>
            <w:vAlign w:val="bottom"/>
            <w:tcBorders>
              <w:bottom w:val="single" w:sz="8" w:color="auto"/>
            </w:tcBorders>
          </w:tcPr>
          <w:p>
            <w:pPr>
              <w:spacing w:after="0"/>
              <w:rPr>
                <w:sz w:val="4"/>
                <w:szCs w:val="4"/>
                <w:color w:val="auto"/>
              </w:rPr>
            </w:pPr>
          </w:p>
        </w:tc>
        <w:tc>
          <w:tcPr>
            <w:tcW w:w="286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71"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400" w:type="dxa"/>
            <w:vAlign w:val="bottom"/>
          </w:tcPr>
          <w:p>
            <w:pPr>
              <w:spacing w:after="0"/>
              <w:rPr>
                <w:sz w:val="13"/>
                <w:szCs w:val="13"/>
                <w:color w:val="auto"/>
              </w:rPr>
            </w:pPr>
          </w:p>
        </w:tc>
        <w:tc>
          <w:tcPr>
            <w:tcW w:w="138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70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42"/>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2,014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6,177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6,302</w:t>
            </w: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 rights</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1,772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1,114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40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11,077</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10,447</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6,791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7,245</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1,817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$3,999 and $3,350</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11,040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10,511</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23,963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23,323</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 of accumulated amortization of $7,372 and $6,568</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13,375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13,777</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1,582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69,645</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68,254</w:t>
            </w:r>
          </w:p>
        </w:tc>
        <w:tc>
          <w:tcPr>
            <w:tcW w:w="0" w:type="dxa"/>
            <w:vAlign w:val="bottom"/>
          </w:tcPr>
          <w:p>
            <w:pPr>
              <w:spacing w:after="0"/>
              <w:rPr>
                <w:sz w:val="1"/>
                <w:szCs w:val="1"/>
                <w:color w:val="auto"/>
              </w:rPr>
            </w:pPr>
          </w:p>
        </w:tc>
      </w:tr>
      <w:tr>
        <w:trPr>
          <w:trHeight w:val="34"/>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1,449</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participations and residuals</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1,811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 obligations</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1,479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1,807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Note payable to Comcast</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1,805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9,123</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9,914</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12,157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11,461</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participations, residuals and program obligations</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1,202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4,099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4,130</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Member’s capital</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41,760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39,036</w:t>
            </w:r>
          </w:p>
        </w:tc>
        <w:tc>
          <w:tcPr>
            <w:tcW w:w="0" w:type="dxa"/>
            <w:vAlign w:val="bottom"/>
          </w:tcPr>
          <w:p>
            <w:pPr>
              <w:spacing w:after="0"/>
              <w:rPr>
                <w:sz w:val="1"/>
                <w:szCs w:val="1"/>
                <w:color w:val="auto"/>
              </w:rPr>
            </w:pPr>
          </w:p>
        </w:tc>
      </w:tr>
      <w:tr>
        <w:trPr>
          <w:trHeight w:val="270"/>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0" w:type="dxa"/>
            <w:vAlign w:val="bottom"/>
          </w:tcPr>
          <w:p>
            <w:pPr>
              <w:spacing w:after="0"/>
              <w:rPr>
                <w:sz w:val="23"/>
                <w:szCs w:val="23"/>
                <w:color w:val="auto"/>
              </w:rPr>
            </w:pP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NBCUniversal member’s equity</w:t>
            </w:r>
          </w:p>
        </w:tc>
        <w:tc>
          <w:tcPr>
            <w:tcW w:w="140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41,731</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38,901</w:t>
            </w:r>
          </w:p>
        </w:tc>
        <w:tc>
          <w:tcPr>
            <w:tcW w:w="0" w:type="dxa"/>
            <w:vAlign w:val="bottom"/>
          </w:tcPr>
          <w:p>
            <w:pPr>
              <w:spacing w:after="0"/>
              <w:rPr>
                <w:sz w:val="1"/>
                <w:szCs w:val="1"/>
                <w:color w:val="auto"/>
              </w:rPr>
            </w:pPr>
          </w:p>
        </w:tc>
      </w:tr>
      <w:tr>
        <w:trPr>
          <w:trHeight w:val="270"/>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926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140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42,657</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41,017</w:t>
            </w:r>
          </w:p>
        </w:tc>
        <w:tc>
          <w:tcPr>
            <w:tcW w:w="0" w:type="dxa"/>
            <w:vAlign w:val="bottom"/>
          </w:tcPr>
          <w:p>
            <w:pPr>
              <w:spacing w:after="0"/>
              <w:rPr>
                <w:sz w:val="1"/>
                <w:szCs w:val="1"/>
                <w:color w:val="auto"/>
              </w:rPr>
            </w:pP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69,645</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68,254</w:t>
            </w:r>
          </w:p>
        </w:tc>
        <w:tc>
          <w:tcPr>
            <w:tcW w:w="0" w:type="dxa"/>
            <w:vAlign w:val="bottom"/>
          </w:tcPr>
          <w:p>
            <w:pPr>
              <w:spacing w:after="0"/>
              <w:rPr>
                <w:sz w:val="1"/>
                <w:szCs w:val="1"/>
                <w:color w:val="auto"/>
              </w:rPr>
            </w:pPr>
          </w:p>
        </w:tc>
      </w:tr>
      <w:tr>
        <w:trPr>
          <w:trHeight w:val="34"/>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04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7"/>
        </w:trPr>
        <w:tc>
          <w:tcPr>
            <w:tcW w:w="70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45</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3"/>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8,014</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9,178</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24,213</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23,142</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3,257</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4,501</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10,157</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10,503</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1,859</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1,912</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5,586</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5,159</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624</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619</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2,108</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2,023</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253</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209</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749</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624</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253</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236</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785</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gains</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(337)</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(337)</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5,909</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7,477</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19,048</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19,009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2,105</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1,701</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5,165</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4,133</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(139)</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(151)</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(165)</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(195)</w:t>
            </w:r>
          </w:p>
        </w:tc>
        <w:tc>
          <w:tcPr>
            <w:tcW w:w="48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(473)</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1,940</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1,506</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4,692</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3,735</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(98)</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(139)</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1,842</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1,367</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4,403</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3,424</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NBCUniversal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1,825</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1,289</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4,301</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3,224</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3"/>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7"/>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46</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3"/>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1,842</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1,367</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4,403</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3,424</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gains (losses) on marketable securities,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(94)</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(233)</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gains (losses) on cash flow hedges,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obligations,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adjustments, net</w:t>
            </w:r>
          </w:p>
        </w:tc>
        <w:tc>
          <w:tcPr>
            <w:tcW w:w="360" w:type="dxa"/>
            <w:vAlign w:val="bottom"/>
          </w:tcPr>
          <w:p>
            <w:pPr>
              <w:spacing w:after="0"/>
              <w:rPr>
                <w:sz w:val="23"/>
                <w:szCs w:val="23"/>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211</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1,762</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1,422</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4,455</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4,073</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(102)</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attributable to noncontrolling</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interests</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(87)</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NBCUniversal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1,740</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1,310</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4,266</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3,552</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3"/>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7"/>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47</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3"/>
        </w:trPr>
        <w:tc>
          <w:tcPr>
            <w:tcW w:w="5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5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0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5,572</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3,339</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(977)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 of real estate properties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(368)</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(1,026)</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(1,456)</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3,948</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(3,450)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(repayments of) borrowings from Comcast, net</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(898)</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1,132</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member</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(1,720)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Universal Studios Japan noncontrolling interests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(2,299)</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86</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(4,498)</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(1,403)</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480</w:t>
            </w:r>
          </w:p>
        </w:tc>
      </w:tr>
      <w:tr>
        <w:trPr>
          <w:trHeight w:val="270"/>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1,966</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1,410</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2,014</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1,890</w:t>
            </w:r>
          </w:p>
        </w:tc>
      </w:tr>
      <w:tr>
        <w:trPr>
          <w:trHeight w:val="34"/>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955"/>
        </w:trPr>
        <w:tc>
          <w:tcPr>
            <w:tcW w:w="5240" w:type="dxa"/>
            <w:vAlign w:val="bottom"/>
          </w:tcPr>
          <w:p>
            <w:pPr>
              <w:spacing w:after="0"/>
              <w:rPr>
                <w:sz w:val="24"/>
                <w:szCs w:val="24"/>
                <w:color w:val="auto"/>
              </w:rPr>
            </w:pPr>
          </w:p>
        </w:tc>
        <w:tc>
          <w:tcPr>
            <w:tcW w:w="300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Borders>
              <w:right w:val="single" w:sz="8" w:color="auto"/>
            </w:tcBorders>
            <w:vMerge w:val="restart"/>
          </w:tcPr>
          <w:p>
            <w:pPr>
              <w:jc w:val="center"/>
              <w:ind w:right="154"/>
              <w:spacing w:after="0"/>
              <w:rPr>
                <w:sz w:val="20"/>
                <w:szCs w:val="20"/>
                <w:color w:val="auto"/>
              </w:rPr>
            </w:pPr>
            <w:r>
              <w:rPr>
                <w:rFonts w:ascii="Times New Roman" w:cs="Times New Roman" w:eastAsia="Times New Roman" w:hAnsi="Times New Roman"/>
                <w:sz w:val="14"/>
                <w:szCs w:val="14"/>
                <w:color w:val="auto"/>
              </w:rPr>
              <w:t>Redeemable</w:t>
            </w: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center"/>
              <w:ind w:right="217"/>
              <w:spacing w:after="0"/>
              <w:rPr>
                <w:sz w:val="20"/>
                <w:szCs w:val="20"/>
                <w:color w:val="auto"/>
              </w:rPr>
            </w:pPr>
            <w:r>
              <w:rPr>
                <w:rFonts w:ascii="Times New Roman" w:cs="Times New Roman" w:eastAsia="Times New Roman" w:hAnsi="Times New Roman"/>
                <w:sz w:val="14"/>
                <w:szCs w:val="14"/>
                <w:color w:val="auto"/>
              </w:rPr>
              <w:t>Accumulated</w:t>
            </w: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color w:val="auto"/>
              </w:rPr>
              <w:t>Member’s</w:t>
            </w:r>
          </w:p>
        </w:tc>
        <w:tc>
          <w:tcPr>
            <w:tcW w:w="340" w:type="dxa"/>
            <w:vAlign w:val="bottom"/>
          </w:tcPr>
          <w:p>
            <w:pPr>
              <w:spacing w:after="0"/>
              <w:rPr>
                <w:sz w:val="12"/>
                <w:szCs w:val="12"/>
                <w:color w:val="auto"/>
              </w:rPr>
            </w:pPr>
          </w:p>
        </w:tc>
        <w:tc>
          <w:tcPr>
            <w:tcW w:w="136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2"/>
                <w:szCs w:val="12"/>
                <w:color w:val="auto"/>
              </w:rPr>
            </w:pPr>
          </w:p>
        </w:tc>
        <w:tc>
          <w:tcPr>
            <w:tcW w:w="13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Noncontrolling</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5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3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Total Equity</w:t>
            </w:r>
          </w:p>
        </w:tc>
        <w:tc>
          <w:tcPr>
            <w:tcW w:w="0" w:type="dxa"/>
            <w:vAlign w:val="bottom"/>
          </w:tcPr>
          <w:p>
            <w:pPr>
              <w:spacing w:after="0"/>
              <w:rPr>
                <w:sz w:val="1"/>
                <w:szCs w:val="1"/>
                <w:color w:val="auto"/>
              </w:rPr>
            </w:pPr>
          </w:p>
        </w:tc>
      </w:tr>
      <w:tr>
        <w:trPr>
          <w:trHeight w:val="193"/>
        </w:trPr>
        <w:tc>
          <w:tcPr>
            <w:tcW w:w="29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color w:val="auto"/>
              </w:rPr>
              <w:t>Interests</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Capital</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color w:val="auto"/>
              </w:rPr>
              <w:t>Income (Loss)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Interests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2015</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372</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32,834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1,681</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34,303</w:t>
            </w:r>
          </w:p>
        </w:tc>
        <w:tc>
          <w:tcPr>
            <w:tcW w:w="0" w:type="dxa"/>
            <w:vAlign w:val="bottom"/>
          </w:tcPr>
          <w:p>
            <w:pPr>
              <w:spacing w:after="0"/>
              <w:rPr>
                <w:sz w:val="1"/>
                <w:szCs w:val="1"/>
                <w:color w:val="auto"/>
              </w:rPr>
            </w:pPr>
          </w:p>
        </w:tc>
      </w:tr>
      <w:tr>
        <w:trPr>
          <w:trHeight w:val="27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(1,213)</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52"/>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 from (distributions to)</w:t>
            </w:r>
          </w:p>
        </w:tc>
        <w:tc>
          <w:tcPr>
            <w:tcW w:w="4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DreamWorks contributions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3,558</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7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7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3,224</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September 30, 2016</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427</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38,406</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116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2,307</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40,829</w:t>
            </w:r>
          </w:p>
        </w:tc>
        <w:tc>
          <w:tcPr>
            <w:tcW w:w="0" w:type="dxa"/>
            <w:vAlign w:val="bottom"/>
          </w:tcPr>
          <w:p>
            <w:pPr>
              <w:spacing w:after="0"/>
              <w:rPr>
                <w:sz w:val="1"/>
                <w:szCs w:val="1"/>
                <w:color w:val="auto"/>
              </w:rPr>
            </w:pPr>
          </w:p>
        </w:tc>
      </w:tr>
      <w:tr>
        <w:trPr>
          <w:trHeight w:val="34"/>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2016</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530</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39,036</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2,116</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41,017</w:t>
            </w:r>
          </w:p>
        </w:tc>
        <w:tc>
          <w:tcPr>
            <w:tcW w:w="0" w:type="dxa"/>
            <w:vAlign w:val="bottom"/>
          </w:tcPr>
          <w:p>
            <w:pPr>
              <w:spacing w:after="0"/>
              <w:rPr>
                <w:sz w:val="1"/>
                <w:szCs w:val="1"/>
                <w:color w:val="auto"/>
              </w:rPr>
            </w:pPr>
          </w:p>
        </w:tc>
      </w:tr>
      <w:tr>
        <w:trPr>
          <w:trHeight w:val="27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(1,720)</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52"/>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 from (distributions to)</w:t>
            </w:r>
          </w:p>
        </w:tc>
        <w:tc>
          <w:tcPr>
            <w:tcW w:w="4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 from member</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662</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7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2"/>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Universal Studios Japan</w:t>
            </w:r>
          </w:p>
        </w:tc>
        <w:tc>
          <w:tcPr>
            <w:tcW w:w="42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(704)</w:t>
            </w:r>
          </w:p>
        </w:tc>
        <w:tc>
          <w:tcPr>
            <w:tcW w:w="340" w:type="dxa"/>
            <w:vAlign w:val="bottom"/>
          </w:tcPr>
          <w:p>
            <w:pPr>
              <w:spacing w:after="0"/>
              <w:rPr>
                <w:sz w:val="20"/>
                <w:szCs w:val="20"/>
                <w:color w:val="auto"/>
              </w:rPr>
            </w:pP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(1,736)</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7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470</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7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4,301</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4,385</w:t>
            </w: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September 30, 2017</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407</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41,760</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(29)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926</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42,657</w:t>
            </w:r>
          </w:p>
        </w:tc>
        <w:tc>
          <w:tcPr>
            <w:tcW w:w="0" w:type="dxa"/>
            <w:vAlign w:val="bottom"/>
          </w:tcPr>
          <w:p>
            <w:pPr>
              <w:spacing w:after="0"/>
              <w:rPr>
                <w:sz w:val="1"/>
                <w:szCs w:val="1"/>
                <w:color w:val="auto"/>
              </w:rPr>
            </w:pPr>
          </w:p>
        </w:tc>
      </w:tr>
      <w:tr>
        <w:trPr>
          <w:trHeight w:val="34"/>
        </w:trPr>
        <w:tc>
          <w:tcPr>
            <w:tcW w:w="4640" w:type="dxa"/>
            <w:vAlign w:val="bottom"/>
            <w:tcBorders>
              <w:bottom w:val="single" w:sz="8" w:color="auto"/>
              <w:right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7"/>
        </w:trPr>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34" w:lineRule="exact"/>
        <w:rPr>
          <w:sz w:val="20"/>
          <w:szCs w:val="20"/>
          <w:color w:val="auto"/>
        </w:rPr>
      </w:pPr>
    </w:p>
    <w:p>
      <w:pPr>
        <w:ind w:right="4380"/>
        <w:spacing w:after="0" w:line="293"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2016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substantially completed the review of our revenue arrangements and do not currently expect that the adoption of the new standard will have a material impact on our financial position or results of operations. However, we do expect that the new standard will impact the timing of recognition for our Cable Networks, Broadcast Television and Filmed Entertainment segments’ content licensing revenue associated with renewals or extensions of existing program licensing agreements, which will be recognized as revenue when the licensed content becomes available under the renewal or extension instead of when the agreement is renewed or extended. The updated guidance also requires additional disclosures regarding the nature, timing and uncertainty of our revenue transactions. We intend to adopt the provisions of the guidance using the full retrospective method, under which we will adjust any prior periods presented to reflect the updated guidance.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in the year the guidance is adopted with certain exceptions. If we had adopted the provisions of the updated guidance as of January 1, 2017 for our equity investments classified as available-for-sale securities, primarily our investment in Snap Inc. (see Note 6), net income attributable to NBCUniversal would have decreased for the three and nine months ended September 30, 2017 by $95 million and $234 million, respectively. We are currently in the process of determining the impact that the updated accounting guidance will have on our cost method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7"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Significant Transactions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13, 2017, the Federal Communications Commission announced the results of its spectrum auction. In the auction, we relinquished our spectrum rights in the New York, Philadelphia and Chicago designated market areas (“DMAs”) where NBC and Telemundo had overlapping spectrum. We received proceeds of $482 million in July 2017, which were recorded in other investing activities in our condensed consolidated statement of cash flows. We recognized a pretax gain of $337 million in other operating gains for the three months ended September 30, 2017 in our condensed consolidated statement of income. NBC and Telemundo stations will share broadcast signals in these DMAs.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6, 2017, we acquired the remaining interests in Universal Studios Japan that we did not already own for $2.3 billion. The acquisition was funded through borrowings under our revolving credit agreement with Comcast. Because we maintained control of Universal Studios Japan, the difference between the consideration transferred and the recorded value of the noncontrolling interests, as well as the related accumulated other comprehensive income impact, were recorded to additional paid-in capital.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 Animation</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22, 2016, Comcast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w:t>
      </w:r>
    </w:p>
    <w:p>
      <w:pPr>
        <w:spacing w:after="0" w:line="2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Following the acquisition, Comcast converted DreamWorks Animation to a limited liability company and contributed its equity to us as a capital contribution. The net assets contributed to us excluded deferred income taxes and other tax-related items recorded by Comcast. The results of operations for DreamWorks Animation are reported in our Filmed Entertainment segment following the acquisition date and are presented as if the initial equity contribution occurred on the date of Comcast’s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valuation analyses. In valuing acquired assets and liabilities, fair value estimates were primarily based on Level 3 inputs, including future expected cash flows, market rate assumptions and discount rates. The fair value of the assumed debt was primarily based on quoted market values. The fair value of the liability related to a tax receivable agreement that DreamWorks Animation had previously entered into with one of its former stockholders (the “tax receivable agreement”) was based on the contractual settlement provisions in the agreement. During the nine months ended September 30, 2017, we updated the allocation of purchase price for DreamWorks Animation based on final valuation analyses, which primarily resulted in increases to noncontrolling interests, intangible assets and goodwill and a decrease to working capital. The changes did not have a material impact on our condensed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allocation of the purchase price to the assets and liabilities of DreamWorks Animation.</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40" w:type="dxa"/>
            <w:vAlign w:val="bottom"/>
          </w:tcPr>
          <w:p>
            <w:pPr>
              <w:spacing w:after="0"/>
              <w:rPr>
                <w:sz w:val="21"/>
                <w:szCs w:val="21"/>
                <w:color w:val="auto"/>
              </w:rPr>
            </w:pPr>
          </w:p>
        </w:tc>
        <w:tc>
          <w:tcPr>
            <w:tcW w:w="6080" w:type="dxa"/>
            <w:vAlign w:val="bottom"/>
          </w:tcPr>
          <w:p>
            <w:pPr>
              <w:jc w:val="right"/>
              <w:ind w:right="3130"/>
              <w:spacing w:after="0"/>
              <w:rPr>
                <w:sz w:val="20"/>
                <w:szCs w:val="20"/>
                <w:color w:val="auto"/>
              </w:rPr>
            </w:pPr>
            <w:r>
              <w:rPr>
                <w:rFonts w:ascii="Arial" w:cs="Arial" w:eastAsia="Arial" w:hAnsi="Arial"/>
                <w:sz w:val="18"/>
                <w:szCs w:val="18"/>
                <w:b w:val="1"/>
                <w:bCs w:val="1"/>
                <w:color w:val="auto"/>
              </w:rPr>
              <w:t>Allocation of Purchase Price</w:t>
            </w:r>
          </w:p>
        </w:tc>
        <w:tc>
          <w:tcPr>
            <w:tcW w:w="1240" w:type="dxa"/>
            <w:vAlign w:val="bottom"/>
          </w:tcPr>
          <w:p>
            <w:pPr>
              <w:spacing w:after="0"/>
              <w:rPr>
                <w:sz w:val="21"/>
                <w:szCs w:val="21"/>
                <w:color w:val="auto"/>
              </w:rPr>
            </w:pPr>
          </w:p>
        </w:tc>
      </w:tr>
      <w:tr>
        <w:trPr>
          <w:trHeight w:val="199"/>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60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42"/>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60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838</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0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60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60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30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w:t>
            </w:r>
            <w:r>
              <w:rPr>
                <w:rFonts w:ascii="Times New Roman" w:cs="Times New Roman" w:eastAsia="Times New Roman" w:hAnsi="Times New Roman"/>
                <w:sz w:val="25"/>
                <w:szCs w:val="25"/>
                <w:color w:val="auto"/>
                <w:vertAlign w:val="superscript"/>
              </w:rPr>
              <w:t>(a)</w:t>
            </w:r>
          </w:p>
        </w:tc>
        <w:tc>
          <w:tcPr>
            <w:tcW w:w="60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61"/>
        </w:trPr>
        <w:tc>
          <w:tcPr>
            <w:tcW w:w="4040" w:type="dxa"/>
            <w:vAlign w:val="bottom"/>
            <w:tcBorders>
              <w:bottom w:val="single" w:sz="8" w:color="auto"/>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Other noncurrent assets and liabilities and other</w:t>
            </w:r>
            <w:r>
              <w:rPr>
                <w:rFonts w:ascii="Times New Roman" w:cs="Times New Roman" w:eastAsia="Times New Roman" w:hAnsi="Times New Roman"/>
                <w:sz w:val="25"/>
                <w:szCs w:val="25"/>
                <w:color w:val="auto"/>
                <w:vertAlign w:val="superscript"/>
              </w:rPr>
              <w:t>(b)</w:t>
            </w:r>
          </w:p>
        </w:tc>
        <w:tc>
          <w:tcPr>
            <w:tcW w:w="60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net assets (liabilities) acquired</w:t>
            </w:r>
          </w:p>
        </w:tc>
        <w:tc>
          <w:tcPr>
            <w:tcW w:w="60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1,324</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0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0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2,786</w:t>
            </w:r>
          </w:p>
        </w:tc>
      </w:tr>
      <w:tr>
        <w:trPr>
          <w:trHeight w:val="27"/>
        </w:trPr>
        <w:tc>
          <w:tcPr>
            <w:tcW w:w="404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consideration transferred</w:t>
            </w:r>
          </w:p>
        </w:tc>
        <w:tc>
          <w:tcPr>
            <w:tcW w:w="60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72034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65" w:lineRule="exact"/>
        <w:rPr>
          <w:sz w:val="20"/>
          <w:szCs w:val="20"/>
          <w:color w:val="auto"/>
        </w:rPr>
      </w:pPr>
    </w:p>
    <w:p>
      <w:pPr>
        <w:jc w:val="both"/>
        <w:ind w:left="260" w:hanging="252"/>
        <w:spacing w:after="0" w:line="261" w:lineRule="auto"/>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receivable agreement was settled immediately following the acquisition and the payment was recorded as an operating activity in our condensed consolidated statement of cash flows in the third quarter of 2016. Comcast made a separate cash capital contribution of $146 million to fund the settlement which was recorded as a financing activity in our condensed consolidated statement of cash flows in the third quarter of 2016.</w:t>
      </w:r>
    </w:p>
    <w:p>
      <w:pPr>
        <w:spacing w:after="0" w:line="123" w:lineRule="exact"/>
        <w:rPr>
          <w:rFonts w:ascii="Times New Roman" w:cs="Times New Roman" w:eastAsia="Times New Roman" w:hAnsi="Times New Roman"/>
          <w:sz w:val="14"/>
          <w:szCs w:val="14"/>
          <w:color w:val="auto"/>
        </w:rPr>
      </w:pPr>
    </w:p>
    <w:p>
      <w:pPr>
        <w:ind w:left="260" w:hanging="252"/>
        <w:spacing w:after="0" w:line="282" w:lineRule="auto"/>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included $279 million recorded to member’s capital that represented deferred income tax assets and other tax-related items recorded by Comcast but excluded from the net assets contributed to us.</w:t>
      </w:r>
    </w:p>
    <w:p>
      <w:pPr>
        <w:sectPr>
          <w:pgSz w:w="11900" w:h="16838" w:orient="portrait"/>
          <w:cols w:equalWidth="0" w:num="1">
            <w:col w:w="11420"/>
          </w:cols>
          <w:pgMar w:left="240" w:top="117"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7" w:right="23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and net income attributable to the acquisition of DreamWorks Animation were not material for the three and nine months ended September 30, 2017 and 2016.</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Related Party Transactions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ordinary course of our business, we enter into transactions with Comcast.</w:t>
      </w:r>
    </w:p>
    <w:p>
      <w:pPr>
        <w:spacing w:after="0" w:line="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Comcast is also the counterparty to one of our contractual obligations. As of September 30, 2017, the carrying value of the liability associated with this contractual obligation was $383 million.</w:t>
      </w:r>
    </w:p>
    <w:p>
      <w:pPr>
        <w:spacing w:after="0" w:line="13" w:lineRule="exact"/>
        <w:rPr>
          <w:sz w:val="20"/>
          <w:szCs w:val="20"/>
          <w:color w:val="auto"/>
        </w:rPr>
      </w:pPr>
    </w:p>
    <w:p>
      <w:pPr>
        <w:jc w:val="center"/>
        <w:ind w:right="40"/>
        <w:spacing w:after="0" w:line="373" w:lineRule="auto"/>
        <w:rPr>
          <w:sz w:val="20"/>
          <w:szCs w:val="20"/>
          <w:color w:val="auto"/>
        </w:rPr>
      </w:pPr>
      <w:r>
        <w:rPr>
          <w:rFonts w:ascii="Times New Roman" w:cs="Times New Roman" w:eastAsia="Times New Roman" w:hAnsi="Times New Roman"/>
          <w:sz w:val="18"/>
          <w:szCs w:val="18"/>
          <w:color w:val="auto"/>
        </w:rPr>
        <w:t xml:space="preserve">The following tables present transactions with Comcast and its consolidated subsidiaries that are included in our condensed consolidated financial statements. </w:t>
      </w:r>
      <w:r>
        <w:rPr>
          <w:rFonts w:ascii="Arial" w:cs="Arial" w:eastAsia="Arial" w:hAnsi="Arial"/>
          <w:sz w:val="18"/>
          <w:szCs w:val="18"/>
          <w:b w:val="1"/>
          <w:bCs w:val="1"/>
          <w:color w:val="auto"/>
        </w:rPr>
        <w:t>Condensed Consolidated Balance Sheet</w:t>
      </w: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gridSpan w:val="2"/>
          </w:tcPr>
          <w:p>
            <w:pPr>
              <w:jc w:val="right"/>
              <w:ind w:right="476"/>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3"/>
                <w:szCs w:val="13"/>
                <w:color w:val="auto"/>
              </w:rPr>
            </w:pPr>
          </w:p>
        </w:tc>
        <w:tc>
          <w:tcPr>
            <w:tcW w:w="1300" w:type="dxa"/>
            <w:vAlign w:val="bottom"/>
            <w:gridSpan w:val="2"/>
          </w:tcPr>
          <w:p>
            <w:pPr>
              <w:jc w:val="right"/>
              <w:ind w:right="27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7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w w:val="99"/>
              </w:rPr>
              <w:t>2017</w:t>
            </w: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42"/>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Transactions with Comcast and Consolidated Subsidiaries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70"/>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0"/>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Note payable to Comcast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1,805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70"/>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7"/>
        </w:trPr>
        <w:tc>
          <w:tcPr>
            <w:tcW w:w="80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040" w:type="dxa"/>
            <w:vAlign w:val="bottom"/>
            <w:gridSpan w:val="4"/>
          </w:tcPr>
          <w:p>
            <w:pPr>
              <w:ind w:left="3720"/>
              <w:spacing w:after="0"/>
              <w:rPr>
                <w:sz w:val="20"/>
                <w:szCs w:val="20"/>
                <w:color w:val="auto"/>
              </w:rPr>
            </w:pPr>
            <w:r>
              <w:rPr>
                <w:rFonts w:ascii="Arial" w:cs="Arial" w:eastAsia="Arial" w:hAnsi="Arial"/>
                <w:sz w:val="18"/>
                <w:szCs w:val="18"/>
                <w:b w:val="1"/>
                <w:bCs w:val="1"/>
                <w:color w:val="auto"/>
              </w:rPr>
              <w:t>Condensed Consolidated Statement of Income</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gridSpan w:val="2"/>
          </w:tcPr>
          <w:p>
            <w:pPr>
              <w:jc w:val="right"/>
              <w:ind w:right="234"/>
              <w:spacing w:after="0"/>
              <w:rPr>
                <w:sz w:val="20"/>
                <w:szCs w:val="20"/>
                <w:color w:val="auto"/>
              </w:rPr>
            </w:pPr>
            <w:r>
              <w:rPr>
                <w:rFonts w:ascii="Times New Roman" w:cs="Times New Roman" w:eastAsia="Times New Roman" w:hAnsi="Times New Roman"/>
                <w:sz w:val="14"/>
                <w:szCs w:val="14"/>
                <w:color w:val="auto"/>
              </w:rPr>
              <w:t>Three Months Ended</w:t>
            </w: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3"/>
        </w:trPr>
        <w:tc>
          <w:tcPr>
            <w:tcW w:w="57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54"/>
              <w:spacing w:after="0"/>
              <w:rPr>
                <w:sz w:val="20"/>
                <w:szCs w:val="20"/>
                <w:color w:val="auto"/>
              </w:rPr>
            </w:pPr>
            <w:r>
              <w:rPr>
                <w:rFonts w:ascii="Times New Roman" w:cs="Times New Roman" w:eastAsia="Times New Roman" w:hAnsi="Times New Roman"/>
                <w:sz w:val="14"/>
                <w:szCs w:val="14"/>
                <w:color w:val="auto"/>
              </w:rPr>
              <w:t>September 30</w:t>
            </w: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4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2017</w:t>
            </w:r>
          </w:p>
        </w:tc>
        <w:tc>
          <w:tcPr>
            <w:tcW w:w="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42"/>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Transactions with Comcast and Consolidated Subsidiaries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463</w:t>
            </w:r>
          </w:p>
        </w:tc>
        <w:tc>
          <w:tcPr>
            <w:tcW w:w="94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1,382</w:t>
            </w:r>
          </w:p>
        </w:tc>
        <w:tc>
          <w:tcPr>
            <w:tcW w:w="180" w:type="dxa"/>
            <w:vAlign w:val="bottom"/>
          </w:tcPr>
          <w:p>
            <w:pPr>
              <w:spacing w:after="0"/>
              <w:rPr>
                <w:sz w:val="23"/>
                <w:szCs w:val="23"/>
                <w:color w:val="auto"/>
              </w:rPr>
            </w:pP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70"/>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23"/>
                <w:szCs w:val="23"/>
                <w:color w:val="auto"/>
              </w:rPr>
            </w:pP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0"/>
        </w:trPr>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w:t>
            </w: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23"/>
                <w:szCs w:val="23"/>
                <w:color w:val="auto"/>
              </w:rPr>
            </w:pPr>
          </w:p>
        </w:tc>
        <w:tc>
          <w:tcPr>
            <w:tcW w:w="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4000" w:type="dxa"/>
            <w:vAlign w:val="bottom"/>
          </w:tcPr>
          <w:p>
            <w:pPr>
              <w:spacing w:after="0"/>
              <w:rPr>
                <w:sz w:val="13"/>
                <w:szCs w:val="13"/>
                <w:color w:val="auto"/>
              </w:rPr>
            </w:pPr>
          </w:p>
        </w:tc>
        <w:tc>
          <w:tcPr>
            <w:tcW w:w="136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September 30,</w:t>
            </w:r>
          </w:p>
        </w:tc>
        <w:tc>
          <w:tcPr>
            <w:tcW w:w="360" w:type="dxa"/>
            <w:vAlign w:val="bottom"/>
          </w:tcPr>
          <w:p>
            <w:pPr>
              <w:spacing w:after="0"/>
              <w:rPr>
                <w:sz w:val="13"/>
                <w:szCs w:val="13"/>
                <w:color w:val="auto"/>
              </w:rPr>
            </w:pPr>
          </w:p>
        </w:tc>
        <w:tc>
          <w:tcPr>
            <w:tcW w:w="126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4440" w:type="dxa"/>
            <w:vAlign w:val="bottom"/>
            <w:tcBorders>
              <w:bottom w:val="single" w:sz="8" w:color="auto"/>
            </w:tcBorders>
            <w:vMerge w:val="continue"/>
          </w:tcPr>
          <w:p>
            <w:pPr>
              <w:spacing w:after="0"/>
              <w:rPr>
                <w:sz w:val="16"/>
                <w:szCs w:val="16"/>
                <w:color w:val="auto"/>
              </w:rPr>
            </w:pPr>
          </w:p>
        </w:tc>
        <w:tc>
          <w:tcPr>
            <w:tcW w:w="40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42"/>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Film Costs:</w:t>
            </w:r>
          </w:p>
        </w:tc>
        <w:tc>
          <w:tcPr>
            <w:tcW w:w="4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4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1,747</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0"/>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Completed, not released</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829</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2,774</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r>
        <w:trPr>
          <w:trHeight w:val="270"/>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Television Costs:</w:t>
            </w:r>
          </w:p>
        </w:tc>
        <w:tc>
          <w:tcPr>
            <w:tcW w:w="4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2,047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70"/>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853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2,900</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70"/>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Programming rights, less amortization</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2,889</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8,563</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8,486</w:t>
            </w:r>
          </w:p>
        </w:tc>
        <w:tc>
          <w:tcPr>
            <w:tcW w:w="0" w:type="dxa"/>
            <w:vAlign w:val="bottom"/>
          </w:tcPr>
          <w:p>
            <w:pPr>
              <w:spacing w:after="0"/>
              <w:rPr>
                <w:sz w:val="1"/>
                <w:szCs w:val="1"/>
                <w:color w:val="auto"/>
              </w:rPr>
            </w:pPr>
          </w:p>
        </w:tc>
      </w:tr>
      <w:tr>
        <w:trPr>
          <w:trHeight w:val="270"/>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 of programming rights</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1,772</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4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6,791</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7,245</w:t>
            </w:r>
          </w:p>
        </w:tc>
        <w:tc>
          <w:tcPr>
            <w:tcW w:w="0" w:type="dxa"/>
            <w:vAlign w:val="bottom"/>
          </w:tcPr>
          <w:p>
            <w:pPr>
              <w:spacing w:after="0"/>
              <w:rPr>
                <w:sz w:val="1"/>
                <w:szCs w:val="1"/>
                <w:color w:val="auto"/>
              </w:rPr>
            </w:pPr>
          </w:p>
        </w:tc>
      </w:tr>
      <w:tr>
        <w:trPr>
          <w:trHeight w:val="34"/>
        </w:trPr>
        <w:tc>
          <w:tcPr>
            <w:tcW w:w="44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4440" w:type="dxa"/>
            <w:vAlign w:val="bottom"/>
          </w:tcPr>
          <w:p>
            <w:pPr>
              <w:spacing w:after="0"/>
              <w:rPr>
                <w:sz w:val="24"/>
                <w:szCs w:val="24"/>
                <w:color w:val="auto"/>
              </w:rPr>
            </w:pPr>
          </w:p>
        </w:tc>
        <w:tc>
          <w:tcPr>
            <w:tcW w:w="400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52</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0" w:type="dxa"/>
            <w:vAlign w:val="bottom"/>
          </w:tcPr>
          <w:p>
            <w:pPr>
              <w:spacing w:after="0"/>
              <w:rPr>
                <w:sz w:val="13"/>
                <w:szCs w:val="13"/>
                <w:color w:val="auto"/>
              </w:rPr>
            </w:pPr>
          </w:p>
        </w:tc>
        <w:tc>
          <w:tcPr>
            <w:tcW w:w="136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September 30,</w:t>
            </w:r>
          </w:p>
        </w:tc>
        <w:tc>
          <w:tcPr>
            <w:tcW w:w="360" w:type="dxa"/>
            <w:vAlign w:val="bottom"/>
          </w:tcPr>
          <w:p>
            <w:pPr>
              <w:spacing w:after="0"/>
              <w:rPr>
                <w:sz w:val="13"/>
                <w:szCs w:val="13"/>
                <w:color w:val="auto"/>
              </w:rPr>
            </w:pPr>
          </w:p>
        </w:tc>
        <w:tc>
          <w:tcPr>
            <w:tcW w:w="126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4840" w:type="dxa"/>
            <w:vAlign w:val="bottom"/>
            <w:tcBorders>
              <w:bottom w:val="single" w:sz="8" w:color="auto"/>
            </w:tcBorders>
            <w:vMerge w:val="continue"/>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242"/>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Method:</w:t>
            </w:r>
          </w:p>
        </w:tc>
        <w:tc>
          <w:tcPr>
            <w:tcW w:w="36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Snap</w:t>
            </w:r>
          </w:p>
        </w:tc>
        <w:tc>
          <w:tcPr>
            <w:tcW w:w="3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427</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431</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Method:</w:t>
            </w:r>
          </w:p>
        </w:tc>
        <w:tc>
          <w:tcPr>
            <w:tcW w:w="36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Hulu</w:t>
            </w:r>
          </w:p>
        </w:tc>
        <w:tc>
          <w:tcPr>
            <w:tcW w:w="36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255</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0"/>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432</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687</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70"/>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Method:</w:t>
            </w:r>
          </w:p>
        </w:tc>
        <w:tc>
          <w:tcPr>
            <w:tcW w:w="36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BuzzFeed</w:t>
            </w:r>
          </w:p>
        </w:tc>
        <w:tc>
          <w:tcPr>
            <w:tcW w:w="36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0"/>
        </w:trPr>
        <w:tc>
          <w:tcPr>
            <w:tcW w:w="4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299</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699</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1,817</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1,263</w:t>
            </w:r>
          </w:p>
        </w:tc>
        <w:tc>
          <w:tcPr>
            <w:tcW w:w="0" w:type="dxa"/>
            <w:vAlign w:val="bottom"/>
          </w:tcPr>
          <w:p>
            <w:pPr>
              <w:spacing w:after="0"/>
              <w:rPr>
                <w:sz w:val="1"/>
                <w:szCs w:val="1"/>
                <w:color w:val="auto"/>
              </w:rPr>
            </w:pPr>
          </w:p>
        </w:tc>
      </w:tr>
      <w:tr>
        <w:trPr>
          <w:trHeight w:val="34"/>
        </w:trPr>
        <w:tc>
          <w:tcPr>
            <w:tcW w:w="48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2017, Comcast acquired an interest in Snap Inc. as part of its initial public offering. On March 31, 2017, Comcast contributed its investment in Snap to us as an equity contribution of $662 million, which was recorded in our condensed consolidated statement of equity based on the fair value of the investment as of March 31, 2017. We have classified our investment as an available-for-sale security. Snap is a camera company whose primary product is Snapchat, a camera app that was created to help people communicate through short videos and images.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 for the nine months ended September 30, 2016.</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2017, our debt, excluding the note payable to Comcast, had a carrying value of $12.4 billion and an estimated fair value of $13.5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2017, Universal Studios Japan entered into ¥450 billion ($3.9 billion at issuance) of new term loans with a final maturity of March 2022. We used the proceeds from these borrowings to repay in full $3.3 billion of Universal Studios Japan’s existing yen-denominated term loans and a portion of amounts outstanding under our revolving credit agreement with Comcast.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Comcast and a 100% owned cable holding company subsidiary of Comcast (“CCCL Parent”) have fully and unconditionally guaranteed each other’s debt securities, including the $7 billion Comcast revolving credit facility due 2021. As of September 30, 2017, outstanding debt securities of $47.5 billion of Comcast and CCCL Parent were subject to the cross-guarantee structure.</w:t>
      </w:r>
    </w:p>
    <w:p>
      <w:pPr>
        <w:spacing w:after="0" w:line="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however, guarantee the obligations of NBCUniversal Enterprise with respect to its $4.8 billion aggregate principal amount of senior notes, $1.5 billion revolving credit facility, commercial paper program, or $725 million liquidation preference of Series A cumulative preferred stock.</w:t>
      </w:r>
    </w:p>
    <w:p>
      <w:pPr>
        <w:spacing w:after="0" w:line="13" w:lineRule="exact"/>
        <w:rPr>
          <w:sz w:val="20"/>
          <w:szCs w:val="20"/>
          <w:color w:val="auto"/>
        </w:rPr>
      </w:pPr>
    </w:p>
    <w:p>
      <w:pPr>
        <w:ind w:right="1080"/>
        <w:spacing w:after="0" w:line="351" w:lineRule="auto"/>
        <w:rPr>
          <w:sz w:val="20"/>
          <w:szCs w:val="20"/>
          <w:color w:val="auto"/>
        </w:rPr>
      </w:pPr>
      <w:r>
        <w:rPr>
          <w:rFonts w:ascii="Times New Roman" w:cs="Times New Roman" w:eastAsia="Times New Roman" w:hAnsi="Times New Roman"/>
          <w:sz w:val="18"/>
          <w:szCs w:val="18"/>
          <w:color w:val="auto"/>
        </w:rPr>
        <w:t xml:space="preserve">The Universal Studios Japan term loans are not subject to the cross-guarantee structure, however they have a separate guarantee from Comcast. </w:t>
      </w:r>
      <w:r>
        <w:rPr>
          <w:rFonts w:ascii="Arial" w:cs="Arial" w:eastAsia="Arial" w:hAnsi="Arial"/>
          <w:sz w:val="18"/>
          <w:szCs w:val="18"/>
          <w:b w:val="1"/>
          <w:bCs w:val="1"/>
          <w:color w:val="auto"/>
        </w:rPr>
        <w:t>Senior Notes Exchange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2017, we and Comcast announced and settled a private debt exchange transaction. Comcast issued $2.0 billion aggregate principal amount of new 3.969% senior notes due 2047, $2.0 billion aggregate principal amount of new 3.999% senior notes due 2049, and $1.5 billion aggregate principal amount of new 4.049% senior notes due 2052 in exchange for $3.9 billion aggregate</w:t>
      </w:r>
    </w:p>
    <w:p>
      <w:pPr>
        <w:sectPr>
          <w:pgSz w:w="11900" w:h="16838" w:orient="portrait"/>
          <w:cols w:equalWidth="0" w:num="1">
            <w:col w:w="11420"/>
          </w:cols>
          <w:pgMar w:left="240" w:top="117"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7" w:right="2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principal amount of certain series of outstanding senior notes issued by Comcast and us, including $442 million of our 6.400% senior notes due 2040. The new notes are fully and unconditionally guaranteed by us and Comcast Cable Communications, LLC. In connection with the exchange transaction, we issued $610 million of 3.999% notes due 2049 to Comcast.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Comcast maintains share-based compensation plans that consist primarily of awards of restricted share units and stock options to certain employees and directors as part of its approach to long-term incentive compensation.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3"/>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color w:val="auto"/>
              </w:rPr>
              <w:t>2017</w:t>
            </w:r>
          </w:p>
        </w:tc>
        <w:tc>
          <w:tcPr>
            <w:tcW w:w="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2016</w:t>
            </w: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 units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86</w:t>
            </w: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tcPr>
          <w:p>
            <w:pPr>
              <w:spacing w:after="0"/>
              <w:rPr>
                <w:sz w:val="23"/>
                <w:szCs w:val="23"/>
                <w:color w:val="auto"/>
              </w:rPr>
            </w:pP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360" w:type="dxa"/>
            <w:vAlign w:val="bottom"/>
          </w:tcPr>
          <w:p>
            <w:pPr>
              <w:spacing w:after="0"/>
              <w:rPr>
                <w:sz w:val="23"/>
                <w:szCs w:val="23"/>
                <w:color w:val="auto"/>
              </w:rPr>
            </w:pP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rPr>
              <w:t>38</w:t>
            </w: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23</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rPr>
              <w:t>103</w:t>
            </w: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13"/>
                <w:szCs w:val="13"/>
                <w:color w:val="auto"/>
              </w:rPr>
            </w:pPr>
          </w:p>
        </w:tc>
        <w:tc>
          <w:tcPr>
            <w:tcW w:w="1380" w:type="dxa"/>
            <w:vAlign w:val="bottom"/>
          </w:tcPr>
          <w:p>
            <w:pPr>
              <w:jc w:val="center"/>
              <w:ind w:right="256"/>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60" w:type="dxa"/>
            <w:vAlign w:val="bottom"/>
          </w:tcPr>
          <w:p>
            <w:pPr>
              <w:jc w:val="center"/>
              <w:ind w:right="17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0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color w:val="auto"/>
                <w:w w:val="99"/>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w w:val="99"/>
              </w:rPr>
              <w:t>2016</w:t>
            </w:r>
          </w:p>
        </w:tc>
        <w:tc>
          <w:tcPr>
            <w:tcW w:w="0" w:type="dxa"/>
            <w:vAlign w:val="bottom"/>
          </w:tcPr>
          <w:p>
            <w:pPr>
              <w:spacing w:after="0"/>
              <w:rPr>
                <w:sz w:val="1"/>
                <w:szCs w:val="1"/>
                <w:color w:val="auto"/>
              </w:rPr>
            </w:pPr>
          </w:p>
        </w:tc>
      </w:tr>
      <w:tr>
        <w:trPr>
          <w:trHeight w:val="24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Receivables, gross</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6,610</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 for returns and customer incentives</w:t>
            </w:r>
          </w:p>
        </w:tc>
        <w:tc>
          <w:tcPr>
            <w:tcW w:w="380" w:type="dxa"/>
            <w:vAlign w:val="bottom"/>
          </w:tcPr>
          <w:p>
            <w:pPr>
              <w:spacing w:after="0"/>
              <w:rPr>
                <w:sz w:val="23"/>
                <w:szCs w:val="23"/>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352</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80" w:type="dxa"/>
            <w:vAlign w:val="bottom"/>
          </w:tcPr>
          <w:p>
            <w:pPr>
              <w:spacing w:after="0"/>
              <w:rPr>
                <w:sz w:val="23"/>
                <w:szCs w:val="23"/>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6,177</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6,302</w:t>
            </w:r>
          </w:p>
        </w:tc>
        <w:tc>
          <w:tcPr>
            <w:tcW w:w="0" w:type="dxa"/>
            <w:vAlign w:val="bottom"/>
          </w:tcPr>
          <w:p>
            <w:pPr>
              <w:spacing w:after="0"/>
              <w:rPr>
                <w:sz w:val="1"/>
                <w:szCs w:val="1"/>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23"/>
                <w:szCs w:val="23"/>
                <w:color w:val="auto"/>
              </w:rPr>
            </w:pPr>
          </w:p>
        </w:tc>
        <w:tc>
          <w:tcPr>
            <w:tcW w:w="1380" w:type="dxa"/>
            <w:vAlign w:val="bottom"/>
          </w:tcPr>
          <w:p>
            <w:pPr>
              <w:jc w:val="center"/>
              <w:ind w:right="256"/>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23"/>
                <w:szCs w:val="23"/>
                <w:color w:val="auto"/>
              </w:rPr>
            </w:pPr>
          </w:p>
        </w:tc>
        <w:tc>
          <w:tcPr>
            <w:tcW w:w="1260" w:type="dxa"/>
            <w:vAlign w:val="bottom"/>
          </w:tcPr>
          <w:p>
            <w:pPr>
              <w:jc w:val="center"/>
              <w:ind w:right="156"/>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3"/>
        </w:trPr>
        <w:tc>
          <w:tcPr>
            <w:tcW w:w="80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color w:val="auto"/>
                <w:w w:val="99"/>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w w:val="99"/>
              </w:rPr>
              <w:t>2016</w:t>
            </w:r>
          </w:p>
        </w:tc>
        <w:tc>
          <w:tcPr>
            <w:tcW w:w="0" w:type="dxa"/>
            <w:vAlign w:val="bottom"/>
          </w:tcPr>
          <w:p>
            <w:pPr>
              <w:spacing w:after="0"/>
              <w:rPr>
                <w:sz w:val="1"/>
                <w:szCs w:val="1"/>
                <w:color w:val="auto"/>
              </w:rPr>
            </w:pPr>
          </w:p>
        </w:tc>
      </w:tr>
      <w:tr>
        <w:trPr>
          <w:trHeight w:val="242"/>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gains (losses) on marketable securities</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380" w:type="dxa"/>
            <w:vAlign w:val="bottom"/>
          </w:tcPr>
          <w:p>
            <w:pPr>
              <w:spacing w:after="0"/>
              <w:rPr>
                <w:sz w:val="23"/>
                <w:szCs w:val="23"/>
                <w:color w:val="auto"/>
              </w:rPr>
            </w:pP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w:t>
            </w:r>
          </w:p>
        </w:tc>
        <w:tc>
          <w:tcPr>
            <w:tcW w:w="380" w:type="dxa"/>
            <w:vAlign w:val="bottom"/>
          </w:tcPr>
          <w:p>
            <w:pPr>
              <w:spacing w:after="0"/>
              <w:rPr>
                <w:sz w:val="23"/>
                <w:szCs w:val="23"/>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380" w:type="dxa"/>
            <w:vAlign w:val="bottom"/>
          </w:tcPr>
          <w:p>
            <w:pPr>
              <w:spacing w:after="0"/>
              <w:rPr>
                <w:sz w:val="23"/>
                <w:szCs w:val="23"/>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(29)</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116</w:t>
            </w:r>
          </w:p>
        </w:tc>
        <w:tc>
          <w:tcPr>
            <w:tcW w:w="0" w:type="dxa"/>
            <w:vAlign w:val="bottom"/>
          </w:tcPr>
          <w:p>
            <w:pPr>
              <w:spacing w:after="0"/>
              <w:rPr>
                <w:sz w:val="1"/>
                <w:szCs w:val="1"/>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8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2"/>
          </w:tcPr>
          <w:p>
            <w:pPr>
              <w:jc w:val="center"/>
              <w:ind w:left="516"/>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13"/>
                <w:szCs w:val="13"/>
                <w:color w:val="auto"/>
              </w:rPr>
            </w:pPr>
          </w:p>
        </w:tc>
      </w:tr>
      <w:tr>
        <w:trPr>
          <w:trHeight w:val="193"/>
        </w:trPr>
        <w:tc>
          <w:tcPr>
            <w:tcW w:w="4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6"/>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4,403</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3,424</w:t>
            </w:r>
          </w:p>
        </w:tc>
      </w:tr>
      <w:tr>
        <w:trPr>
          <w:trHeight w:val="270"/>
        </w:trPr>
        <w:tc>
          <w:tcPr>
            <w:tcW w:w="6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amortization and other operating gains</w:t>
            </w: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1,197</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1,324</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107</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received from investees</w:t>
            </w: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r>
      <w:tr>
        <w:trPr>
          <w:trHeight w:val="270"/>
        </w:trPr>
        <w:tc>
          <w:tcPr>
            <w:tcW w:w="6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0"/>
        </w:trPr>
        <w:tc>
          <w:tcPr>
            <w:tcW w:w="5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(270)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70"/>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46</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7"/>
        </w:trPr>
        <w:tc>
          <w:tcPr>
            <w:tcW w:w="4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5,572</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3,339</w:t>
            </w:r>
          </w:p>
        </w:tc>
      </w:tr>
      <w:tr>
        <w:trPr>
          <w:trHeight w:val="34"/>
        </w:trPr>
        <w:tc>
          <w:tcPr>
            <w:tcW w:w="770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50"/>
        </w:trPr>
        <w:tc>
          <w:tcPr>
            <w:tcW w:w="7700" w:type="dxa"/>
            <w:vAlign w:val="bottom"/>
            <w:gridSpan w:val="4"/>
          </w:tcPr>
          <w:p>
            <w:pPr>
              <w:ind w:left="3740"/>
              <w:spacing w:after="0"/>
              <w:rPr>
                <w:sz w:val="20"/>
                <w:szCs w:val="20"/>
                <w:color w:val="auto"/>
              </w:rPr>
            </w:pPr>
            <w:r>
              <w:rPr>
                <w:rFonts w:ascii="Arial" w:cs="Arial" w:eastAsia="Arial" w:hAnsi="Arial"/>
                <w:sz w:val="18"/>
                <w:szCs w:val="18"/>
                <w:b w:val="1"/>
                <w:bCs w:val="1"/>
                <w:color w:val="auto"/>
                <w:w w:val="99"/>
              </w:rPr>
              <w:t>Cash Payments for Interest and Income Taxes</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7"/>
        </w:trPr>
        <w:tc>
          <w:tcPr>
            <w:tcW w:w="4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6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color w:val="auto"/>
              </w:rPr>
              <w:t>Three Months Ended</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2"/>
          </w:tcPr>
          <w:p>
            <w:pPr>
              <w:jc w:val="center"/>
              <w:ind w:left="556"/>
              <w:spacing w:after="0"/>
              <w:rPr>
                <w:sz w:val="20"/>
                <w:szCs w:val="20"/>
                <w:color w:val="auto"/>
              </w:rPr>
            </w:pPr>
            <w:r>
              <w:rPr>
                <w:rFonts w:ascii="Times New Roman" w:cs="Times New Roman" w:eastAsia="Times New Roman" w:hAnsi="Times New Roman"/>
                <w:sz w:val="14"/>
                <w:szCs w:val="14"/>
                <w:color w:val="auto"/>
              </w:rPr>
              <w:t>Nine Months Ended</w:t>
            </w:r>
          </w:p>
        </w:tc>
        <w:tc>
          <w:tcPr>
            <w:tcW w:w="940" w:type="dxa"/>
            <w:vAlign w:val="bottom"/>
          </w:tcPr>
          <w:p>
            <w:pPr>
              <w:spacing w:after="0"/>
              <w:rPr>
                <w:sz w:val="24"/>
                <w:szCs w:val="24"/>
                <w:color w:val="auto"/>
              </w:rPr>
            </w:pPr>
          </w:p>
        </w:tc>
      </w:tr>
      <w:tr>
        <w:trPr>
          <w:trHeight w:val="193"/>
        </w:trPr>
        <w:tc>
          <w:tcPr>
            <w:tcW w:w="48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2"/>
          </w:tcPr>
          <w:p>
            <w:pPr>
              <w:jc w:val="right"/>
              <w:ind w:right="776"/>
              <w:spacing w:after="0"/>
              <w:rPr>
                <w:sz w:val="20"/>
                <w:szCs w:val="20"/>
                <w:color w:val="auto"/>
              </w:rPr>
            </w:pPr>
            <w:r>
              <w:rPr>
                <w:rFonts w:ascii="Times New Roman" w:cs="Times New Roman" w:eastAsia="Times New Roman" w:hAnsi="Times New Roman"/>
                <w:sz w:val="14"/>
                <w:szCs w:val="14"/>
                <w:color w:val="auto"/>
              </w:rPr>
              <w:t>September 30</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56"/>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color w:val="auto"/>
              </w:rPr>
              <w:t>2017</w:t>
            </w:r>
          </w:p>
        </w:tc>
        <w:tc>
          <w:tcPr>
            <w:tcW w:w="12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2016</w:t>
            </w:r>
          </w:p>
        </w:tc>
        <w:tc>
          <w:tcPr>
            <w:tcW w:w="5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2016</w:t>
            </w:r>
          </w:p>
        </w:tc>
      </w:tr>
      <w:tr>
        <w:trPr>
          <w:trHeight w:val="242"/>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340</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354</w:t>
            </w:r>
          </w:p>
        </w:tc>
      </w:tr>
      <w:tr>
        <w:trPr>
          <w:trHeight w:val="270"/>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64</w:t>
            </w:r>
          </w:p>
        </w:tc>
        <w:tc>
          <w:tcPr>
            <w:tcW w:w="122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213</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w:t>
            </w:r>
          </w:p>
        </w:tc>
      </w:tr>
      <w:tr>
        <w:trPr>
          <w:trHeight w:val="27"/>
        </w:trPr>
        <w:tc>
          <w:tcPr>
            <w:tcW w:w="4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2017:</w:t>
      </w:r>
    </w:p>
    <w:p>
      <w:pPr>
        <w:spacing w:after="0" w:line="7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$296 million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contributed its investment in Snap to us at its fair value as of March 31, 2017, which was a noncash transaction (see Note 6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Financial Data by Business Segment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our operations in four reportable business segments:</w:t>
      </w:r>
    </w:p>
    <w:p>
      <w:pPr>
        <w:spacing w:after="0" w:line="73" w:lineRule="exact"/>
        <w:rPr>
          <w:sz w:val="20"/>
          <w:szCs w:val="20"/>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Cable Networks: </w:t>
      </w:r>
      <w:r>
        <w:rPr>
          <w:rFonts w:ascii="Times New Roman" w:cs="Times New Roman" w:eastAsia="Times New Roman" w:hAnsi="Times New Roman"/>
          <w:sz w:val="18"/>
          <w:szCs w:val="18"/>
          <w:color w:val="auto"/>
        </w:rPr>
        <w:t>Consists primarily of our national cable networks, our regional sports and news networks, our international cable networks,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cable television studio production operations.</w:t>
      </w:r>
    </w:p>
    <w:p>
      <w:pPr>
        <w:spacing w:after="0" w:line="6"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Broadcast Television: </w:t>
      </w:r>
      <w:r>
        <w:rPr>
          <w:rFonts w:ascii="Times New Roman" w:cs="Times New Roman" w:eastAsia="Times New Roman" w:hAnsi="Times New Roman"/>
          <w:sz w:val="18"/>
          <w:szCs w:val="18"/>
          <w:color w:val="auto"/>
        </w:rPr>
        <w:t>Consists primarily of the NBC and Telemundo broadcast networks, our NBC and Telemundo owned local broadcast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television stations, the NBC Universo national cable network, and our broadcast television studio production operations.</w:t>
      </w:r>
    </w:p>
    <w:p>
      <w:pPr>
        <w:spacing w:after="0" w:line="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Filmed Entertainment: </w:t>
      </w:r>
      <w:r>
        <w:rPr>
          <w:rFonts w:ascii="Times New Roman" w:cs="Times New Roman" w:eastAsia="Times New Roman" w:hAnsi="Times New Roman"/>
          <w:sz w:val="18"/>
          <w:szCs w:val="18"/>
          <w:color w:val="auto"/>
        </w:rPr>
        <w:t>Consists primarily of the operations of Universal Pictures, which produces, acquires, markets and distributes filmed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entertainment worldwide; our films are also produced under the Illumination, Focus Features and DreamWorks Animation names.</w:t>
      </w:r>
    </w:p>
    <w:p>
      <w:pPr>
        <w:spacing w:after="0" w:line="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Florida; Hollywood, California; and Osaka, Japan.</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use Adjusted EBITDA to evaluate the profitability of our operating segments and the components of net income attributable to NBCUniversal below Adjusted EBITDA are not separately evaluated. Our financial data by business segment is presented in the tables below.</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7"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 September 30, 2017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5"/>
              <w:spacing w:after="0" w:line="151" w:lineRule="exact"/>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3"/>
                <w:szCs w:val="13"/>
                <w:color w:val="auto"/>
              </w:rPr>
            </w:pPr>
          </w:p>
        </w:tc>
        <w:tc>
          <w:tcPr>
            <w:tcW w:w="108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color w:val="auto"/>
                <w:w w:val="99"/>
              </w:rPr>
              <w:t>Operating</w:t>
            </w:r>
          </w:p>
        </w:tc>
        <w:tc>
          <w:tcPr>
            <w:tcW w:w="200" w:type="dxa"/>
            <w:vAlign w:val="bottom"/>
          </w:tcPr>
          <w:p>
            <w:pPr>
              <w:spacing w:after="0"/>
              <w:rPr>
                <w:sz w:val="13"/>
                <w:szCs w:val="13"/>
                <w:color w:val="auto"/>
              </w:rPr>
            </w:pPr>
          </w:p>
        </w:tc>
        <w:tc>
          <w:tcPr>
            <w:tcW w:w="10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3"/>
                <w:szCs w:val="13"/>
                <w:color w:val="auto"/>
              </w:rPr>
            </w:pPr>
          </w:p>
        </w:tc>
        <w:tc>
          <w:tcPr>
            <w:tcW w:w="114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8"/>
                <w:szCs w:val="8"/>
                <w:color w:val="auto"/>
              </w:rPr>
              <w:t>(d)</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8"/>
                <w:szCs w:val="8"/>
                <w:color w:val="auto"/>
              </w:rPr>
              <w:t>(e)</w:t>
            </w:r>
          </w:p>
        </w:tc>
        <w:tc>
          <w:tcPr>
            <w:tcW w:w="120" w:type="dxa"/>
            <w:vAlign w:val="bottom"/>
          </w:tcPr>
          <w:p>
            <w:pPr>
              <w:spacing w:after="0"/>
              <w:rPr>
                <w:sz w:val="12"/>
                <w:szCs w:val="12"/>
                <w:color w:val="auto"/>
              </w:rPr>
            </w:pPr>
          </w:p>
        </w:tc>
        <w:tc>
          <w:tcPr>
            <w:tcW w:w="112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color w:val="auto"/>
              </w:rPr>
              <w:t>Amortization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8"/>
                <w:szCs w:val="8"/>
                <w:color w:val="auto"/>
              </w:rPr>
              <w:t>(f)</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42"/>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Cable Networks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Headquarters and Other</w:t>
            </w:r>
            <w:r>
              <w:rPr>
                <w:rFonts w:ascii="Times New Roman" w:cs="Times New Roman" w:eastAsia="Times New Roman" w:hAnsi="Times New Roman"/>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4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8,014</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5"/>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 September 30,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5"/>
              <w:spacing w:after="0" w:line="151" w:lineRule="exact"/>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3"/>
                <w:szCs w:val="13"/>
                <w:color w:val="auto"/>
              </w:rPr>
            </w:pPr>
          </w:p>
        </w:tc>
        <w:tc>
          <w:tcPr>
            <w:tcW w:w="108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color w:val="auto"/>
                <w:w w:val="99"/>
              </w:rPr>
              <w:t>Operating</w:t>
            </w:r>
          </w:p>
        </w:tc>
        <w:tc>
          <w:tcPr>
            <w:tcW w:w="200" w:type="dxa"/>
            <w:vAlign w:val="bottom"/>
          </w:tcPr>
          <w:p>
            <w:pPr>
              <w:spacing w:after="0"/>
              <w:rPr>
                <w:sz w:val="13"/>
                <w:szCs w:val="13"/>
                <w:color w:val="auto"/>
              </w:rPr>
            </w:pPr>
          </w:p>
        </w:tc>
        <w:tc>
          <w:tcPr>
            <w:tcW w:w="10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3"/>
                <w:szCs w:val="13"/>
                <w:color w:val="auto"/>
              </w:rPr>
            </w:pPr>
          </w:p>
        </w:tc>
        <w:tc>
          <w:tcPr>
            <w:tcW w:w="114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8"/>
                <w:szCs w:val="8"/>
                <w:color w:val="auto"/>
              </w:rPr>
              <w:t>(d)</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8"/>
                <w:szCs w:val="8"/>
                <w:color w:val="auto"/>
              </w:rPr>
              <w:t>(e)</w:t>
            </w:r>
          </w:p>
        </w:tc>
        <w:tc>
          <w:tcPr>
            <w:tcW w:w="120" w:type="dxa"/>
            <w:vAlign w:val="bottom"/>
          </w:tcPr>
          <w:p>
            <w:pPr>
              <w:spacing w:after="0"/>
              <w:rPr>
                <w:sz w:val="12"/>
                <w:szCs w:val="12"/>
                <w:color w:val="auto"/>
              </w:rPr>
            </w:pPr>
          </w:p>
        </w:tc>
        <w:tc>
          <w:tcPr>
            <w:tcW w:w="112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color w:val="auto"/>
              </w:rPr>
              <w:t>Amortization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77"/>
        </w:trPr>
        <w:tc>
          <w:tcPr>
            <w:tcW w:w="3880" w:type="dxa"/>
            <w:vAlign w:val="bottom"/>
          </w:tcPr>
          <w:p>
            <w:pPr>
              <w:ind w:left="40"/>
              <w:spacing w:after="0" w:line="277" w:lineRule="exact"/>
              <w:rPr>
                <w:sz w:val="20"/>
                <w:szCs w:val="20"/>
                <w:color w:val="auto"/>
              </w:rPr>
            </w:pPr>
            <w:r>
              <w:rPr>
                <w:rFonts w:ascii="Times New Roman" w:cs="Times New Roman" w:eastAsia="Times New Roman" w:hAnsi="Times New Roman"/>
                <w:sz w:val="18"/>
                <w:szCs w:val="18"/>
                <w:color w:val="auto"/>
              </w:rPr>
              <w:t>Cable Networks</w:t>
            </w:r>
            <w:r>
              <w:rPr>
                <w:rFonts w:ascii="Times New Roman" w:cs="Times New Roman" w:eastAsia="Times New Roman" w:hAnsi="Times New Roman"/>
                <w:sz w:val="25"/>
                <w:szCs w:val="25"/>
                <w:color w:val="auto"/>
                <w:vertAlign w:val="superscript"/>
              </w:rPr>
              <w:t>(c)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Broadcast Television</w:t>
            </w:r>
            <w:r>
              <w:rPr>
                <w:rFonts w:ascii="Times New Roman" w:cs="Times New Roman" w:eastAsia="Times New Roman" w:hAnsi="Times New Roman"/>
                <w:sz w:val="25"/>
                <w:szCs w:val="25"/>
                <w:color w:val="auto"/>
                <w:vertAlign w:val="superscript"/>
              </w:rPr>
              <w:t>(c)</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Filmed Entertainment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Headquarters and Other</w:t>
            </w:r>
            <w:r>
              <w:rPr>
                <w:rFonts w:ascii="Times New Roman" w:cs="Times New Roman" w:eastAsia="Times New Roman" w:hAnsi="Times New Roman"/>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4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9,178</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8"/>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Nine Months Ended September 30, 2017</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5"/>
              <w:spacing w:after="0" w:line="151" w:lineRule="exact"/>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3"/>
                <w:szCs w:val="13"/>
                <w:color w:val="auto"/>
              </w:rPr>
            </w:pPr>
          </w:p>
        </w:tc>
        <w:tc>
          <w:tcPr>
            <w:tcW w:w="108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color w:val="auto"/>
                <w:w w:val="99"/>
              </w:rPr>
              <w:t>Operating</w:t>
            </w:r>
          </w:p>
        </w:tc>
        <w:tc>
          <w:tcPr>
            <w:tcW w:w="200" w:type="dxa"/>
            <w:vAlign w:val="bottom"/>
          </w:tcPr>
          <w:p>
            <w:pPr>
              <w:spacing w:after="0"/>
              <w:rPr>
                <w:sz w:val="13"/>
                <w:szCs w:val="13"/>
                <w:color w:val="auto"/>
              </w:rPr>
            </w:pPr>
          </w:p>
        </w:tc>
        <w:tc>
          <w:tcPr>
            <w:tcW w:w="10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3"/>
                <w:szCs w:val="13"/>
                <w:color w:val="auto"/>
              </w:rPr>
            </w:pPr>
          </w:p>
        </w:tc>
        <w:tc>
          <w:tcPr>
            <w:tcW w:w="114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8"/>
                <w:szCs w:val="8"/>
                <w:color w:val="auto"/>
              </w:rPr>
              <w:t>(d)</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8"/>
                <w:szCs w:val="8"/>
                <w:color w:val="auto"/>
              </w:rPr>
              <w:t>(e)</w:t>
            </w:r>
          </w:p>
        </w:tc>
        <w:tc>
          <w:tcPr>
            <w:tcW w:w="120" w:type="dxa"/>
            <w:vAlign w:val="bottom"/>
          </w:tcPr>
          <w:p>
            <w:pPr>
              <w:spacing w:after="0"/>
              <w:rPr>
                <w:sz w:val="12"/>
                <w:szCs w:val="12"/>
                <w:color w:val="auto"/>
              </w:rPr>
            </w:pPr>
          </w:p>
        </w:tc>
        <w:tc>
          <w:tcPr>
            <w:tcW w:w="112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color w:val="auto"/>
              </w:rPr>
              <w:t>Amortization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8"/>
                <w:szCs w:val="8"/>
                <w:color w:val="auto"/>
              </w:rPr>
              <w:t>(f)</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42"/>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Cable Networks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1,301</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0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Headquarters and Other</w:t>
            </w:r>
            <w:r>
              <w:rPr>
                <w:rFonts w:ascii="Times New Roman" w:cs="Times New Roman" w:eastAsia="Times New Roman" w:hAnsi="Times New Roman"/>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4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24,213</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6,362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5,165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197</w:t>
            </w:r>
          </w:p>
        </w:tc>
        <w:tc>
          <w:tcPr>
            <w:tcW w:w="0" w:type="dxa"/>
            <w:vAlign w:val="bottom"/>
          </w:tcPr>
          <w:p>
            <w:pPr>
              <w:spacing w:after="0"/>
              <w:rPr>
                <w:sz w:val="1"/>
                <w:szCs w:val="1"/>
                <w:color w:val="auto"/>
              </w:rPr>
            </w:pP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6"/>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Nine Months Ended September 30,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5"/>
              <w:spacing w:after="0" w:line="151" w:lineRule="exact"/>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3"/>
                <w:szCs w:val="13"/>
                <w:color w:val="auto"/>
              </w:rPr>
            </w:pPr>
          </w:p>
        </w:tc>
        <w:tc>
          <w:tcPr>
            <w:tcW w:w="108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color w:val="auto"/>
                <w:w w:val="99"/>
              </w:rPr>
              <w:t>Operating</w:t>
            </w:r>
          </w:p>
        </w:tc>
        <w:tc>
          <w:tcPr>
            <w:tcW w:w="200" w:type="dxa"/>
            <w:vAlign w:val="bottom"/>
          </w:tcPr>
          <w:p>
            <w:pPr>
              <w:spacing w:after="0"/>
              <w:rPr>
                <w:sz w:val="13"/>
                <w:szCs w:val="13"/>
                <w:color w:val="auto"/>
              </w:rPr>
            </w:pPr>
          </w:p>
        </w:tc>
        <w:tc>
          <w:tcPr>
            <w:tcW w:w="10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3"/>
                <w:szCs w:val="13"/>
                <w:color w:val="auto"/>
              </w:rPr>
            </w:pPr>
          </w:p>
        </w:tc>
        <w:tc>
          <w:tcPr>
            <w:tcW w:w="114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8"/>
                <w:szCs w:val="8"/>
                <w:color w:val="auto"/>
              </w:rPr>
              <w:t>(d)</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8"/>
                <w:szCs w:val="8"/>
                <w:color w:val="auto"/>
              </w:rPr>
              <w:t>(e)</w:t>
            </w:r>
          </w:p>
        </w:tc>
        <w:tc>
          <w:tcPr>
            <w:tcW w:w="120" w:type="dxa"/>
            <w:vAlign w:val="bottom"/>
          </w:tcPr>
          <w:p>
            <w:pPr>
              <w:spacing w:after="0"/>
              <w:rPr>
                <w:sz w:val="12"/>
                <w:szCs w:val="12"/>
                <w:color w:val="auto"/>
              </w:rPr>
            </w:pPr>
          </w:p>
        </w:tc>
        <w:tc>
          <w:tcPr>
            <w:tcW w:w="112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color w:val="auto"/>
              </w:rPr>
              <w:t>Amortization and</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color w:val="auto"/>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77"/>
        </w:trPr>
        <w:tc>
          <w:tcPr>
            <w:tcW w:w="3880" w:type="dxa"/>
            <w:vAlign w:val="bottom"/>
          </w:tcPr>
          <w:p>
            <w:pPr>
              <w:ind w:left="40"/>
              <w:spacing w:after="0" w:line="277" w:lineRule="exact"/>
              <w:rPr>
                <w:sz w:val="20"/>
                <w:szCs w:val="20"/>
                <w:color w:val="auto"/>
              </w:rPr>
            </w:pPr>
            <w:r>
              <w:rPr>
                <w:rFonts w:ascii="Times New Roman" w:cs="Times New Roman" w:eastAsia="Times New Roman" w:hAnsi="Times New Roman"/>
                <w:sz w:val="18"/>
                <w:szCs w:val="18"/>
                <w:color w:val="auto"/>
              </w:rPr>
              <w:t>Cable Networks</w:t>
            </w:r>
            <w:r>
              <w:rPr>
                <w:rFonts w:ascii="Times New Roman" w:cs="Times New Roman" w:eastAsia="Times New Roman" w:hAnsi="Times New Roman"/>
                <w:sz w:val="25"/>
                <w:szCs w:val="25"/>
                <w:color w:val="auto"/>
                <w:vertAlign w:val="superscript"/>
              </w:rPr>
              <w:t>(c)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Broadcast Television</w:t>
            </w:r>
            <w:r>
              <w:rPr>
                <w:rFonts w:ascii="Times New Roman" w:cs="Times New Roman" w:eastAsia="Times New Roman" w:hAnsi="Times New Roman"/>
                <w:sz w:val="25"/>
                <w:szCs w:val="25"/>
                <w:color w:val="auto"/>
                <w:vertAlign w:val="superscript"/>
              </w:rPr>
              <w:t>(c)</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Filmed Entertainment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4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30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Headquarters and Other</w:t>
            </w:r>
            <w:r>
              <w:rPr>
                <w:rFonts w:ascii="Times New Roman" w:cs="Times New Roman" w:eastAsia="Times New Roman" w:hAnsi="Times New Roman"/>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61"/>
        </w:trPr>
        <w:tc>
          <w:tcPr>
            <w:tcW w:w="3880" w:type="dxa"/>
            <w:vAlign w:val="bottom"/>
            <w:tcBorders>
              <w:bottom w:val="single" w:sz="8" w:color="auto"/>
            </w:tcBorders>
          </w:tcPr>
          <w:p>
            <w:pPr>
              <w:ind w:left="40"/>
              <w:spacing w:after="0" w:line="262"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23,142</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1,324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4,133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181</w:t>
            </w:r>
          </w:p>
        </w:tc>
        <w:tc>
          <w:tcPr>
            <w:tcW w:w="0" w:type="dxa"/>
            <w:vAlign w:val="bottom"/>
          </w:tcPr>
          <w:p>
            <w:pPr>
              <w:spacing w:after="0"/>
              <w:rPr>
                <w:sz w:val="1"/>
                <w:szCs w:val="1"/>
                <w:color w:val="auto"/>
              </w:rPr>
            </w:pP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Headquarters and Other activities include costs associated with overhead, allocations, personnel costs and headquarter initiatives.</w:t>
      </w:r>
    </w:p>
    <w:p>
      <w:pPr>
        <w:spacing w:after="0" w:line="68" w:lineRule="exact"/>
        <w:rPr>
          <w:rFonts w:ascii="Times New Roman" w:cs="Times New Roman" w:eastAsia="Times New Roman" w:hAnsi="Times New Roman"/>
          <w:sz w:val="14"/>
          <w:szCs w:val="14"/>
          <w:color w:val="auto"/>
        </w:rPr>
      </w:pPr>
    </w:p>
    <w:p>
      <w:pPr>
        <w:ind w:left="340" w:right="20" w:hanging="332"/>
        <w:spacing w:after="0" w:line="282"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1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and operating costs and expenses associated with our broadcast of the 2016 Rio Olympics were reported in our Cable Networks and Broadcast Television segments.</w:t>
      </w:r>
    </w:p>
    <w:p>
      <w:pPr>
        <w:spacing w:after="0" w:line="68"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single customer accounted for a significant amount of revenue in any period.</w:t>
      </w:r>
    </w:p>
    <w:p>
      <w:pPr>
        <w:spacing w:after="0" w:line="68" w:lineRule="exact"/>
        <w:rPr>
          <w:rFonts w:ascii="Times New Roman" w:cs="Times New Roman" w:eastAsia="Times New Roman" w:hAnsi="Times New Roman"/>
          <w:sz w:val="14"/>
          <w:szCs w:val="14"/>
          <w:color w:val="auto"/>
        </w:rPr>
      </w:pPr>
    </w:p>
    <w:p>
      <w:pPr>
        <w:jc w:val="both"/>
        <w:ind w:left="340" w:hanging="332"/>
        <w:spacing w:after="0" w:line="25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operating segments. Adjusted EBITDA is defined as net income attributable to NBCUniversal before net (income) loss attributable to noncontrolling interests, income tax expense, other income (expense) items, net, depreciation and amortization expense, and other operating gains, and excluding impairment charges related to fixed and intangible assets and gains or losses on the sale of long-lived assets, if any. From time to time we may exclude from Adjusted EBITDA the impact of events, gains, losses or other charges (such as significant legal settlements) that affect the period-to-period comparability of our operating performance. Other income (expense) items, net include interest expense, investment income (loss), equity in net income (losses) of investees, and other income (expense), net (as stated in our condensed consolidated statement of</w:t>
      </w:r>
    </w:p>
    <w:p>
      <w:pPr>
        <w:sectPr>
          <w:pgSz w:w="11900" w:h="16838" w:orient="portrait"/>
          <w:cols w:equalWidth="0" w:num="1">
            <w:col w:w="11420"/>
          </w:cols>
          <w:pgMar w:left="240" w:top="117" w:right="239" w:bottom="90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7" w:right="239" w:bottom="90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67" w:lineRule="exact"/>
        <w:rPr>
          <w:sz w:val="20"/>
          <w:szCs w:val="20"/>
          <w:color w:val="auto"/>
        </w:rPr>
      </w:pPr>
    </w:p>
    <w:p>
      <w:pPr>
        <w:jc w:val="both"/>
        <w:ind w:left="340"/>
        <w:spacing w:after="0" w:line="389" w:lineRule="auto"/>
        <w:rPr>
          <w:sz w:val="20"/>
          <w:szCs w:val="20"/>
          <w:color w:val="auto"/>
        </w:rPr>
      </w:pPr>
      <w:r>
        <w:rPr>
          <w:rFonts w:ascii="Times New Roman" w:cs="Times New Roman" w:eastAsia="Times New Roman" w:hAnsi="Times New Roman"/>
          <w:sz w:val="14"/>
          <w:szCs w:val="14"/>
          <w:color w:val="auto"/>
        </w:rPr>
        <w:t>income). This measure eliminates the significant level of noncash amortization expense that results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income (loss) attributable to NBCUniversal, net cash provided by operating activities, or other measures of performance or liquidity we have reported in accordance with GAAP. Our reconciliation of the aggregate amount of Adjusted EBITDA for our reportable segments to consolidated income before income taxes is presented in the table below.</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60" w:type="dxa"/>
            <w:vAlign w:val="bottom"/>
          </w:tcPr>
          <w:p>
            <w:pPr>
              <w:spacing w:after="0"/>
              <w:rPr>
                <w:sz w:val="13"/>
                <w:szCs w:val="13"/>
                <w:color w:val="auto"/>
              </w:rPr>
            </w:pPr>
          </w:p>
        </w:tc>
      </w:tr>
      <w:tr>
        <w:trPr>
          <w:trHeight w:val="193"/>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w w:val="99"/>
              </w:rPr>
              <w:t>2016</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2016</w:t>
            </w:r>
          </w:p>
        </w:tc>
      </w:tr>
      <w:tr>
        <w:trPr>
          <w:trHeight w:val="25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2,274</w:t>
            </w:r>
          </w:p>
        </w:tc>
        <w:tc>
          <w:tcPr>
            <w:tcW w:w="6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2,146</w:t>
            </w:r>
          </w:p>
        </w:tc>
        <w:tc>
          <w:tcPr>
            <w:tcW w:w="4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6,362</w:t>
            </w:r>
          </w:p>
        </w:tc>
        <w:tc>
          <w:tcPr>
            <w:tcW w:w="6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5,457</w:t>
            </w: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(253)</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(209)</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(749)</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(253)</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(236)</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(785)</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gains</w:t>
            </w:r>
          </w:p>
        </w:tc>
        <w:tc>
          <w:tcPr>
            <w:tcW w:w="34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337</w:t>
            </w:r>
          </w:p>
        </w:tc>
        <w:tc>
          <w:tcPr>
            <w:tcW w:w="660" w:type="dxa"/>
            <w:vAlign w:val="bottom"/>
          </w:tcPr>
          <w:p>
            <w:pPr>
              <w:spacing w:after="0"/>
              <w:rPr>
                <w:sz w:val="23"/>
                <w:szCs w:val="23"/>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337</w:t>
            </w:r>
          </w:p>
        </w:tc>
        <w:tc>
          <w:tcPr>
            <w:tcW w:w="6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 items, net</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(165)</w:t>
            </w:r>
          </w:p>
        </w:tc>
        <w:tc>
          <w:tcPr>
            <w:tcW w:w="6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(195)</w:t>
            </w: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(473)</w:t>
            </w:r>
          </w:p>
        </w:tc>
        <w:tc>
          <w:tcPr>
            <w:tcW w:w="6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w:t>
            </w:r>
          </w:p>
        </w:tc>
      </w:tr>
      <w:tr>
        <w:trPr>
          <w:trHeight w:val="276"/>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1,940</w:t>
            </w:r>
          </w:p>
        </w:tc>
        <w:tc>
          <w:tcPr>
            <w:tcW w:w="6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1,506</w:t>
            </w:r>
          </w:p>
        </w:tc>
        <w:tc>
          <w:tcPr>
            <w:tcW w:w="4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4,692</w:t>
            </w:r>
          </w:p>
        </w:tc>
        <w:tc>
          <w:tcPr>
            <w:tcW w:w="6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3,735</w:t>
            </w:r>
          </w:p>
        </w:tc>
      </w:tr>
    </w:tbl>
    <w:p>
      <w:pPr>
        <w:spacing w:after="0" w:line="45"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other operating gains in our condensed consolidated statement of income. For both the three and nine months ended September 30, 2017, other operating gains included a pretax gain of $337 million related to our relinquishment of spectrum rights in our Broadcast Television segment.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7"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42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2017</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327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420"/>
          </w:cols>
          <w:pgMar w:left="240" w:top="117"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I, Michael J. Cavanagh, certify that:</w:t>
      </w:r>
    </w:p>
    <w:p>
      <w:pPr>
        <w:spacing w:after="0" w:line="117"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8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26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3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6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2017</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327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Michael J. Cavanagh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300"/>
          </w:cols>
          <w:pgMar w:left="240" w:top="364" w:right="3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NBCUniversal Media, LLC;</w:t>
      </w:r>
    </w:p>
    <w:p>
      <w:pPr>
        <w:spacing w:after="0" w:line="117"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42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2017</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327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Principal Executive Officer</w:t>
      </w:r>
    </w:p>
    <w:p>
      <w:pPr>
        <w:sectPr>
          <w:pgSz w:w="11900" w:h="16838" w:orient="portrait"/>
          <w:cols w:equalWidth="0" w:num="1">
            <w:col w:w="11420"/>
          </w:cols>
          <w:pgMar w:left="240" w:top="117"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I, Michael J. Cavanagh, certify that:</w:t>
      </w:r>
    </w:p>
    <w:p>
      <w:pPr>
        <w:spacing w:after="0" w:line="11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NBCUniversal Media, LLC;</w:t>
      </w:r>
    </w:p>
    <w:p>
      <w:pPr>
        <w:spacing w:after="0" w:line="117" w:lineRule="exact"/>
        <w:rPr>
          <w:rFonts w:ascii="Times New Roman" w:cs="Times New Roman" w:eastAsia="Times New Roman" w:hAnsi="Times New Roman"/>
          <w:sz w:val="18"/>
          <w:szCs w:val="18"/>
          <w:color w:val="auto"/>
        </w:rPr>
      </w:pPr>
    </w:p>
    <w:p>
      <w:pPr>
        <w:jc w:val="both"/>
        <w:ind w:left="660" w:right="18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260" w:hanging="644"/>
        <w:spacing w:after="0" w:line="282" w:lineRule="auto"/>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300" w:hanging="644"/>
        <w:spacing w:after="0" w:line="266" w:lineRule="auto"/>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60" w:hanging="571"/>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60" w:hanging="644"/>
        <w:spacing w:after="0" w:line="282" w:lineRule="auto"/>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2017</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327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Michael J. Cavanagh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Principal Financial Officer</w:t>
      </w:r>
    </w:p>
    <w:p>
      <w:pPr>
        <w:sectPr>
          <w:pgSz w:w="11900" w:h="16838" w:orient="portrait"/>
          <w:cols w:equalWidth="0" w:num="1">
            <w:col w:w="11300"/>
          </w:cols>
          <w:pgMar w:left="240" w:top="364" w:right="3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26,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Brian L. Roberts, the Chief Executive Officer, and Michael J. Cavanagh, the Chief Financial Officer, of Comcast Corporation, each certifies that, to the best of his knowledge:</w:t>
      </w:r>
    </w:p>
    <w:p>
      <w:pPr>
        <w:spacing w:after="0" w:line="5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660" w:right="6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23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34290</wp:posOffset>
            </wp:positionV>
            <wp:extent cx="3232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0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34290</wp:posOffset>
            </wp:positionV>
            <wp:extent cx="32327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Michael J. Cavanagh</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420"/>
          </w:cols>
          <w:pgMar w:left="240" w:top="117"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26,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Brian L. Roberts, the Principal Executive Officer, and Michael J. Cavanagh, the Principal Financial Officer, of NBCUniversal Media, LLC, each certifies that, to the best of his knowledge:</w:t>
      </w:r>
    </w:p>
    <w:p>
      <w:pPr>
        <w:spacing w:after="0" w:line="54"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NBCUniversal Media, LLC.</w:t>
      </w:r>
    </w:p>
    <w:p>
      <w:pPr>
        <w:spacing w:after="0" w:line="200" w:lineRule="exact"/>
        <w:rPr>
          <w:sz w:val="20"/>
          <w:szCs w:val="20"/>
          <w:color w:val="auto"/>
        </w:rPr>
      </w:pPr>
    </w:p>
    <w:p>
      <w:pPr>
        <w:spacing w:after="0" w:line="23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34290</wp:posOffset>
            </wp:positionV>
            <wp:extent cx="3232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Principal Executive Officer</w:t>
      </w:r>
    </w:p>
    <w:p>
      <w:pPr>
        <w:spacing w:after="0" w:line="30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34290</wp:posOffset>
            </wp:positionV>
            <wp:extent cx="3232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Michael J. Cavanagh</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2"/>
    </w:lvl>
    <w:lvl w:ilvl="1">
      <w:lvlJc w:val="left"/>
      <w:lvlText w:val="•"/>
      <w:numFmt w:val="bullet"/>
      <w:start w:val="1"/>
    </w:lvl>
  </w:abstractNum>
  <w:abstractNum w:abstractNumId="8">
    <w:nsid w:val="4E6AFB66"/>
    <w:multiLevelType w:val="hybridMultilevel"/>
    <w:lvl w:ilvl="0">
      <w:lvlJc w:val="left"/>
      <w:lvlText w:val="(%1)"/>
      <w:numFmt w:val="lowerLetter"/>
      <w:start w:val="3"/>
    </w:lvl>
    <w:lvl w:ilvl="1">
      <w:lvlJc w:val="left"/>
      <w:lvlText w:val="•"/>
      <w:numFmt w:val="bullet"/>
      <w:start w:val="1"/>
    </w:lvl>
  </w:abstractNum>
  <w:abstractNum w:abstractNumId="9">
    <w:nsid w:val="25E45D32"/>
    <w:multiLevelType w:val="hybridMultilevel"/>
    <w:lvl w:ilvl="0">
      <w:lvlJc w:val="left"/>
      <w:lvlText w:val="(%1)"/>
      <w:numFmt w:val="lowerLetter"/>
      <w:start w:val="8"/>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
      <w:numFmt w:val="bullet"/>
      <w:start w:val="1"/>
    </w:lvl>
    <w:lvl w:ilvl="1">
      <w:lvlJc w:val="left"/>
      <w:lvlText w:val="%2"/>
      <w:numFmt w:val="decimal"/>
      <w:start w:val="101"/>
    </w:lvl>
  </w:abstractNum>
  <w:abstractNum w:abstractNumId="12">
    <w:nsid w:val="3F2DBA31"/>
    <w:multiLevelType w:val="hybridMultilevel"/>
    <w:lvl w:ilvl="0">
      <w:lvlJc w:val="left"/>
      <w:lvlText w:val="%1"/>
      <w:numFmt w:val="decimal"/>
      <w:start w:val="101"/>
    </w:lvl>
    <w:lvl w:ilvl="1">
      <w:lvlJc w:val="left"/>
      <w:lvlText w:val="(%2)"/>
      <w:numFmt w:val="lowerRoman"/>
      <w:start w:val="3"/>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6"/>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9" Type="http://schemas.openxmlformats.org/officeDocument/2006/relationships/hyperlink" Target="http://www.sec.gov/Archives/edgar/data/1166691/000116669117000022/ex102-630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2019-12-29T03:53:55Z</dcterms:created>
  <dcterms:modified xsi:type="dcterms:W3CDTF">2019-12-29T03:53:55Z</dcterms:modified>
</cp:coreProperties>
</file>