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CALCULATION OF REGISTRATION FEE</w:t>
      </w: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5020" w:type="dxa"/>
            <w:vAlign w:val="bottom"/>
            <w:tcBorders>
              <w:top w:val="single" w:sz="8" w:color="auto"/>
              <w:bottom w:val="single" w:sz="8" w:color="auto"/>
            </w:tcBorders>
          </w:tcPr>
          <w:p>
            <w:pPr>
              <w:spacing w:after="0"/>
              <w:rPr>
                <w:sz w:val="3"/>
                <w:szCs w:val="3"/>
                <w:color w:val="auto"/>
              </w:rPr>
            </w:pPr>
          </w:p>
        </w:tc>
        <w:tc>
          <w:tcPr>
            <w:tcW w:w="3740" w:type="dxa"/>
            <w:vAlign w:val="bottom"/>
            <w:tcBorders>
              <w:top w:val="single" w:sz="8" w:color="auto"/>
              <w:bottom w:val="single" w:sz="8" w:color="auto"/>
            </w:tcBorders>
          </w:tcPr>
          <w:p>
            <w:pPr>
              <w:spacing w:after="0"/>
              <w:rPr>
                <w:sz w:val="3"/>
                <w:szCs w:val="3"/>
                <w:color w:val="auto"/>
              </w:rPr>
            </w:pPr>
          </w:p>
        </w:tc>
        <w:tc>
          <w:tcPr>
            <w:tcW w:w="2660" w:type="dxa"/>
            <w:vAlign w:val="bottom"/>
            <w:tcBorders>
              <w:top w:val="single" w:sz="8" w:color="auto"/>
              <w:bottom w:val="single" w:sz="8" w:color="auto"/>
            </w:tcBorders>
          </w:tcPr>
          <w:p>
            <w:pPr>
              <w:spacing w:after="0"/>
              <w:rPr>
                <w:sz w:val="3"/>
                <w:szCs w:val="3"/>
                <w:color w:val="auto"/>
              </w:rPr>
            </w:pPr>
          </w:p>
        </w:tc>
      </w:tr>
      <w:tr>
        <w:trPr>
          <w:trHeight w:val="116"/>
        </w:trPr>
        <w:tc>
          <w:tcPr>
            <w:tcW w:w="5020" w:type="dxa"/>
            <w:vAlign w:val="bottom"/>
          </w:tcPr>
          <w:p>
            <w:pPr>
              <w:jc w:val="center"/>
              <w:ind w:left="528"/>
              <w:spacing w:after="0" w:line="117" w:lineRule="exact"/>
              <w:rPr>
                <w:sz w:val="20"/>
                <w:szCs w:val="20"/>
                <w:color w:val="auto"/>
              </w:rPr>
            </w:pPr>
            <w:r>
              <w:rPr>
                <w:rFonts w:ascii="Arial" w:cs="Arial" w:eastAsia="Arial" w:hAnsi="Arial"/>
                <w:sz w:val="12"/>
                <w:szCs w:val="12"/>
                <w:b w:val="1"/>
                <w:bCs w:val="1"/>
                <w:color w:val="auto"/>
              </w:rPr>
              <w:t>Title of Each Class of</w:t>
            </w:r>
          </w:p>
        </w:tc>
        <w:tc>
          <w:tcPr>
            <w:tcW w:w="3740" w:type="dxa"/>
            <w:vAlign w:val="bottom"/>
          </w:tcPr>
          <w:p>
            <w:pPr>
              <w:jc w:val="center"/>
              <w:ind w:left="688"/>
              <w:spacing w:after="0" w:line="117" w:lineRule="exact"/>
              <w:rPr>
                <w:sz w:val="20"/>
                <w:szCs w:val="20"/>
                <w:color w:val="auto"/>
              </w:rPr>
            </w:pPr>
            <w:r>
              <w:rPr>
                <w:rFonts w:ascii="Arial" w:cs="Arial" w:eastAsia="Arial" w:hAnsi="Arial"/>
                <w:sz w:val="12"/>
                <w:szCs w:val="12"/>
                <w:b w:val="1"/>
                <w:bCs w:val="1"/>
                <w:color w:val="auto"/>
              </w:rPr>
              <w:t>Proposed Maximum</w:t>
            </w:r>
          </w:p>
        </w:tc>
        <w:tc>
          <w:tcPr>
            <w:tcW w:w="2660" w:type="dxa"/>
            <w:vAlign w:val="bottom"/>
          </w:tcPr>
          <w:p>
            <w:pPr>
              <w:spacing w:after="0"/>
              <w:rPr>
                <w:sz w:val="10"/>
                <w:szCs w:val="10"/>
                <w:color w:val="auto"/>
              </w:rPr>
            </w:pPr>
          </w:p>
        </w:tc>
      </w:tr>
      <w:tr>
        <w:trPr>
          <w:trHeight w:val="175"/>
        </w:trPr>
        <w:tc>
          <w:tcPr>
            <w:tcW w:w="502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w w:val="85"/>
              </w:rPr>
              <w:t>Securities to be Registered</w:t>
            </w:r>
          </w:p>
        </w:tc>
        <w:tc>
          <w:tcPr>
            <w:tcW w:w="3740" w:type="dxa"/>
            <w:vAlign w:val="bottom"/>
            <w:tcBorders>
              <w:bottom w:val="single" w:sz="8" w:color="auto"/>
            </w:tcBorders>
          </w:tcPr>
          <w:p>
            <w:pPr>
              <w:jc w:val="center"/>
              <w:ind w:left="688"/>
              <w:spacing w:after="0"/>
              <w:rPr>
                <w:sz w:val="20"/>
                <w:szCs w:val="20"/>
                <w:color w:val="auto"/>
              </w:rPr>
            </w:pPr>
            <w:r>
              <w:rPr>
                <w:rFonts w:ascii="Arial" w:cs="Arial" w:eastAsia="Arial" w:hAnsi="Arial"/>
                <w:sz w:val="14"/>
                <w:szCs w:val="14"/>
                <w:b w:val="1"/>
                <w:bCs w:val="1"/>
                <w:color w:val="auto"/>
                <w:w w:val="88"/>
              </w:rPr>
              <w:t>Aggregate Offering Price(1)</w:t>
            </w:r>
          </w:p>
        </w:tc>
        <w:tc>
          <w:tcPr>
            <w:tcW w:w="2660" w:type="dxa"/>
            <w:vAlign w:val="bottom"/>
            <w:tcBorders>
              <w:bottom w:val="single" w:sz="8" w:color="auto"/>
            </w:tcBorders>
          </w:tcPr>
          <w:p>
            <w:pPr>
              <w:jc w:val="center"/>
              <w:ind w:left="422"/>
              <w:spacing w:after="0"/>
              <w:rPr>
                <w:sz w:val="20"/>
                <w:szCs w:val="20"/>
                <w:color w:val="auto"/>
              </w:rPr>
            </w:pPr>
            <w:r>
              <w:rPr>
                <w:rFonts w:ascii="Arial" w:cs="Arial" w:eastAsia="Arial" w:hAnsi="Arial"/>
                <w:sz w:val="14"/>
                <w:szCs w:val="14"/>
                <w:b w:val="1"/>
                <w:bCs w:val="1"/>
                <w:color w:val="auto"/>
                <w:w w:val="87"/>
              </w:rPr>
              <w:t>Amount of Registration Fee(2)</w:t>
            </w:r>
          </w:p>
        </w:tc>
      </w:tr>
      <w:tr>
        <w:trPr>
          <w:trHeight w:val="222"/>
        </w:trPr>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$5.50% Notes due 2029</w:t>
            </w:r>
          </w:p>
        </w:tc>
        <w:tc>
          <w:tcPr>
            <w:tcW w:w="3740" w:type="dxa"/>
            <w:vAlign w:val="bottom"/>
            <w:tcBorders>
              <w:bottom w:val="single" w:sz="8" w:color="auto"/>
            </w:tcBorders>
          </w:tcPr>
          <w:p>
            <w:pPr>
              <w:jc w:val="center"/>
              <w:ind w:left="688"/>
              <w:spacing w:after="0"/>
              <w:rPr>
                <w:sz w:val="20"/>
                <w:szCs w:val="20"/>
                <w:color w:val="auto"/>
              </w:rPr>
            </w:pPr>
            <w:r>
              <w:rPr>
                <w:rFonts w:ascii="Arial" w:cs="Arial" w:eastAsia="Arial" w:hAnsi="Arial"/>
                <w:sz w:val="18"/>
                <w:szCs w:val="18"/>
                <w:color w:val="auto"/>
                <w:w w:val="88"/>
              </w:rPr>
              <w:t>$996,562,500</w:t>
            </w:r>
          </w:p>
        </w:tc>
        <w:tc>
          <w:tcPr>
            <w:tcW w:w="2660" w:type="dxa"/>
            <w:vAlign w:val="bottom"/>
            <w:tcBorders>
              <w:bottom w:val="single" w:sz="8" w:color="auto"/>
            </w:tcBorders>
          </w:tcPr>
          <w:p>
            <w:pPr>
              <w:jc w:val="right"/>
              <w:ind w:right="602"/>
              <w:spacing w:after="0"/>
              <w:rPr>
                <w:sz w:val="20"/>
                <w:szCs w:val="20"/>
                <w:color w:val="auto"/>
              </w:rPr>
            </w:pPr>
            <w:r>
              <w:rPr>
                <w:rFonts w:ascii="Arial" w:cs="Arial" w:eastAsia="Arial" w:hAnsi="Arial"/>
                <w:sz w:val="18"/>
                <w:szCs w:val="18"/>
                <w:color w:val="auto"/>
              </w:rPr>
              <w:t>$71,054.91</w:t>
            </w:r>
          </w:p>
        </w:tc>
      </w:tr>
      <w:tr>
        <w:trPr>
          <w:trHeight w:val="20"/>
        </w:trPr>
        <w:tc>
          <w:tcPr>
            <w:tcW w:w="5020" w:type="dxa"/>
            <w:vAlign w:val="bottom"/>
            <w:tcBorders>
              <w:bottom w:val="single" w:sz="8" w:color="auto"/>
            </w:tcBorders>
          </w:tcPr>
          <w:p>
            <w:pPr>
              <w:spacing w:after="0" w:line="20" w:lineRule="exact"/>
              <w:rPr>
                <w:sz w:val="1"/>
                <w:szCs w:val="1"/>
                <w:color w:val="auto"/>
              </w:rPr>
            </w:pPr>
          </w:p>
        </w:tc>
        <w:tc>
          <w:tcPr>
            <w:tcW w:w="3740" w:type="dxa"/>
            <w:vAlign w:val="bottom"/>
            <w:tcBorders>
              <w:bottom w:val="single" w:sz="8" w:color="auto"/>
            </w:tcBorders>
          </w:tcPr>
          <w:p>
            <w:pPr>
              <w:spacing w:after="0" w:line="20" w:lineRule="exact"/>
              <w:rPr>
                <w:sz w:val="1"/>
                <w:szCs w:val="1"/>
                <w:color w:val="auto"/>
              </w:rPr>
            </w:pPr>
          </w:p>
        </w:tc>
        <w:tc>
          <w:tcPr>
            <w:tcW w:w="2660" w:type="dxa"/>
            <w:vAlign w:val="bottom"/>
            <w:tcBorders>
              <w:bottom w:val="single" w:sz="8" w:color="auto"/>
            </w:tcBorders>
          </w:tcPr>
          <w:p>
            <w:pPr>
              <w:spacing w:after="0" w:line="20" w:lineRule="exact"/>
              <w:rPr>
                <w:sz w:val="1"/>
                <w:szCs w:val="1"/>
                <w:color w:val="auto"/>
              </w:rPr>
            </w:pPr>
          </w:p>
        </w:tc>
      </w:tr>
    </w:tbl>
    <w:p>
      <w:pPr>
        <w:spacing w:after="0" w:line="5" w:lineRule="exact"/>
        <w:rPr>
          <w:sz w:val="24"/>
          <w:szCs w:val="24"/>
          <w:color w:val="auto"/>
        </w:rPr>
      </w:pPr>
    </w:p>
    <w:p>
      <w:pPr>
        <w:ind w:left="460" w:right="200" w:hanging="452"/>
        <w:spacing w:after="0" w:line="268" w:lineRule="auto"/>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£625,000,000 aggregate principal amount of the 5.50% Notes due 2029 will be issued. The Proposed Maximum Aggregate Offering Price is based on the November 17, 2010 Sterling/U.S.$ exchange rate of £1/U.S.$1.5945.</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Filed Pursuant to Rule 424(B)(2)</w:t>
      </w:r>
    </w:p>
    <w:p>
      <w:pPr>
        <w:spacing w:after="0" w:line="21" w:lineRule="exact"/>
        <w:rPr>
          <w:sz w:val="20"/>
          <w:szCs w:val="20"/>
          <w:color w:val="auto"/>
        </w:rPr>
      </w:pPr>
    </w:p>
    <w:p>
      <w:pPr>
        <w:ind w:left="8120"/>
        <w:spacing w:after="0"/>
        <w:rPr>
          <w:sz w:val="20"/>
          <w:szCs w:val="20"/>
          <w:color w:val="auto"/>
        </w:rPr>
      </w:pPr>
      <w:r>
        <w:rPr>
          <w:rFonts w:ascii="Arial" w:cs="Arial" w:eastAsia="Arial" w:hAnsi="Arial"/>
          <w:sz w:val="18"/>
          <w:szCs w:val="18"/>
          <w:b w:val="1"/>
          <w:bCs w:val="1"/>
          <w:color w:val="auto"/>
        </w:rPr>
        <w:t>Registration No. 333-158816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PROSPECTUS SUPPLEMENT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prospectus dated April 27,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109855</wp:posOffset>
            </wp:positionV>
            <wp:extent cx="1397635" cy="3600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£625,000,000 5.50% Notes due 2029</w:t>
      </w:r>
    </w:p>
    <w:p>
      <w:pPr>
        <w:spacing w:after="0" w:line="171"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The Notes due 2029 will bear interest at a rate of 5.50% per year and will mature on November 23, 2029. We will pay interest on the notes on November 23 of each year, beginning November 23, 2011. We may redeem any of the notes at any time by paying the greater of the principal amount of such notes or a “make-whole” amount, plus, in each case, accrued and unpaid interest. See “Description of the Notes—Optional Redemption.”</w:t>
      </w:r>
    </w:p>
    <w:p>
      <w:pPr>
        <w:spacing w:after="0" w:line="107"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notes will be unsecured and will rank equally with all of our unsecured and unsubordinated indebtedness. The notes will be fully and unconditionally guaranteed by our wholly-owned cable subsidiaries named in this prospectus supplement and in the accompanying prospectus.</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will be issued in minimum denominations of £50,000 and in multiples of £1,000 in excess thereof.</w:t>
      </w:r>
    </w:p>
    <w:p>
      <w:pPr>
        <w:spacing w:after="0" w:line="171"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intend to apply to list the notes on the New York Stock Exchange. We expect trading in the notes on the New York Stock Exchange to begin within 30 days after the original issue date. Currently there is no public market for the notes.</w:t>
      </w:r>
    </w:p>
    <w:p>
      <w:pPr>
        <w:spacing w:after="0" w:line="126" w:lineRule="exact"/>
        <w:rPr>
          <w:sz w:val="20"/>
          <w:szCs w:val="20"/>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Investing in the notes involves risks that are described in the “</w:t>
      </w:r>
      <w:hyperlink w:anchor="page9">
        <w:r>
          <w:rPr>
            <w:rFonts w:ascii="Arial" w:cs="Arial" w:eastAsia="Arial" w:hAnsi="Arial"/>
            <w:sz w:val="18"/>
            <w:szCs w:val="18"/>
            <w:b w:val="1"/>
            <w:bCs w:val="1"/>
            <w:u w:val="single" w:color="auto"/>
            <w:color w:val="0000EE"/>
          </w:rPr>
          <w:t>Risk Factors</w:t>
        </w:r>
      </w:hyperlink>
      <w:r>
        <w:rPr>
          <w:rFonts w:ascii="Arial" w:cs="Arial" w:eastAsia="Arial" w:hAnsi="Arial"/>
          <w:sz w:val="18"/>
          <w:szCs w:val="18"/>
          <w:b w:val="1"/>
          <w:bCs w:val="1"/>
          <w:color w:val="auto"/>
        </w:rPr>
        <w:t>” section beginning on page S-5.</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0"/>
              </w:rPr>
              <w:t>Underwriters’</w:t>
            </w:r>
          </w:p>
        </w:tc>
        <w:tc>
          <w:tcPr>
            <w:tcW w:w="36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Proceeds to Us Before</w:t>
            </w:r>
          </w:p>
        </w:tc>
        <w:tc>
          <w:tcPr>
            <w:tcW w:w="0" w:type="dxa"/>
            <w:vAlign w:val="bottom"/>
          </w:tcPr>
          <w:p>
            <w:pPr>
              <w:spacing w:after="0"/>
              <w:rPr>
                <w:sz w:val="1"/>
                <w:szCs w:val="1"/>
                <w:color w:val="auto"/>
              </w:rPr>
            </w:pPr>
          </w:p>
        </w:tc>
      </w:tr>
      <w:tr>
        <w:trPr>
          <w:trHeight w:val="161"/>
        </w:trPr>
        <w:tc>
          <w:tcPr>
            <w:tcW w:w="2920" w:type="dxa"/>
            <w:vAlign w:val="bottom"/>
            <w:gridSpan w:val="2"/>
            <w:vMerge w:val="restart"/>
          </w:tcPr>
          <w:p>
            <w:pPr>
              <w:spacing w:after="0"/>
              <w:rPr>
                <w:sz w:val="20"/>
                <w:szCs w:val="20"/>
                <w:color w:val="auto"/>
              </w:rPr>
            </w:pPr>
            <w:r>
              <w:rPr>
                <w:rFonts w:ascii="Arial" w:cs="Arial" w:eastAsia="Arial" w:hAnsi="Arial"/>
                <w:sz w:val="18"/>
                <w:szCs w:val="18"/>
                <w:color w:val="auto"/>
              </w:rPr>
              <w:t>Per note due 2029</w:t>
            </w:r>
            <w:r>
              <w:rPr>
                <w:rFonts w:ascii="Arial" w:cs="Arial" w:eastAsia="Arial" w:hAnsi="Arial"/>
                <w:sz w:val="11"/>
                <w:szCs w:val="11"/>
                <w:color w:val="auto"/>
              </w:rPr>
              <w:t>(1)</w:t>
            </w:r>
          </w:p>
        </w:tc>
        <w:tc>
          <w:tcPr>
            <w:tcW w:w="3340" w:type="dxa"/>
            <w:vAlign w:val="bottom"/>
          </w:tcPr>
          <w:p>
            <w:pPr>
              <w:spacing w:after="0"/>
              <w:rPr>
                <w:sz w:val="14"/>
                <w:szCs w:val="14"/>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Price to Investors</w:t>
            </w:r>
          </w:p>
        </w:tc>
        <w:tc>
          <w:tcPr>
            <w:tcW w:w="5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Borders>
              <w:bottom w:val="single" w:sz="8" w:color="auto"/>
            </w:tcBorders>
          </w:tcPr>
          <w:p>
            <w:pPr>
              <w:jc w:val="right"/>
              <w:ind w:right="86"/>
              <w:spacing w:after="0"/>
              <w:rPr>
                <w:sz w:val="20"/>
                <w:szCs w:val="20"/>
                <w:color w:val="auto"/>
              </w:rPr>
            </w:pPr>
            <w:r>
              <w:rPr>
                <w:rFonts w:ascii="Arial" w:cs="Arial" w:eastAsia="Arial" w:hAnsi="Arial"/>
                <w:sz w:val="14"/>
                <w:szCs w:val="14"/>
                <w:b w:val="1"/>
                <w:bCs w:val="1"/>
                <w:color w:val="auto"/>
              </w:rPr>
              <w:t>Discount</w:t>
            </w: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7"/>
              </w:rPr>
              <w:t>Expenses</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920" w:type="dxa"/>
            <w:vAlign w:val="bottom"/>
            <w:gridSpan w:val="2"/>
            <w:vMerge w:val="continue"/>
          </w:tcPr>
          <w:p>
            <w:pPr>
              <w:spacing w:after="0"/>
              <w:rPr>
                <w:sz w:val="17"/>
                <w:szCs w:val="17"/>
                <w:color w:val="auto"/>
              </w:rPr>
            </w:pPr>
          </w:p>
        </w:tc>
        <w:tc>
          <w:tcPr>
            <w:tcW w:w="3340" w:type="dxa"/>
            <w:vAlign w:val="bottom"/>
          </w:tcPr>
          <w:p>
            <w:pPr>
              <w:spacing w:after="0"/>
              <w:rPr>
                <w:sz w:val="17"/>
                <w:szCs w:val="17"/>
                <w:color w:val="auto"/>
              </w:rPr>
            </w:pPr>
          </w:p>
        </w:tc>
        <w:tc>
          <w:tcPr>
            <w:tcW w:w="1580" w:type="dxa"/>
            <w:vAlign w:val="bottom"/>
            <w:gridSpan w:val="2"/>
          </w:tcPr>
          <w:p>
            <w:pPr>
              <w:jc w:val="right"/>
              <w:ind w:right="360"/>
              <w:spacing w:after="0" w:line="201" w:lineRule="exact"/>
              <w:rPr>
                <w:sz w:val="20"/>
                <w:szCs w:val="20"/>
                <w:color w:val="auto"/>
              </w:rPr>
            </w:pPr>
            <w:r>
              <w:rPr>
                <w:rFonts w:ascii="Arial" w:cs="Arial" w:eastAsia="Arial" w:hAnsi="Arial"/>
                <w:sz w:val="18"/>
                <w:szCs w:val="18"/>
                <w:color w:val="auto"/>
              </w:rPr>
              <w:t>100.00%</w:t>
            </w:r>
          </w:p>
        </w:tc>
        <w:tc>
          <w:tcPr>
            <w:tcW w:w="380" w:type="dxa"/>
            <w:vAlign w:val="bottom"/>
          </w:tcPr>
          <w:p>
            <w:pPr>
              <w:spacing w:after="0"/>
              <w:rPr>
                <w:sz w:val="17"/>
                <w:szCs w:val="17"/>
                <w:color w:val="auto"/>
              </w:rPr>
            </w:pPr>
          </w:p>
        </w:tc>
        <w:tc>
          <w:tcPr>
            <w:tcW w:w="136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rPr>
              <w:t>0.65%</w:t>
            </w: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99.35%</w:t>
            </w:r>
          </w:p>
        </w:tc>
        <w:tc>
          <w:tcPr>
            <w:tcW w:w="0" w:type="dxa"/>
            <w:vAlign w:val="bottom"/>
          </w:tcPr>
          <w:p>
            <w:pPr>
              <w:spacing w:after="0"/>
              <w:rPr>
                <w:sz w:val="1"/>
                <w:szCs w:val="1"/>
                <w:color w:val="auto"/>
              </w:rPr>
            </w:pPr>
          </w:p>
        </w:tc>
      </w:tr>
      <w:tr>
        <w:trPr>
          <w:trHeight w:val="222"/>
        </w:trPr>
        <w:tc>
          <w:tcPr>
            <w:tcW w:w="2920" w:type="dxa"/>
            <w:vAlign w:val="bottom"/>
            <w:gridSpan w:val="2"/>
          </w:tcPr>
          <w:p>
            <w:pPr>
              <w:spacing w:after="0"/>
              <w:rPr>
                <w:sz w:val="20"/>
                <w:szCs w:val="20"/>
                <w:color w:val="auto"/>
              </w:rPr>
            </w:pPr>
            <w:r>
              <w:rPr>
                <w:rFonts w:ascii="Arial" w:cs="Arial" w:eastAsia="Arial" w:hAnsi="Arial"/>
                <w:sz w:val="18"/>
                <w:szCs w:val="18"/>
                <w:color w:val="auto"/>
              </w:rPr>
              <w:t>Total</w:t>
            </w:r>
          </w:p>
        </w:tc>
        <w:tc>
          <w:tcPr>
            <w:tcW w:w="4400" w:type="dxa"/>
            <w:vAlign w:val="bottom"/>
            <w:gridSpan w:val="2"/>
          </w:tcPr>
          <w:p>
            <w:pPr>
              <w:jc w:val="right"/>
              <w:spacing w:after="0"/>
              <w:rPr>
                <w:sz w:val="20"/>
                <w:szCs w:val="20"/>
                <w:color w:val="auto"/>
              </w:rPr>
            </w:pPr>
            <w:r>
              <w:rPr>
                <w:rFonts w:ascii="Arial" w:cs="Arial" w:eastAsia="Arial" w:hAnsi="Arial"/>
                <w:sz w:val="18"/>
                <w:szCs w:val="18"/>
                <w:color w:val="auto"/>
              </w:rPr>
              <w:t>£ 625,000,000</w:t>
            </w:r>
          </w:p>
        </w:tc>
        <w:tc>
          <w:tcPr>
            <w:tcW w:w="520" w:type="dxa"/>
            <w:vAlign w:val="bottom"/>
          </w:tcPr>
          <w:p>
            <w:pPr>
              <w:spacing w:after="0"/>
              <w:rPr>
                <w:sz w:val="19"/>
                <w:szCs w:val="19"/>
                <w:color w:val="auto"/>
              </w:rPr>
            </w:pPr>
          </w:p>
        </w:tc>
        <w:tc>
          <w:tcPr>
            <w:tcW w:w="1740" w:type="dxa"/>
            <w:vAlign w:val="bottom"/>
            <w:gridSpan w:val="3"/>
          </w:tcPr>
          <w:p>
            <w:pPr>
              <w:jc w:val="right"/>
              <w:ind w:right="520"/>
              <w:spacing w:after="0"/>
              <w:rPr>
                <w:sz w:val="20"/>
                <w:szCs w:val="20"/>
                <w:color w:val="auto"/>
              </w:rPr>
            </w:pPr>
            <w:r>
              <w:rPr>
                <w:rFonts w:ascii="Arial" w:cs="Arial" w:eastAsia="Arial" w:hAnsi="Arial"/>
                <w:sz w:val="18"/>
                <w:szCs w:val="18"/>
                <w:color w:val="auto"/>
              </w:rPr>
              <w:t>£ 4,062,500</w:t>
            </w:r>
          </w:p>
        </w:tc>
        <w:tc>
          <w:tcPr>
            <w:tcW w:w="6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620,937,500</w:t>
            </w:r>
          </w:p>
        </w:tc>
        <w:tc>
          <w:tcPr>
            <w:tcW w:w="0" w:type="dxa"/>
            <w:vAlign w:val="bottom"/>
          </w:tcPr>
          <w:p>
            <w:pPr>
              <w:spacing w:after="0"/>
              <w:rPr>
                <w:sz w:val="1"/>
                <w:szCs w:val="1"/>
                <w:color w:val="auto"/>
              </w:rPr>
            </w:pPr>
          </w:p>
        </w:tc>
      </w:tr>
      <w:tr>
        <w:trPr>
          <w:trHeight w:val="110"/>
        </w:trPr>
        <w:tc>
          <w:tcPr>
            <w:tcW w:w="1160" w:type="dxa"/>
            <w:vAlign w:val="bottom"/>
            <w:tcBorders>
              <w:bottom w:val="single" w:sz="8" w:color="auto"/>
            </w:tcBorders>
          </w:tcPr>
          <w:p>
            <w:pPr>
              <w:spacing w:after="0"/>
              <w:rPr>
                <w:sz w:val="9"/>
                <w:szCs w:val="9"/>
                <w:color w:val="auto"/>
              </w:rPr>
            </w:pPr>
          </w:p>
        </w:tc>
        <w:tc>
          <w:tcPr>
            <w:tcW w:w="1760" w:type="dxa"/>
            <w:vAlign w:val="bottom"/>
          </w:tcPr>
          <w:p>
            <w:pPr>
              <w:spacing w:after="0"/>
              <w:rPr>
                <w:sz w:val="9"/>
                <w:szCs w:val="9"/>
                <w:color w:val="auto"/>
              </w:rPr>
            </w:pPr>
          </w:p>
        </w:tc>
        <w:tc>
          <w:tcPr>
            <w:tcW w:w="4920" w:type="dxa"/>
            <w:vAlign w:val="bottom"/>
            <w:gridSpan w:val="3"/>
          </w:tcPr>
          <w:p>
            <w:pPr>
              <w:spacing w:after="0"/>
              <w:rPr>
                <w:sz w:val="9"/>
                <w:szCs w:val="9"/>
                <w:color w:val="auto"/>
              </w:rPr>
            </w:pPr>
          </w:p>
        </w:tc>
        <w:tc>
          <w:tcPr>
            <w:tcW w:w="380" w:type="dxa"/>
            <w:vAlign w:val="bottom"/>
          </w:tcPr>
          <w:p>
            <w:pPr>
              <w:spacing w:after="0"/>
              <w:rPr>
                <w:sz w:val="9"/>
                <w:szCs w:val="9"/>
                <w:color w:val="auto"/>
              </w:rPr>
            </w:pPr>
          </w:p>
        </w:tc>
        <w:tc>
          <w:tcPr>
            <w:tcW w:w="8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2"/>
        </w:trPr>
        <w:tc>
          <w:tcPr>
            <w:tcW w:w="2920" w:type="dxa"/>
            <w:vAlign w:val="bottom"/>
            <w:gridSpan w:val="2"/>
          </w:tcPr>
          <w:p>
            <w:pPr>
              <w:spacing w:after="0"/>
              <w:rPr>
                <w:sz w:val="20"/>
                <w:szCs w:val="20"/>
                <w:color w:val="auto"/>
              </w:rPr>
            </w:pPr>
            <w:r>
              <w:rPr>
                <w:rFonts w:ascii="Arial" w:cs="Arial" w:eastAsia="Arial" w:hAnsi="Arial"/>
                <w:sz w:val="14"/>
                <w:szCs w:val="14"/>
                <w:color w:val="auto"/>
                <w:w w:val="95"/>
              </w:rPr>
              <w:t>(1)   Plus accrued interest, if any, from November</w:t>
            </w:r>
          </w:p>
        </w:tc>
        <w:tc>
          <w:tcPr>
            <w:tcW w:w="4920" w:type="dxa"/>
            <w:vAlign w:val="bottom"/>
            <w:gridSpan w:val="3"/>
          </w:tcPr>
          <w:p>
            <w:pPr>
              <w:jc w:val="right"/>
              <w:ind w:right="2500"/>
              <w:spacing w:after="0"/>
              <w:rPr>
                <w:sz w:val="20"/>
                <w:szCs w:val="20"/>
                <w:color w:val="auto"/>
              </w:rPr>
            </w:pPr>
            <w:r>
              <w:rPr>
                <w:rFonts w:ascii="Arial" w:cs="Arial" w:eastAsia="Arial" w:hAnsi="Arial"/>
                <w:sz w:val="14"/>
                <w:szCs w:val="14"/>
                <w:color w:val="auto"/>
                <w:w w:val="91"/>
              </w:rPr>
              <w:t>, 2010, if settlement occurs after that date.</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8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notes will be ready for delivery only through the facilities of Clearstream or Euroclear, as the case may be, in book-entry form on or about November 23, 2010.</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193" w:lineRule="exact"/>
        <w:rPr>
          <w:sz w:val="20"/>
          <w:szCs w:val="20"/>
          <w:color w:val="auto"/>
        </w:rPr>
      </w:pPr>
    </w:p>
    <w:p>
      <w:pPr>
        <w:spacing w:after="0"/>
        <w:tabs>
          <w:tab w:leader="none" w:pos="2460" w:val="left"/>
          <w:tab w:leader="none" w:pos="4740" w:val="left"/>
          <w:tab w:leader="none" w:pos="8800" w:val="left"/>
        </w:tabs>
        <w:rPr>
          <w:sz w:val="20"/>
          <w:szCs w:val="20"/>
          <w:color w:val="auto"/>
        </w:rPr>
      </w:pPr>
      <w:r>
        <w:rPr>
          <w:rFonts w:ascii="Arial" w:cs="Arial" w:eastAsia="Arial" w:hAnsi="Arial"/>
          <w:sz w:val="22"/>
          <w:szCs w:val="22"/>
          <w:b w:val="1"/>
          <w:bCs w:val="1"/>
          <w:color w:val="auto"/>
        </w:rPr>
        <w:t>Barclays Capital</w:t>
      </w:r>
      <w:r>
        <w:rPr>
          <w:sz w:val="20"/>
          <w:szCs w:val="20"/>
          <w:color w:val="auto"/>
        </w:rPr>
        <w:tab/>
      </w:r>
      <w:r>
        <w:rPr>
          <w:rFonts w:ascii="Arial" w:cs="Arial" w:eastAsia="Arial" w:hAnsi="Arial"/>
          <w:sz w:val="22"/>
          <w:szCs w:val="22"/>
          <w:b w:val="1"/>
          <w:bCs w:val="1"/>
          <w:color w:val="auto"/>
        </w:rPr>
        <w:t>Deutsche Bank</w:t>
      </w:r>
      <w:r>
        <w:rPr>
          <w:sz w:val="20"/>
          <w:szCs w:val="20"/>
          <w:color w:val="auto"/>
        </w:rPr>
        <w:tab/>
      </w:r>
      <w:r>
        <w:rPr>
          <w:rFonts w:ascii="Arial" w:cs="Arial" w:eastAsia="Arial" w:hAnsi="Arial"/>
          <w:sz w:val="22"/>
          <w:szCs w:val="22"/>
          <w:b w:val="1"/>
          <w:bCs w:val="1"/>
          <w:color w:val="auto"/>
        </w:rPr>
        <w:t>Goldman Sachs International</w:t>
      </w:r>
      <w:r>
        <w:rPr>
          <w:sz w:val="20"/>
          <w:szCs w:val="20"/>
          <w:color w:val="auto"/>
        </w:rPr>
        <w:tab/>
      </w:r>
      <w:r>
        <w:rPr>
          <w:rFonts w:ascii="Arial" w:cs="Arial" w:eastAsia="Arial" w:hAnsi="Arial"/>
          <w:sz w:val="19"/>
          <w:szCs w:val="19"/>
          <w:b w:val="1"/>
          <w:bCs w:val="1"/>
          <w:color w:val="auto"/>
        </w:rPr>
        <w:t>The Royal Bank of Scotland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date of this prospectus supplement is November 17, 2010.</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420" w:type="dxa"/>
            <w:vAlign w:val="bottom"/>
            <w:gridSpan w:val="3"/>
          </w:tcPr>
          <w:p>
            <w:pPr>
              <w:jc w:val="center"/>
              <w:ind w:right="402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70"/>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20" w:type="dxa"/>
            <w:vAlign w:val="bottom"/>
            <w:gridSpan w:val="3"/>
          </w:tcPr>
          <w:p>
            <w:pPr>
              <w:jc w:val="center"/>
              <w:ind w:right="4020"/>
              <w:spacing w:after="0"/>
              <w:rPr>
                <w:sz w:val="20"/>
                <w:szCs w:val="20"/>
                <w:color w:val="auto"/>
              </w:rPr>
            </w:pPr>
            <w:r>
              <w:rPr>
                <w:rFonts w:ascii="Arial" w:cs="Arial" w:eastAsia="Arial" w:hAnsi="Arial"/>
                <w:sz w:val="18"/>
                <w:szCs w:val="18"/>
                <w:b w:val="1"/>
                <w:bCs w:val="1"/>
                <w:color w:val="auto"/>
                <w:w w:val="85"/>
              </w:rPr>
              <w:t>Prospectus Supplement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380" w:type="dxa"/>
            <w:vAlign w:val="bottom"/>
            <w:gridSpan w:val="13"/>
            <w:vMerge w:val="restart"/>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Prospectus Supplement Summary</w:t>
              </w:r>
            </w:hyperlink>
          </w:p>
        </w:tc>
        <w:tc>
          <w:tcPr>
            <w:tcW w:w="8560" w:type="dxa"/>
            <w:vAlign w:val="bottom"/>
            <w:gridSpan w:val="8"/>
            <w:vMerge w:val="restart"/>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74"/>
        </w:trPr>
        <w:tc>
          <w:tcPr>
            <w:tcW w:w="2380" w:type="dxa"/>
            <w:vAlign w:val="bottom"/>
            <w:tcBorders>
              <w:bottom w:val="single" w:sz="8" w:color="0000EE"/>
            </w:tcBorders>
            <w:gridSpan w:val="13"/>
            <w:vMerge w:val="continue"/>
          </w:tcPr>
          <w:p>
            <w:pPr>
              <w:spacing w:after="0"/>
              <w:rPr>
                <w:sz w:val="14"/>
                <w:szCs w:val="14"/>
                <w:color w:val="auto"/>
              </w:rPr>
            </w:pPr>
          </w:p>
        </w:tc>
        <w:tc>
          <w:tcPr>
            <w:tcW w:w="8560" w:type="dxa"/>
            <w:vAlign w:val="bottom"/>
            <w:gridSpan w:val="8"/>
            <w:vMerge w:val="continue"/>
          </w:tcPr>
          <w:p>
            <w:pPr>
              <w:spacing w:after="0"/>
              <w:rPr>
                <w:sz w:val="14"/>
                <w:szCs w:val="14"/>
                <w:color w:val="auto"/>
              </w:rPr>
            </w:pPr>
          </w:p>
        </w:tc>
        <w:tc>
          <w:tcPr>
            <w:tcW w:w="38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color w:val="auto"/>
              </w:rPr>
              <w:t>S-1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Risk Factors</w:t>
              </w:r>
            </w:hyperlink>
          </w:p>
        </w:tc>
        <w:tc>
          <w:tcPr>
            <w:tcW w:w="10040" w:type="dxa"/>
            <w:vAlign w:val="bottom"/>
            <w:gridSpan w:val="1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S-5</w:t>
            </w:r>
          </w:p>
        </w:tc>
        <w:tc>
          <w:tcPr>
            <w:tcW w:w="0" w:type="dxa"/>
            <w:vAlign w:val="bottom"/>
          </w:tcPr>
          <w:p>
            <w:pPr>
              <w:spacing w:after="0"/>
              <w:rPr>
                <w:sz w:val="1"/>
                <w:szCs w:val="1"/>
                <w:color w:val="auto"/>
              </w:rPr>
            </w:pPr>
          </w:p>
        </w:tc>
      </w:tr>
      <w:tr>
        <w:trPr>
          <w:trHeight w:val="196"/>
        </w:trPr>
        <w:tc>
          <w:tcPr>
            <w:tcW w:w="152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0">
              <w:r>
                <w:rPr>
                  <w:rFonts w:ascii="Arial" w:cs="Arial" w:eastAsia="Arial" w:hAnsi="Arial"/>
                  <w:sz w:val="18"/>
                  <w:szCs w:val="18"/>
                  <w:color w:val="0000EE"/>
                  <w:w w:val="88"/>
                </w:rPr>
                <w:t>Currency Conversion</w:t>
              </w:r>
            </w:hyperlink>
          </w:p>
        </w:tc>
        <w:tc>
          <w:tcPr>
            <w:tcW w:w="9420" w:type="dxa"/>
            <w:vAlign w:val="bottom"/>
            <w:gridSpan w:val="1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Ratio of Earnings to Fixed Charges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S-6</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Description of the Notes</w:t>
              </w:r>
            </w:hyperlink>
          </w:p>
        </w:tc>
        <w:tc>
          <w:tcPr>
            <w:tcW w:w="8460" w:type="dxa"/>
            <w:vAlign w:val="bottom"/>
            <w:gridSpan w:val="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S-7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19">
              <w:r>
                <w:rPr>
                  <w:rFonts w:ascii="Arial" w:cs="Arial" w:eastAsia="Arial" w:hAnsi="Arial"/>
                  <w:sz w:val="18"/>
                  <w:szCs w:val="18"/>
                  <w:color w:val="0000EE"/>
                  <w:w w:val="87"/>
                </w:rPr>
                <w:t>Material U.S. Federal Income Tax Consequences</w:t>
              </w:r>
            </w:hyperlink>
          </w:p>
        </w:tc>
        <w:tc>
          <w:tcPr>
            <w:tcW w:w="7480" w:type="dxa"/>
            <w:vAlign w:val="bottom"/>
            <w:gridSpan w:val="6"/>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S-15</w:t>
            </w:r>
          </w:p>
        </w:tc>
        <w:tc>
          <w:tcPr>
            <w:tcW w:w="0" w:type="dxa"/>
            <w:vAlign w:val="bottom"/>
          </w:tcPr>
          <w:p>
            <w:pPr>
              <w:spacing w:after="0"/>
              <w:rPr>
                <w:sz w:val="1"/>
                <w:szCs w:val="1"/>
                <w:color w:val="auto"/>
              </w:rPr>
            </w:pP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3">
              <w:r>
                <w:rPr>
                  <w:rFonts w:ascii="Arial" w:cs="Arial" w:eastAsia="Arial" w:hAnsi="Arial"/>
                  <w:sz w:val="18"/>
                  <w:szCs w:val="18"/>
                  <w:color w:val="0000EE"/>
                  <w:w w:val="93"/>
                </w:rPr>
                <w:t>Underwriting</w:t>
              </w:r>
            </w:hyperlink>
          </w:p>
        </w:tc>
        <w:tc>
          <w:tcPr>
            <w:tcW w:w="9980" w:type="dxa"/>
            <w:vAlign w:val="bottom"/>
            <w:gridSpan w:val="18"/>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Matters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S-22</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Experts</w:t>
              </w:r>
            </w:hyperlink>
          </w:p>
        </w:tc>
        <w:tc>
          <w:tcPr>
            <w:tcW w:w="9960" w:type="dxa"/>
            <w:vAlign w:val="bottom"/>
            <w:gridSpan w:val="17"/>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S-22</w:t>
            </w:r>
          </w:p>
        </w:tc>
        <w:tc>
          <w:tcPr>
            <w:tcW w:w="0" w:type="dxa"/>
            <w:vAlign w:val="bottom"/>
          </w:tcPr>
          <w:p>
            <w:pPr>
              <w:spacing w:after="0"/>
              <w:rPr>
                <w:sz w:val="1"/>
                <w:szCs w:val="1"/>
                <w:color w:val="auto"/>
              </w:rPr>
            </w:pPr>
          </w:p>
        </w:tc>
      </w:tr>
      <w:tr>
        <w:trPr>
          <w:trHeight w:val="451"/>
        </w:trPr>
        <w:tc>
          <w:tcPr>
            <w:tcW w:w="54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420" w:type="dxa"/>
            <w:vAlign w:val="bottom"/>
            <w:gridSpan w:val="3"/>
          </w:tcPr>
          <w:p>
            <w:pPr>
              <w:ind w:left="740"/>
              <w:spacing w:after="0"/>
              <w:rPr>
                <w:sz w:val="20"/>
                <w:szCs w:val="20"/>
                <w:color w:val="auto"/>
              </w:rPr>
            </w:pPr>
            <w:r>
              <w:rPr>
                <w:rFonts w:ascii="Arial" w:cs="Arial" w:eastAsia="Arial" w:hAnsi="Arial"/>
                <w:sz w:val="18"/>
                <w:szCs w:val="18"/>
                <w:b w:val="1"/>
                <w:bCs w:val="1"/>
                <w:color w:val="auto"/>
              </w:rPr>
              <w:t>Prospectus</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1140" w:type="dxa"/>
            <w:vAlign w:val="bottom"/>
            <w:tcBorders>
              <w:bottom w:val="single" w:sz="8" w:color="0000EE"/>
            </w:tcBorders>
            <w:gridSpan w:val="5"/>
          </w:tcPr>
          <w:p>
            <w:pPr>
              <w:spacing w:after="0"/>
              <w:rPr>
                <w:rFonts w:ascii="Arial" w:cs="Arial" w:eastAsia="Arial" w:hAnsi="Arial"/>
                <w:sz w:val="18"/>
                <w:szCs w:val="18"/>
                <w:color w:val="0000EE"/>
                <w:w w:val="86"/>
              </w:rPr>
            </w:pPr>
            <w:hyperlink w:anchor="page29">
              <w:r>
                <w:rPr>
                  <w:rFonts w:ascii="Arial" w:cs="Arial" w:eastAsia="Arial" w:hAnsi="Arial"/>
                  <w:sz w:val="18"/>
                  <w:szCs w:val="18"/>
                  <w:color w:val="0000EE"/>
                  <w:w w:val="86"/>
                </w:rPr>
                <w:t>The Companies</w:t>
              </w:r>
            </w:hyperlink>
          </w:p>
        </w:tc>
        <w:tc>
          <w:tcPr>
            <w:tcW w:w="980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6"/>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Caution Concerning Forward-Looking Statements</w:t>
              </w:r>
            </w:hyperlink>
          </w:p>
        </w:tc>
        <w:tc>
          <w:tcPr>
            <w:tcW w:w="740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gridSpan w:val="3"/>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Dividend Policy</w:t>
              </w:r>
            </w:hyperlink>
          </w:p>
        </w:tc>
        <w:tc>
          <w:tcPr>
            <w:tcW w:w="978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Ratios of Earnings to Fixed Charges and of Earnings to Combined Fixed Charges and Preferred Dividends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Description of Debt Securities and Cable Guarantees</w:t>
              </w:r>
            </w:hyperlink>
          </w:p>
        </w:tc>
        <w:tc>
          <w:tcPr>
            <w:tcW w:w="34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Global Securities</w:t>
              </w:r>
            </w:hyperlink>
          </w:p>
        </w:tc>
        <w:tc>
          <w:tcPr>
            <w:tcW w:w="722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680" w:type="dxa"/>
            <w:vAlign w:val="bottom"/>
            <w:gridSpan w:val="6"/>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Description of Capital Stock</w:t>
              </w:r>
            </w:hyperlink>
          </w:p>
        </w:tc>
        <w:tc>
          <w:tcPr>
            <w:tcW w:w="892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Plan of Distribution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9540" w:type="dxa"/>
            <w:vAlign w:val="bottom"/>
            <w:gridSpan w:val="1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9960" w:type="dxa"/>
            <w:vAlign w:val="bottom"/>
            <w:gridSpan w:val="1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9"/>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1"/>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Available Information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560" w:type="dxa"/>
            <w:vAlign w:val="bottom"/>
            <w:gridSpan w:val="10"/>
            <w:shd w:val="clear" w:color="auto" w:fill="0000EE"/>
          </w:tcPr>
          <w:p>
            <w:pPr>
              <w:spacing w:after="0" w:line="20" w:lineRule="exact"/>
              <w:rPr>
                <w:sz w:val="1"/>
                <w:szCs w:val="1"/>
                <w:color w:val="auto"/>
              </w:rPr>
            </w:pPr>
          </w:p>
        </w:tc>
        <w:tc>
          <w:tcPr>
            <w:tcW w:w="1980" w:type="dxa"/>
            <w:vAlign w:val="bottom"/>
            <w:gridSpan w:val="6"/>
          </w:tcPr>
          <w:p>
            <w:pPr>
              <w:spacing w:after="0" w:line="20" w:lineRule="exact"/>
              <w:rPr>
                <w:sz w:val="1"/>
                <w:szCs w:val="1"/>
                <w:color w:val="auto"/>
              </w:rPr>
            </w:pPr>
          </w:p>
        </w:tc>
        <w:tc>
          <w:tcPr>
            <w:tcW w:w="74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Incorporation of Certain Documents by Reference</w:t>
              </w:r>
            </w:hyperlink>
          </w:p>
        </w:tc>
        <w:tc>
          <w:tcPr>
            <w:tcW w:w="740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have not authorized anyone to provide any information other than that contained or incorporated by reference in this prospectus supplement and the accompanying prospectus or in any free writing prospectus prepared by or on behalf of us or to which we have referred you. We take no responsibility for, and can provide no assurance as to the reliability of, any other information that others may give you. If anyone provides you with different or inconsistent information, you should not rely on it. We are not, and the underwriters are not, making an offer to sell these securities in any jurisdiction where the offer or sale is not permitted. You should assume that the information appearing in this prospectus supplement, the accompanying prospectus and the documents incorporated by reference herein or therein is accurate only as of their respective dates. Our business, financial condition, results of operations and prospects may have changed since those dates.</w:t>
      </w:r>
    </w:p>
    <w:p>
      <w:pPr>
        <w:spacing w:after="0" w:line="14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notes are offered globally for sale in those jurisdictions in Europe, the United States, Asia and elsewhere where it is lawful to make such offers. See “Underwriting.”</w:t>
      </w:r>
    </w:p>
    <w:p>
      <w:pPr>
        <w:spacing w:after="0" w:line="132"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The distribution of this prospectus supplement and the accompanying prospectus and the offering of the notes in certain jurisdictions may be restricted by law. Persons into whose possession this prospectus supplement and the accompanying prospectus come should inform themselves about and observe these restrictions. This prospectus supplement and the accompanying prospectus do not constitute, and may not be used in connection with an offer or solicitation by anyone in any jurisdiction in which such offer or solicitation is not authorized or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 which the person making such offer or solicitation is not qualified to do so or to any person to whom it is unlawful to make such offer or solicitation. See “Underwriting—Selling Restrictions.”</w:t>
      </w:r>
    </w:p>
    <w:p>
      <w:pPr>
        <w:spacing w:after="0" w:line="132" w:lineRule="exact"/>
        <w:rPr>
          <w:sz w:val="20"/>
          <w:szCs w:val="20"/>
          <w:color w:val="auto"/>
        </w:rPr>
      </w:pPr>
    </w:p>
    <w:p>
      <w:pPr>
        <w:ind w:right="580" w:firstLine="456"/>
        <w:spacing w:after="0" w:line="268" w:lineRule="auto"/>
        <w:rPr>
          <w:sz w:val="20"/>
          <w:szCs w:val="20"/>
          <w:color w:val="auto"/>
        </w:rPr>
      </w:pPr>
      <w:r>
        <w:rPr>
          <w:rFonts w:ascii="Arial" w:cs="Arial" w:eastAsia="Arial" w:hAnsi="Arial"/>
          <w:sz w:val="18"/>
          <w:szCs w:val="18"/>
          <w:color w:val="auto"/>
        </w:rPr>
        <w:t>References in this prospectus supplement to “$,” “dollars” and “U.S. dollars” are to the currency of the United States of America; references to “£,” “pounds Sterling,” and “Sterling” are to the currency of the United Kingdom.</w:t>
      </w:r>
    </w:p>
    <w:p>
      <w:pPr>
        <w:spacing w:after="0" w:line="12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color w:val="auto"/>
        </w:rPr>
        <w:t>IN CONNECTION WITH THE ISSUE OF THE NOTES, THE UNDERWRITERS (IN THIS CAPACITY, THE “STABILIZING MANAGERS”) (OR ANY PERSON ACTING FOR THEM) MAY OVER-ALLOT NOTES OR EFFECT TRANSACTIONS WITH A VIEW TO SUPPORTING THE MARKET PRICE OF THE NOTES AT A LEVEL HIGHER THAN THAT WHICH MIGHT OTHERWISE PREVAIL. HOWEVER, THERE IS NO ASSURANCE THAT THE STABILIZING MANAGERS (OR PERSONS ACTING ON BEHALF OF THE STABILIZING MANAGERS) WILL UNDERTAKE ANY STABILIZATION ACTION. ANY STABILIZATION ACTION MAY BEGIN ON OR AFTER THE DATE ON WHICH ADEQUATE PUBLIC DISCLOSURE OF THE FINAL TERMS OF THE OFFER OF THE NOTES IS MADE, AND, IF BEGUN, MAY BE ENDED AT ANY TIME, BUT IT MUST END NO LATER THAN THE EARLIER OF 30 DAYS AFTER THE ISSUE OF THE NOTES AND 60 DAYS AFTER THE DATE OF THE ALLOTMENT OF THE NOTES.</w:t>
      </w:r>
    </w:p>
    <w:p>
      <w:pPr>
        <w:spacing w:after="0" w:line="138" w:lineRule="exact"/>
        <w:rPr>
          <w:sz w:val="20"/>
          <w:szCs w:val="20"/>
          <w:color w:val="auto"/>
        </w:rPr>
      </w:pPr>
    </w:p>
    <w:p>
      <w:pPr>
        <w:ind w:right="840" w:firstLine="456"/>
        <w:spacing w:after="0" w:line="275" w:lineRule="auto"/>
        <w:rPr>
          <w:sz w:val="20"/>
          <w:szCs w:val="20"/>
          <w:color w:val="auto"/>
        </w:rPr>
      </w:pPr>
      <w:r>
        <w:rPr>
          <w:rFonts w:ascii="Arial" w:cs="Arial" w:eastAsia="Arial" w:hAnsi="Arial"/>
          <w:sz w:val="18"/>
          <w:szCs w:val="18"/>
          <w:b w:val="1"/>
          <w:bCs w:val="1"/>
          <w:color w:val="auto"/>
        </w:rPr>
        <w:t>ANY STABILIZATION ACTION COMMENCED WILL BE CARRIED OUT IN ACCORDANCE WITH APPLICABLE LAWS AND REGULATIONS.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470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564705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SUPPLEMENT SUMMARY</w:t>
      </w:r>
    </w:p>
    <w:p>
      <w:pPr>
        <w:spacing w:after="0" w:line="171"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200" w:right="420" w:firstLine="443"/>
        <w:spacing w:after="0" w:line="305" w:lineRule="auto"/>
        <w:rPr>
          <w:sz w:val="20"/>
          <w:szCs w:val="20"/>
          <w:color w:val="auto"/>
        </w:rPr>
      </w:pPr>
      <w:r>
        <w:rPr>
          <w:rFonts w:ascii="Arial" w:cs="Arial" w:eastAsia="Arial" w:hAnsi="Arial"/>
          <w:sz w:val="15"/>
          <w:szCs w:val="15"/>
          <w:color w:val="auto"/>
        </w:rPr>
        <w:t>We are a leading provider of video, high-speed Internet and phone services, offering a variety of entertainment, information and communications services to residential and commercial customers. As of September 30, 2010, our cable systems served approximately 22.9 million video customers,</w:t>
      </w:r>
    </w:p>
    <w:p>
      <w:pPr>
        <w:ind w:left="200" w:right="20"/>
        <w:spacing w:after="0" w:line="288" w:lineRule="auto"/>
        <w:rPr>
          <w:sz w:val="20"/>
          <w:szCs w:val="20"/>
          <w:color w:val="auto"/>
        </w:rPr>
      </w:pPr>
      <w:r>
        <w:rPr>
          <w:rFonts w:ascii="Arial" w:cs="Arial" w:eastAsia="Arial" w:hAnsi="Arial"/>
          <w:sz w:val="16"/>
          <w:szCs w:val="16"/>
          <w:color w:val="auto"/>
        </w:rPr>
        <w:t>16.7 million high-speed Internet customers and 8.4 million phone customers and passed over 51 million homes and businesses in 39 states and the District of Columbia. We report the results of these operations as our Cable segment, which generates approximately 94% of our consolidated revenue. Our Cable segment also includes the operations of our regional sports networks. Our Cable segment generates revenue primarily through subscriptions to our video, high-speed Internet and phone services. Other Cable segment revenue sources include the sale of advertising and the operation of our regional sports networks. Our Programming segment consists primarily of our consolidated national programming networks, E!, Golf Channel, VERSUS, G4 and Style. Revenue from our Programming segment is generated primarily from monthly per subscriber license fees paid by multichannel video providers, the sale of advertising and the licensing of our programming internationally.</w:t>
      </w:r>
    </w:p>
    <w:p>
      <w:pPr>
        <w:spacing w:after="0" w:line="123" w:lineRule="exact"/>
        <w:rPr>
          <w:sz w:val="20"/>
          <w:szCs w:val="20"/>
          <w:color w:val="auto"/>
        </w:rPr>
      </w:pPr>
    </w:p>
    <w:p>
      <w:pPr>
        <w:ind w:left="200" w:right="20" w:firstLine="443"/>
        <w:spacing w:after="0" w:line="294" w:lineRule="auto"/>
        <w:rPr>
          <w:sz w:val="20"/>
          <w:szCs w:val="20"/>
          <w:color w:val="auto"/>
        </w:rPr>
      </w:pPr>
      <w:r>
        <w:rPr>
          <w:rFonts w:ascii="Arial" w:cs="Arial" w:eastAsia="Arial" w:hAnsi="Arial"/>
          <w:sz w:val="16"/>
          <w:szCs w:val="16"/>
          <w:color w:val="auto"/>
        </w:rPr>
        <w:t>Our other business interests include Comcast Interactive Media and Comcast Spectacor. Comcast Interactive Media develops and operates our Internet businesses, including Comcast.net, Fancast, Fandango, Plaxo and DailyCandy. Comcast Spectacor owns two professional sports teams, the Philadelphia 76ers and the Philadelphia Flyers, and a large, multipurpose arena in Philadelphia, the Wells Fargo Center, and provides facilities management services, including food services for sporting events, concerts and other events. Comcast Interactive Media, Comcast Spectacor and all other consolidated businesses not included in our Cable or Programming segments are included in “Corporate and Other” activities.</w:t>
      </w:r>
    </w:p>
    <w:p>
      <w:pPr>
        <w:spacing w:after="0" w:line="116" w:lineRule="exact"/>
        <w:rPr>
          <w:sz w:val="20"/>
          <w:szCs w:val="20"/>
          <w:color w:val="auto"/>
        </w:rPr>
      </w:pPr>
    </w:p>
    <w:p>
      <w:pPr>
        <w:ind w:left="200" w:firstLine="443"/>
        <w:spacing w:after="0" w:line="289" w:lineRule="auto"/>
        <w:rPr>
          <w:sz w:val="20"/>
          <w:szCs w:val="20"/>
          <w:color w:val="auto"/>
        </w:rPr>
      </w:pPr>
      <w:r>
        <w:rPr>
          <w:rFonts w:ascii="Arial" w:cs="Arial" w:eastAsia="Arial" w:hAnsi="Arial"/>
          <w:sz w:val="16"/>
          <w:szCs w:val="16"/>
          <w:color w:val="auto"/>
        </w:rPr>
        <w:t>We entered into agreements with General Electric Company (“GE”) in December 2009 to form a new company of which we will own 51% and control, with the remaining 49% to be owned by GE. Under the terms of the transaction, GE will contribute NBC Universal’s businesses, including its cable and broadcast networks, filmed entertainment, televised entertainment, theme parks and unconsolidated investments, as well as other GE assets used primarily in NBC Universal’s business. NBC Universal sold $4.0 billion aggregate principal amount of senior notes in April 2010 and $5.1 billion of senior notes in October 2010 in connection with the transaction. We will contribute our national programming networks, our regional sports networks and certain of our Internet businesses, as well as other assets used primarily in those businesses. We will also make a cash payment to GE of $7.1 billion, less certain adjustments primarily based on the free cash flow generated by NBC Universal between December 4, 2009 and the closing. The transaction is subject to various regulatory approvals and is expected to close by the end of 2010.</w:t>
      </w:r>
    </w:p>
    <w:p>
      <w:pPr>
        <w:spacing w:after="0" w:line="118" w:lineRule="exact"/>
        <w:rPr>
          <w:sz w:val="20"/>
          <w:szCs w:val="20"/>
          <w:color w:val="auto"/>
        </w:rPr>
      </w:pPr>
    </w:p>
    <w:p>
      <w:pPr>
        <w:ind w:left="200" w:right="240" w:firstLine="443"/>
        <w:spacing w:after="0" w:line="306" w:lineRule="auto"/>
        <w:rPr>
          <w:sz w:val="20"/>
          <w:szCs w:val="20"/>
          <w:color w:val="auto"/>
        </w:rPr>
      </w:pPr>
      <w:r>
        <w:rPr>
          <w:rFonts w:ascii="Arial" w:cs="Arial" w:eastAsia="Arial" w:hAnsi="Arial"/>
          <w:sz w:val="16"/>
          <w:szCs w:val="16"/>
          <w:color w:val="auto"/>
        </w:rPr>
        <w:t>For a description of our business, financial condition, results of operations and other important information regarding us, see our filings with the Securities and Exchange Commission (“SEC”) incorporated by reference in the accompanying prospectus. For instructions on how to find copies of these and our other filings incorporated by reference in the accompanying prospectus, see “Available Information” in the accompanying prospectus.</w:t>
      </w:r>
    </w:p>
    <w:p>
      <w:pPr>
        <w:spacing w:after="0" w:line="107" w:lineRule="exact"/>
        <w:rPr>
          <w:sz w:val="20"/>
          <w:szCs w:val="20"/>
          <w:color w:val="auto"/>
        </w:rPr>
      </w:pPr>
    </w:p>
    <w:p>
      <w:pPr>
        <w:ind w:left="640"/>
        <w:spacing w:after="0"/>
        <w:rPr>
          <w:sz w:val="20"/>
          <w:szCs w:val="20"/>
          <w:color w:val="auto"/>
        </w:rPr>
      </w:pPr>
      <w:r>
        <w:rPr>
          <w:rFonts w:ascii="Arial" w:cs="Arial" w:eastAsia="Arial" w:hAnsi="Arial"/>
          <w:sz w:val="16"/>
          <w:szCs w:val="16"/>
          <w:color w:val="auto"/>
        </w:rPr>
        <w:t>Our principal executive office is located at One Comcast Center, Philadelphia, Pennsylvania 19103-2838. Our telephone number is (215) 286-1700.</w:t>
      </w:r>
    </w:p>
    <w:p>
      <w:pPr>
        <w:spacing w:after="0" w:line="38" w:lineRule="exact"/>
        <w:rPr>
          <w:sz w:val="20"/>
          <w:szCs w:val="20"/>
          <w:color w:val="auto"/>
        </w:rPr>
      </w:pPr>
    </w:p>
    <w:p>
      <w:pPr>
        <w:ind w:left="200"/>
        <w:spacing w:after="0"/>
        <w:rPr>
          <w:sz w:val="20"/>
          <w:szCs w:val="20"/>
          <w:color w:val="auto"/>
        </w:rPr>
      </w:pPr>
      <w:r>
        <w:rPr>
          <w:rFonts w:ascii="Arial" w:cs="Arial" w:eastAsia="Arial" w:hAnsi="Arial"/>
          <w:sz w:val="15"/>
          <w:szCs w:val="15"/>
          <w:color w:val="auto"/>
        </w:rPr>
        <w:t>The address of our website is www.comcast.com. The information on our website is not part of this prospectus supplement or the accompanying prospectus.</w:t>
      </w: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left="200" w:right="60" w:firstLine="443"/>
        <w:spacing w:after="0" w:line="268" w:lineRule="auto"/>
        <w:rPr>
          <w:sz w:val="20"/>
          <w:szCs w:val="20"/>
          <w:color w:val="auto"/>
        </w:rPr>
      </w:pPr>
      <w:r>
        <w:rPr>
          <w:rFonts w:ascii="Arial" w:cs="Arial" w:eastAsia="Arial" w:hAnsi="Arial"/>
          <w:sz w:val="18"/>
          <w:szCs w:val="18"/>
          <w:color w:val="auto"/>
        </w:rPr>
        <w:t>Our obligations, including the payment of principal, premium, if any, and interest on the notes will be fully and unconditionally guaranteed by each of Comcast Cable Communications, LLC, Comcast Cable Holdings,</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15049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150495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68" w:lineRule="auto"/>
        <w:rPr>
          <w:sz w:val="20"/>
          <w:szCs w:val="20"/>
          <w:color w:val="auto"/>
        </w:rPr>
      </w:pPr>
      <w:r>
        <w:rPr>
          <w:rFonts w:ascii="Arial" w:cs="Arial" w:eastAsia="Arial" w:hAnsi="Arial"/>
          <w:sz w:val="18"/>
          <w:szCs w:val="18"/>
          <w:color w:val="auto"/>
        </w:rPr>
        <w:t>LLC, Comcast MO Group, Inc. and Comcast MO of Delaware, LLC. In this prospectus supplement, we refer to these guarantors as the cable guarantors and to these guarantees as the cable guarantees.</w:t>
      </w:r>
    </w:p>
    <w:p>
      <w:pPr>
        <w:spacing w:after="0" w:line="132"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1060" w:right="300" w:hanging="323"/>
        <w:spacing w:after="0" w:line="268"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1060" w:hanging="323"/>
        <w:spacing w:after="0"/>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19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33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180"/>
          </w:cols>
          <w:pgMar w:left="240" w:top="459" w:right="47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582"/>
        </w:trPr>
        <w:tc>
          <w:tcPr>
            <w:tcW w:w="3040" w:type="dxa"/>
            <w:vAlign w:val="bottom"/>
            <w:tcBorders>
              <w:top w:val="single" w:sz="8" w:color="auto"/>
              <w:left w:val="single" w:sz="8" w:color="auto"/>
            </w:tcBorders>
          </w:tcPr>
          <w:p>
            <w:pPr>
              <w:spacing w:after="0"/>
              <w:rPr>
                <w:sz w:val="24"/>
                <w:szCs w:val="24"/>
                <w:color w:val="auto"/>
              </w:rPr>
            </w:pPr>
          </w:p>
        </w:tc>
        <w:tc>
          <w:tcPr>
            <w:tcW w:w="8420" w:type="dxa"/>
            <w:vAlign w:val="bottom"/>
            <w:tcBorders>
              <w:top w:val="single" w:sz="8" w:color="auto"/>
              <w:right w:val="single" w:sz="8" w:color="auto"/>
            </w:tcBorders>
          </w:tcPr>
          <w:p>
            <w:pPr>
              <w:ind w:left="2200"/>
              <w:spacing w:after="0"/>
              <w:rPr>
                <w:sz w:val="20"/>
                <w:szCs w:val="20"/>
                <w:color w:val="auto"/>
              </w:rPr>
            </w:pPr>
            <w:r>
              <w:rPr>
                <w:rFonts w:ascii="Arial" w:cs="Arial" w:eastAsia="Arial" w:hAnsi="Arial"/>
                <w:sz w:val="18"/>
                <w:szCs w:val="18"/>
                <w:b w:val="1"/>
                <w:bCs w:val="1"/>
                <w:color w:val="auto"/>
              </w:rPr>
              <w:t>The Offering</w:t>
            </w:r>
          </w:p>
        </w:tc>
      </w:tr>
      <w:tr>
        <w:trPr>
          <w:trHeight w:val="419"/>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Issuer</w:t>
            </w: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Comcast Corporation.</w:t>
            </w:r>
          </w:p>
        </w:tc>
      </w:tr>
      <w:tr>
        <w:trPr>
          <w:trHeight w:val="311"/>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Securities Offered</w:t>
            </w: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£625,000,000 aggregate principal amount of 5.50% Notes due 2029.</w:t>
            </w:r>
          </w:p>
        </w:tc>
      </w:tr>
      <w:tr>
        <w:trPr>
          <w:trHeight w:val="392"/>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Maturity</w:t>
            </w: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The notes will mature on November 23, 2029.</w:t>
            </w:r>
          </w:p>
        </w:tc>
      </w:tr>
      <w:tr>
        <w:trPr>
          <w:trHeight w:val="304"/>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Interest</w:t>
            </w: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0"/>
              </w:rPr>
              <w:t>Interest on the notes will accrue at the rate of 5.50% per year, payable annually in cash in arrears</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3"/>
              </w:rPr>
              <w:t>on November 23, beginning on November 23, 2011. Interest on the notes will be computed on</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1"/>
              </w:rPr>
              <w:t>the basis of the actual number of days in the period for which interest is being calculated and the</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3"/>
              </w:rPr>
              <w:t>actual number of days from and including the date from which interest begins to accrue for the</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0"/>
              </w:rPr>
              <w:t>period (or November 23, 2010 if no interest has been paid on the notes), to but excluding the next</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3"/>
              </w:rPr>
              <w:t>scheduled interest payment date. If the scheduled interest payment date is not a business day,</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1"/>
              </w:rPr>
              <w:t>then interest will be paid on the first business day following the scheduled interest payment date.</w:t>
            </w:r>
          </w:p>
        </w:tc>
      </w:tr>
      <w:tr>
        <w:trPr>
          <w:trHeight w:val="222"/>
        </w:trPr>
        <w:tc>
          <w:tcPr>
            <w:tcW w:w="304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Interest periods are unadjusted. The day count convention is ACTUAL/ACTUAL (ICMA).</w:t>
            </w:r>
          </w:p>
        </w:tc>
      </w:tr>
      <w:tr>
        <w:trPr>
          <w:trHeight w:val="291"/>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Currency of Payment</w:t>
            </w: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1"/>
              </w:rPr>
              <w:t>All payments of interest and principal, including any payments made upon any redemption of the</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4"/>
              </w:rPr>
              <w:t>notes, will be made in Sterling, or, if the United Kingdom adopts euro as its lawful currency, in</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2"/>
              </w:rPr>
              <w:t>euro. If Sterling or, in the event the notes are redenominated into euro, euro is unavailable to us</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4"/>
              </w:rPr>
              <w:t>due to the imposition of exchange controls or other circumstances beyond our control, then all</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3"/>
              </w:rPr>
              <w:t>payments in respect of the notes will be made in U.S. dollars until Sterling or euro, as the case</w:t>
            </w:r>
          </w:p>
        </w:tc>
      </w:tr>
      <w:tr>
        <w:trPr>
          <w:trHeight w:val="222"/>
        </w:trPr>
        <w:tc>
          <w:tcPr>
            <w:tcW w:w="304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may be, is again available to us or so used.</w:t>
            </w:r>
          </w:p>
        </w:tc>
      </w:tr>
      <w:tr>
        <w:trPr>
          <w:trHeight w:val="291"/>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Denomination</w:t>
            </w: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7"/>
              </w:rPr>
              <w:t>We will issue the notes in minimum denominations of £50,000 and in multiples of £1,000 in</w:t>
            </w:r>
          </w:p>
        </w:tc>
      </w:tr>
      <w:tr>
        <w:trPr>
          <w:trHeight w:val="222"/>
        </w:trPr>
        <w:tc>
          <w:tcPr>
            <w:tcW w:w="304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excess thereof.</w:t>
            </w:r>
          </w:p>
        </w:tc>
      </w:tr>
      <w:tr>
        <w:trPr>
          <w:trHeight w:val="291"/>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Ranking</w:t>
            </w: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2"/>
              </w:rPr>
              <w:t>The notes will be unsecured and will rank equally with all of our unsecured and unsubordinated</w:t>
            </w:r>
          </w:p>
        </w:tc>
      </w:tr>
      <w:tr>
        <w:trPr>
          <w:trHeight w:val="222"/>
        </w:trPr>
        <w:tc>
          <w:tcPr>
            <w:tcW w:w="304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indebtedness.</w:t>
            </w:r>
          </w:p>
        </w:tc>
      </w:tr>
      <w:tr>
        <w:trPr>
          <w:trHeight w:val="291"/>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Cable Guarantors</w:t>
            </w: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5"/>
              </w:rPr>
              <w:t>Comcast Cable Communications, LLC, Comcast Cable Holdings, LLC, Comcast MO Group,</w:t>
            </w:r>
          </w:p>
        </w:tc>
      </w:tr>
      <w:tr>
        <w:trPr>
          <w:trHeight w:val="222"/>
        </w:trPr>
        <w:tc>
          <w:tcPr>
            <w:tcW w:w="304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Inc. and Comcast MO of Delaware, LLC.</w:t>
            </w:r>
          </w:p>
        </w:tc>
      </w:tr>
      <w:tr>
        <w:trPr>
          <w:trHeight w:val="291"/>
        </w:trPr>
        <w:tc>
          <w:tcPr>
            <w:tcW w:w="304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Cable Guarantees</w:t>
            </w: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1"/>
              </w:rPr>
              <w:t>The cable guarantors will fully and unconditionally guarantee the notes, including the payment of</w:t>
            </w:r>
          </w:p>
        </w:tc>
      </w:tr>
      <w:tr>
        <w:trPr>
          <w:trHeight w:val="216"/>
        </w:trPr>
        <w:tc>
          <w:tcPr>
            <w:tcW w:w="3040" w:type="dxa"/>
            <w:vAlign w:val="bottom"/>
            <w:tcBorders>
              <w:left w:val="single" w:sz="8" w:color="auto"/>
            </w:tcBorders>
          </w:tcPr>
          <w:p>
            <w:pPr>
              <w:spacing w:after="0"/>
              <w:rPr>
                <w:sz w:val="18"/>
                <w:szCs w:val="18"/>
                <w:color w:val="auto"/>
              </w:rPr>
            </w:pP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w w:val="96"/>
              </w:rPr>
              <w:t>principal, premium, if any, and interest. The cable guarantees will rank equally with all other</w:t>
            </w:r>
          </w:p>
        </w:tc>
      </w:tr>
      <w:tr>
        <w:trPr>
          <w:trHeight w:val="222"/>
        </w:trPr>
        <w:tc>
          <w:tcPr>
            <w:tcW w:w="3040" w:type="dxa"/>
            <w:vAlign w:val="bottom"/>
            <w:tcBorders>
              <w:left w:val="single" w:sz="8" w:color="auto"/>
            </w:tcBorders>
          </w:tcPr>
          <w:p>
            <w:pPr>
              <w:spacing w:after="0"/>
              <w:rPr>
                <w:sz w:val="19"/>
                <w:szCs w:val="19"/>
                <w:color w:val="auto"/>
              </w:rPr>
            </w:pPr>
          </w:p>
        </w:tc>
        <w:tc>
          <w:tcPr>
            <w:tcW w:w="8420" w:type="dxa"/>
            <w:vAlign w:val="bottom"/>
            <w:tcBorders>
              <w:right w:val="single" w:sz="8" w:color="auto"/>
            </w:tcBorders>
          </w:tcPr>
          <w:p>
            <w:pPr>
              <w:ind w:left="1360"/>
              <w:spacing w:after="0"/>
              <w:rPr>
                <w:sz w:val="20"/>
                <w:szCs w:val="20"/>
                <w:color w:val="auto"/>
              </w:rPr>
            </w:pPr>
            <w:r>
              <w:rPr>
                <w:rFonts w:ascii="Arial" w:cs="Arial" w:eastAsia="Arial" w:hAnsi="Arial"/>
                <w:sz w:val="18"/>
                <w:szCs w:val="18"/>
                <w:color w:val="auto"/>
              </w:rPr>
              <w:t>general unsecured and unsubordinated obligations of the cable guarantors.</w:t>
            </w:r>
          </w:p>
        </w:tc>
      </w:tr>
      <w:tr>
        <w:trPr>
          <w:trHeight w:val="147"/>
        </w:trPr>
        <w:tc>
          <w:tcPr>
            <w:tcW w:w="3040" w:type="dxa"/>
            <w:vAlign w:val="bottom"/>
            <w:tcBorders>
              <w:left w:val="single" w:sz="8" w:color="auto"/>
              <w:bottom w:val="single" w:sz="8" w:color="auto"/>
            </w:tcBorders>
          </w:tcPr>
          <w:p>
            <w:pPr>
              <w:spacing w:after="0"/>
              <w:rPr>
                <w:sz w:val="12"/>
                <w:szCs w:val="12"/>
                <w:color w:val="auto"/>
              </w:rPr>
            </w:pPr>
          </w:p>
        </w:tc>
        <w:tc>
          <w:tcPr>
            <w:tcW w:w="8420" w:type="dxa"/>
            <w:vAlign w:val="bottom"/>
            <w:tcBorders>
              <w:bottom w:val="single" w:sz="8" w:color="auto"/>
              <w:right w:val="single" w:sz="8" w:color="auto"/>
            </w:tcBorders>
          </w:tcPr>
          <w:p>
            <w:pPr>
              <w:spacing w:after="0"/>
              <w:rPr>
                <w:sz w:val="12"/>
                <w:szCs w:val="12"/>
                <w:color w:val="auto"/>
              </w:rPr>
            </w:pPr>
          </w:p>
        </w:tc>
      </w:tr>
      <w:tr>
        <w:trPr>
          <w:trHeight w:val="359"/>
        </w:trPr>
        <w:tc>
          <w:tcPr>
            <w:tcW w:w="3040" w:type="dxa"/>
            <w:vAlign w:val="bottom"/>
          </w:tcPr>
          <w:p>
            <w:pPr>
              <w:spacing w:after="0"/>
              <w:rPr>
                <w:sz w:val="24"/>
                <w:szCs w:val="24"/>
                <w:color w:val="auto"/>
              </w:rPr>
            </w:pPr>
          </w:p>
        </w:tc>
        <w:tc>
          <w:tcPr>
            <w:tcW w:w="8420" w:type="dxa"/>
            <w:vAlign w:val="bottom"/>
          </w:tcPr>
          <w:p>
            <w:pPr>
              <w:ind w:left="2560"/>
              <w:spacing w:after="0"/>
              <w:rPr>
                <w:sz w:val="20"/>
                <w:szCs w:val="20"/>
                <w:color w:val="auto"/>
              </w:rPr>
            </w:pPr>
            <w:r>
              <w:rPr>
                <w:rFonts w:ascii="Arial" w:cs="Arial" w:eastAsia="Arial" w:hAnsi="Arial"/>
                <w:sz w:val="18"/>
                <w:szCs w:val="18"/>
                <w:color w:val="auto"/>
              </w:rPr>
              <w:t>S-3</w:t>
            </w: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420"/>
        </w:trPr>
        <w:tc>
          <w:tcPr>
            <w:tcW w:w="332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color w:val="auto"/>
              </w:rPr>
              <w:t>Optional Redemption</w:t>
            </w:r>
          </w:p>
        </w:tc>
        <w:tc>
          <w:tcPr>
            <w:tcW w:w="8140" w:type="dxa"/>
            <w:vAlign w:val="bottom"/>
            <w:tcBorders>
              <w:top w:val="single" w:sz="8" w:color="auto"/>
              <w:right w:val="single" w:sz="8" w:color="auto"/>
            </w:tcBorders>
            <w:gridSpan w:val="2"/>
          </w:tcPr>
          <w:p>
            <w:pPr>
              <w:ind w:left="1080"/>
              <w:spacing w:after="0"/>
              <w:rPr>
                <w:sz w:val="20"/>
                <w:szCs w:val="20"/>
                <w:color w:val="auto"/>
              </w:rPr>
            </w:pPr>
            <w:r>
              <w:rPr>
                <w:rFonts w:ascii="Arial" w:cs="Arial" w:eastAsia="Arial" w:hAnsi="Arial"/>
                <w:sz w:val="18"/>
                <w:szCs w:val="18"/>
                <w:color w:val="auto"/>
                <w:w w:val="90"/>
              </w:rPr>
              <w:t>We may redeem all or part of the notes at our option at a redemption price equal to the greater of:</w:t>
            </w:r>
          </w:p>
        </w:tc>
      </w:tr>
      <w:tr>
        <w:trPr>
          <w:trHeight w:val="311"/>
        </w:trPr>
        <w:tc>
          <w:tcPr>
            <w:tcW w:w="3320" w:type="dxa"/>
            <w:vAlign w:val="bottom"/>
            <w:tcBorders>
              <w:left w:val="single" w:sz="8" w:color="auto"/>
            </w:tcBorders>
          </w:tcPr>
          <w:p>
            <w:pPr>
              <w:spacing w:after="0"/>
              <w:rPr>
                <w:sz w:val="24"/>
                <w:szCs w:val="24"/>
                <w:color w:val="auto"/>
              </w:rPr>
            </w:pPr>
          </w:p>
        </w:tc>
        <w:tc>
          <w:tcPr>
            <w:tcW w:w="1280" w:type="dxa"/>
            <w:vAlign w:val="bottom"/>
          </w:tcPr>
          <w:p>
            <w:pPr>
              <w:ind w:left="1080"/>
              <w:spacing w:after="0"/>
              <w:rPr>
                <w:sz w:val="20"/>
                <w:szCs w:val="20"/>
                <w:color w:val="auto"/>
              </w:rPr>
            </w:pPr>
            <w:r>
              <w:rPr>
                <w:rFonts w:ascii="Arial" w:cs="Arial" w:eastAsia="Arial" w:hAnsi="Arial"/>
                <w:sz w:val="18"/>
                <w:szCs w:val="18"/>
                <w:color w:val="auto"/>
              </w:rPr>
              <w:t>•</w:t>
            </w:r>
          </w:p>
        </w:tc>
        <w:tc>
          <w:tcPr>
            <w:tcW w:w="68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100% of the principal amount of the notes being redeemed; and</w:t>
            </w:r>
          </w:p>
        </w:tc>
      </w:tr>
      <w:tr>
        <w:trPr>
          <w:trHeight w:val="291"/>
        </w:trPr>
        <w:tc>
          <w:tcPr>
            <w:tcW w:w="3320" w:type="dxa"/>
            <w:vAlign w:val="bottom"/>
            <w:tcBorders>
              <w:left w:val="single" w:sz="8" w:color="auto"/>
            </w:tcBorders>
          </w:tcPr>
          <w:p>
            <w:pPr>
              <w:spacing w:after="0"/>
              <w:rPr>
                <w:sz w:val="24"/>
                <w:szCs w:val="24"/>
                <w:color w:val="auto"/>
              </w:rPr>
            </w:pPr>
          </w:p>
        </w:tc>
        <w:tc>
          <w:tcPr>
            <w:tcW w:w="1280" w:type="dxa"/>
            <w:vAlign w:val="bottom"/>
          </w:tcPr>
          <w:p>
            <w:pPr>
              <w:ind w:left="1080"/>
              <w:spacing w:after="0"/>
              <w:rPr>
                <w:sz w:val="20"/>
                <w:szCs w:val="20"/>
                <w:color w:val="auto"/>
              </w:rPr>
            </w:pPr>
            <w:r>
              <w:rPr>
                <w:rFonts w:ascii="Arial" w:cs="Arial" w:eastAsia="Arial" w:hAnsi="Arial"/>
                <w:sz w:val="18"/>
                <w:szCs w:val="18"/>
                <w:color w:val="auto"/>
              </w:rPr>
              <w:t>•</w:t>
            </w:r>
          </w:p>
        </w:tc>
        <w:tc>
          <w:tcPr>
            <w:tcW w:w="68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94"/>
              </w:rPr>
              <w:t>the Make-Whole Amount, as defined in “Description of the Notes—Optional Redemption”</w:t>
            </w:r>
          </w:p>
        </w:tc>
      </w:tr>
      <w:tr>
        <w:trPr>
          <w:trHeight w:val="216"/>
        </w:trPr>
        <w:tc>
          <w:tcPr>
            <w:tcW w:w="3320" w:type="dxa"/>
            <w:vAlign w:val="bottom"/>
            <w:tcBorders>
              <w:left w:val="single" w:sz="8" w:color="auto"/>
            </w:tcBorders>
          </w:tcPr>
          <w:p>
            <w:pPr>
              <w:spacing w:after="0"/>
              <w:rPr>
                <w:sz w:val="18"/>
                <w:szCs w:val="18"/>
                <w:color w:val="auto"/>
              </w:rPr>
            </w:pPr>
          </w:p>
        </w:tc>
        <w:tc>
          <w:tcPr>
            <w:tcW w:w="1280" w:type="dxa"/>
            <w:vAlign w:val="bottom"/>
          </w:tcPr>
          <w:p>
            <w:pPr>
              <w:spacing w:after="0"/>
              <w:rPr>
                <w:sz w:val="18"/>
                <w:szCs w:val="18"/>
                <w:color w:val="auto"/>
              </w:rPr>
            </w:pPr>
          </w:p>
        </w:tc>
        <w:tc>
          <w:tcPr>
            <w:tcW w:w="68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w w:val="89"/>
              </w:rPr>
              <w:t>in this prospectus supplement for the notes being redeemed; plus accrued and unpaid interest</w:t>
            </w:r>
          </w:p>
        </w:tc>
      </w:tr>
      <w:tr>
        <w:trPr>
          <w:trHeight w:val="222"/>
        </w:trPr>
        <w:tc>
          <w:tcPr>
            <w:tcW w:w="3320" w:type="dxa"/>
            <w:vAlign w:val="bottom"/>
            <w:tcBorders>
              <w:left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6860" w:type="dxa"/>
            <w:vAlign w:val="bottom"/>
            <w:tcBorders>
              <w:right w:val="single" w:sz="8" w:color="auto"/>
            </w:tcBorders>
          </w:tcPr>
          <w:p>
            <w:pPr>
              <w:ind w:left="120"/>
              <w:spacing w:after="0"/>
              <w:rPr>
                <w:sz w:val="20"/>
                <w:szCs w:val="20"/>
                <w:color w:val="auto"/>
              </w:rPr>
            </w:pPr>
            <w:r>
              <w:rPr>
                <w:rFonts w:ascii="Arial" w:cs="Arial" w:eastAsia="Arial" w:hAnsi="Arial"/>
                <w:sz w:val="18"/>
                <w:szCs w:val="18"/>
                <w:color w:val="auto"/>
              </w:rPr>
              <w:t>to the redemption date.</w:t>
            </w:r>
          </w:p>
        </w:tc>
      </w:tr>
      <w:tr>
        <w:trPr>
          <w:trHeight w:val="291"/>
        </w:trPr>
        <w:tc>
          <w:tcPr>
            <w:tcW w:w="33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Additional Amounts</w:t>
            </w: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2"/>
              </w:rPr>
              <w:t>We will, subject to certain exceptions and limitations set forth herein, pay additional amounts on</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89"/>
              </w:rPr>
              <w:t>the notes as are necessary in order that the net payment by us or a paying agent of the principal of</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6"/>
              </w:rPr>
              <w:t>and interest on the notes to a holder who is not a United States person, after withholding or</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0"/>
              </w:rPr>
              <w:t>deduction for any present or future tax, assessment or other governmental charge imposed by the</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1"/>
              </w:rPr>
              <w:t>United States or a taxing authority in the United States will not be less than the amount provided</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3"/>
              </w:rPr>
              <w:t>in the notes to be then due and payable. See “Description of the Notes—Payment of Additional</w:t>
            </w:r>
          </w:p>
        </w:tc>
      </w:tr>
      <w:tr>
        <w:trPr>
          <w:trHeight w:val="222"/>
        </w:trPr>
        <w:tc>
          <w:tcPr>
            <w:tcW w:w="3320" w:type="dxa"/>
            <w:vAlign w:val="bottom"/>
            <w:tcBorders>
              <w:left w:val="single" w:sz="8" w:color="auto"/>
            </w:tcBorders>
          </w:tcPr>
          <w:p>
            <w:pPr>
              <w:spacing w:after="0"/>
              <w:rPr>
                <w:sz w:val="19"/>
                <w:szCs w:val="19"/>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rPr>
              <w:t>Amounts.”</w:t>
            </w:r>
          </w:p>
        </w:tc>
      </w:tr>
      <w:tr>
        <w:trPr>
          <w:trHeight w:val="291"/>
        </w:trPr>
        <w:tc>
          <w:tcPr>
            <w:tcW w:w="33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Redemption for Tax Reasons</w:t>
            </w: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4"/>
              </w:rPr>
              <w:t>We may offer to redeem all but not part of the notes in the event of certain changes in the tax</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4"/>
              </w:rPr>
              <w:t>laws of the United States (or any taxing authority in the United States). This redemption would</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1"/>
              </w:rPr>
              <w:t>be at 100% of the principal amount, together with interest accrued but unpaid on the notes to the</w:t>
            </w:r>
          </w:p>
        </w:tc>
      </w:tr>
      <w:tr>
        <w:trPr>
          <w:trHeight w:val="222"/>
        </w:trPr>
        <w:tc>
          <w:tcPr>
            <w:tcW w:w="3320" w:type="dxa"/>
            <w:vAlign w:val="bottom"/>
            <w:tcBorders>
              <w:left w:val="single" w:sz="8" w:color="auto"/>
            </w:tcBorders>
          </w:tcPr>
          <w:p>
            <w:pPr>
              <w:spacing w:after="0"/>
              <w:rPr>
                <w:sz w:val="19"/>
                <w:szCs w:val="19"/>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9"/>
              </w:rPr>
              <w:t>date fixed for redemption. See “Description of the Notes—Redemption for Tax Reasons.”</w:t>
            </w:r>
          </w:p>
        </w:tc>
      </w:tr>
      <w:tr>
        <w:trPr>
          <w:trHeight w:val="291"/>
        </w:trPr>
        <w:tc>
          <w:tcPr>
            <w:tcW w:w="33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Use of Proceeds</w:t>
            </w: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1"/>
              </w:rPr>
              <w:t>We intend to use the proceeds from this offering, after deducting fees and expenses, for working</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3"/>
              </w:rPr>
              <w:t>capital and general corporate purposes, which may include funding a portion of our payment to</w:t>
            </w:r>
          </w:p>
        </w:tc>
      </w:tr>
      <w:tr>
        <w:trPr>
          <w:trHeight w:val="222"/>
        </w:trPr>
        <w:tc>
          <w:tcPr>
            <w:tcW w:w="3320" w:type="dxa"/>
            <w:vAlign w:val="bottom"/>
            <w:tcBorders>
              <w:left w:val="single" w:sz="8" w:color="auto"/>
            </w:tcBorders>
          </w:tcPr>
          <w:p>
            <w:pPr>
              <w:spacing w:after="0"/>
              <w:rPr>
                <w:sz w:val="19"/>
                <w:szCs w:val="19"/>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rPr>
              <w:t>GE due upon closing of the NBC Universal Transaction.</w:t>
            </w:r>
          </w:p>
        </w:tc>
      </w:tr>
      <w:tr>
        <w:trPr>
          <w:trHeight w:val="297"/>
        </w:trPr>
        <w:tc>
          <w:tcPr>
            <w:tcW w:w="33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Listing</w:t>
            </w: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rPr>
              <w:t>We intend to apply to list the notes on the New York Stock Exchange.</w:t>
            </w:r>
          </w:p>
        </w:tc>
      </w:tr>
      <w:tr>
        <w:trPr>
          <w:trHeight w:val="304"/>
        </w:trPr>
        <w:tc>
          <w:tcPr>
            <w:tcW w:w="33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Book Entry</w:t>
            </w: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4"/>
              </w:rPr>
              <w:t>The notes will be issued in book-entry form and will be represented by global notes deposited</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rPr>
              <w:t>with, or on behalf of, a common depositary on behalf of Euroclear and Clearstream and</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0"/>
              </w:rPr>
              <w:t>registered in the name of the common depositary or its nominee. Beneficial interests in any of the</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8"/>
              </w:rPr>
              <w:t>notes will be shown on, and transfers will be effected only through, records maintained by</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6"/>
              </w:rPr>
              <w:t>Euroclear and Clearstream and their participants, and these beneficial interests may not be</w:t>
            </w:r>
          </w:p>
        </w:tc>
      </w:tr>
      <w:tr>
        <w:trPr>
          <w:trHeight w:val="216"/>
        </w:trPr>
        <w:tc>
          <w:tcPr>
            <w:tcW w:w="3320" w:type="dxa"/>
            <w:vAlign w:val="bottom"/>
            <w:tcBorders>
              <w:left w:val="single" w:sz="8" w:color="auto"/>
            </w:tcBorders>
          </w:tcPr>
          <w:p>
            <w:pPr>
              <w:spacing w:after="0"/>
              <w:rPr>
                <w:sz w:val="18"/>
                <w:szCs w:val="18"/>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w w:val="92"/>
              </w:rPr>
              <w:t>exchanged for certificated notes, except in limited circumstances. See “Description of the Notes</w:t>
            </w:r>
          </w:p>
        </w:tc>
      </w:tr>
      <w:tr>
        <w:trPr>
          <w:trHeight w:val="222"/>
        </w:trPr>
        <w:tc>
          <w:tcPr>
            <w:tcW w:w="3320" w:type="dxa"/>
            <w:vAlign w:val="bottom"/>
            <w:tcBorders>
              <w:left w:val="single" w:sz="8" w:color="auto"/>
            </w:tcBorders>
          </w:tcPr>
          <w:p>
            <w:pPr>
              <w:spacing w:after="0"/>
              <w:rPr>
                <w:sz w:val="19"/>
                <w:szCs w:val="19"/>
                <w:color w:val="auto"/>
              </w:rPr>
            </w:pP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rPr>
              <w:t>—Book-Entry System” in this prospectus supplement.</w:t>
            </w:r>
          </w:p>
        </w:tc>
      </w:tr>
      <w:tr>
        <w:trPr>
          <w:trHeight w:val="419"/>
        </w:trPr>
        <w:tc>
          <w:tcPr>
            <w:tcW w:w="3320" w:type="dxa"/>
            <w:vAlign w:val="bottom"/>
            <w:tcBorders>
              <w:left w:val="single" w:sz="8" w:color="auto"/>
            </w:tcBorders>
          </w:tcPr>
          <w:p>
            <w:pPr>
              <w:ind w:left="200"/>
              <w:spacing w:after="0"/>
              <w:rPr>
                <w:sz w:val="20"/>
                <w:szCs w:val="20"/>
                <w:color w:val="auto"/>
              </w:rPr>
            </w:pPr>
            <w:r>
              <w:rPr>
                <w:rFonts w:ascii="Arial" w:cs="Arial" w:eastAsia="Arial" w:hAnsi="Arial"/>
                <w:sz w:val="18"/>
                <w:szCs w:val="18"/>
                <w:color w:val="auto"/>
              </w:rPr>
              <w:t>Governing Law</w:t>
            </w:r>
          </w:p>
        </w:tc>
        <w:tc>
          <w:tcPr>
            <w:tcW w:w="8140" w:type="dxa"/>
            <w:vAlign w:val="bottom"/>
            <w:tcBorders>
              <w:right w:val="single" w:sz="8" w:color="auto"/>
            </w:tcBorders>
            <w:gridSpan w:val="2"/>
          </w:tcPr>
          <w:p>
            <w:pPr>
              <w:ind w:left="1080"/>
              <w:spacing w:after="0"/>
              <w:rPr>
                <w:sz w:val="20"/>
                <w:szCs w:val="20"/>
                <w:color w:val="auto"/>
              </w:rPr>
            </w:pPr>
            <w:r>
              <w:rPr>
                <w:rFonts w:ascii="Arial" w:cs="Arial" w:eastAsia="Arial" w:hAnsi="Arial"/>
                <w:sz w:val="18"/>
                <w:szCs w:val="18"/>
                <w:color w:val="auto"/>
              </w:rPr>
              <w:t>The notes will be governed by the laws of the State of New York.</w:t>
            </w:r>
          </w:p>
        </w:tc>
      </w:tr>
      <w:tr>
        <w:trPr>
          <w:trHeight w:val="174"/>
        </w:trPr>
        <w:tc>
          <w:tcPr>
            <w:tcW w:w="3320" w:type="dxa"/>
            <w:vAlign w:val="bottom"/>
            <w:tcBorders>
              <w:left w:val="single" w:sz="8" w:color="auto"/>
              <w:bottom w:val="single" w:sz="8" w:color="auto"/>
            </w:tcBorders>
          </w:tcPr>
          <w:p>
            <w:pPr>
              <w:spacing w:after="0"/>
              <w:rPr>
                <w:sz w:val="15"/>
                <w:szCs w:val="15"/>
                <w:color w:val="auto"/>
              </w:rPr>
            </w:pPr>
          </w:p>
        </w:tc>
        <w:tc>
          <w:tcPr>
            <w:tcW w:w="1280" w:type="dxa"/>
            <w:vAlign w:val="bottom"/>
            <w:tcBorders>
              <w:bottom w:val="single" w:sz="8" w:color="auto"/>
            </w:tcBorders>
          </w:tcPr>
          <w:p>
            <w:pPr>
              <w:spacing w:after="0"/>
              <w:rPr>
                <w:sz w:val="15"/>
                <w:szCs w:val="15"/>
                <w:color w:val="auto"/>
              </w:rPr>
            </w:pPr>
          </w:p>
        </w:tc>
        <w:tc>
          <w:tcPr>
            <w:tcW w:w="6860" w:type="dxa"/>
            <w:vAlign w:val="bottom"/>
            <w:tcBorders>
              <w:bottom w:val="single" w:sz="8" w:color="auto"/>
              <w:right w:val="single" w:sz="8" w:color="auto"/>
            </w:tcBorders>
          </w:tcPr>
          <w:p>
            <w:pPr>
              <w:spacing w:after="0"/>
              <w:rPr>
                <w:sz w:val="15"/>
                <w:szCs w:val="15"/>
                <w:color w:val="auto"/>
              </w:rPr>
            </w:pPr>
          </w:p>
        </w:tc>
      </w:tr>
      <w:tr>
        <w:trPr>
          <w:trHeight w:val="359"/>
        </w:trPr>
        <w:tc>
          <w:tcPr>
            <w:tcW w:w="33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860" w:type="dxa"/>
            <w:vAlign w:val="bottom"/>
          </w:tcPr>
          <w:p>
            <w:pPr>
              <w:ind w:left="1000"/>
              <w:spacing w:after="0"/>
              <w:rPr>
                <w:sz w:val="20"/>
                <w:szCs w:val="20"/>
                <w:color w:val="auto"/>
              </w:rPr>
            </w:pPr>
            <w:r>
              <w:rPr>
                <w:rFonts w:ascii="Arial" w:cs="Arial" w:eastAsia="Arial" w:hAnsi="Arial"/>
                <w:sz w:val="18"/>
                <w:szCs w:val="18"/>
                <w:color w:val="auto"/>
              </w:rPr>
              <w:t>S-4</w:t>
            </w:r>
          </w:p>
        </w:tc>
      </w:tr>
    </w:tbl>
    <w:p>
      <w:pPr>
        <w:sectPr>
          <w:pgSz w:w="11900" w:h="16838" w:orient="portrait"/>
          <w:cols w:equalWidth="0" w:num="1">
            <w:col w:w="11460"/>
          </w:cols>
          <w:pgMar w:left="240" w:top="459" w:right="1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i w:val="1"/>
          <w:iCs w:val="1"/>
          <w:color w:val="auto"/>
        </w:rPr>
        <w:t>An investment in the notes may involve risks. Prior to deciding to purchase any notes, prospective investors should consider carefully all of the information set forth in this prospectus supplement, the accompanying prospectus and the documents incorporated by reference into the accompanying prospectus. In particular, you should carefully consider the risk factors described below, as well as the risk factors relating to our business set forth in “Part I. Item 1A. Risk Factors” in our Annual Report on Form 10-K for the fiscal year ended December 31, 2009, which is incorporated by reference into the accompanying prospectus.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An investment in the notes by a purchaser whose home currency is not Sterling entails significant risks.</w:t>
      </w:r>
    </w:p>
    <w:p>
      <w:pPr>
        <w:spacing w:after="0" w:line="9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An investment in the notes by a purchaser whose home currency is not Sterling entails significant risks. These risks include the possibility of significant changes in rates of exchange between the holder’s home currency and Sterling and the possibility of the imposition or subsequent modification of foreign exchange controls. These risks generally depend on factors over which we have no control, such as economic and political events and the supply of and demand for the relevant currencies. In the past, rates of exchange between Sterling and certain currencies have been highly volatile, and each holder should be aware that volatility may occur in the future. Fluctuations in any particular exchange rate that have occurred in the past, however, are not necessarily indicative of fluctuations in the rate that may occur during the term of the notes. Depreciation of Sterling against the holder’s home currency would result in a decrease in the effective yield of the notes below its coupon rate and, in certain circumstances, could result in a loss to the holder.</w:t>
      </w:r>
    </w:p>
    <w:p>
      <w:pPr>
        <w:spacing w:after="0" w:line="19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notes permit us to make payments in U.S. dollars if we are unable to obtain Sterling.</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Sterling or, in the event the notes are redenominated in euro, euro is unavailable to us due to the imposition of exchange controls or other circumstances beyond our control, then all payments in respect of the notes will be made in U.S. dollars until Sterling or euro, as the case may be, is again available to us. The amount payable on any date in Sterling or, in the event the notes are redenominated in euro, euro will be converted into U.S. dollars on the basis of the then most recently available market exchange rate for Sterling or euro, as the case may be. Any payment in respect of the notes so made in U.S. dollars will not constitute an event of default under the indenture.</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In a lawsuit for payment on the notes, an investor may bear currency exchange risk.</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The notes will be governed by New York law. Under New York law, a New York state court rendering a judgment on the notes would be required to render the judgment in Sterling or, in the event the notes are redenominated in euro, euro. However, the judgment would be converted into U.S. dollars at the exchange rate prevailing on the date of entry of the judgment. Consequently, in a lawsuit for payment on the notes, investors would bear currency exchange risk until a New York state court judgment is entered, which could be a long time.</w:t>
      </w:r>
    </w:p>
    <w:p>
      <w:pPr>
        <w:spacing w:after="0" w:line="143"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courts outside of New York, investors may not be able to obtain a judgment in a currency other than U.S. dollars. For example, a judgment for money in an action based on the notes in many other U.S. federal or state courts ordinarily would be enforced in the United States only in U.S. dollars. The date used to determine the rate of conversion of Sterling into U.S. dollars would depend upon various factors, including which court renders the judgment.</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trading market for the notes may be limited.</w:t>
      </w:r>
    </w:p>
    <w:p>
      <w:pPr>
        <w:spacing w:after="0" w:line="9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The notes are a new issue of securities for which no established trading market exists. If an active trading market does not develop for the notes, investors may not be able to resell them. Although we intend to apply for listing of the notes for trading on the New York Stock Exchange, no assurance can be given that a trading market for the notes will develop. The underwriters for this offering have advised us that they intend to make a market in</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notes prior to the date the notes begin trading on the New York Stock Exchange. However, the underwriters are not obligated to do so and may discontinue market making at any time. Therefore, no assurance can be given as to the liquidity of, or trading markets for, the notes. The lack of a trading market could adversely affect investors’ ability to sell the notes and the price at which investors may be able to sell the notes. The liquidity of the trading market, if any, and future trading prices of the notes will depend on many factors, including, among other things, the number of holders of the notes, our operating results, financial performance and prospects, prevailing interest rates, the market for similar securities and the overall securities market, and may be adversely affected by unfavorable changes in these factors.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 CONVERSION</w:t>
      </w:r>
    </w:p>
    <w:p>
      <w:pPr>
        <w:spacing w:after="0" w:line="17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Principal and interest payments in respect of the notes will be payable in Sterling or, if the United Kingdom adopts euro as its lawful currency, in euro. If Sterling or, in the event the notes are redenominated into euro, euro is unavailable to us due to the imposition of exchange controls or other circumstances beyond our control, then all payments in respect of the notes will be made in U.S. dollars until Sterling or euro, as the case may be, is again available to us. The amount payable on any date in Sterling or, in the event the notes are redenominated into euro, euro will be converted into U.S. dollars on the basis of the most recently available market exchange rate for Sterling or euro, as the case may be. Any payment in respect of the notes so made in U.S. dollars will not constitute an event of default under the indenture.</w:t>
      </w:r>
    </w:p>
    <w:p>
      <w:pPr>
        <w:spacing w:after="0" w:line="14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Investors will be subject to foreign exchange risks as to payments of principal and interest that may have important economic and tax consequences to them. See “Risk Factors.”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November 17, 2010, the Sterling/U.S.$ rate of exchange was £0.6272/ U.S.$1.00.</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intend to use the proceeds from this offering, after deducting fees and expenses, for working capital and general corporate purposes, which may include funding a portion of our payment to GE due upon closing of the NBC Universal Transaction.</w:t>
      </w:r>
    </w:p>
    <w:p>
      <w:pPr>
        <w:spacing w:after="0" w:line="288" w:lineRule="exact"/>
        <w:rPr>
          <w:sz w:val="20"/>
          <w:szCs w:val="20"/>
          <w:color w:val="auto"/>
        </w:rPr>
      </w:pPr>
    </w:p>
    <w:p>
      <w:pPr>
        <w:ind w:left="460" w:right="3900" w:firstLine="3441"/>
        <w:spacing w:after="0" w:line="520" w:lineRule="auto"/>
        <w:rPr>
          <w:sz w:val="20"/>
          <w:szCs w:val="20"/>
          <w:color w:val="auto"/>
        </w:rPr>
      </w:pPr>
      <w:r>
        <w:rPr>
          <w:rFonts w:ascii="Arial" w:cs="Arial" w:eastAsia="Arial" w:hAnsi="Arial"/>
          <w:sz w:val="16"/>
          <w:szCs w:val="16"/>
          <w:b w:val="1"/>
          <w:bCs w:val="1"/>
          <w:color w:val="auto"/>
        </w:rPr>
        <w:t xml:space="preserve">RATIO OF EARNINGS TO FIXED CHARGES </w:t>
      </w:r>
      <w:r>
        <w:rPr>
          <w:rFonts w:ascii="Arial" w:cs="Arial" w:eastAsia="Arial" w:hAnsi="Arial"/>
          <w:sz w:val="16"/>
          <w:szCs w:val="16"/>
          <w:color w:val="auto"/>
        </w:rPr>
        <w:t>Our ratio of earnings to fixed charges was as follows for the respective periods indicated:</w:t>
      </w:r>
    </w:p>
    <w:tbl>
      <w:tblPr>
        <w:tblLayout w:type="fixed"/>
        <w:tblInd w:w="0" w:type="dxa"/>
        <w:tblCellMar>
          <w:top w:w="0" w:type="dxa"/>
          <w:left w:w="0" w:type="dxa"/>
          <w:bottom w:w="0" w:type="dxa"/>
          <w:right w:w="0" w:type="dxa"/>
        </w:tblCellMar>
      </w:tblPr>
      <w:tr>
        <w:trPr>
          <w:trHeight w:val="150"/>
        </w:trPr>
        <w:tc>
          <w:tcPr>
            <w:tcW w:w="196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90"/>
              </w:rPr>
              <w:t>Nine Months</w:t>
            </w: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380" w:type="dxa"/>
            <w:vAlign w:val="bottom"/>
            <w:gridSpan w:val="3"/>
            <w:vMerge w:val="restart"/>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4"/>
        </w:trPr>
        <w:tc>
          <w:tcPr>
            <w:tcW w:w="19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4"/>
              </w:rPr>
              <w:t>Ended</w:t>
            </w:r>
          </w:p>
        </w:tc>
        <w:tc>
          <w:tcPr>
            <w:tcW w:w="1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66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380" w:type="dxa"/>
            <w:vAlign w:val="bottom"/>
            <w:tcBorders>
              <w:bottom w:val="single" w:sz="8" w:color="auto"/>
            </w:tcBorders>
            <w:gridSpan w:val="3"/>
            <w:vMerge w:val="continue"/>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5"/>
        </w:trPr>
        <w:tc>
          <w:tcPr>
            <w:tcW w:w="1960" w:type="dxa"/>
            <w:vAlign w:val="bottom"/>
            <w:vMerge w:val="continue"/>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30, 2010</w:t>
            </w:r>
          </w:p>
        </w:tc>
        <w:tc>
          <w:tcPr>
            <w:tcW w:w="880" w:type="dxa"/>
            <w:vAlign w:val="bottom"/>
            <w:gridSpan w:val="2"/>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2009</w:t>
            </w:r>
          </w:p>
        </w:tc>
        <w:tc>
          <w:tcPr>
            <w:tcW w:w="166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4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2007</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2005</w:t>
            </w: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60" w:type="dxa"/>
            <w:vAlign w:val="bottom"/>
          </w:tcPr>
          <w:p>
            <w:pPr>
              <w:jc w:val="center"/>
              <w:spacing w:after="0"/>
              <w:rPr>
                <w:sz w:val="20"/>
                <w:szCs w:val="20"/>
                <w:color w:val="auto"/>
              </w:rPr>
            </w:pPr>
            <w:r>
              <w:rPr>
                <w:rFonts w:ascii="Arial" w:cs="Arial" w:eastAsia="Arial" w:hAnsi="Arial"/>
                <w:sz w:val="18"/>
                <w:szCs w:val="18"/>
                <w:color w:val="auto"/>
                <w:w w:val="90"/>
              </w:rPr>
              <w:t>3.63x</w:t>
            </w:r>
          </w:p>
        </w:tc>
        <w:tc>
          <w:tcPr>
            <w:tcW w:w="1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3.10x</w:t>
            </w:r>
          </w:p>
        </w:tc>
        <w:tc>
          <w:tcPr>
            <w:tcW w:w="2440" w:type="dxa"/>
            <w:vAlign w:val="bottom"/>
            <w:gridSpan w:val="3"/>
          </w:tcPr>
          <w:p>
            <w:pPr>
              <w:jc w:val="center"/>
              <w:ind w:left="1092"/>
              <w:spacing w:after="0"/>
              <w:rPr>
                <w:sz w:val="20"/>
                <w:szCs w:val="20"/>
                <w:color w:val="auto"/>
              </w:rPr>
            </w:pPr>
            <w:r>
              <w:rPr>
                <w:rFonts w:ascii="Arial" w:cs="Arial" w:eastAsia="Arial" w:hAnsi="Arial"/>
                <w:sz w:val="18"/>
                <w:szCs w:val="18"/>
                <w:color w:val="auto"/>
                <w:w w:val="86"/>
              </w:rPr>
              <w:t>2.59x</w:t>
            </w:r>
          </w:p>
        </w:tc>
        <w:tc>
          <w:tcPr>
            <w:tcW w:w="2380" w:type="dxa"/>
            <w:vAlign w:val="bottom"/>
            <w:gridSpan w:val="3"/>
          </w:tcPr>
          <w:p>
            <w:pPr>
              <w:jc w:val="center"/>
              <w:ind w:left="42"/>
              <w:spacing w:after="0"/>
              <w:rPr>
                <w:sz w:val="20"/>
                <w:szCs w:val="20"/>
                <w:color w:val="auto"/>
              </w:rPr>
            </w:pPr>
            <w:r>
              <w:rPr>
                <w:rFonts w:ascii="Arial" w:cs="Arial" w:eastAsia="Arial" w:hAnsi="Arial"/>
                <w:sz w:val="18"/>
                <w:szCs w:val="18"/>
                <w:color w:val="auto"/>
                <w:w w:val="86"/>
              </w:rPr>
              <w:t>2.85x</w:t>
            </w:r>
          </w:p>
        </w:tc>
        <w:tc>
          <w:tcPr>
            <w:tcW w:w="1680" w:type="dxa"/>
            <w:vAlign w:val="bottom"/>
            <w:gridSpan w:val="3"/>
          </w:tcPr>
          <w:p>
            <w:pPr>
              <w:jc w:val="right"/>
              <w:ind w:right="680"/>
              <w:spacing w:after="0"/>
              <w:rPr>
                <w:sz w:val="20"/>
                <w:szCs w:val="20"/>
                <w:color w:val="auto"/>
              </w:rPr>
            </w:pPr>
            <w:r>
              <w:rPr>
                <w:rFonts w:ascii="Arial" w:cs="Arial" w:eastAsia="Arial" w:hAnsi="Arial"/>
                <w:sz w:val="18"/>
                <w:szCs w:val="18"/>
                <w:color w:val="auto"/>
              </w:rPr>
              <w:t>2.72x</w:t>
            </w:r>
            <w:r>
              <w:rPr>
                <w:rFonts w:ascii="Arial" w:cs="Arial" w:eastAsia="Arial" w:hAnsi="Arial"/>
                <w:sz w:val="11"/>
                <w:szCs w:val="11"/>
                <w:color w:val="auto"/>
              </w:rPr>
              <w:t>(1)</w:t>
            </w:r>
          </w:p>
        </w:tc>
        <w:tc>
          <w:tcPr>
            <w:tcW w:w="1780" w:type="dxa"/>
            <w:vAlign w:val="bottom"/>
            <w:gridSpan w:val="3"/>
          </w:tcPr>
          <w:p>
            <w:pPr>
              <w:jc w:val="right"/>
              <w:ind w:right="580"/>
              <w:spacing w:after="0"/>
              <w:rPr>
                <w:sz w:val="20"/>
                <w:szCs w:val="20"/>
                <w:color w:val="auto"/>
              </w:rPr>
            </w:pPr>
            <w:r>
              <w:rPr>
                <w:rFonts w:ascii="Arial" w:cs="Arial" w:eastAsia="Arial" w:hAnsi="Arial"/>
                <w:sz w:val="18"/>
                <w:szCs w:val="18"/>
                <w:color w:val="auto"/>
              </w:rPr>
              <w:t>1.92x</w:t>
            </w:r>
            <w:r>
              <w:rPr>
                <w:rFonts w:ascii="Arial" w:cs="Arial" w:eastAsia="Arial" w:hAnsi="Arial"/>
                <w:sz w:val="11"/>
                <w:szCs w:val="11"/>
                <w:color w:val="auto"/>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1" w:lineRule="exact"/>
        <w:rPr>
          <w:sz w:val="20"/>
          <w:szCs w:val="20"/>
          <w:color w:val="auto"/>
        </w:rPr>
      </w:pPr>
    </w:p>
    <w:p>
      <w:pPr>
        <w:ind w:left="340" w:right="60" w:hanging="332"/>
        <w:spacing w:after="0" w:line="233" w:lineRule="auto"/>
        <w:tabs>
          <w:tab w:leader="none" w:pos="34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 July 2006, in connection with certain transactions with Adelphia and Time Warner, we transferred our previously owned cable systems located in Los Angeles, Cleveland and Dallas to Time Warner Cable. These cable systems are presented as discontinued operations for the years ended on or before December 31, 2006. Accordingly, we have adjusted the ratio of earnings to fixed charges to reflect the impact of discontinued operations.</w:t>
      </w:r>
    </w:p>
    <w:p>
      <w:pPr>
        <w:spacing w:after="0" w:line="14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20"/>
        <w:spacing w:after="0" w:line="294" w:lineRule="auto"/>
        <w:rPr>
          <w:sz w:val="20"/>
          <w:szCs w:val="20"/>
          <w:color w:val="auto"/>
        </w:rPr>
      </w:pPr>
      <w:r>
        <w:rPr>
          <w:rFonts w:ascii="Arial" w:cs="Arial" w:eastAsia="Arial" w:hAnsi="Arial"/>
          <w:sz w:val="16"/>
          <w:szCs w:val="16"/>
          <w:color w:val="auto"/>
        </w:rPr>
        <w:t>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is the amount of pretax earnings that is required to pay the dividends on outstanding preference securities. Interest associated with our uncertain tax positions is a component of income tax expense.</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NOTES</w:t>
      </w:r>
    </w:p>
    <w:p>
      <w:pPr>
        <w:spacing w:after="0" w:line="17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are offering £625,000,000 aggregate principal amount of our 5.50% Notes due 2029. The notes will be issued under an indenture, dated as of January 7, 2003 and supplemented as of March 25, 2003 and August 31, 2009, among us, the cable guarantors and The Bank of New York Mellon, formerly known as The Bank of New York, as trustee. The notes will be our direct unsecured and unsubordinated obligations and will be fully and unconditionally guaranteed by Comcast Cable Communications, LLC, Comcast Cable Holdings, LLC, Comcast MO Group, Inc. and Comcast MO of Delaware, LLC, referred to as the cable guarantors, as described below. The terms of the notes include those stated in the indenture and those made part of the indenture by reference to the Trust Indenture Act of 1939, as amended. The indenture provides that we will have the ability to issue securities with terms different from those of the notes. We also have the ability to “reopen” a series of these notes and issue additional notes of such series. Additional notes of such series will be consolidated with and form a single series with the notes then outstanding of such series. Copies of the indenture and the form of notes are available from us upon request.</w:t>
      </w:r>
    </w:p>
    <w:p>
      <w:pPr>
        <w:spacing w:after="0" w:line="118"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following, along with the additional information contained in the accompanying prospectus under “Description of Debt Securities and Cable Guarantees,” is a summary of the material provisions of the indenture, the notes and the cable guarantees. Because this is a summary, it may not contain all the information that is important to you. For further information, you should read the notes and the indenture.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Terms of the Notes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w:t>
      </w:r>
    </w:p>
    <w:p>
      <w:pPr>
        <w:spacing w:after="0" w:line="90" w:lineRule="exact"/>
        <w:rPr>
          <w:sz w:val="20"/>
          <w:szCs w:val="20"/>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will rank equally with all of our other unsecured and unsubordinated debt and will be entitled to the benefits of the cable guarantees described below;</w:t>
      </w:r>
    </w:p>
    <w:p>
      <w:pPr>
        <w:spacing w:after="0" w:line="113" w:lineRule="exact"/>
        <w:rPr>
          <w:rFonts w:ascii="Arial" w:cs="Arial" w:eastAsia="Arial" w:hAnsi="Arial"/>
          <w:sz w:val="16"/>
          <w:szCs w:val="16"/>
          <w:color w:val="auto"/>
        </w:rPr>
      </w:pPr>
    </w:p>
    <w:p>
      <w:pPr>
        <w:ind w:left="900" w:right="60" w:hanging="325"/>
        <w:spacing w:after="0" w:line="259"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will be issued in an initial aggregate principal amount of £625,000,000, maturing on November 23, 2029, with interest payable annually on November 23, beginning November 23, 2011, to holders of record as at the close of the business day (as defined by Euroclear and Clearstream) prior to the interest payment date;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are issuable in fully registered form, in minimum denominations of £50,000 and in multiples of £1,000 in excess thereof.</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Sterling</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Initial holders will be required to pay for the notes in Sterling, and principal and interest payments in respect of the notes will be payable in Sterling. If, on or after the date of this prospectus supplement, the United Kingdom adopts euro, in lieu of Sterling, as its lawful currency, the notes will be redenominated in euro on a date determined by us, with a principal amount for each note equal to the principal amount of that note in Sterling, converted into euro at the rate established by the applicable law; provided that, if we determine after consultation with the paying agent that the then current market practice in respect of redenomination into euro of internationally offered securities is different from the provisions specified above, such provisions will be deemed to be amended so as to comply with such market practice and we will promptly notify the trustee and the paying agent of such deemed amendment. We will give 30 days’ notice of the redenomination date to the paying agent, the trustee, Euroclear and Clearstream.</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If Sterling or, in the event the notes are redenominated in euro, euro is unavailable to us due to the imposition of exchange controls or other circumstances beyond our control (other than due to the circumstances described in the preceding paragraph), then all payments in respect of the notes will be made in U.S. dollars until Sterling or euro, as the case may be, is again available to us. The amount payable on any date in Sterling or, in the event the notes are redenominated in euro, euro will be converted to U.S. dollars on the basis of the then most recently available market exchange rate for Sterling or euro, as the case may be. Any payment in respect of the notes so made in U.S. dollars will not constitute an event of default under the indenture.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Day</w:t>
      </w:r>
    </w:p>
    <w:p>
      <w:pPr>
        <w:spacing w:after="0" w:line="96"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term “business day” means any day other than a Saturday or Sunday or a day on which banking institutions in The City of New York or the City of London are authorized or required by law or executive order to close.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Interest on the notes will be computed on the basis of the actual number of days in the period for which interest is being calculated and the actual number of days from and including the date from which interest begins to accrue for the period (or November 23, 2010 if no interest has been paid on the notes), to but excluding the next scheduled interest payment date. If the scheduled interest payment date is not a business day, then interest will be paid on the first business day following the scheduled interest payment date. Interest periods are unadjusted. The day count convention is ACTUAL/ACTUAL (ICMA).</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more information on payment and transfer procedures for the notes, see “—Book-Entry System”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Guarantees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Our obligations under the notes and the indenture, including the payment of principal, premium, if any, and interest, will be fully and unconditionally guaranteed by each of the cable guarantors as described in the accompanying prospectus. On August 31, 2009, Comcast Cable Communications Holdings, Inc., formerly a cable guarantor, merged with and into Comcast Cable Communications, LLC, with Comcast Cable Communications, LLC continuing as the surviving entity and a cable guarantor.</w:t>
      </w:r>
    </w:p>
    <w:p>
      <w:pPr>
        <w:spacing w:after="0" w:line="14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cable guarantees will not contain any restrictions on the ability of any cable guarantor to (i) pay dividends or distributions on, or redeem, purchase, acquire, or make a liquidation payment with respect to, any of that cable guarantor’s capital stock or (ii) make any payment of principal, interest or premium, if any, on or repay, repurchase or redeem any debt securities of that cable guarantor.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We will have the right at our option to redeem any of the notes in whole or in part, at any time or from time to time prior to their maturity, on at least 30 days, but not more than 60 days, prior notice mailed to the registered address of each holder of notes, at a redemption price equal to the greater of (i) 100% of the principal amount of such notes and (ii) the sum of the present values of the remaining scheduled payments of principal and interest thereon (exclusive of interest accrued to the date of redemption) discounted to the redemption date on an annual basis (actual/actual (ICMA)) at the Comparable Government Bond Rate plus 28 basis points (the “Make-Whole Amount”) plus, in each case, accrued and unpaid interest thereon to the date of redemption.</w:t>
      </w:r>
    </w:p>
    <w:p>
      <w:pPr>
        <w:spacing w:after="0" w:line="116"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“Comparable Government Bond Rate” means the price, expressed as a percentage (rounded to three decimal places, 0.0005 being rounded upwards), at which the gross redemption yield (as calculated by the trustee) on the notes, if they were to be purchased at such price on the third business day prior to the date fixed for redemption, would be equal to the gross redemption yield on such business day of the Comparable Government Bond (as defined below) on the basis of the middle market price of the Comparable Government Bond prevailing at 11:00 a.m. (London time) on such business day as determined by an independent investment bank selected by us.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“Comparable Government Bond” means, in relation to any Comparable Government Bond Rate calculation, at the discretion of an independent investment bank selected by us, a United Kingdom government bond whose maturity is closest to the maturity of the notes, or if such independent investment bank in its discretion considers that such similar bond is not in issue, such other United Kingdom government bond as such independent investment bank may, with the advice of three brokers of, and/or market makers in, United Kingdom government bonds selected by such independent investment bank, determine to be appropriate for determining the Comparable Government Bond Rate.</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On and after the redemption date, interest will cease to accrue on the notes or any portion of the notes called for redemption (unless we default in the payment of the redemption price and accrued interest). On or before the redemption date, we will deposit with the trustee money sufficient to pay the redemption price of and (unless the redemption date shall be an interest payment date) accrued and unpaid interest to the redemption date on the notes to be redeemed on such date. If less than all of the notes of any series are to be redeemed, the notes to be redeemed shall be selected by the trustee by such method as the trustee shall deem fair and appropriate. Additionally, we may at any time repurchase notes in the open market and may hold or surrender such notes to the trustee for cancellation.</w:t>
      </w:r>
    </w:p>
    <w:p>
      <w:pPr>
        <w:spacing w:after="0" w:line="144"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notes are also subject to redemption prior to maturity if certain events occur involving United States taxation. If any of these special tax events do occur, the notes will be redeemed at a redemption price of 100% of their principal amount plus accrued and unpaid interest to the date fixed for redemption. See “—Redemption for Tax Reasons.”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Additional Amounts</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We will, subject to the exceptions and limitations set forth below, pay as additional interest on the notes such additional amounts as are necessary in order that the net payment by us or a paying agent of the principal of and interest on the notes to a holder who is not a United States person (as defined below), after withholding or deduction for any present or future tax, assessment or other governmental charge imposed by the United States or a taxing authority in the United States will not be less than the amount provided in the notes to be then due and payable; provided, however, that the foregoing obligation to pay additional amounts shall not apply:</w:t>
      </w:r>
    </w:p>
    <w:p>
      <w:pPr>
        <w:spacing w:after="0" w:line="62" w:lineRule="exact"/>
        <w:rPr>
          <w:sz w:val="20"/>
          <w:szCs w:val="20"/>
          <w:color w:val="auto"/>
        </w:rPr>
      </w:pPr>
    </w:p>
    <w:p>
      <w:pPr>
        <w:ind w:left="900" w:right="4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holder, or a fiduciary, settlor, beneficiary, member or shareholder of the holder if the holder is an estate, trust, partnership or corporation, or a person holding a power over an estate or trust administered by a fiduciary holder, being considered as:</w:t>
      </w:r>
    </w:p>
    <w:p>
      <w:pPr>
        <w:spacing w:after="0" w:line="59" w:lineRule="exact"/>
        <w:rPr>
          <w:rFonts w:ascii="Arial" w:cs="Arial" w:eastAsia="Arial" w:hAnsi="Arial"/>
          <w:sz w:val="18"/>
          <w:szCs w:val="18"/>
          <w:color w:val="auto"/>
        </w:rPr>
      </w:pPr>
    </w:p>
    <w:p>
      <w:pPr>
        <w:ind w:left="1480" w:right="260" w:hanging="567"/>
        <w:spacing w:after="0" w:line="268"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being or having been engaged in a trade or business in the United States or having or having had a permanent establishment in the United States;</w:t>
      </w:r>
    </w:p>
    <w:p>
      <w:pPr>
        <w:spacing w:after="0" w:line="50" w:lineRule="exact"/>
        <w:rPr>
          <w:rFonts w:ascii="Arial" w:cs="Arial" w:eastAsia="Arial" w:hAnsi="Arial"/>
          <w:sz w:val="18"/>
          <w:szCs w:val="18"/>
          <w:color w:val="auto"/>
        </w:rPr>
      </w:pPr>
    </w:p>
    <w:p>
      <w:pPr>
        <w:ind w:left="1480" w:right="40" w:hanging="567"/>
        <w:spacing w:after="0" w:line="259"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having a current or former connection with the United States (other than a connection arising solely as a result of the ownership of the notes, the receipt of any payment or the enforcement of any rights hereunder), including being or having been a citizen or resident of the United States;</w:t>
      </w:r>
    </w:p>
    <w:p>
      <w:pPr>
        <w:spacing w:after="0" w:line="59" w:lineRule="exact"/>
        <w:rPr>
          <w:rFonts w:ascii="Arial" w:cs="Arial" w:eastAsia="Arial" w:hAnsi="Arial"/>
          <w:sz w:val="18"/>
          <w:szCs w:val="18"/>
          <w:color w:val="auto"/>
        </w:rPr>
      </w:pPr>
    </w:p>
    <w:p>
      <w:pPr>
        <w:ind w:left="1480" w:right="100" w:hanging="567"/>
        <w:spacing w:after="0" w:line="332" w:lineRule="auto"/>
        <w:tabs>
          <w:tab w:leader="none" w:pos="1480" w:val="left"/>
        </w:tabs>
        <w:numPr>
          <w:ilvl w:val="1"/>
          <w:numId w:val="5"/>
        </w:numPr>
        <w:rPr>
          <w:rFonts w:ascii="Arial" w:cs="Arial" w:eastAsia="Arial" w:hAnsi="Arial"/>
          <w:sz w:val="16"/>
          <w:szCs w:val="16"/>
          <w:color w:val="auto"/>
        </w:rPr>
      </w:pPr>
      <w:r>
        <w:rPr>
          <w:rFonts w:ascii="Arial" w:cs="Arial" w:eastAsia="Arial" w:hAnsi="Arial"/>
          <w:sz w:val="16"/>
          <w:szCs w:val="16"/>
          <w:color w:val="auto"/>
        </w:rPr>
        <w:t>being or having been a personal holding company, a passive foreign investment company or a controlled foreign corporation with respect to the United States or a corporation that has accumulated earnings to avoid United States federal income tax;</w:t>
      </w:r>
    </w:p>
    <w:p>
      <w:pPr>
        <w:spacing w:after="0" w:line="4" w:lineRule="exact"/>
        <w:rPr>
          <w:rFonts w:ascii="Arial" w:cs="Arial" w:eastAsia="Arial" w:hAnsi="Arial"/>
          <w:sz w:val="16"/>
          <w:szCs w:val="16"/>
          <w:color w:val="auto"/>
        </w:rPr>
      </w:pPr>
    </w:p>
    <w:p>
      <w:pPr>
        <w:ind w:left="1480" w:right="180" w:hanging="567"/>
        <w:spacing w:after="0" w:line="268"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being or having been a “10-percent shareholder” of Comcast as defined in section 871(h)(3) of the United States Internal Revenue Code of 1986, as amended (the “Code”) or any successor provision; or</w:t>
      </w:r>
    </w:p>
    <w:p>
      <w:pPr>
        <w:spacing w:after="0" w:line="50" w:lineRule="exact"/>
        <w:rPr>
          <w:rFonts w:ascii="Arial" w:cs="Arial" w:eastAsia="Arial" w:hAnsi="Arial"/>
          <w:sz w:val="18"/>
          <w:szCs w:val="18"/>
          <w:color w:val="auto"/>
        </w:rPr>
      </w:pPr>
    </w:p>
    <w:p>
      <w:pPr>
        <w:ind w:left="1480" w:right="80" w:hanging="567"/>
        <w:spacing w:after="0" w:line="268" w:lineRule="auto"/>
        <w:tabs>
          <w:tab w:leader="none" w:pos="1480" w:val="left"/>
        </w:tabs>
        <w:numPr>
          <w:ilvl w:val="1"/>
          <w:numId w:val="5"/>
        </w:numPr>
        <w:rPr>
          <w:rFonts w:ascii="Arial" w:cs="Arial" w:eastAsia="Arial" w:hAnsi="Arial"/>
          <w:sz w:val="18"/>
          <w:szCs w:val="18"/>
          <w:color w:val="auto"/>
        </w:rPr>
      </w:pPr>
      <w:r>
        <w:rPr>
          <w:rFonts w:ascii="Arial" w:cs="Arial" w:eastAsia="Arial" w:hAnsi="Arial"/>
          <w:sz w:val="18"/>
          <w:szCs w:val="18"/>
          <w:color w:val="auto"/>
        </w:rPr>
        <w:t>being a bank receiving payments on an extension of credit made pursuant to a loan agreement entered into the ordinary course of its trade or business;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25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any holder that is not the sole beneficial owner of the notes, or a portion of the notes, or that is a fiduciary, partnership or limited liability company, but only to the extent that a beneficiary or settlor with respect to the fiduciary, a beneficial owner or member of the partnership or limited liability company would not have been entitled to the payment of an additional amount had the beneficiary, settlor, beneficial owner or member received directly its beneficial or distributive share of the payment;</w:t>
      </w:r>
    </w:p>
    <w:p>
      <w:pPr>
        <w:spacing w:after="0" w:line="62" w:lineRule="exact"/>
        <w:rPr>
          <w:rFonts w:ascii="Arial" w:cs="Arial" w:eastAsia="Arial" w:hAnsi="Arial"/>
          <w:sz w:val="18"/>
          <w:szCs w:val="18"/>
          <w:color w:val="auto"/>
        </w:rPr>
      </w:pPr>
    </w:p>
    <w:p>
      <w:pPr>
        <w:ind w:left="900" w:right="20" w:hanging="446"/>
        <w:spacing w:after="0" w:line="255"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failure of the holder or any other person to comply with certification, identification or information reporting requirements concerning the nationality, residence, identity or connection with the United States of the holder or beneficial owner of the notes, if compliance is required by statute, by regulation of the United States or any taxing authority therein or by an applicable income tax treaty to which the United States is a party as a precondition to exemption from such tax, assessment or other governmental charge;</w:t>
      </w:r>
    </w:p>
    <w:p>
      <w:pPr>
        <w:spacing w:after="0" w:line="61"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to any tax, assessment or other governmental charge that is imposed otherwise than by withholding by us or a paying agent from the payment;</w:t>
      </w:r>
    </w:p>
    <w:p>
      <w:pPr>
        <w:spacing w:after="0" w:line="113" w:lineRule="exact"/>
        <w:rPr>
          <w:rFonts w:ascii="Arial" w:cs="Arial" w:eastAsia="Arial" w:hAnsi="Arial"/>
          <w:sz w:val="16"/>
          <w:szCs w:val="16"/>
          <w:color w:val="auto"/>
        </w:rPr>
      </w:pPr>
    </w:p>
    <w:p>
      <w:pPr>
        <w:jc w:val="both"/>
        <w:ind w:left="900" w:right="480" w:hanging="446"/>
        <w:spacing w:after="0" w:line="357" w:lineRule="auto"/>
        <w:tabs>
          <w:tab w:leader="none" w:pos="90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 any tax, assessment or other governmental charge that would not have been imposed but for a change in law, regulation, or administrative or judicial interpretation that becomes effective more than 15 days after the payment becomes due or is duly provided for, whichever occurs later;</w:t>
      </w:r>
    </w:p>
    <w:p>
      <w:pPr>
        <w:ind w:left="900" w:right="1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any estate, inheritance, gift, sales, excise, transfer, wealth, capital gains or personal property tax or similar tax, assessment or other governmental charge;</w:t>
      </w:r>
    </w:p>
    <w:p>
      <w:pPr>
        <w:spacing w:after="0" w:line="50" w:lineRule="exact"/>
        <w:rPr>
          <w:rFonts w:ascii="Arial" w:cs="Arial" w:eastAsia="Arial" w:hAnsi="Arial"/>
          <w:sz w:val="18"/>
          <w:szCs w:val="18"/>
          <w:color w:val="auto"/>
        </w:rPr>
      </w:pPr>
    </w:p>
    <w:p>
      <w:pPr>
        <w:ind w:left="900" w:right="18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any withholding or deduction that is imposed on a payment to an individual and that is required to be made pursuant to any law implementing or complying with, or introduced in order to conform to, any European Union Directive on the taxation of savings;</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required to be withheld by any paying agent from any payment of principal of or interest on any note, if such payment can be made without such withholding by at least one other paying agent;</w:t>
      </w:r>
    </w:p>
    <w:p>
      <w:pPr>
        <w:spacing w:after="0" w:line="50" w:lineRule="exact"/>
        <w:rPr>
          <w:rFonts w:ascii="Arial" w:cs="Arial" w:eastAsia="Arial" w:hAnsi="Arial"/>
          <w:sz w:val="18"/>
          <w:szCs w:val="18"/>
          <w:color w:val="auto"/>
        </w:rPr>
      </w:pPr>
    </w:p>
    <w:p>
      <w:pPr>
        <w:jc w:val="both"/>
        <w:ind w:left="900" w:right="380" w:hanging="446"/>
        <w:spacing w:after="0" w:line="25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any tax, assessment or other governmental charge that would not have been imposed but for the presentation by the holder of any note, where presentation is required, for payment on a date more than 30 days after the date on which payment became due and payable or the date on which payment thereof is duly provided for, whichever occurs later; or</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the case of any combination of items (1), (2), (3), (4), (5), (6), (7), (8), and (9).</w:t>
      </w:r>
    </w:p>
    <w:p>
      <w:pPr>
        <w:spacing w:after="0" w:line="171"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The notes are subject in all cases to any tax, fiscal or other law or regulation or administrative or judicial interpretation applicable to the notes. Except as specifically provided under this heading “—Payments of Additional Amounts,” we will not be required to make any payment for any tax, assessment or other governmental charge imposed by any government or a political subdivision or taxing authority of or in any government or political subdivision.</w:t>
      </w:r>
    </w:p>
    <w:p>
      <w:pPr>
        <w:spacing w:after="0" w:line="107"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 used under this heading “—Payments of Additional Amounts” and under the heading “—Redemption for Tax Reasons”, the term “United States” means the United States of America (including the states and the District of Columbia and any political subdivision thereof), and the term “United States person” means any individual who is a citizen or resident of the United States for U.S. federal income tax purposes, a corporation, partnership or other entity created or organized in or under the laws of the United States, any state of the United States or the District of Columbia (other than a partnership that is not treated as a United States person under any applicable Treasury regulations), or any estate or trust the income of which is subject to United States federal income taxation regardless of its source.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for Tax Reasons</w:t>
      </w:r>
    </w:p>
    <w:p>
      <w:pPr>
        <w:spacing w:after="0" w:line="96" w:lineRule="exact"/>
        <w:rPr>
          <w:sz w:val="20"/>
          <w:szCs w:val="20"/>
          <w:color w:val="auto"/>
        </w:rPr>
      </w:pPr>
    </w:p>
    <w:p>
      <w:pPr>
        <w:ind w:right="60" w:firstLine="456"/>
        <w:spacing w:after="0" w:line="253" w:lineRule="auto"/>
        <w:rPr>
          <w:sz w:val="20"/>
          <w:szCs w:val="20"/>
          <w:color w:val="auto"/>
        </w:rPr>
      </w:pPr>
      <w:r>
        <w:rPr>
          <w:rFonts w:ascii="Arial" w:cs="Arial" w:eastAsia="Arial" w:hAnsi="Arial"/>
          <w:sz w:val="18"/>
          <w:szCs w:val="18"/>
          <w:color w:val="auto"/>
        </w:rPr>
        <w:t>If, as a result of any change in, or amendment to, the laws (or any regulations or rulings promulgated under the laws) of the United States (or any taxing authority in the United States), or any change in, or amendments to, an official position regarding the application or interpretation of such laws, regulations or rulings, which change or amendment is announced or becomes effective on or after the date of this prospectus supplement, we become or, based upon a written opinion of independent counsel selected by us, will become obligated to pay additional amounts as described herein under the heading “—Payment of Additional Amounts” with respect to the notes, then we may at any time at our option redeem, in whole, but not in part, the notes on not less than 30 nor more than 60 days prior notice, at a redemption price equal to 100% of their principal amount, together with interest accrued but unpaid on those notes to the date fixed for redemption.</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Mandatory Redemption or Sinking Fund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will be no mandatory redemption prior to maturity or sinking fund payments for the notes.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Debt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indenture does not limit the amount of debt we may issue under the indenture or otherwise.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Discharge and Defeasance</w:t>
      </w:r>
    </w:p>
    <w:p>
      <w:pPr>
        <w:spacing w:after="0" w:line="96"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Reference to “money or U.S. Government Obligations” in the discharge and defeasance sections of the indenture shall, with respect to the notes, refer to the lawful currency in which the notes are payable at the time of deposit with the trustee or government obligations of the United Kingdom (or the U.S. government if such currency is the U.S. dollar) payable in such currency.</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Book-Entry System</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We have obtained the information in this section concerning Clearstream Banking, </w:t>
      </w:r>
      <w:r>
        <w:rPr>
          <w:rFonts w:ascii="Arial" w:cs="Arial" w:eastAsia="Arial" w:hAnsi="Arial"/>
          <w:sz w:val="16"/>
          <w:szCs w:val="16"/>
          <w:i w:val="1"/>
          <w:iCs w:val="1"/>
          <w:color w:val="auto"/>
        </w:rPr>
        <w:t>société anonyme</w:t>
      </w:r>
      <w:r>
        <w:rPr>
          <w:rFonts w:ascii="Arial" w:cs="Arial" w:eastAsia="Arial" w:hAnsi="Arial"/>
          <w:sz w:val="16"/>
          <w:szCs w:val="16"/>
          <w:color w:val="auto"/>
        </w:rPr>
        <w:t>, Luxembourg (“Clearstream”) and Euroclear Bank SA/NV (“Euroclear”) and their book-entry systems and procedures from sources that we believe to be reliable. We take no responsibility for an accurate portrayal of this information. In addition, the description of the clearing systems in this section reflects our understanding of the rules and procedures of Clearstream and Euroclear as they are currently in effect. Those systems could change their rules and procedures at any time.</w:t>
      </w:r>
    </w:p>
    <w:p>
      <w:pPr>
        <w:spacing w:after="0" w:line="11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notes will initially be represented by one or more fully registered global notes. Each such global note will be deposited with, or on behalf of, a common depositary, and registered in the name of the nominee of the common depositary for the accounts of Clearstream and Euroclear. You may hold your interests in the global notes in Europe through Clearstream or Euroclear, either as a participant in such systems or indirectly through organizations which are participants in such systems. Clearstream and Euroclear will hold interests in the global notes on behalf of their respective participating organizations or customers through customers’ securities accounts in Clearstream’s or Euroclear’s names on the books of their respective depositaries. Book-entry interests in the notes and all transfers relating to the notes will be reflected in the book-entry records of Clearstream and Euroclear.</w:t>
      </w:r>
    </w:p>
    <w:p>
      <w:pPr>
        <w:spacing w:after="0" w:line="12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distribution of the notes will be cleared through Clearstream and Euroclear. Any secondary market trading of book-entry interests in the notes will take place through Clearstream and Euroclear participants and will settle in same-day funds. Owners of book-entry interests in the notes will receive payments relating to their notes in Sterling.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Clearstream and Euroclear have established electronic securities and payment transfer, processing, depositary and custodial links among themselves and others, either directly or through custodians and depositaries. These links allow securities to be issued, held and transferred among the clearing systems without the physical transfer of certificates. Special procedures to facilitate clearance and settlement have been established among these clearing systems to trade securities across borders in the secondary market.</w:t>
      </w:r>
    </w:p>
    <w:p>
      <w:pPr>
        <w:spacing w:after="0" w:line="143"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policies of Clearstream and Euroclear will govern payments, transfers, exchange and other matters relating to the investor’s interest in securities held by them. We have no responsibility for any aspect of the records kept by Clearstream or Euroclear or any of their direct or indirect participants. We also do not supervise these systems in any way.</w:t>
      </w:r>
    </w:p>
    <w:p>
      <w:pPr>
        <w:spacing w:after="0" w:line="140"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Clearstream and Euroclear and their participants perform these clearance and settlement functions under agreements they have made with one another or with their customers. You should be aware that they are not obligated to perform or continue to perform these procedures and may modify them or discontinue them at any time.</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Except as provided below, owners of beneficial interests in the notes will not be entitled to have the notes registered in their names, will not receive or be entitled to receive physical delivery of the notes in definitive form and will not be considered the owners or holders of the notes under the indenture, including for purposes of receiving any reports delivered by us or the trustee pursuant to the indenture. Accordingly, each person owning a beneficial interest in a note must rely on the procedures of the depositary and, if such person is not a participant, on the procedures of the participant through which such person owns its interest, in order to exercise any rights of a holder of notes.</w:t>
      </w:r>
    </w:p>
    <w:p>
      <w:pPr>
        <w:spacing w:after="0" w:line="143"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description of the clearing systems in this section reflects our understanding of the rules and procedures of Clearstream and Euroclear as they are currently in effect. These systems could change their rules and procedures at any time. We have obtained the information in this section concerning Clearstream and Euroclear and their book-entry systems and procedures from sources that we believe to be reliable, but we take no responsibility for the accuracy of this information.</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Clearstream</w:t>
      </w:r>
    </w:p>
    <w:p>
      <w:pPr>
        <w:spacing w:after="0" w:line="90"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Clearstream has advised that it is incorporated under the laws of Luxembourg and licensed as a bank and professional depositary. Clearstream holds securities for its participating organizations and facilitates the clearance and settlement of securities transactions among its participants through electronic book-entry changes in accounts of its participants, thereby eliminating the need for physical movement of certificates. Clearstream provides to its participants, among other things, services for safekeeping, administration, clearance and settlement of internationally traded securities and securities lending and borrowing. Clearstream interfaces with domestic markets in several countries. Clearstream has established an electronic bridge with the Euroclear operator to facilitate the settlement of trades between Clearstream and Euroclear. As a registered bank in Luxembourg, Clearstream is subject to regulation by the Luxembourg Commission for the Supervision of the Financial Sector. Clearstream customers are recognized financial institutions around the world, including underwriters, securities brokers and dealers, banks, trust companies, clearing corporations and certain other organizations and may include the underwriters. Indirect access to Clearstream is also available to others, such as banks, brokers, dealers and trust companies that clear through or maintain a custodial relationship with a Clearstream participant, either directly or indirectly.</w:t>
      </w:r>
    </w:p>
    <w:p>
      <w:pPr>
        <w:spacing w:after="0" w:line="12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Distributions with respect to notes held beneficially through Clearstream will be credited to cash accounts of Clearstream participants in accordance with its rules and procedures.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Euroclear</w:t>
      </w:r>
    </w:p>
    <w:p>
      <w:pPr>
        <w:spacing w:after="0" w:line="90"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Euroclear advises that it was created in 1968 to hold securities for its participants of and to clear and settle transactions between Euroclear participants through simultaneous electronic book-entry delivery against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380"/>
          </w:cols>
          <w:pgMar w:left="240" w:top="459" w:right="2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payment, thereby eliminating the need for physical movement of certificates and any risk from lack of simultaneous transfers of securities and cash. Euroclear includes various other services, including securities lending and borrowing and interfaces with domestic markets in several countries. Euroclear is operated by Euroclear Bank S.A. /N.V. (the “Euroclear Operator”). All operations are conducted by the Euroclear Operator, and all Euroclear securities clearance accounts and Euroclear cash accounts are accounts with the Euroclear Operator. Euroclear participants include banks (including central banks), securities brokers and dealers and other professional financial intermediaries and may include the underwriters. Indirect access to Euroclear is also available to other firms that clear through or maintain a custodial relationship with a Euroclear participant, either directly or indirectly.</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Securities clearance accounts and cash accounts with the Euroclear Operator are governed by the Terms and Conditions Governing Use of Euroclear and the related Operating Procedures of Euroclear, and applicable Belgian law (collectively, the “Terms and Conditions”). The Terms and Conditions govern transfers of securities and cash within Euroclear, withdrawals of securities and cash from Euroclear, and receipts of payments with respect to securities in Euroclear. All securities in Euroclear are held on a fungible basis without attribution of specific certificates to specific securities clearance accounts. The Euroclear Operator acts under the Terms and Conditions only on behalf of Euroclear participants, and has no records of or relationship with persons holding through Euroclear participants.</w:t>
      </w:r>
    </w:p>
    <w:p>
      <w:pPr>
        <w:spacing w:after="0" w:line="14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the Terms and Conditions.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Clearance and Settlement Procedures</w:t>
      </w:r>
    </w:p>
    <w:p>
      <w:pPr>
        <w:spacing w:after="0" w:line="90"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We understand that investors that hold their notes through Clearstream or Euroclear accounts will follow the settlement procedures that are applicable to conventional eurobonds in registered form. Notes will be credited to the securities custody accounts of Clearstream and Euroclear participants on the business day following the settlement date, for value on the settlement date. They will be credited either free of payment or against payment for value on the settlement date.</w:t>
      </w:r>
    </w:p>
    <w:p>
      <w:pPr>
        <w:spacing w:after="0" w:line="88"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We understand that secondary market trading between Clearstream and/or Euroclear participants will occur in the ordinary way following the applicable rules and operating procedures of Clearstream and Euroclear. Secondary market trading will be settled using procedures applicable to conventional eurobonds in registered form.</w:t>
      </w:r>
    </w:p>
    <w:p>
      <w:pPr>
        <w:spacing w:after="0" w:line="140"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You should be aware that investors will only be able to make and receive deliveries, payments and other communications involving the notes through Clearstream and Euroclear on days when those systems are open for business. Those systems may not be open for business on days when banks, brokers and other institutions are open for business in the United States.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In addition, because of time-zone differences, there may be problems with completing transactions involving Clearstream and Euroclear on the same business day as in the United States. U.S. investors who wish to transfer their interests in the notes, or to make or receive a payment or delivery of the notes, on a particular day, may find that the transactions will not be performed until the next business day in Luxembourg or Brussels, depending on whether Clearstream or Euroclear is used.</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Clearstream or Euroclear will credit payments to the cash accounts of Clearstream customers or Euroclear participants in accordance with the relevant system’s rules and procedures, to the extent received by its depositary. Clearstream or the Euroclear Operator, as the case may be, will take any other action permitted to be taken by a holder under the indenture on behalf of a Clearstream customer or Euroclear participant only in accordance with its relevant rules and procedures.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20" w:firstLine="456"/>
        <w:spacing w:after="0" w:line="370" w:lineRule="auto"/>
        <w:rPr>
          <w:sz w:val="20"/>
          <w:szCs w:val="20"/>
          <w:color w:val="auto"/>
        </w:rPr>
      </w:pPr>
      <w:r>
        <w:rPr>
          <w:rFonts w:ascii="Arial" w:cs="Arial" w:eastAsia="Arial" w:hAnsi="Arial"/>
          <w:sz w:val="15"/>
          <w:szCs w:val="15"/>
          <w:color w:val="auto"/>
        </w:rPr>
        <w:t>Clearstream and Euroclear have agreed to the foregoing procedures in order to facilitate transfers of the notes among participants of Clearstream and Euroclear. However, they are under no obligation to perform or continue to perform those procedures, and they may discontinue those procedures at any time.</w:t>
      </w:r>
    </w:p>
    <w:p>
      <w:pPr>
        <w:spacing w:after="0" w:line="14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Certificated Notes</w:t>
      </w:r>
    </w:p>
    <w:p>
      <w:pPr>
        <w:spacing w:after="0" w:line="9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Subject to certain conditions, the notes represented by the global notes are exchangeable for certificated notes in definitive form of like tenor in minimum denominations of £50,000 principal amount and multiples of £1,000 in excess thereof if:</w:t>
      </w:r>
    </w:p>
    <w:p>
      <w:pPr>
        <w:spacing w:after="0" w:line="51" w:lineRule="exact"/>
        <w:rPr>
          <w:sz w:val="20"/>
          <w:szCs w:val="20"/>
          <w:color w:val="auto"/>
        </w:rPr>
      </w:pPr>
    </w:p>
    <w:p>
      <w:pPr>
        <w:ind w:left="900" w:right="300" w:hanging="446"/>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common depositary provides notification that it is unwilling, unable or no longer qualified to continue as depositary for the global notes and a successor is not appointed within 90 days;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in our discretion at any time determine not to have all the notes represented by the global notes;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default entitling the holders of the applicable notes to accelerate the maturity thereof has occurred and is continuing.</w:t>
      </w:r>
    </w:p>
    <w:p>
      <w:pPr>
        <w:spacing w:after="0" w:line="171"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Any note that is exchangeable as above is exchangeable for certificated notes issuable in authorized denominations and registered in such names as the common depositary shall direct. Subject to the foregoing, a global note is not exchangeable, except for a global note of the same aggregate denomination to be registered in the name of the common depositary (or its nominee).</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Same-Day Payment</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The indenture requires payments to be made in respect of the applicable notes represented by the Global Notes (including principal, premium and interest) by wire transfer of immediately available funds to the accounts specified by the holder thereof or, if no such account is specified, by mailing a check to such holder’s registered address.</w:t>
      </w:r>
    </w:p>
    <w:p>
      <w:pPr>
        <w:spacing w:after="0" w:line="14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Payments (including principal, premium and interest) and transfers with respect to notes in certificated form may be executed at the office or agency maintained for such purpose within the City of London (initially the office of the paying agent maintained for such purpose) or, at our option, by check mailed to the holders thereof at the respective addresses set forth in the register of holders of the applicable notes, provided that all payments (including principal, premium and interest) on notes in certificated form, for which the holders thereof have given wire transfer instructions, will be required to be made by wire transfer of immediately available funds to the accounts specified by the holders thereof. No service charge will be made for any registration of transfer, but payment of a sum sufficient to cover any tax or governmental charge payable in connection with that registration may be required.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paying agent for the notes will initially be The Bank of New York Mellon, London Branch.</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MATERIAL U.S. FEDERAL INCOME TAX CONSEQUENCES</w:t>
      </w:r>
    </w:p>
    <w:p>
      <w:pPr>
        <w:spacing w:after="0" w:line="1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are the material U.S. federal income tax consequences of ownership and disposition of the notes. This discussion only applies to notes that meet both of the following conditions:</w:t>
      </w:r>
    </w:p>
    <w:p>
      <w:pPr>
        <w:spacing w:after="0" w:line="51" w:lineRule="exact"/>
        <w:rPr>
          <w:sz w:val="20"/>
          <w:szCs w:val="20"/>
          <w:color w:val="auto"/>
        </w:rPr>
      </w:pPr>
    </w:p>
    <w:p>
      <w:pPr>
        <w:jc w:val="both"/>
        <w:ind w:left="900" w:right="20" w:hanging="325"/>
        <w:spacing w:after="0" w:line="25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they are held by those initial holders who purchased such notes in this offering at the “issue price,” which will equal the first price to the public (not including bond houses, brokers or similar persons or organizations acting in the capacity of underwriters, placement agents or wholesalers) at which a substantial amount of the notes is sold for money; and</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they are held as capital assets.</w:t>
      </w:r>
    </w:p>
    <w:p>
      <w:pPr>
        <w:spacing w:after="0" w:line="17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This discussion does not describe all of the tax consequences that may be relevant to holders in light of their particular circumstances or to holders subject to special rules, such as:</w:t>
      </w:r>
    </w:p>
    <w:p>
      <w:pPr>
        <w:spacing w:after="0" w:line="51"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tax exempt entities;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liable for the alternative minimum tax;</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dealers in securities or foreign currencies;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U.S. expatriates;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persons holding notes as part of a hedge, straddle or other integrated transaction;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partnerships or other entities classified as partnerships for U.S. federal income tax purposes.</w:t>
      </w:r>
    </w:p>
    <w:p>
      <w:pPr>
        <w:spacing w:after="0" w:line="171"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If a partnership or other entity classified as a partnership for U.S. federal income tax purposes holds the notes, the tax treatment of a partner will generally depend upon the status of the partner and the activities of the partnership. A partner of a partnership holding the notes is urged to consult his or her tax advisor.</w:t>
      </w:r>
    </w:p>
    <w:p>
      <w:pPr>
        <w:spacing w:after="0" w:line="62"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This summary is based on the Internal Revenue Code of 1986, as amended to the date hereof, administrative pronouncements, judicial decisions and final, temporary and proposed Treasury Regulations, changes to any of which subsequent to the date of this prospectus supplement may affect the tax consequences described herein, possibly with retroactive effect. Persons considering the purchase of notes are urged to consult their tax advisors with regard to the application of the U.S. federal tax laws to their particular situations as well as any tax consequences arising under the laws of any state, local or foreign taxing jurisdiction.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for 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created or organized in or under the laws of the United States, any state therein or the District of Columbia;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or trust the income of which is subject to U.S. federal income taxation regardless of its source.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foreign currency rules applicable to the notes are complex and their application may depend on a holder’s particular U.S. federal income tax situation. For example, various elections are available under these rules, and whether a holder should make any of these elections may depend on the holder’s particular federal</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320"/>
          </w:cols>
          <w:pgMar w:left="24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income tax situation. U.S. Holders are therefore urged to consult their own tax advisors regarding the application of the foreign currency rules to their ownership and disposition of the notes.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of Interest</w:t>
      </w:r>
    </w:p>
    <w:p>
      <w:pPr>
        <w:spacing w:after="0" w:line="9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Interest paid on a note will be taxable to a U.S. Holder as ordinary interest income at the time it accrues or is received in accordance with the holder’s method of accounting for federal income tax purposes.</w:t>
      </w:r>
    </w:p>
    <w:p>
      <w:pPr>
        <w:spacing w:after="0" w:line="132"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A U.S. Holder who uses the cash method of accounting and who receives a payment of interest (or who receives proceeds from a sale, exchange or other disposition attributable to accrued interest) in Sterling with respect to a note will be required to include in income the U.S. dollar value of the Sterling payment (determined based on the U.S. dollar/Sterling spot rate on the date the payment is received) regardless of whether the payment is in fact converted to U.S. dollars at that time, and this U.S. dollar value will be the U.S. Holder’s tax basis in the Sterling.</w:t>
      </w:r>
    </w:p>
    <w:p>
      <w:pPr>
        <w:spacing w:after="0" w:line="113" w:lineRule="exact"/>
        <w:rPr>
          <w:sz w:val="20"/>
          <w:szCs w:val="20"/>
          <w:color w:val="auto"/>
        </w:rPr>
      </w:pPr>
    </w:p>
    <w:p>
      <w:pPr>
        <w:ind w:firstLine="456"/>
        <w:spacing w:after="0" w:line="306" w:lineRule="auto"/>
        <w:rPr>
          <w:sz w:val="20"/>
          <w:szCs w:val="20"/>
          <w:color w:val="auto"/>
        </w:rPr>
      </w:pPr>
      <w:r>
        <w:rPr>
          <w:rFonts w:ascii="Arial" w:cs="Arial" w:eastAsia="Arial" w:hAnsi="Arial"/>
          <w:sz w:val="15"/>
          <w:szCs w:val="15"/>
          <w:color w:val="auto"/>
        </w:rPr>
        <w:t>A U.S. Holder who uses the accrual method of accounting will be required to include in income the U.S. dollar value of the amount of interest income that has accrued and is otherwise required to be taken into account with respect to a note during an accrual period. The U.S. dollar value of the accrued income will be determined by translating the income at the average rate of exchange for the accrual period or, with respect to an accrual period that spans two taxable years, at the average rate for the partial period within the relevant taxable year. The U.S. Holder will recognize ordinary income or loss (which will not be treated as interest income or expense) with respect to accrued interest income on the date the interest payment or proceeds from the sale, exchange or other disposition attributable to accrued interest is actually received. The amount of ordinary income or loss recognized will equal the difference between the U.S. dollar value of the Sterling payment received (determined based on the U.S. dollar/Sterling spot rate on the date the payment is received) in respect of the accrual period (or, where a holder receives U.S. dollars, the amount of the payment in respect of the accrual period) and the U.S. dollar value of interest income that has accrued during the accrual period (as determined above). A U.S. Holder may elect to translate interest income for an interest accrual period into U.S. dollars at the spot rate ending on the last day of such interest accrual period (or, in the case of a partial accrual period, the spot rate on the last day of the taxable year) or, if the date of receipt is within five business days of the last day of the interest accrual period, the spot rate on the date of receipt. A U.S. Holder that makes this election must apply it consistently to all debt instruments from year to year and cannot change the election without the consent of the Internal Revenue Service (the “IRS”).</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Exchange or Retirement of the Notes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Upon the sale, exchange or retirement of a note, a U.S. Holder will recognize taxable gain or loss equal to the difference between the amount realized on the sale, exchange or retirement and the U.S. Holder’s tax basis in the note. For these purposes, the amount realized will be the U.S. dollar value of such amount and will not include any amount attributable to accrued interest, which is treated as interest on the notes, as described above. A U.S. Holder who uses the cash method of accounting will determine the U.S. dollar value of the amount realized in Sterling based on the U.S. dollar/Sterling spot rate on the settlement date of the sale, exchange or retirement. A U.S. Holder who uses the accrual method of accounting may elect the same treatment for all purchases and sales of foreign currency obligations (which cannot be changed without the consent of the IRS). Absent such an election, a U.S. Holder who uses the accrual method of accounting will determine the U.S. dollar value of the amount realized based on the U.S. dollar/Sterling spot rate on the trade date of the sale, exchange or retirement. A U.S. Holder’s tax basis in a note will generally be the U.S. dollar value of the Sterling amount paid for such note determined on the date of the purchase. Any gain or loss realized on the sale, exchange or retirement of a note (except to the extent of gain or loss attributable to changes in the U.S. dollar/Sterling exchange rate) will generally be capital gain or loss, and will be long-term capital gain or loss if at the time of sale, exchange or retirement the note has been held for more than one year. Long-term capital gains recognized by non-corporate U.S. Holders will generally be subject to reduced tax rates. The deductibility of capital losses is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subject to limitations. A U.S. Holder who purchases a note with previously owned Sterling will recognize ordinary income or loss in an amount equal to the difference, if any, between such U.S. holder’s tax basis in the Sterling and the U.S. dollar fair market value of the note on the date of purchase.</w:t>
      </w:r>
    </w:p>
    <w:p>
      <w:pPr>
        <w:spacing w:after="0" w:line="85"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Gain or loss realized upon the sale, exchange or retirement of a note that is attributable to fluctuations in the U.S. dollar/Sterling exchange rate will be ordinary income or loss which will not be treated as interest income or expense. Gain or loss attributable to fluctuations in the U.S. dollar/Sterling exchange rate will equal the difference between (i) the U.S. dollar value of the U.S. Holder’s purchase price in Sterling of the note, determined on the date a principal payment is received from the Company or on the trade date (or the settlement date, in the case of a cash method taxpayer or an accrual method taxpayer that has made the election described above) for the sale of the note, and (ii) the U.S. dollar value of the Holder’s purchase price in Sterling of the note, determined on the date the U.S. Holder acquired the note. The foreign currency gain or loss will be recognized only to the extent of the total gain or loss realized by a U.S. Holder on the sale, exchange or retirement of the note. Any gain or loss realized in excess of the foreign currency gain or loss will be capital gain or loss.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If a U.S. Holder recognizes a loss upon a sale or other disposition of a note and such loss is above certain thresholds, then the holder may be required to file a disclosure statement with the IRS. U.S. Holders should consult their tax advisors regarding this reporting obligation.</w:t>
      </w:r>
    </w:p>
    <w:p>
      <w:pPr>
        <w:spacing w:after="0" w:line="13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 U.S. Holder will have a tax basis in any Sterling received on the sale, exchange or retirement of a note equal to the U.S. dollar value of Sterling, determined at the time of receipt.</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Dispositions of Sterling</w:t>
      </w:r>
    </w:p>
    <w:p>
      <w:pPr>
        <w:spacing w:after="0" w:line="90"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Any gain or loss realized by a U.S. Holder on a sale or other disposition of Sterling (including its exchange for U.S. dollars or its use to purchase notes) will be ordinary income or loss.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Information returns will be filed with the IRS in connection with payments on the notes and the proceeds from a sale or other disposition of the notes. A U.S. Holder will be subject to backup withholding on these payments if the U.S. Holder fails to provide its taxpayer identification number to the paying agent and comply with certain certification procedures or otherwise establish an exemption from backup withholding. The amount of any backup withholding from a payment to a U.S. Holder will be allowed as a credit against the U.S. Holder’s U.S. federal income tax liability and may entitle the U.S. Holder to a refund, provided that the required information is timely furnished to the IRS.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Consequences for Non-U.S.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herein, the term “Non-U.S. Holder” means a beneficial owner of a note that is, for U.S. federal income tax purposes:</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individual who is not a U.S. citizen and who is classified as a nonresident for U.S. federal income tax purposes;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foreign estate or trust.</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“Non-U.S. Holder” does not include a beneficial owner of a note who is a non-resident alien individual present in the United States for 183 days or more in the taxable year of disposition. Such an individual is urged to consult his or her tax advisor regarding the U.S. federal income tax consequences of the sale, exchange or other disposition of a note.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Payments on a Note</w:t>
      </w:r>
    </w:p>
    <w:p>
      <w:pPr>
        <w:spacing w:after="0" w:line="90"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Subject to the discussion below concerning backup withholding, payments of principal and interest on the notes by us or any paying agent to any Non-U.S. Holder will not be subject to U.S. federal withholding tax, provided that, in the case of interest not effectively connected with the conduct of a trade or business in the United States:</w:t>
      </w:r>
    </w:p>
    <w:p>
      <w:pPr>
        <w:spacing w:after="0" w:line="59" w:lineRule="exact"/>
        <w:rPr>
          <w:sz w:val="20"/>
          <w:szCs w:val="20"/>
          <w:color w:val="auto"/>
        </w:rPr>
      </w:pPr>
    </w:p>
    <w:p>
      <w:pPr>
        <w:ind w:left="900" w:right="1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 does not own, actually or constructively, 10 percent or more of the total combined voting power of all classes of our stock entitled to vote and is not a controlled foreign corporation related, directly or indirectly, to us through stock ownership;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certification requirement described below has been fulfilled with respect to the beneficial owner, as discussed below.</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Interest on a note described above will not be exempt from withholding tax unless the beneficial owner of that note certifies on a properly executed IRS Form W-8BEN, under penalties of perjury, that it is not a U.S. person.</w:t>
      </w:r>
    </w:p>
    <w:p>
      <w:pPr>
        <w:spacing w:after="0" w:line="132"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If a Non-U.S. Holder of a note is engaged in a trade or business in the United States, and if interest on the note is effectively connected with the conduct of such trade or business, the Non-U.S. Holder will generally not be subject to the withholding discussed in the preceding paragraphs if a properly executed, applicable Form W-8 (generally an IRS Form W-8ECI) is provided to us. Such a Non-U.S. Holder will, however, generally be taxed on such interest in the same manner as a U.S. person, unless an applicable income tax treaty provides otherwise. These holders are urged to consult their tax advisors with respect to other U.S. tax consequences of the ownership and disposition of notes including the possible imposition of an additional branch profits tax at a rate of 30% (or lower treaty rate).</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Sale, Exchange, Redemption or Other Disposition of a Note</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Subject to the discussion below concerning backup withholding, a Non-U.S. Holder of a note will not be subject to U.S. federal income tax on gain realized on the sale, exchange, redemption or other disposition of such note, unless the gain is effectively connected with the conduct by the holder of a trade or business in the United States.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If a Non-U.S. Holder of a note is engaged in a trade or business in the United States, and if gain realized by the Non-U.S. Holder on a sale, exchange, redemption or other disposition of a note is effectively connected with the conduct of such trade or business, the Non-U.S. Holder will generally be taxed in the same manner as a U.S. person, subject to an applicable income tax treaty providing otherwise. These holders are urged to consult their tax advisors with respect to other U.S. tax consequences of the ownership and disposition of notes including the possible imposition of an additional branch profits tax.</w:t>
      </w:r>
    </w:p>
    <w:p>
      <w:pPr>
        <w:spacing w:after="0" w:line="19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Information returns will be filed with the IRS in connection with interest payments on the notes. Unless the Non-U.S. Holder complies with certification procedures to establish that it is not a U.S. person, information returns may be filed with the IRS in connection with the proceeds from a sale or other disposition (including a redemption) and the Non-U.S. Holder may be subject to U.S. backup withholding on payments on the notes or on the proceeds from a sale or other disposition of the notes. The certification procedures required to claim the exemption from withholding tax on interest described above will satisfy the certification requirements necessary to avoid backup withholding as well. The amount of any backup withholding from a payment to a Non-U.S. Holder will be allowed as a credit against the Non-U.S. Holder’s U.S. federal income tax liability and may entitle the Non-U.S. Holder to a refund, provided that the required information is timely furnished to the IRS.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We intend to offer the notes through the underwriters named below. Subject to the terms and conditions contained in an underwriting agreement, we have agreed to sell to the underwriters and the underwriters severally have agreed to purchase from us, the principal amount of the notes listed opposite their names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4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7"/>
              </w:rPr>
              <w:t>Principal Amount</w:t>
            </w:r>
          </w:p>
        </w:tc>
        <w:tc>
          <w:tcPr>
            <w:tcW w:w="0" w:type="dxa"/>
            <w:vAlign w:val="bottom"/>
          </w:tcPr>
          <w:p>
            <w:pPr>
              <w:spacing w:after="0"/>
              <w:rPr>
                <w:sz w:val="1"/>
                <w:szCs w:val="1"/>
                <w:color w:val="auto"/>
              </w:rPr>
            </w:pPr>
          </w:p>
        </w:tc>
      </w:tr>
      <w:tr>
        <w:trPr>
          <w:trHeight w:val="161"/>
        </w:trPr>
        <w:tc>
          <w:tcPr>
            <w:tcW w:w="642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3860" w:type="dxa"/>
            <w:vAlign w:val="bottom"/>
          </w:tcPr>
          <w:p>
            <w:pPr>
              <w:spacing w:after="0"/>
              <w:rPr>
                <w:sz w:val="14"/>
                <w:szCs w:val="14"/>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of 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Barclays Bank PLC</w:t>
            </w:r>
          </w:p>
        </w:tc>
        <w:tc>
          <w:tcPr>
            <w:tcW w:w="5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£ 156,250,000</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Deutsche Bank AG, London Branch</w:t>
            </w:r>
          </w:p>
        </w:tc>
        <w:tc>
          <w:tcPr>
            <w:tcW w:w="5000" w:type="dxa"/>
            <w:vAlign w:val="bottom"/>
            <w:gridSpan w:val="3"/>
          </w:tcPr>
          <w:p>
            <w:pPr>
              <w:jc w:val="right"/>
              <w:ind w:right="100"/>
              <w:spacing w:after="0"/>
              <w:rPr>
                <w:sz w:val="20"/>
                <w:szCs w:val="20"/>
                <w:color w:val="auto"/>
              </w:rPr>
            </w:pPr>
            <w:r>
              <w:rPr>
                <w:rFonts w:ascii="Arial" w:cs="Arial" w:eastAsia="Arial" w:hAnsi="Arial"/>
                <w:sz w:val="18"/>
                <w:szCs w:val="18"/>
                <w:color w:val="auto"/>
              </w:rPr>
              <w:t>156,250,000</w:t>
            </w: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International</w:t>
            </w:r>
          </w:p>
        </w:tc>
        <w:tc>
          <w:tcPr>
            <w:tcW w:w="5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156,250,000</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400" w:type="dxa"/>
            <w:vAlign w:val="bottom"/>
            <w:gridSpan w:val="2"/>
          </w:tcPr>
          <w:p>
            <w:pPr>
              <w:spacing w:after="0"/>
              <w:rPr>
                <w:sz w:val="20"/>
                <w:szCs w:val="20"/>
                <w:color w:val="auto"/>
              </w:rPr>
            </w:pPr>
            <w:r>
              <w:rPr>
                <w:rFonts w:ascii="Arial" w:cs="Arial" w:eastAsia="Arial" w:hAnsi="Arial"/>
                <w:sz w:val="18"/>
                <w:szCs w:val="18"/>
                <w:color w:val="auto"/>
              </w:rPr>
              <w:t>The Royal Bank of Scotland plc</w:t>
            </w:r>
          </w:p>
        </w:tc>
        <w:tc>
          <w:tcPr>
            <w:tcW w:w="386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156,250,000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0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£ 625,000,000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underwriters have agreed to purchase all of the notes sold pursuant to the underwriting agreement if any of these notes are purchased. If an underwriter defaults, the underwriting agreement provides that the purchase commitments of the nondefaulting underwriters may be increased or the underwriting agreement may be terminated.</w:t>
      </w:r>
    </w:p>
    <w:p>
      <w:pPr>
        <w:spacing w:after="0" w:line="140"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in respect of those liabilities.</w:t>
      </w:r>
    </w:p>
    <w:p>
      <w:pPr>
        <w:spacing w:after="0" w:line="132" w:lineRule="exact"/>
        <w:rPr>
          <w:sz w:val="20"/>
          <w:szCs w:val="20"/>
          <w:color w:val="auto"/>
        </w:rPr>
      </w:pPr>
    </w:p>
    <w:p>
      <w:pPr>
        <w:ind w:right="220" w:firstLine="456"/>
        <w:spacing w:after="0" w:line="335" w:lineRule="auto"/>
        <w:rPr>
          <w:sz w:val="20"/>
          <w:szCs w:val="20"/>
          <w:color w:val="auto"/>
        </w:rPr>
      </w:pPr>
      <w:r>
        <w:rPr>
          <w:rFonts w:ascii="Arial" w:cs="Arial" w:eastAsia="Arial" w:hAnsi="Arial"/>
          <w:sz w:val="15"/>
          <w:szCs w:val="15"/>
          <w:color w:val="auto"/>
        </w:rPr>
        <w:t>The underwriters are offering the notes, subject to prior sale, when, as and if issued to and accepted by them, subject to approval of legal matters by their counsel, including the validity of the notes,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88"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It is expected that delivery of the notes will be made against payment therefor on or about November 23, 2010, which is the fourth business day following the date hereof (such settlement cycle being referred to as “T+4”). Under Rule 15c6-1 under the Securities Exchange Act of 1934, as amended, trades in the secondary market generally are required to settle in three business days unless the parties to any such trade expressly agree otherwise. Accordingly, purchasers who wish to trade the notes on the date of pricing will be required, by virtue of the fact that the notes initially will settle in T+4, to specify an alternative settlement cycle at the time of any such trade to prevent failed settlement and should consult their own advisors.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 underwriters have advised us that they propose initially to offer the notes to the public at the public offering price on the cover page of this prospectus supplement. No dealers will participate in the offering of the notes. After the initial public offering, the public offering prices may be changed.</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expenses of the offering, not including the underwriting discount, are estimated to be $425,000 and are payable by 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Issue of Notes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notes are a new issue of securities with no established trading market. We intend to apply to list the notes on the New York Stock Exchange. We expect trading in the Notes on the New York Stock Exchange to begin within 30 days after the original issue date. Currently there is no public market for the Notes. We have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been advised by the underwriters that they presently intend to make a market in the notes after completion of the offering. However, they are under no obligation to do so and may discontinue any market-making activities at any time without any notice. We cannot assure the liquidity of the trading market for the notes or that an active public market for the notes will develop. If an active public trading market for the notes does not develop, the market price and liquidity of the notes may be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connection with the offering, the underwriters are permitted to engage in transactions that stabilize the market price of the notes. These stabilization transactions consist of bids or purchases to peg, fix or maintain the price of the notes. If the underwriters create a short position on the notes in connection with the offering, that is, if they sell more notes than are on the cover page of this prospectus supplement, the underwriters may reduce that short position by purchasing notes in the open market. Purchases of a security to stabilize the price or to reduce a short position could cause the price of the security to be higher than it might be in the absence of such purchases.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connection with the issue of the notes, the underwriters (in this capacity, the “stabilizing managers”) (or any person acting for them) may over-allot notes or effect transactions with a view to supporting the market price of the notes at a level higher than that which might otherwise prevail. However, there is no assurance that the stabilizing managers (or persons acting on behalf of the stabilizing managers) will undertake any stabilization action. Any stabilization action may begin on or after the date on which adequate public disclosure of the final terms of the offer of the notes is made, and, if begun, may be ended at any time, but it must end no later than the earlier of 30 days after the issue of the notes and 60 days after the date of the allotment of the notes.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stabilization action commenced will be carried out in accordance with applicable laws and regulations.</w:t>
      </w:r>
    </w:p>
    <w:p>
      <w:pPr>
        <w:spacing w:after="0" w:line="171"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Neither we nor any of the underwriters makes any representation or prediction as to the direction or magnitude of any effect that the transactions described above may have on the price of the notes. In addition, neither we nor any of the underwriters makes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underwriters and their respective affiliates are full service financial institutions engaged in various activities, which may include securities trading, commercial and investment banking, financial advisory, investment management, principal investment, hedging, financing and brokerage activities for which they currently and may in the future receive customary fees and commissions.</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securities and instruments of the Issuer, and therefore, the underwriters and/or their respective affiliates may indirectly receive a portion of the net proceeds from this offering.</w:t>
      </w:r>
    </w:p>
    <w:p>
      <w:pPr>
        <w:spacing w:after="0" w:line="218" w:lineRule="exact"/>
        <w:rPr>
          <w:sz w:val="20"/>
          <w:szCs w:val="20"/>
          <w:color w:val="auto"/>
        </w:rPr>
      </w:pPr>
    </w:p>
    <w:p>
      <w:pPr>
        <w:jc w:val="right"/>
        <w:ind w:right="9960"/>
        <w:spacing w:after="0"/>
        <w:rPr>
          <w:sz w:val="20"/>
          <w:szCs w:val="20"/>
          <w:color w:val="auto"/>
        </w:rPr>
      </w:pPr>
      <w:r>
        <w:rPr>
          <w:rFonts w:ascii="Arial" w:cs="Arial" w:eastAsia="Arial" w:hAnsi="Arial"/>
          <w:sz w:val="15"/>
          <w:szCs w:val="15"/>
          <w:b w:val="1"/>
          <w:bCs w:val="1"/>
          <w:color w:val="auto"/>
        </w:rPr>
        <w:t>Selling Restrictions</w:t>
      </w:r>
    </w:p>
    <w:p>
      <w:pPr>
        <w:spacing w:after="0" w:line="131" w:lineRule="exact"/>
        <w:rPr>
          <w:sz w:val="20"/>
          <w:szCs w:val="20"/>
          <w:color w:val="auto"/>
        </w:rPr>
      </w:pPr>
    </w:p>
    <w:p>
      <w:pPr>
        <w:jc w:val="right"/>
        <w:ind w:right="9960"/>
        <w:spacing w:after="0"/>
        <w:rPr>
          <w:sz w:val="20"/>
          <w:szCs w:val="20"/>
          <w:color w:val="auto"/>
        </w:rPr>
      </w:pPr>
      <w:r>
        <w:rPr>
          <w:rFonts w:ascii="Arial" w:cs="Arial" w:eastAsia="Arial" w:hAnsi="Arial"/>
          <w:sz w:val="18"/>
          <w:szCs w:val="18"/>
          <w:b w:val="1"/>
          <w:bCs w:val="1"/>
          <w:i w:val="1"/>
          <w:iCs w:val="1"/>
          <w:color w:val="auto"/>
        </w:rPr>
        <w:t>European Union</w:t>
      </w:r>
    </w:p>
    <w:p>
      <w:pPr>
        <w:spacing w:after="0" w:line="90"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Each underwriter has represented, warranted and agreed that in relation to each Member State of the European Economic Area which has implemented the Prospectus Directive (each, a “Relevant Member State”), with effect from and including the date on which the Prospectus Directive is implemented in that Relevant Member State (the “Relevant Implementation Date”), it has not made and will not make an offer of notes which</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are the subject of the offering contemplated by this prospectus supplement to the public in that Relevant Member State other than:</w:t>
      </w:r>
    </w:p>
    <w:p>
      <w:pPr>
        <w:spacing w:after="0" w:line="90" w:lineRule="exact"/>
        <w:rPr>
          <w:sz w:val="20"/>
          <w:szCs w:val="20"/>
          <w:color w:val="auto"/>
        </w:rPr>
      </w:pPr>
    </w:p>
    <w:p>
      <w:pPr>
        <w:ind w:left="460" w:firstLine="443"/>
        <w:spacing w:after="0" w:line="268" w:lineRule="auto"/>
        <w:tabs>
          <w:tab w:leader="none" w:pos="1108"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legal entities which are authorized or regulated to operate in the financial markets or, if not so authorized or regulated, whose corporate purpose is solely to invest in securities;</w:t>
      </w:r>
    </w:p>
    <w:p>
      <w:pPr>
        <w:spacing w:after="0" w:line="50" w:lineRule="exact"/>
        <w:rPr>
          <w:rFonts w:ascii="Arial" w:cs="Arial" w:eastAsia="Arial" w:hAnsi="Arial"/>
          <w:sz w:val="18"/>
          <w:szCs w:val="18"/>
          <w:color w:val="auto"/>
        </w:rPr>
      </w:pPr>
    </w:p>
    <w:p>
      <w:pPr>
        <w:ind w:left="460" w:right="240" w:firstLine="443"/>
        <w:spacing w:after="0" w:line="332" w:lineRule="auto"/>
        <w:tabs>
          <w:tab w:leader="none" w:pos="1157" w:val="left"/>
        </w:tabs>
        <w:numPr>
          <w:ilvl w:val="0"/>
          <w:numId w:val="13"/>
        </w:numPr>
        <w:rPr>
          <w:rFonts w:ascii="Arial" w:cs="Arial" w:eastAsia="Arial" w:hAnsi="Arial"/>
          <w:sz w:val="16"/>
          <w:szCs w:val="16"/>
          <w:color w:val="auto"/>
        </w:rPr>
      </w:pPr>
      <w:r>
        <w:rPr>
          <w:rFonts w:ascii="Arial" w:cs="Arial" w:eastAsia="Arial" w:hAnsi="Arial"/>
          <w:sz w:val="16"/>
          <w:szCs w:val="16"/>
          <w:color w:val="auto"/>
        </w:rPr>
        <w:t>to any legal entity which has two or more of (1) an average of at least 250 employees during the last financial year; (2) a total balance sheet of more than €43,000,000 and (3) an annual net turnover of more than €50,000,000, as shown in its last annual or consolidated accounts;</w:t>
      </w:r>
    </w:p>
    <w:p>
      <w:pPr>
        <w:spacing w:after="0" w:line="4" w:lineRule="exact"/>
        <w:rPr>
          <w:rFonts w:ascii="Arial" w:cs="Arial" w:eastAsia="Arial" w:hAnsi="Arial"/>
          <w:sz w:val="16"/>
          <w:szCs w:val="16"/>
          <w:color w:val="auto"/>
        </w:rPr>
      </w:pPr>
    </w:p>
    <w:p>
      <w:pPr>
        <w:ind w:left="460" w:right="260" w:firstLine="443"/>
        <w:spacing w:after="0" w:line="268" w:lineRule="auto"/>
        <w:tabs>
          <w:tab w:leader="none" w:pos="1205" w:val="left"/>
        </w:tabs>
        <w:numPr>
          <w:ilvl w:val="0"/>
          <w:numId w:val="13"/>
        </w:numPr>
        <w:rPr>
          <w:rFonts w:ascii="Arial" w:cs="Arial" w:eastAsia="Arial" w:hAnsi="Arial"/>
          <w:sz w:val="18"/>
          <w:szCs w:val="18"/>
          <w:color w:val="auto"/>
        </w:rPr>
      </w:pPr>
      <w:r>
        <w:rPr>
          <w:rFonts w:ascii="Arial" w:cs="Arial" w:eastAsia="Arial" w:hAnsi="Arial"/>
          <w:sz w:val="18"/>
          <w:szCs w:val="18"/>
          <w:color w:val="auto"/>
        </w:rPr>
        <w:t>to fewer than 100 natural or legal persons (other than qualified investors as defined in the Prospectus Directive) subject to obtaining the prior consent of the representatives for any such offer; or</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any other circumstances which do not require the publication by the Issuer of a prospectus pursuant to Article 3 of the Prospectus Directive;</w:t>
      </w:r>
    </w:p>
    <w:p>
      <w:pPr>
        <w:spacing w:after="0" w:line="194" w:lineRule="exact"/>
        <w:rPr>
          <w:sz w:val="20"/>
          <w:szCs w:val="20"/>
          <w:color w:val="auto"/>
        </w:rPr>
      </w:pPr>
    </w:p>
    <w:p>
      <w:pPr>
        <w:ind w:left="460" w:right="280"/>
        <w:spacing w:after="0" w:line="417" w:lineRule="auto"/>
        <w:rPr>
          <w:sz w:val="20"/>
          <w:szCs w:val="20"/>
          <w:color w:val="auto"/>
        </w:rPr>
      </w:pPr>
      <w:r>
        <w:rPr>
          <w:rFonts w:ascii="Arial" w:cs="Arial" w:eastAsia="Arial" w:hAnsi="Arial"/>
          <w:sz w:val="15"/>
          <w:szCs w:val="15"/>
          <w:color w:val="auto"/>
        </w:rPr>
        <w:t>provided that no such offer of notes shall require the Issuer or any underwriter to publish a prospectus pursuant to Article 3 of the Prospectus Directive. For the purposes of this provision, the expression “an offer of notes to the public” in relation to any notes in any Relevant Member State means the</w:t>
      </w:r>
    </w:p>
    <w:p>
      <w:pPr>
        <w:spacing w:after="0" w:line="1" w:lineRule="exact"/>
        <w:rPr>
          <w:sz w:val="20"/>
          <w:szCs w:val="20"/>
          <w:color w:val="auto"/>
        </w:rPr>
      </w:pPr>
    </w:p>
    <w:p>
      <w:pPr>
        <w:jc w:val="both"/>
        <w:ind w:right="120"/>
        <w:spacing w:after="0" w:line="331" w:lineRule="auto"/>
        <w:rPr>
          <w:sz w:val="20"/>
          <w:szCs w:val="20"/>
          <w:color w:val="auto"/>
        </w:rPr>
      </w:pPr>
      <w:r>
        <w:rPr>
          <w:rFonts w:ascii="Arial" w:cs="Arial" w:eastAsia="Arial" w:hAnsi="Arial"/>
          <w:sz w:val="15"/>
          <w:szCs w:val="15"/>
          <w:color w:val="auto"/>
        </w:rPr>
        <w:t>communication in any form and by any means of sufficient information on the terms of the offer and the notes to be offered so as to enable an investor to decide to purchase or subscribe the notes, as the same may be varied in that Member State by any means implementing the Prospectus Directive in that Member State, and the expression “Prospectus Directive” means Directive 2003/71/EC and includes any relevant implementing measure in each Relevant Member State.</w:t>
      </w:r>
    </w:p>
    <w:p>
      <w:pPr>
        <w:spacing w:after="0" w:line="17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United Kingdom</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Each underwriter has represented, warranted and agreed that it has only communicated or caused to be communicated and will only communicate or cause to be communicated an invitation or inducement to engage in investment activity (within the meaning of Section 21 of the U.K. Financial Services and Markets Act 2000 (“FSMA”) received by it in connection with the issue or sale of the notes in circumstances in which Section 21(1) of FSMA does not apply to the Issuer or the cable guarantors; and it has complied with and will comply with all applicable provisions of FSMA with respect to anything done by it in relation to the notes in, from or otherwise involving the United Kingdom.</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Hong Kong</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notes may not be offered or sold by means of any document other than to persons whose ordinary business is to buy or sell shares or debentures, whether as principal or agent, or in circumstances which do not constitute an offer to the public within the meaning of the Companies Ordinance (Cap. 32) of Hong Kong, and no advertisement, invitation or document relating to the notes may be issued, whether in Hong Kong or elsewhere, which is directed at, or the contents of which are likely to be accessed or read by, the public in Hong Kong (except if permitted to do so under the securities laws of Hong Kong) other than with respect to notes which are or are intended to be disposed of only to persons outside Hong Kong or only to “professional investors” within the meaning of the Securities and Futures Ordinance (Cap. 571) of Hong Kong and any rules made thereunder.</w:t>
      </w:r>
    </w:p>
    <w:p>
      <w:pPr>
        <w:spacing w:after="0" w:line="20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Japan</w:t>
      </w:r>
    </w:p>
    <w:p>
      <w:pPr>
        <w:spacing w:after="0" w:line="90"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notes have not been and will not be registered under the Financial Instruments and Exchange Law of Japan (Law No. 25 of 1948) (as amended) (the “FIEL”), and each of the underwriters and each of its affiliates has represented and agreed that it has not offered or sold, and it will not offer or sell, directly or indirectly, any of the notes in or to residents of Japan or to any persons for reoffering or resale, directly or indirectly in Japan or to any resident of Japan, except pursuant to any exemption from the registration requirements of and otherwise in</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380"/>
          </w:cols>
          <w:pgMar w:left="240" w:top="459" w:right="27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the FIEL available thereunder and in compliance with the other relevant laws and regulations of Japan.</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Singapore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the notes may not be circulated or distributed, nor may the notes be offered or sold, or be made the subject of an invitation for subscription or purchase, whether directly or indirectly, to persons in Singapore other than:</w:t>
      </w:r>
    </w:p>
    <w:p>
      <w:pPr>
        <w:spacing w:after="0" w:line="62" w:lineRule="exact"/>
        <w:rPr>
          <w:sz w:val="20"/>
          <w:szCs w:val="20"/>
          <w:color w:val="auto"/>
        </w:rPr>
      </w:pPr>
    </w:p>
    <w:p>
      <w:pPr>
        <w:ind w:left="1120" w:hanging="217"/>
        <w:spacing w:after="0"/>
        <w:tabs>
          <w:tab w:leader="none" w:pos="11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Securities and Futures Act, Chapter 289 of Singapore (the “SFA”);</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to a relevant person, or any person pursuant to Section 257(1A), and in accordance with the conditions, specified in Section 275 of the SFA; or</w:t>
      </w:r>
    </w:p>
    <w:p>
      <w:pPr>
        <w:spacing w:after="0" w:line="113" w:lineRule="exact"/>
        <w:rPr>
          <w:rFonts w:ascii="Arial" w:cs="Arial" w:eastAsia="Arial" w:hAnsi="Arial"/>
          <w:sz w:val="16"/>
          <w:szCs w:val="16"/>
          <w:color w:val="auto"/>
        </w:rPr>
      </w:pPr>
    </w:p>
    <w:p>
      <w:pPr>
        <w:ind w:left="1200" w:hanging="297"/>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otherwise pursuant to, and in accordance with the conditions of, any other applicable provision of the SFA.</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Whether the notes are subscribed or purchased under Section 275 by a relevant person which is:</w:t>
      </w:r>
    </w:p>
    <w:p>
      <w:pPr>
        <w:spacing w:after="0" w:line="90" w:lineRule="exact"/>
        <w:rPr>
          <w:sz w:val="20"/>
          <w:szCs w:val="20"/>
          <w:color w:val="auto"/>
        </w:rPr>
      </w:pPr>
    </w:p>
    <w:p>
      <w:pPr>
        <w:ind w:left="460" w:right="20" w:firstLine="443"/>
        <w:spacing w:after="0" w:line="268" w:lineRule="auto"/>
        <w:tabs>
          <w:tab w:leader="none" w:pos="1137"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firstLine="443"/>
        <w:spacing w:after="0" w:line="294" w:lineRule="auto"/>
        <w:tabs>
          <w:tab w:leader="none" w:pos="1147"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trust (where the trustee is not an accredited investor) whose sole purpose is to hold investments and each beneficiary is an accredited investor, shares, debentures, and units of shares and debentures of that corporation or the beneficiaries’ rights and interest in that trust shall not be transferable for six months after that corporation or that trust has acquired the notes under Section 275 except: (1) to an institutional investor under Section 274 of the SFA or to a relevant person, or any person pursuant to Section 275(1A), and in accordance with the conditions, specified in Section 275 of the SFA; (2) where no consideration is given for the transfer; or (3) by operation of law.</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Various legal matters relating to the offering will be passed upon for us by Arthur R. Block, Esquire, Senior Vice President and General Counsel of Comcast Corporation, Thomas R. Nathan, Esquire, Senior Vice President of the cable guarantors, and by Davis Polk &amp; Wardwell LLP, Menlo Park, California. Cahill Gordon &amp; Reindel </w:t>
      </w:r>
      <w:r>
        <w:rPr>
          <w:rFonts w:ascii="Arial" w:cs="Arial" w:eastAsia="Arial" w:hAnsi="Arial"/>
          <w:sz w:val="14"/>
          <w:szCs w:val="14"/>
          <w:color w:val="auto"/>
        </w:rPr>
        <w:t>LLP</w:t>
      </w:r>
      <w:r>
        <w:rPr>
          <w:rFonts w:ascii="Arial" w:cs="Arial" w:eastAsia="Arial" w:hAnsi="Arial"/>
          <w:sz w:val="18"/>
          <w:szCs w:val="18"/>
          <w:color w:val="auto"/>
        </w:rPr>
        <w:t>, New York, New York, is representing the underwriters.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consolidated financial statements, and the related consolidated financial statement schedule, incorporated in this prospectus by reference from the Company’s 2009 Annual Report on Form 10-K, and the effectiveness of Comcast Corporation’s internal control over financial reporting have been audited by Deloitte &amp; Touche LLP, an independent registered public accounting firm, as stated in their reports which are incorporated herein by reference (which express an unqualified opinion on the consolidated financial statements and the consolidated financial statement schedule and include an explanatory paragraph referring to the retrospective change in method of accounting for noncontrolling interests, effective January 1, 2009, and the change in method of accounting for split-dollar life insurance agreements on January 1, 2008 and express an unqualified opinion on the effectiveness of internal control over financial reporting). Such consolidated financial statements and consolidated financial statement schedule have been so incorporated in reliance upon the reports of such firm given upon their authority as experts in accounting and auditing.</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118110</wp:posOffset>
            </wp:positionV>
            <wp:extent cx="1397635" cy="3600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pacing w:after="0" w:line="51"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Unsecured senior debt securities</w:t>
            </w:r>
          </w:p>
        </w:tc>
        <w:tc>
          <w:tcPr>
            <w:tcW w:w="1680" w:type="dxa"/>
            <w:vAlign w:val="bottom"/>
          </w:tcPr>
          <w:p>
            <w:pPr>
              <w:ind w:left="1560"/>
              <w:spacing w:after="0"/>
              <w:rPr>
                <w:sz w:val="20"/>
                <w:szCs w:val="20"/>
                <w:color w:val="auto"/>
              </w:rPr>
            </w:pPr>
            <w:r>
              <w:rPr>
                <w:rFonts w:ascii="Arial" w:cs="Arial" w:eastAsia="Arial" w:hAnsi="Arial"/>
                <w:sz w:val="18"/>
                <w:szCs w:val="18"/>
                <w:color w:val="auto"/>
              </w:rPr>
              <w:t>•</w:t>
            </w:r>
          </w:p>
        </w:tc>
        <w:tc>
          <w:tcPr>
            <w:tcW w:w="2260" w:type="dxa"/>
            <w:vAlign w:val="bottom"/>
          </w:tcPr>
          <w:p>
            <w:pPr>
              <w:ind w:left="80"/>
              <w:spacing w:after="0"/>
              <w:rPr>
                <w:sz w:val="20"/>
                <w:szCs w:val="20"/>
                <w:color w:val="auto"/>
              </w:rPr>
            </w:pPr>
            <w:r>
              <w:rPr>
                <w:rFonts w:ascii="Arial" w:cs="Arial" w:eastAsia="Arial" w:hAnsi="Arial"/>
                <w:sz w:val="18"/>
                <w:szCs w:val="18"/>
                <w:color w:val="auto"/>
              </w:rPr>
              <w:t>Preferred stock</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Unsecured subordinated debt securities</w:t>
            </w:r>
          </w:p>
        </w:tc>
        <w:tc>
          <w:tcPr>
            <w:tcW w:w="1680" w:type="dxa"/>
            <w:vAlign w:val="bottom"/>
          </w:tcPr>
          <w:p>
            <w:pPr>
              <w:ind w:left="1560"/>
              <w:spacing w:after="0"/>
              <w:rPr>
                <w:sz w:val="20"/>
                <w:szCs w:val="20"/>
                <w:color w:val="auto"/>
              </w:rPr>
            </w:pPr>
            <w:r>
              <w:rPr>
                <w:rFonts w:ascii="Arial" w:cs="Arial" w:eastAsia="Arial" w:hAnsi="Arial"/>
                <w:sz w:val="18"/>
                <w:szCs w:val="18"/>
                <w:color w:val="auto"/>
              </w:rPr>
              <w:t>•</w:t>
            </w:r>
          </w:p>
        </w:tc>
        <w:tc>
          <w:tcPr>
            <w:tcW w:w="2260" w:type="dxa"/>
            <w:vAlign w:val="bottom"/>
          </w:tcPr>
          <w:p>
            <w:pPr>
              <w:ind w:left="80"/>
              <w:spacing w:after="0"/>
              <w:rPr>
                <w:sz w:val="20"/>
                <w:szCs w:val="20"/>
                <w:color w:val="auto"/>
              </w:rPr>
            </w:pPr>
            <w:r>
              <w:rPr>
                <w:rFonts w:ascii="Arial" w:cs="Arial" w:eastAsia="Arial" w:hAnsi="Arial"/>
                <w:sz w:val="18"/>
                <w:szCs w:val="18"/>
                <w:color w:val="auto"/>
              </w:rPr>
              <w:t>Depositary shares</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Warrants</w:t>
            </w:r>
          </w:p>
        </w:tc>
        <w:tc>
          <w:tcPr>
            <w:tcW w:w="3940" w:type="dxa"/>
            <w:vAlign w:val="bottom"/>
            <w:gridSpan w:val="2"/>
          </w:tcPr>
          <w:p>
            <w:pPr>
              <w:ind w:left="1560"/>
              <w:spacing w:after="0"/>
              <w:rPr>
                <w:sz w:val="20"/>
                <w:szCs w:val="20"/>
                <w:color w:val="auto"/>
              </w:rPr>
            </w:pPr>
            <w:r>
              <w:rPr>
                <w:rFonts w:ascii="Arial" w:cs="Arial" w:eastAsia="Arial" w:hAnsi="Arial"/>
                <w:sz w:val="18"/>
                <w:szCs w:val="18"/>
                <w:color w:val="auto"/>
              </w:rPr>
              <w:t>•  Class A common stock</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Purchase contracts</w:t>
            </w:r>
          </w:p>
        </w:tc>
        <w:tc>
          <w:tcPr>
            <w:tcW w:w="3940" w:type="dxa"/>
            <w:vAlign w:val="bottom"/>
            <w:gridSpan w:val="2"/>
          </w:tcPr>
          <w:p>
            <w:pPr>
              <w:ind w:left="1560"/>
              <w:spacing w:after="0"/>
              <w:rPr>
                <w:sz w:val="20"/>
                <w:szCs w:val="20"/>
                <w:color w:val="auto"/>
              </w:rPr>
            </w:pPr>
            <w:r>
              <w:rPr>
                <w:rFonts w:ascii="Arial" w:cs="Arial" w:eastAsia="Arial" w:hAnsi="Arial"/>
                <w:sz w:val="18"/>
                <w:szCs w:val="18"/>
                <w:color w:val="auto"/>
                <w:w w:val="89"/>
              </w:rPr>
              <w:t>•  Class A Special common stock</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4360" w:type="dxa"/>
            <w:vAlign w:val="bottom"/>
          </w:tcPr>
          <w:p>
            <w:pPr>
              <w:ind w:left="60"/>
              <w:spacing w:after="0"/>
              <w:rPr>
                <w:sz w:val="20"/>
                <w:szCs w:val="20"/>
                <w:color w:val="auto"/>
              </w:rPr>
            </w:pPr>
            <w:r>
              <w:rPr>
                <w:rFonts w:ascii="Arial" w:cs="Arial" w:eastAsia="Arial" w:hAnsi="Arial"/>
                <w:sz w:val="18"/>
                <w:szCs w:val="18"/>
                <w:color w:val="auto"/>
              </w:rPr>
              <w:t>Units</w:t>
            </w:r>
          </w:p>
        </w:tc>
        <w:tc>
          <w:tcPr>
            <w:tcW w:w="1680" w:type="dxa"/>
            <w:vAlign w:val="bottom"/>
          </w:tcPr>
          <w:p>
            <w:pPr>
              <w:spacing w:after="0"/>
              <w:rPr>
                <w:sz w:val="24"/>
                <w:szCs w:val="24"/>
                <w:color w:val="auto"/>
              </w:rPr>
            </w:pPr>
          </w:p>
        </w:tc>
        <w:tc>
          <w:tcPr>
            <w:tcW w:w="2260" w:type="dxa"/>
            <w:vAlign w:val="bottom"/>
          </w:tcPr>
          <w:p>
            <w:pPr>
              <w:spacing w:after="0"/>
              <w:rPr>
                <w:sz w:val="24"/>
                <w:szCs w:val="24"/>
                <w:color w:val="auto"/>
              </w:rPr>
            </w:pPr>
          </w:p>
        </w:tc>
      </w:tr>
    </w:tbl>
    <w:p>
      <w:pPr>
        <w:spacing w:after="0" w:line="169"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cable subsidiaries named in this prospectus.</w:t>
      </w:r>
    </w:p>
    <w:p>
      <w:pPr>
        <w:spacing w:after="0" w:line="132"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April 24, 2009, the reported last sale prices on the Nasdaq Global Select Market for our Class A common stock and our Class A Special common stock were $13.89 and $12.99,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540" w:type="dxa"/>
        <w:tblCellMar>
          <w:top w:w="0" w:type="dxa"/>
          <w:left w:w="0" w:type="dxa"/>
          <w:bottom w:w="0" w:type="dxa"/>
          <w:right w:w="0" w:type="dxa"/>
        </w:tblCellMar>
      </w:tblPr>
      <w:tr>
        <w:trPr>
          <w:trHeight w:val="222"/>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Maturity</w:t>
            </w:r>
          </w:p>
        </w:tc>
        <w:tc>
          <w:tcPr>
            <w:tcW w:w="1360" w:type="dxa"/>
            <w:vAlign w:val="bottom"/>
          </w:tcPr>
          <w:p>
            <w:pPr>
              <w:ind w:left="124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Dividends</w:t>
            </w:r>
          </w:p>
        </w:tc>
        <w:tc>
          <w:tcPr>
            <w:tcW w:w="3000" w:type="dxa"/>
            <w:vAlign w:val="bottom"/>
            <w:gridSpan w:val="2"/>
          </w:tcPr>
          <w:p>
            <w:pPr>
              <w:ind w:left="660"/>
              <w:spacing w:after="0"/>
              <w:rPr>
                <w:sz w:val="20"/>
                <w:szCs w:val="20"/>
                <w:color w:val="auto"/>
              </w:rPr>
            </w:pPr>
            <w:r>
              <w:rPr>
                <w:rFonts w:ascii="Arial" w:cs="Arial" w:eastAsia="Arial" w:hAnsi="Arial"/>
                <w:sz w:val="18"/>
                <w:szCs w:val="18"/>
                <w:color w:val="auto"/>
                <w:w w:val="89"/>
              </w:rPr>
              <w:t>•  Conversion or exchange rights</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Interest rate</w:t>
            </w:r>
          </w:p>
        </w:tc>
        <w:tc>
          <w:tcPr>
            <w:tcW w:w="1360" w:type="dxa"/>
            <w:vAlign w:val="bottom"/>
          </w:tcPr>
          <w:p>
            <w:pPr>
              <w:ind w:left="1240"/>
              <w:spacing w:after="0"/>
              <w:rPr>
                <w:sz w:val="20"/>
                <w:szCs w:val="20"/>
                <w:color w:val="auto"/>
              </w:rPr>
            </w:pPr>
            <w:r>
              <w:rPr>
                <w:rFonts w:ascii="Arial" w:cs="Arial" w:eastAsia="Arial" w:hAnsi="Arial"/>
                <w:sz w:val="18"/>
                <w:szCs w:val="18"/>
                <w:color w:val="auto"/>
              </w:rPr>
              <w:t>•</w:t>
            </w:r>
          </w:p>
        </w:tc>
        <w:tc>
          <w:tcPr>
            <w:tcW w:w="2980" w:type="dxa"/>
            <w:vAlign w:val="bottom"/>
          </w:tcPr>
          <w:p>
            <w:pPr>
              <w:ind w:left="60"/>
              <w:spacing w:after="0"/>
              <w:rPr>
                <w:sz w:val="20"/>
                <w:szCs w:val="20"/>
                <w:color w:val="auto"/>
              </w:rPr>
            </w:pPr>
            <w:r>
              <w:rPr>
                <w:rFonts w:ascii="Arial" w:cs="Arial" w:eastAsia="Arial" w:hAnsi="Arial"/>
                <w:sz w:val="18"/>
                <w:szCs w:val="18"/>
                <w:color w:val="auto"/>
              </w:rPr>
              <w:t>Redemption terms</w:t>
            </w:r>
          </w:p>
        </w:tc>
        <w:tc>
          <w:tcPr>
            <w:tcW w:w="800" w:type="dxa"/>
            <w:vAlign w:val="bottom"/>
          </w:tcPr>
          <w:p>
            <w:pPr>
              <w:ind w:left="66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Liquidation amount</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Sinking fund terms</w:t>
            </w:r>
          </w:p>
        </w:tc>
        <w:tc>
          <w:tcPr>
            <w:tcW w:w="4340" w:type="dxa"/>
            <w:vAlign w:val="bottom"/>
            <w:gridSpan w:val="2"/>
          </w:tcPr>
          <w:p>
            <w:pPr>
              <w:ind w:left="1240"/>
              <w:spacing w:after="0"/>
              <w:rPr>
                <w:sz w:val="20"/>
                <w:szCs w:val="20"/>
                <w:color w:val="auto"/>
              </w:rPr>
            </w:pPr>
            <w:r>
              <w:rPr>
                <w:rFonts w:ascii="Arial" w:cs="Arial" w:eastAsia="Arial" w:hAnsi="Arial"/>
                <w:sz w:val="18"/>
                <w:szCs w:val="18"/>
                <w:color w:val="auto"/>
              </w:rPr>
              <w:t>•  Listing on a securities exchange</w:t>
            </w:r>
          </w:p>
        </w:tc>
        <w:tc>
          <w:tcPr>
            <w:tcW w:w="800" w:type="dxa"/>
            <w:vAlign w:val="bottom"/>
          </w:tcPr>
          <w:p>
            <w:pPr>
              <w:ind w:left="660"/>
              <w:spacing w:after="0"/>
              <w:rPr>
                <w:sz w:val="20"/>
                <w:szCs w:val="20"/>
                <w:color w:val="auto"/>
              </w:rPr>
            </w:pPr>
            <w:r>
              <w:rPr>
                <w:rFonts w:ascii="Arial" w:cs="Arial" w:eastAsia="Arial" w:hAnsi="Arial"/>
                <w:sz w:val="18"/>
                <w:szCs w:val="18"/>
                <w:color w:val="auto"/>
              </w:rPr>
              <w:t>•</w:t>
            </w:r>
          </w:p>
        </w:tc>
        <w:tc>
          <w:tcPr>
            <w:tcW w:w="2200" w:type="dxa"/>
            <w:vAlign w:val="bottom"/>
          </w:tcPr>
          <w:p>
            <w:pPr>
              <w:ind w:left="60"/>
              <w:spacing w:after="0"/>
              <w:rPr>
                <w:sz w:val="20"/>
                <w:szCs w:val="20"/>
                <w:color w:val="auto"/>
              </w:rPr>
            </w:pPr>
            <w:r>
              <w:rPr>
                <w:rFonts w:ascii="Arial" w:cs="Arial" w:eastAsia="Arial" w:hAnsi="Arial"/>
                <w:sz w:val="18"/>
                <w:szCs w:val="18"/>
                <w:color w:val="auto"/>
              </w:rPr>
              <w:t>Subsidiary guarantees</w:t>
            </w:r>
          </w:p>
        </w:tc>
      </w:tr>
      <w:tr>
        <w:trPr>
          <w:trHeight w:val="284"/>
        </w:trPr>
        <w:tc>
          <w:tcPr>
            <w:tcW w:w="140" w:type="dxa"/>
            <w:vAlign w:val="bottom"/>
          </w:tcPr>
          <w:p>
            <w:pPr>
              <w:spacing w:after="0"/>
              <w:rPr>
                <w:sz w:val="20"/>
                <w:szCs w:val="20"/>
                <w:color w:val="auto"/>
              </w:rPr>
            </w:pPr>
            <w:r>
              <w:rPr>
                <w:rFonts w:ascii="Arial" w:cs="Arial" w:eastAsia="Arial" w:hAnsi="Arial"/>
                <w:sz w:val="18"/>
                <w:szCs w:val="18"/>
                <w:color w:val="auto"/>
              </w:rPr>
              <w:t>•</w:t>
            </w:r>
          </w:p>
        </w:tc>
        <w:tc>
          <w:tcPr>
            <w:tcW w:w="2860" w:type="dxa"/>
            <w:vAlign w:val="bottom"/>
          </w:tcPr>
          <w:p>
            <w:pPr>
              <w:ind w:left="60"/>
              <w:spacing w:after="0"/>
              <w:rPr>
                <w:sz w:val="20"/>
                <w:szCs w:val="20"/>
                <w:color w:val="auto"/>
              </w:rPr>
            </w:pPr>
            <w:r>
              <w:rPr>
                <w:rFonts w:ascii="Arial" w:cs="Arial" w:eastAsia="Arial" w:hAnsi="Arial"/>
                <w:sz w:val="18"/>
                <w:szCs w:val="18"/>
                <w:color w:val="auto"/>
              </w:rPr>
              <w:t>Currency of payments</w:t>
            </w:r>
          </w:p>
        </w:tc>
        <w:tc>
          <w:tcPr>
            <w:tcW w:w="4340" w:type="dxa"/>
            <w:vAlign w:val="bottom"/>
            <w:gridSpan w:val="2"/>
          </w:tcPr>
          <w:p>
            <w:pPr>
              <w:ind w:left="1240"/>
              <w:spacing w:after="0"/>
              <w:rPr>
                <w:sz w:val="20"/>
                <w:szCs w:val="20"/>
                <w:color w:val="auto"/>
              </w:rPr>
            </w:pPr>
            <w:r>
              <w:rPr>
                <w:rFonts w:ascii="Arial" w:cs="Arial" w:eastAsia="Arial" w:hAnsi="Arial"/>
                <w:sz w:val="18"/>
                <w:szCs w:val="18"/>
                <w:color w:val="auto"/>
              </w:rPr>
              <w:t>•  Amount payable at maturity</w:t>
            </w:r>
          </w:p>
        </w:tc>
        <w:tc>
          <w:tcPr>
            <w:tcW w:w="80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3"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13 of our annual report on Form 10-K for the year ended December 31, 2008,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29"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9"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date of this prospectus is April 27, 2009</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32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20" w:type="dxa"/>
            <w:vAlign w:val="bottom"/>
            <w:gridSpan w:val="3"/>
            <w:vMerge w:val="restart"/>
          </w:tcPr>
          <w:p>
            <w:pPr>
              <w:spacing w:after="0"/>
              <w:rPr>
                <w:rFonts w:ascii="Arial" w:cs="Arial" w:eastAsia="Arial" w:hAnsi="Arial"/>
                <w:sz w:val="18"/>
                <w:szCs w:val="18"/>
                <w:color w:val="0000EE"/>
                <w:w w:val="86"/>
              </w:rPr>
            </w:pPr>
            <w:hyperlink w:anchor="page29">
              <w:r>
                <w:rPr>
                  <w:rFonts w:ascii="Arial" w:cs="Arial" w:eastAsia="Arial" w:hAnsi="Arial"/>
                  <w:sz w:val="18"/>
                  <w:szCs w:val="18"/>
                  <w:color w:val="0000EE"/>
                  <w:w w:val="86"/>
                </w:rPr>
                <w:t>The Companies</w:t>
              </w:r>
            </w:hyperlink>
          </w:p>
        </w:tc>
        <w:tc>
          <w:tcPr>
            <w:tcW w:w="9920" w:type="dxa"/>
            <w:vAlign w:val="bottom"/>
            <w:gridSpan w:val="10"/>
            <w:vMerge w:val="restart"/>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0000EE"/>
            </w:tcBorders>
            <w:gridSpan w:val="3"/>
            <w:vMerge w:val="continue"/>
          </w:tcPr>
          <w:p>
            <w:pPr>
              <w:spacing w:after="0"/>
              <w:rPr>
                <w:sz w:val="14"/>
                <w:szCs w:val="14"/>
                <w:color w:val="auto"/>
              </w:rPr>
            </w:pPr>
          </w:p>
        </w:tc>
        <w:tc>
          <w:tcPr>
            <w:tcW w:w="9920" w:type="dxa"/>
            <w:vAlign w:val="bottom"/>
            <w:gridSpan w:val="10"/>
            <w:vMerge w:val="continue"/>
          </w:tcPr>
          <w:p>
            <w:pPr>
              <w:spacing w:after="0"/>
              <w:rPr>
                <w:sz w:val="14"/>
                <w:szCs w:val="14"/>
                <w:color w:val="auto"/>
              </w:rPr>
            </w:pPr>
          </w:p>
        </w:tc>
        <w:tc>
          <w:tcPr>
            <w:tcW w:w="28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Caution Concerning Forward-Looking Statements</w:t>
              </w:r>
            </w:hyperlink>
          </w:p>
        </w:tc>
        <w:tc>
          <w:tcPr>
            <w:tcW w:w="75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3"/>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Use of Proceeds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31">
              <w:r>
                <w:rPr>
                  <w:rFonts w:ascii="Arial" w:cs="Arial" w:eastAsia="Arial" w:hAnsi="Arial"/>
                  <w:sz w:val="18"/>
                  <w:szCs w:val="18"/>
                  <w:color w:val="0000EE"/>
                  <w:w w:val="92"/>
                </w:rPr>
                <w:t>Dividend Policy</w:t>
              </w:r>
            </w:hyperlink>
          </w:p>
        </w:tc>
        <w:tc>
          <w:tcPr>
            <w:tcW w:w="9880" w:type="dxa"/>
            <w:vAlign w:val="bottom"/>
            <w:gridSpan w:val="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40" w:type="dxa"/>
            <w:vAlign w:val="bottom"/>
            <w:gridSpan w:val="13"/>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Ratios of Earnings to Fixed Charges and of Earnings to Combined Fixed Charges and Preferred Dividends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Description of Debt Securities and Cable Guarantees</w:t>
              </w:r>
            </w:hyperlink>
          </w:p>
        </w:tc>
        <w:tc>
          <w:tcPr>
            <w:tcW w:w="356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Global Securities</w:t>
              </w:r>
            </w:hyperlink>
          </w:p>
        </w:tc>
        <w:tc>
          <w:tcPr>
            <w:tcW w:w="7320" w:type="dxa"/>
            <w:vAlign w:val="bottom"/>
            <w:gridSpan w:val="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Description of Capital Stock</w:t>
              </w:r>
            </w:hyperlink>
          </w:p>
        </w:tc>
        <w:tc>
          <w:tcPr>
            <w:tcW w:w="902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40" w:type="dxa"/>
            <w:vAlign w:val="bottom"/>
            <w:gridSpan w:val="13"/>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Plan of Distribution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Legal Matters</w:t>
              </w:r>
            </w:hyperlink>
          </w:p>
        </w:tc>
        <w:tc>
          <w:tcPr>
            <w:tcW w:w="9640" w:type="dxa"/>
            <w:vAlign w:val="bottom"/>
            <w:gridSpan w:val="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Experts</w:t>
              </w:r>
            </w:hyperlink>
          </w:p>
        </w:tc>
        <w:tc>
          <w:tcPr>
            <w:tcW w:w="1006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1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Available Information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5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Incorporation of Certain Documents by Reference</w:t>
              </w:r>
            </w:hyperlink>
          </w:p>
        </w:tc>
        <w:tc>
          <w:tcPr>
            <w:tcW w:w="750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refer to Comcast Corporation in this prospectus as “Comcast” or “we,” “us,” “our” or comparable terms and to Comcast Holdings Corporation as “Comcast Holdings.” We refer to Comcast Cable Communications, LLC as “Comcast Cable,” Comcast Cable Communications Holdings, Inc. as “Comcast Cable Communications Holdings,” Comcast MO Group, Inc. as “Comcast MO Group,” Comcast Cable Holdings, LLC as “Comcast Cable Holdings,” Comcast MO of Delaware, LLC as “Comcast MO of Delaware,” and all of them collectively as the “Cable Guarantors.”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COMPANIES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We are the nation’s leading provider of cable services, offering a variety of entertainment, information and communications services to residential and commercial customers. As of December 31, 2008, our cable systems served approximately 24.2 million video customers, 14.9 million high-speed Internet customers and 6.5 million phone customers and passed over 50.6 million homes in 39 states and the District of Columbia. We report the results of these operations as our Cable segment, which generates approximately 95% of our consolidated revenue. Our Cable segment also includes the operations of our regional sports networks. Our other reportable segment, Programming, consists primarily of our national programming networks, including E!, Golf Channel, VERSUS, G4 and Style. We were incorporated under the laws of Pennsylvania in December 2001. Through our predecessors, we have developed, managed and operated cable systems since 1963.</w:t>
      </w:r>
    </w:p>
    <w:p>
      <w:pPr>
        <w:spacing w:after="0" w:line="147"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Our other business interests include Comcast Interactive Media and Comcast Spectacor. Comcast Interactive Media develops and operates Comcast’s Internet businesses focused on entertainment, information and communication, including Comcast.net, Fancast, thePlatform, Fandango, Plaxo and DailyCandy. Comcast Spectacor owns two professional sports teams and two large, multipurpose arenas, and manages other facilities for sporting events, concerts and other events.</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 incorporated by reference in this prospectus. For instructions on how to find copies of these and our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obligations, including the payment of principal, premium, if any, and interest on the debt securities issued pursuant to this prospectus will be fully and unconditionally guaranteed by each of Comcast Cable, Comcast Cable Communications Holdings, Comcast Cable Holdings, Comcast MO Group and Comcast MO of Delaware. In this prospectus, we refer to these guarantors as the cable guarantors and to these guarantees as the cable guarantees. We have numerous other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Holdings, Inc.</w:t>
      </w:r>
    </w:p>
    <w:p>
      <w:pPr>
        <w:spacing w:after="0" w:line="9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Comcast Cable Communications Holdings is a Delaware corporation (formerly known as AT&amp;T Broadband Corp.) incorporated in 2001 and a wholly owned subsidiary of ours.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 owned subsidiary of Comcast Cable Communications Holdings.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 owned subsidiary of Comcast Cable Communications Holdings.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 owned subsidiary of Comcast MO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174625</wp:posOffset>
            </wp:positionV>
            <wp:extent cx="151765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Our principal executive offices are located at One Comcast Center, Philadelphia, Pennsylvania 19103-2838, and our telephone number is (215) 286-1700. We maintain a Web site at http://www.comcast.com where general information about us is available. We are not incorporating the contents of the Web site into this prospectus.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0" w:right="3120" w:firstLine="2664"/>
        <w:spacing w:after="0" w:line="394" w:lineRule="auto"/>
        <w:rPr>
          <w:sz w:val="20"/>
          <w:szCs w:val="20"/>
          <w:color w:val="auto"/>
        </w:rPr>
      </w:pPr>
      <w:r>
        <w:rPr>
          <w:rFonts w:ascii="Arial" w:cs="Arial" w:eastAsia="Arial" w:hAnsi="Arial"/>
          <w:sz w:val="18"/>
          <w:szCs w:val="18"/>
          <w:b w:val="1"/>
          <w:bCs w:val="1"/>
          <w:color w:val="auto"/>
        </w:rPr>
        <w:t xml:space="preserve">CAUTION CONCERNING FORWARD-LOOKING STATEMENTS </w:t>
      </w:r>
      <w:r>
        <w:rPr>
          <w:rFonts w:ascii="Arial" w:cs="Arial" w:eastAsia="Arial" w:hAnsi="Arial"/>
          <w:sz w:val="18"/>
          <w:szCs w:val="18"/>
          <w:color w:val="auto"/>
        </w:rPr>
        <w:t>Our businesses may be affected by, among other things, the following:</w:t>
      </w:r>
    </w:p>
    <w:p>
      <w:pPr>
        <w:spacing w:after="0" w:line="2" w:lineRule="exact"/>
        <w:rPr>
          <w:sz w:val="20"/>
          <w:szCs w:val="20"/>
          <w:color w:val="auto"/>
        </w:rPr>
      </w:pPr>
    </w:p>
    <w:p>
      <w:pPr>
        <w:ind w:left="900" w:hanging="325"/>
        <w:spacing w:after="0"/>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all of the services offered by our cable systems face a wide range of competition that could adversely affect our future results of operations;</w:t>
      </w:r>
    </w:p>
    <w:p>
      <w:pPr>
        <w:spacing w:after="0" w:line="113" w:lineRule="exact"/>
        <w:rPr>
          <w:rFonts w:ascii="Arial" w:cs="Arial" w:eastAsia="Arial" w:hAnsi="Arial"/>
          <w:sz w:val="16"/>
          <w:szCs w:val="16"/>
          <w:color w:val="auto"/>
        </w:rPr>
      </w:pPr>
    </w:p>
    <w:p>
      <w:pPr>
        <w:ind w:left="900" w:right="36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face increased competition because of technological advances and new regulatory requirements, which could adversely affect our future results of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programming expenses are increasing, which could adversely affect our future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subject to regulation by federal, state and local governments, which may impose additional costs and restrictions;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weakening economic conditions may have a negative impact on our results of operations and financial condition;</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technology, and a disruption or failure of such networks, systems or technology may disrupt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 and</w:t>
      </w:r>
    </w:p>
    <w:p>
      <w:pPr>
        <w:spacing w:after="0" w:line="50" w:lineRule="exact"/>
        <w:rPr>
          <w:rFonts w:ascii="Arial" w:cs="Arial" w:eastAsia="Arial" w:hAnsi="Arial"/>
          <w:sz w:val="18"/>
          <w:szCs w:val="18"/>
          <w:color w:val="auto"/>
        </w:rPr>
      </w:pPr>
    </w:p>
    <w:p>
      <w:pPr>
        <w:ind w:left="900" w:right="60" w:hanging="325"/>
        <w:spacing w:after="0" w:line="33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operations through his beneficial ownership of our Class B common stock.</w:t>
      </w:r>
    </w:p>
    <w:p>
      <w:pPr>
        <w:spacing w:after="0" w:line="8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this prospectus and in the documents we incorporate by reference, we state our beliefs of future events and of our future financial performance.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2008 incorporated herein by reference. Actual events or our actual results may differ materially from any of our forward-looking statements. We undertake no obligation to update any forward-looking statements.</w:t>
      </w: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We intend to use the net proceeds from the sale of the securities for working capital and general corporate purposes. We may also invest the proceeds in certificates of deposit, United States government securities or certain other interest-bearing securities. If we decide to use the net proceeds from a particular offering of securities for a specific purpose, we will describe that in the related prospectus supplement.</w:t>
      </w:r>
    </w:p>
    <w:p>
      <w:pPr>
        <w:spacing w:after="0" w:line="2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intend to pay quarterly dividends at an annual rate currently of $0.27 per share. Our Board of Directors retains the right to change our dividend policy at any time.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 CHARGES AND PREFERRED DIVIDENDS</w:t>
      </w:r>
    </w:p>
    <w:p>
      <w:pPr>
        <w:spacing w:after="0" w:line="177"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2500" w:type="dxa"/>
            <w:vAlign w:val="bottom"/>
            <w:tcBorders>
              <w:top w:val="single" w:sz="8" w:color="auto"/>
            </w:tcBorders>
          </w:tcPr>
          <w:p>
            <w:pPr>
              <w:jc w:val="right"/>
              <w:ind w:right="1037"/>
              <w:spacing w:after="0" w:line="156" w:lineRule="exact"/>
              <w:rPr>
                <w:sz w:val="20"/>
                <w:szCs w:val="20"/>
                <w:color w:val="auto"/>
              </w:rPr>
            </w:pPr>
            <w:r>
              <w:rPr>
                <w:rFonts w:ascii="Arial" w:cs="Arial" w:eastAsia="Arial" w:hAnsi="Arial"/>
                <w:sz w:val="14"/>
                <w:szCs w:val="14"/>
                <w:b w:val="1"/>
                <w:bCs w:val="1"/>
                <w:color w:val="auto"/>
              </w:rPr>
              <w:t>2008</w:t>
            </w:r>
          </w:p>
        </w:tc>
        <w:tc>
          <w:tcPr>
            <w:tcW w:w="120" w:type="dxa"/>
            <w:vAlign w:val="bottom"/>
            <w:tcBorders>
              <w:top w:val="single" w:sz="8" w:color="auto"/>
            </w:tcBorders>
          </w:tcPr>
          <w:p>
            <w:pPr>
              <w:spacing w:after="0"/>
              <w:rPr>
                <w:sz w:val="13"/>
                <w:szCs w:val="13"/>
                <w:color w:val="auto"/>
              </w:rPr>
            </w:pPr>
          </w:p>
        </w:tc>
        <w:tc>
          <w:tcPr>
            <w:tcW w:w="2060" w:type="dxa"/>
            <w:vAlign w:val="bottom"/>
            <w:tcBorders>
              <w:top w:val="single" w:sz="8" w:color="auto"/>
            </w:tcBorders>
          </w:tcPr>
          <w:p>
            <w:pPr>
              <w:jc w:val="center"/>
              <w:spacing w:after="0" w:line="156" w:lineRule="exact"/>
              <w:rPr>
                <w:sz w:val="20"/>
                <w:szCs w:val="20"/>
                <w:color w:val="auto"/>
              </w:rPr>
            </w:pPr>
            <w:r>
              <w:rPr>
                <w:rFonts w:ascii="Arial" w:cs="Arial" w:eastAsia="Arial" w:hAnsi="Arial"/>
                <w:sz w:val="14"/>
                <w:szCs w:val="14"/>
                <w:b w:val="1"/>
                <w:bCs w:val="1"/>
                <w:color w:val="auto"/>
                <w:w w:val="83"/>
              </w:rPr>
              <w:t>2007</w:t>
            </w:r>
          </w:p>
        </w:tc>
        <w:tc>
          <w:tcPr>
            <w:tcW w:w="1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tcPr>
          <w:p>
            <w:pPr>
              <w:jc w:val="center"/>
              <w:ind w:right="499"/>
              <w:spacing w:after="0" w:line="156" w:lineRule="exact"/>
              <w:rPr>
                <w:sz w:val="20"/>
                <w:szCs w:val="20"/>
                <w:color w:val="auto"/>
              </w:rPr>
            </w:pPr>
            <w:r>
              <w:rPr>
                <w:rFonts w:ascii="Arial" w:cs="Arial" w:eastAsia="Arial" w:hAnsi="Arial"/>
                <w:sz w:val="14"/>
                <w:szCs w:val="14"/>
                <w:b w:val="1"/>
                <w:bCs w:val="1"/>
                <w:color w:val="auto"/>
                <w:w w:val="83"/>
              </w:rPr>
              <w:t>2006</w:t>
            </w:r>
          </w:p>
        </w:tc>
        <w:tc>
          <w:tcPr>
            <w:tcW w:w="2260" w:type="dxa"/>
            <w:vAlign w:val="bottom"/>
            <w:tcBorders>
              <w:top w:val="single" w:sz="8" w:color="auto"/>
            </w:tcBorders>
            <w:gridSpan w:val="2"/>
          </w:tcPr>
          <w:p>
            <w:pPr>
              <w:jc w:val="center"/>
              <w:ind w:left="32"/>
              <w:spacing w:after="0" w:line="156" w:lineRule="exact"/>
              <w:rPr>
                <w:sz w:val="20"/>
                <w:szCs w:val="20"/>
                <w:color w:val="auto"/>
              </w:rPr>
            </w:pPr>
            <w:r>
              <w:rPr>
                <w:rFonts w:ascii="Arial" w:cs="Arial" w:eastAsia="Arial" w:hAnsi="Arial"/>
                <w:sz w:val="14"/>
                <w:szCs w:val="14"/>
                <w:b w:val="1"/>
                <w:bCs w:val="1"/>
                <w:color w:val="auto"/>
                <w:w w:val="89"/>
              </w:rPr>
              <w:t>2005</w:t>
            </w:r>
          </w:p>
        </w:tc>
        <w:tc>
          <w:tcPr>
            <w:tcW w:w="2160" w:type="dxa"/>
            <w:vAlign w:val="bottom"/>
            <w:tcBorders>
              <w:top w:val="single" w:sz="8" w:color="auto"/>
            </w:tcBorders>
            <w:gridSpan w:val="2"/>
          </w:tcPr>
          <w:p>
            <w:pPr>
              <w:jc w:val="center"/>
              <w:ind w:left="32"/>
              <w:spacing w:after="0" w:line="156" w:lineRule="exact"/>
              <w:rPr>
                <w:sz w:val="20"/>
                <w:szCs w:val="20"/>
                <w:color w:val="auto"/>
              </w:rPr>
            </w:pPr>
            <w:r>
              <w:rPr>
                <w:rFonts w:ascii="Arial" w:cs="Arial" w:eastAsia="Arial" w:hAnsi="Arial"/>
                <w:sz w:val="14"/>
                <w:szCs w:val="14"/>
                <w:b w:val="1"/>
                <w:bCs w:val="1"/>
                <w:color w:val="auto"/>
                <w:w w:val="83"/>
              </w:rPr>
              <w:t>2004</w:t>
            </w:r>
          </w:p>
        </w:tc>
      </w:tr>
      <w:tr>
        <w:trPr>
          <w:trHeight w:val="201"/>
        </w:trPr>
        <w:tc>
          <w:tcPr>
            <w:tcW w:w="20" w:type="dxa"/>
            <w:vAlign w:val="bottom"/>
          </w:tcPr>
          <w:p>
            <w:pPr>
              <w:spacing w:after="0"/>
              <w:rPr>
                <w:sz w:val="17"/>
                <w:szCs w:val="17"/>
                <w:color w:val="auto"/>
              </w:rPr>
            </w:pPr>
          </w:p>
        </w:tc>
        <w:tc>
          <w:tcPr>
            <w:tcW w:w="25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b w:val="1"/>
                <w:bCs w:val="1"/>
                <w:color w:val="auto"/>
                <w:w w:val="83"/>
              </w:rPr>
              <w:t>Ratio of earnings to fixed charges:</w:t>
            </w:r>
          </w:p>
        </w:tc>
        <w:tc>
          <w:tcPr>
            <w:tcW w:w="12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60" w:type="dxa"/>
            <w:vAlign w:val="bottom"/>
            <w:tcBorders>
              <w:top w:val="single" w:sz="8" w:color="auto"/>
            </w:tcBorders>
          </w:tcPr>
          <w:p>
            <w:pPr>
              <w:spacing w:after="0"/>
              <w:rPr>
                <w:sz w:val="17"/>
                <w:szCs w:val="17"/>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ind w:left="1260"/>
              <w:spacing w:after="0"/>
              <w:rPr>
                <w:sz w:val="20"/>
                <w:szCs w:val="20"/>
                <w:color w:val="auto"/>
              </w:rPr>
            </w:pPr>
            <w:r>
              <w:rPr>
                <w:rFonts w:ascii="Arial" w:cs="Arial" w:eastAsia="Arial" w:hAnsi="Arial"/>
                <w:sz w:val="18"/>
                <w:szCs w:val="18"/>
                <w:color w:val="auto"/>
              </w:rPr>
              <w:t>2.59x</w:t>
            </w:r>
          </w:p>
        </w:tc>
        <w:tc>
          <w:tcPr>
            <w:tcW w:w="276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2.85x</w:t>
            </w:r>
          </w:p>
        </w:tc>
        <w:tc>
          <w:tcPr>
            <w:tcW w:w="1600" w:type="dxa"/>
            <w:vAlign w:val="bottom"/>
          </w:tcPr>
          <w:p>
            <w:pPr>
              <w:jc w:val="center"/>
              <w:ind w:right="499"/>
              <w:spacing w:after="0"/>
              <w:rPr>
                <w:sz w:val="20"/>
                <w:szCs w:val="20"/>
                <w:color w:val="auto"/>
              </w:rPr>
            </w:pPr>
            <w:r>
              <w:rPr>
                <w:rFonts w:ascii="Arial" w:cs="Arial" w:eastAsia="Arial" w:hAnsi="Arial"/>
                <w:sz w:val="18"/>
                <w:szCs w:val="18"/>
                <w:color w:val="auto"/>
                <w:w w:val="87"/>
              </w:rPr>
              <w:t>2.72x(1)</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1.92x(1)</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1.94x(1)</w:t>
            </w:r>
          </w:p>
        </w:tc>
      </w:tr>
      <w:tr>
        <w:trPr>
          <w:trHeight w:val="318"/>
        </w:trPr>
        <w:tc>
          <w:tcPr>
            <w:tcW w:w="5400" w:type="dxa"/>
            <w:vAlign w:val="bottom"/>
            <w:gridSpan w:val="6"/>
          </w:tcPr>
          <w:p>
            <w:pPr>
              <w:spacing w:after="0"/>
              <w:rPr>
                <w:sz w:val="20"/>
                <w:szCs w:val="20"/>
                <w:color w:val="auto"/>
              </w:rPr>
            </w:pPr>
            <w:r>
              <w:rPr>
                <w:rFonts w:ascii="Arial" w:cs="Arial" w:eastAsia="Arial" w:hAnsi="Arial"/>
                <w:sz w:val="18"/>
                <w:szCs w:val="18"/>
                <w:b w:val="1"/>
                <w:bCs w:val="1"/>
                <w:color w:val="auto"/>
                <w:w w:val="90"/>
              </w:rPr>
              <w:t>Ratio of earnings to combined fixed charges and preferred dividends:</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r>
      <w:tr>
        <w:trPr>
          <w:trHeight w:val="222"/>
        </w:trPr>
        <w:tc>
          <w:tcPr>
            <w:tcW w:w="20" w:type="dxa"/>
            <w:vAlign w:val="bottom"/>
          </w:tcPr>
          <w:p>
            <w:pPr>
              <w:spacing w:after="0"/>
              <w:rPr>
                <w:sz w:val="19"/>
                <w:szCs w:val="19"/>
                <w:color w:val="auto"/>
              </w:rPr>
            </w:pPr>
          </w:p>
        </w:tc>
        <w:tc>
          <w:tcPr>
            <w:tcW w:w="2620" w:type="dxa"/>
            <w:vAlign w:val="bottom"/>
            <w:gridSpan w:val="2"/>
          </w:tcPr>
          <w:p>
            <w:pPr>
              <w:ind w:left="1260"/>
              <w:spacing w:after="0"/>
              <w:rPr>
                <w:sz w:val="20"/>
                <w:szCs w:val="20"/>
                <w:color w:val="auto"/>
              </w:rPr>
            </w:pPr>
            <w:r>
              <w:rPr>
                <w:rFonts w:ascii="Arial" w:cs="Arial" w:eastAsia="Arial" w:hAnsi="Arial"/>
                <w:sz w:val="18"/>
                <w:szCs w:val="18"/>
                <w:color w:val="auto"/>
              </w:rPr>
              <w:t>2.59x</w:t>
            </w:r>
          </w:p>
        </w:tc>
        <w:tc>
          <w:tcPr>
            <w:tcW w:w="2760" w:type="dxa"/>
            <w:vAlign w:val="bottom"/>
            <w:gridSpan w:val="3"/>
          </w:tcPr>
          <w:p>
            <w:pPr>
              <w:jc w:val="center"/>
              <w:ind w:right="680"/>
              <w:spacing w:after="0"/>
              <w:rPr>
                <w:sz w:val="20"/>
                <w:szCs w:val="20"/>
                <w:color w:val="auto"/>
              </w:rPr>
            </w:pPr>
            <w:r>
              <w:rPr>
                <w:rFonts w:ascii="Arial" w:cs="Arial" w:eastAsia="Arial" w:hAnsi="Arial"/>
                <w:sz w:val="18"/>
                <w:szCs w:val="18"/>
                <w:color w:val="auto"/>
                <w:w w:val="90"/>
              </w:rPr>
              <w:t>2.84x</w:t>
            </w:r>
          </w:p>
        </w:tc>
        <w:tc>
          <w:tcPr>
            <w:tcW w:w="1600" w:type="dxa"/>
            <w:vAlign w:val="bottom"/>
          </w:tcPr>
          <w:p>
            <w:pPr>
              <w:jc w:val="center"/>
              <w:ind w:right="499"/>
              <w:spacing w:after="0"/>
              <w:rPr>
                <w:sz w:val="20"/>
                <w:szCs w:val="20"/>
                <w:color w:val="auto"/>
              </w:rPr>
            </w:pPr>
            <w:r>
              <w:rPr>
                <w:rFonts w:ascii="Arial" w:cs="Arial" w:eastAsia="Arial" w:hAnsi="Arial"/>
                <w:sz w:val="18"/>
                <w:szCs w:val="18"/>
                <w:color w:val="auto"/>
                <w:w w:val="87"/>
              </w:rPr>
              <w:t>2.72x(1)</w:t>
            </w:r>
          </w:p>
        </w:tc>
        <w:tc>
          <w:tcPr>
            <w:tcW w:w="100" w:type="dxa"/>
            <w:vAlign w:val="bottom"/>
          </w:tcPr>
          <w:p>
            <w:pPr>
              <w:spacing w:after="0"/>
              <w:rPr>
                <w:sz w:val="19"/>
                <w:szCs w:val="19"/>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1.92x(1)</w:t>
            </w:r>
          </w:p>
        </w:tc>
        <w:tc>
          <w:tcPr>
            <w:tcW w:w="100" w:type="dxa"/>
            <w:vAlign w:val="bottom"/>
          </w:tcPr>
          <w:p>
            <w:pPr>
              <w:spacing w:after="0"/>
              <w:rPr>
                <w:sz w:val="19"/>
                <w:szCs w:val="19"/>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90"/>
              </w:rPr>
              <w:t>1.94x(1)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80" w:hanging="452"/>
        <w:spacing w:after="0" w:line="291"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July 2006, in connection with certain transactions with Adelphia and Time Warner, we transferred our previously owned cable systems located in Los Angeles, Cleveland and Dallas to Time Warner Cable. These cable systems are presented as discontinued operations for the years ended on or before December 31, 2006. Accordingly, we have adjusted the ratio of earnings to fixed charges and the ratio of earnings to combined fixed charges and preferred dividends to reflect the impact of discontinued operations. Prior to this adjustment, the ratio of earnings to fixed charges for the years ended December 31, 2005 and 2004 was 2.01x and 1.97x, respectively, and the ratio of earnings to combined fixed charges and preferred dividends for the years ended December 31, 2005 and 2004 was 2.01x and 1.97x, respectively.</w:t>
      </w:r>
    </w:p>
    <w:p>
      <w:pPr>
        <w:spacing w:after="0" w:line="12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5"/>
          <w:szCs w:val="15"/>
          <w:color w:val="auto"/>
        </w:rPr>
        <w:t>For purposes of calculating the ratio of earnings to fixed charges, earnings is the amount resulting from (1) adding (a) pretax income from continuing operations before adjustment for noncontrolling interests in consolidated subsidiaries or income or loss from equity investees, (b) 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w:t>
      </w:r>
    </w:p>
    <w:p>
      <w:pPr>
        <w:spacing w:after="0" w:line="2" w:lineRule="exact"/>
        <w:rPr>
          <w:sz w:val="20"/>
          <w:szCs w:val="20"/>
          <w:color w:val="auto"/>
        </w:rPr>
      </w:pPr>
    </w:p>
    <w:p>
      <w:pPr>
        <w:ind w:right="100" w:firstLine="8"/>
        <w:spacing w:after="0" w:line="302" w:lineRule="auto"/>
        <w:tabs>
          <w:tab w:leader="none" w:pos="249" w:val="left"/>
        </w:tabs>
        <w:numPr>
          <w:ilvl w:val="0"/>
          <w:numId w:val="19"/>
        </w:numPr>
        <w:rPr>
          <w:rFonts w:ascii="Arial" w:cs="Arial" w:eastAsia="Arial" w:hAnsi="Arial"/>
          <w:sz w:val="16"/>
          <w:szCs w:val="16"/>
          <w:color w:val="auto"/>
        </w:rPr>
      </w:pPr>
      <w:r>
        <w:rPr>
          <w:rFonts w:ascii="Arial" w:cs="Arial" w:eastAsia="Arial" w:hAnsi="Arial"/>
          <w:sz w:val="16"/>
          <w:szCs w:val="16"/>
          <w:color w:val="auto"/>
        </w:rPr>
        <w:t>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109"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For purposes of calculating the ratio of earnings to combined fixed charges and preferred dividends, earnings is the amount resulting from (1) adding</w:t>
      </w:r>
    </w:p>
    <w:p>
      <w:pPr>
        <w:spacing w:after="0" w:line="38" w:lineRule="exact"/>
        <w:rPr>
          <w:sz w:val="20"/>
          <w:szCs w:val="20"/>
          <w:color w:val="auto"/>
        </w:rPr>
      </w:pPr>
    </w:p>
    <w:p>
      <w:pPr>
        <w:ind w:left="240" w:hanging="232"/>
        <w:spacing w:after="0"/>
        <w:tabs>
          <w:tab w:leader="none" w:pos="2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pretax income from continuing operations before adjustment for noncontrolling interests in consolidated subsidiaries or income or loss from equity investees,</w:t>
      </w:r>
    </w:p>
    <w:p>
      <w:pPr>
        <w:spacing w:after="0" w:line="32" w:lineRule="exact"/>
        <w:rPr>
          <w:rFonts w:ascii="Arial" w:cs="Arial" w:eastAsia="Arial" w:hAnsi="Arial"/>
          <w:sz w:val="16"/>
          <w:szCs w:val="16"/>
          <w:color w:val="auto"/>
        </w:rPr>
      </w:pPr>
    </w:p>
    <w:p>
      <w:pPr>
        <w:ind w:firstLine="8"/>
        <w:spacing w:after="0" w:line="281" w:lineRule="auto"/>
        <w:tabs>
          <w:tab w:leader="none" w:pos="2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fixed charges, (c) 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w:t>
      </w:r>
    </w:p>
    <w:p>
      <w:pPr>
        <w:spacing w:after="0" w:line="2" w:lineRule="exact"/>
        <w:rPr>
          <w:rFonts w:ascii="Arial" w:cs="Arial" w:eastAsia="Arial" w:hAnsi="Arial"/>
          <w:sz w:val="16"/>
          <w:szCs w:val="16"/>
          <w:color w:val="auto"/>
        </w:rPr>
      </w:pPr>
    </w:p>
    <w:p>
      <w:pPr>
        <w:ind w:right="200" w:firstLine="8"/>
        <w:spacing w:after="0" w:line="254" w:lineRule="auto"/>
        <w:tabs>
          <w:tab w:leader="none" w:pos="288"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interest expensed and capitalized, (x) amortized premiums, discounts and capitalized expenses related to indebtedness, (y) an estimate of the interest within rental expense and (z) preference security dividend requirements of our consolidated subsidiaries. Preferred security dividend is the amount of pretax earnings that is required to pay the dividends on outstanding preference securities. Interest associated with our uncertain tax positions is a component of income tax expense.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w:t>
      </w:r>
    </w:p>
    <w:p>
      <w:pPr>
        <w:spacing w:after="0" w:line="113" w:lineRule="exact"/>
        <w:rPr>
          <w:sz w:val="20"/>
          <w:szCs w:val="20"/>
          <w:color w:val="auto"/>
        </w:rPr>
      </w:pPr>
    </w:p>
    <w:p>
      <w:pPr>
        <w:ind w:left="900" w:right="80" w:hanging="325"/>
        <w:spacing w:after="0" w:line="332"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 the case of senior debt securities, under a senior indenture dated January 7, 2003, as amended by a supplemental indenture dated March 25, 2003, entered into among us, the cable guarantors and The Bank of New York Mellon, formerly known as The Bank of New York, as trustee; and</w:t>
      </w:r>
    </w:p>
    <w:p>
      <w:pPr>
        <w:spacing w:after="0" w:line="4" w:lineRule="exact"/>
        <w:rPr>
          <w:rFonts w:ascii="Arial" w:cs="Arial" w:eastAsia="Arial" w:hAnsi="Arial"/>
          <w:sz w:val="16"/>
          <w:szCs w:val="16"/>
          <w:color w:val="auto"/>
        </w:rPr>
      </w:pPr>
    </w:p>
    <w:p>
      <w:pPr>
        <w:ind w:left="900" w:right="20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Mellon, as trustee.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Capital Stock,” the terms “we,” “us” and “our” refer solely to Comcast Corporation and such references do not include any subsidiaries of Comcast Corporation.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percentage of their principal amount (</w:t>
      </w:r>
      <w:r>
        <w:rPr>
          <w:rFonts w:ascii="Arial" w:cs="Arial" w:eastAsia="Arial" w:hAnsi="Arial"/>
          <w:sz w:val="18"/>
          <w:szCs w:val="18"/>
          <w:i w:val="1"/>
          <w:iCs w:val="1"/>
          <w:color w:val="auto"/>
        </w:rPr>
        <w:t>i.e.</w:t>
      </w:r>
      <w:r>
        <w:rPr>
          <w:rFonts w:ascii="Arial" w:cs="Arial" w:eastAsia="Arial" w:hAnsi="Arial"/>
          <w:sz w:val="18"/>
          <w:szCs w:val="18"/>
          <w:color w:val="auto"/>
        </w:rPr>
        <w:t>,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right="6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36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United States federal income tax considerations applicable to any such discounted debt securities or to certain debt securities issued at par which are treated as having been issued at a discount for United States federal income tax purposes will be described in the relevant prospectus supplement.</w:t>
      </w:r>
    </w:p>
    <w:p>
      <w:pPr>
        <w:spacing w:after="0" w:line="143"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8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90"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59"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50" w:lineRule="exact"/>
        <w:rPr>
          <w:rFonts w:ascii="Arial" w:cs="Arial" w:eastAsia="Arial" w:hAnsi="Arial"/>
          <w:sz w:val="18"/>
          <w:szCs w:val="18"/>
          <w:color w:val="auto"/>
        </w:rPr>
      </w:pPr>
    </w:p>
    <w:p>
      <w:pPr>
        <w:ind w:left="1480" w:right="60" w:hanging="446"/>
        <w:spacing w:after="0" w:line="26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w:t>
      </w:r>
      <w:r>
        <w:rPr>
          <w:rFonts w:ascii="Arial" w:cs="Arial" w:eastAsia="Arial" w:hAnsi="Arial"/>
          <w:sz w:val="18"/>
          <w:szCs w:val="18"/>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32"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interests, participations, or other equivalents (however designated, whether voting or nonvoting) of such person’s capital stock or other ownership interests, whether outstanding as of, or issued after, the date of the senior indenture, including, without limitation, all common stock and preferred stock.</w:t>
      </w:r>
    </w:p>
    <w:p>
      <w:pPr>
        <w:spacing w:after="0" w:line="13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Agreement</w:t>
      </w:r>
      <w:r>
        <w:rPr>
          <w:rFonts w:ascii="Arial" w:cs="Arial" w:eastAsia="Arial" w:hAnsi="Arial"/>
          <w:sz w:val="18"/>
          <w:szCs w:val="18"/>
          <w:color w:val="auto"/>
        </w:rPr>
        <w:t>” means any foreign exchange contract, currency swap agreement, or other similar agreement or arrangement designed to protect against the fluctuation in currency values.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139" w:lineRule="exact"/>
        <w:rPr>
          <w:sz w:val="20"/>
          <w:szCs w:val="20"/>
          <w:color w:val="auto"/>
        </w:rPr>
      </w:pPr>
    </w:p>
    <w:p>
      <w:pPr>
        <w:ind w:right="140" w:firstLine="456"/>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 w:lineRule="exact"/>
        <w:rPr>
          <w:sz w:val="20"/>
          <w:szCs w:val="20"/>
          <w:color w:val="auto"/>
        </w:rPr>
      </w:pPr>
    </w:p>
    <w:p>
      <w:pPr>
        <w:ind w:left="900" w:right="14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at any date of determination (without duplication):</w:t>
      </w:r>
    </w:p>
    <w:p>
      <w:pPr>
        <w:spacing w:after="0" w:line="96"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fair market value of such asset at such date of determination;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the amount of such Indebtedness;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4" w:lineRule="exact"/>
        <w:rPr>
          <w:sz w:val="20"/>
          <w:szCs w:val="20"/>
          <w:color w:val="auto"/>
        </w:rPr>
      </w:pPr>
    </w:p>
    <w:p>
      <w:pPr>
        <w:ind w:left="900" w:right="400" w:hanging="325"/>
        <w:spacing w:after="0" w:line="357" w:lineRule="auto"/>
        <w:tabs>
          <w:tab w:leader="none" w:pos="900"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6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Agreements</w:t>
      </w:r>
      <w:r>
        <w:rPr>
          <w:rFonts w:ascii="Arial" w:cs="Arial" w:eastAsia="Arial" w:hAnsi="Arial"/>
          <w:sz w:val="16"/>
          <w:szCs w:val="16"/>
          <w:color w:val="auto"/>
        </w:rPr>
        <w:t>” means any obligations of any person pursuant to any interest rate swaps, caps, collars, and similar arrangements providing 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1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96"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90"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direct or indirect arrangement with any person or to which any such person is a party, providing for the 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142"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i w:val="1"/>
          <w:iCs w:val="1"/>
          <w:color w:val="auto"/>
        </w:rPr>
        <w:t>Financial Information</w:t>
      </w:r>
      <w:r>
        <w:rPr>
          <w:rFonts w:ascii="Arial" w:cs="Arial" w:eastAsia="Arial" w:hAnsi="Arial"/>
          <w:sz w:val="16"/>
          <w:szCs w:val="16"/>
          <w:color w:val="auto"/>
        </w:rPr>
        <w:t>. We will file, whether or not required to do so under applicable law, with the trustee, within 15 days after being required to file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under the Securities Exchange Act of 1934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The senior indenture restricts our ability to consolidate with, merge with or into, or sell, convey, transfer, lease,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otherwise dispose of all or substantially all of our property and assets to any person (other than a consolidation with or merger with or into or a sale, conveyance, transfer, lease or other disposition to a wholly owned subsidiary with a positive net worth; provided that, in connection with any merger of us and a wholly owned subsidiary, no consideration other than common stock in the surviving person shall be issued or distributed to our stockholders) unless:</w:t>
      </w:r>
    </w:p>
    <w:p>
      <w:pPr>
        <w:spacing w:after="0" w:line="32" w:lineRule="exact"/>
        <w:rPr>
          <w:sz w:val="20"/>
          <w:szCs w:val="20"/>
          <w:color w:val="auto"/>
        </w:rPr>
      </w:pPr>
    </w:p>
    <w:p>
      <w:pPr>
        <w:ind w:left="900" w:right="60" w:hanging="325"/>
        <w:spacing w:after="0" w:line="256"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14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For purposes of this section, the term “Obligor” shall mean each of us, Comcast Cable, Comcast Cable Communications Holdings, Comcast Cable Holdings, Comcast MO Group and Comcast MO of Delaware, in each case excluding such entity’s subsidiaries.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71" w:lineRule="exact"/>
        <w:rPr>
          <w:sz w:val="20"/>
          <w:szCs w:val="20"/>
          <w:color w:val="auto"/>
        </w:rPr>
      </w:pPr>
    </w:p>
    <w:p>
      <w:pPr>
        <w:ind w:right="240" w:firstLine="464"/>
        <w:spacing w:after="0" w:line="268"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131"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131" w:lineRule="exact"/>
        <w:rPr>
          <w:rFonts w:ascii="Arial" w:cs="Arial" w:eastAsia="Arial" w:hAnsi="Arial"/>
          <w:sz w:val="18"/>
          <w:szCs w:val="18"/>
          <w:color w:val="auto"/>
        </w:rPr>
      </w:pPr>
    </w:p>
    <w:p>
      <w:pPr>
        <w:jc w:val="both"/>
        <w:ind w:right="20" w:firstLine="464"/>
        <w:spacing w:after="0" w:line="306" w:lineRule="auto"/>
        <w:tabs>
          <w:tab w:leader="none" w:pos="705"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sz w:val="20"/>
          <w:szCs w:val="20"/>
          <w:color w:val="auto"/>
        </w:rPr>
      </w:pPr>
    </w:p>
    <w:p>
      <w:pPr>
        <w:ind w:left="900" w:hanging="325"/>
        <w:spacing w:after="0"/>
        <w:tabs>
          <w:tab w:leader="none" w:pos="9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relief in respect of any Obligor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any Obligor:</w:t>
      </w:r>
    </w:p>
    <w:p>
      <w:pPr>
        <w:spacing w:after="0" w:line="90" w:lineRule="exact"/>
        <w:rPr>
          <w:sz w:val="20"/>
          <w:szCs w:val="20"/>
          <w:color w:val="auto"/>
        </w:rPr>
      </w:pPr>
    </w:p>
    <w:p>
      <w:pPr>
        <w:ind w:left="900" w:right="8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 been accelerated. Furthermore, subject to various provisions in the senior indenture, the holders of at least a</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“—Modification and Waiver.”</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39" w:lineRule="exact"/>
        <w:rPr>
          <w:sz w:val="20"/>
          <w:szCs w:val="20"/>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51" w:lineRule="exact"/>
        <w:rPr>
          <w:sz w:val="20"/>
          <w:szCs w:val="20"/>
          <w:color w:val="auto"/>
        </w:rPr>
      </w:pPr>
    </w:p>
    <w:p>
      <w:pPr>
        <w:ind w:left="900" w:right="14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5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50" w:lineRule="exact"/>
        <w:rPr>
          <w:rFonts w:ascii="Arial" w:cs="Arial" w:eastAsia="Arial" w:hAnsi="Arial"/>
          <w:sz w:val="18"/>
          <w:szCs w:val="18"/>
          <w:color w:val="auto"/>
        </w:rPr>
      </w:pPr>
    </w:p>
    <w:p>
      <w:pPr>
        <w:ind w:left="1480" w:right="100" w:hanging="446"/>
        <w:spacing w:after="0" w:line="259" w:lineRule="auto"/>
        <w:tabs>
          <w:tab w:leader="none" w:pos="1480" w:val="left"/>
        </w:tabs>
        <w:numPr>
          <w:ilvl w:val="1"/>
          <w:numId w:val="37"/>
        </w:numPr>
        <w:rPr>
          <w:rFonts w:ascii="Arial" w:cs="Arial" w:eastAsia="Arial" w:hAnsi="Arial"/>
          <w:sz w:val="18"/>
          <w:szCs w:val="18"/>
          <w:color w:val="auto"/>
        </w:rPr>
      </w:pPr>
      <w:r>
        <w:rPr>
          <w:rFonts w:ascii="Arial" w:cs="Arial" w:eastAsia="Arial" w:hAnsi="Arial"/>
          <w:sz w:val="18"/>
          <w:szCs w:val="18"/>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80"/>
        <w:spacing w:after="0" w:line="298" w:lineRule="auto"/>
        <w:rPr>
          <w:sz w:val="20"/>
          <w:szCs w:val="20"/>
          <w:color w:val="auto"/>
        </w:rPr>
      </w:pPr>
      <w:r>
        <w:rPr>
          <w:rFonts w:ascii="Arial" w:cs="Arial" w:eastAsia="Arial" w:hAnsi="Arial"/>
          <w:sz w:val="16"/>
          <w:szCs w:val="16"/>
          <w:color w:val="auto"/>
        </w:rPr>
        <w:t>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32" w:lineRule="exact"/>
        <w:rPr>
          <w:sz w:val="20"/>
          <w:szCs w:val="20"/>
          <w:color w:val="auto"/>
        </w:rPr>
      </w:pPr>
    </w:p>
    <w:p>
      <w:pPr>
        <w:ind w:left="1480" w:right="120" w:hanging="446"/>
        <w:spacing w:after="0" w:line="259" w:lineRule="auto"/>
        <w:tabs>
          <w:tab w:leader="none" w:pos="14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90" w:lineRule="exact"/>
        <w:rPr>
          <w:sz w:val="20"/>
          <w:szCs w:val="20"/>
          <w:color w:val="auto"/>
        </w:rPr>
      </w:pPr>
    </w:p>
    <w:p>
      <w:pPr>
        <w:ind w:left="900" w:right="140" w:hanging="325"/>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90" w:lineRule="exact"/>
        <w:rPr>
          <w:sz w:val="20"/>
          <w:szCs w:val="20"/>
          <w:color w:val="auto"/>
        </w:rPr>
      </w:pPr>
    </w:p>
    <w:p>
      <w:pPr>
        <w:ind w:left="900" w:right="60" w:hanging="325"/>
        <w:spacing w:after="0" w:line="290"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37"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900" w:hanging="325"/>
        <w:spacing w:after="0"/>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90" w:lineRule="exact"/>
        <w:rPr>
          <w:rFonts w:ascii="Arial" w:cs="Arial" w:eastAsia="Arial" w:hAnsi="Arial"/>
          <w:sz w:val="18"/>
          <w:szCs w:val="18"/>
          <w:color w:val="auto"/>
        </w:rPr>
      </w:pPr>
    </w:p>
    <w:p>
      <w:pPr>
        <w:ind w:left="1480" w:right="20" w:hanging="446"/>
        <w:spacing w:after="0" w:line="294" w:lineRule="auto"/>
        <w:tabs>
          <w:tab w:leader="none" w:pos="1480" w:val="left"/>
        </w:tabs>
        <w:numPr>
          <w:ilvl w:val="1"/>
          <w:numId w:val="41"/>
        </w:numPr>
        <w:rPr>
          <w:rFonts w:ascii="Arial" w:cs="Arial" w:eastAsia="Arial" w:hAnsi="Arial"/>
          <w:sz w:val="16"/>
          <w:szCs w:val="16"/>
          <w:color w:val="auto"/>
        </w:rPr>
      </w:pPr>
      <w:r>
        <w:rPr>
          <w:rFonts w:ascii="Arial" w:cs="Arial" w:eastAsia="Arial" w:hAnsi="Arial"/>
          <w:sz w:val="16"/>
          <w:szCs w:val="16"/>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34" w:lineRule="exact"/>
        <w:rPr>
          <w:rFonts w:ascii="Arial" w:cs="Arial" w:eastAsia="Arial" w:hAnsi="Arial"/>
          <w:sz w:val="16"/>
          <w:szCs w:val="16"/>
          <w:color w:val="auto"/>
        </w:rPr>
      </w:pPr>
    </w:p>
    <w:p>
      <w:pPr>
        <w:ind w:left="1920" w:right="40" w:hanging="318"/>
        <w:spacing w:after="0" w:line="268" w:lineRule="auto"/>
        <w:tabs>
          <w:tab w:leader="none" w:pos="19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50" w:lineRule="exact"/>
        <w:rPr>
          <w:rFonts w:ascii="Arial" w:cs="Arial" w:eastAsia="Arial" w:hAnsi="Arial"/>
          <w:sz w:val="18"/>
          <w:szCs w:val="18"/>
          <w:color w:val="auto"/>
        </w:rPr>
      </w:pPr>
    </w:p>
    <w:p>
      <w:pPr>
        <w:ind w:left="1920" w:right="320" w:hanging="318"/>
        <w:spacing w:after="0" w:line="259" w:lineRule="auto"/>
        <w:tabs>
          <w:tab w:leader="none" w:pos="1920" w:val="left"/>
        </w:tabs>
        <w:numPr>
          <w:ilvl w:val="2"/>
          <w:numId w:val="41"/>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14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the trustee may amend or supplement the senior indenture or the senior debt securities without notice to or the consent of any holder:</w:t>
      </w:r>
    </w:p>
    <w:p>
      <w:pPr>
        <w:spacing w:after="0" w:line="113" w:lineRule="exact"/>
        <w:rPr>
          <w:sz w:val="20"/>
          <w:szCs w:val="20"/>
          <w:color w:val="auto"/>
        </w:rPr>
      </w:pPr>
    </w:p>
    <w:p>
      <w:pPr>
        <w:ind w:left="900" w:hanging="325"/>
        <w:spacing w:after="0" w:line="259" w:lineRule="auto"/>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to make such other provisions in regard to matters or questions arising under the senior indenture as our Board of Directors may deem necessary or desirable and which shall not adversely affect the interests of the holders in any material respect;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comply with any requirements of the SEC in connection with the qualification of the senior indenture under the Trust Indenture Act;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affected holder must consent to any modification, amendment or waiver that:</w:t>
      </w:r>
    </w:p>
    <w:p>
      <w:pPr>
        <w:spacing w:after="0" w:line="35" w:lineRule="exact"/>
        <w:rPr>
          <w:sz w:val="20"/>
          <w:szCs w:val="20"/>
          <w:color w:val="auto"/>
        </w:rPr>
      </w:pPr>
    </w:p>
    <w:p>
      <w:pPr>
        <w:ind w:left="900" w:right="5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changes the place or currency of payment of principal of, or premium, if any, or interest on, the senior debt securities of the affected series;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5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After an amendment, supplement or waiver that requires the consent of a majority or all of the affected holders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indenture and the debt securities will be governed by, and construed in accordance with, the internal laws of the State of New York.</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President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Subordination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The subordination provisions also apply in the same way to each cable guarantor with respect to the Senior Indebtedness of such cable guarantor. 16</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6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320" w:hanging="325"/>
        <w:spacing w:after="0" w:line="259"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132"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143"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9"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51" w:lineRule="exact"/>
        <w:rPr>
          <w:sz w:val="20"/>
          <w:szCs w:val="20"/>
          <w:color w:val="auto"/>
        </w:rPr>
      </w:pPr>
    </w:p>
    <w:p>
      <w:pPr>
        <w:ind w:left="900" w:right="16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71"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00"/>
          </w:cols>
          <w:pgMar w:left="24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pay quarterly dividends at an annual rate currently of $0.27 per share. See “Dividend Policy”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As of December 31, 2008,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voting power of our capital stock. As of December 31, 2008,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 over (1) any merger of us with another company or any other transaction, in each case that requires our</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combined voting power of our stock and which also has separate approval rights over certain material transactions, as described above under “—Approval Rights.” Accordingly, Mr. Roberts has considerable influence over our operations and has the ability (subject to certain restrictions through November 17, 2012) to transfer potential effective control by selling the Class B common stock. In addition, under our articles of incorporation, Mr. Roberts is entitled to remain as our Chairman, Chief Executive Officer and President until May 26, 2010, unless he is removed by the affirmative vote of at least 75% of the entire Board of Directors or he is no longer willing or able to serve. The Class B common stock is convertible on a share-for-share basis into Class A common stock or Class A Special common stock. As of February 28, 2009, if Mr. Roberts were to convert the Class B common stock he beneficially owns into Class A common stock, Mr. Roberts would beneficially own 12,798,458 shares of Class A common stock, which is less than 1% of the Class A common stock that would be outstanding after the conversion.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w:t>
      </w:r>
      <w:r>
        <w:rPr>
          <w:rFonts w:ascii="Arial" w:cs="Arial" w:eastAsia="Arial" w:hAnsi="Arial"/>
          <w:sz w:val="18"/>
          <w:szCs w:val="18"/>
          <w:i w:val="1"/>
          <w:iCs w:val="1"/>
          <w:color w:val="auto"/>
        </w:rPr>
        <w:t>i.e.</w:t>
      </w:r>
      <w:r>
        <w:rPr>
          <w:rFonts w:ascii="Arial" w:cs="Arial" w:eastAsia="Arial" w:hAnsi="Arial"/>
          <w:sz w:val="18"/>
          <w:szCs w:val="18"/>
          <w:color w:val="auto"/>
        </w:rPr>
        <w:t>,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w:t>
      </w:r>
      <w:r>
        <w:rPr>
          <w:rFonts w:ascii="Arial" w:cs="Arial" w:eastAsia="Arial" w:hAnsi="Arial"/>
          <w:sz w:val="18"/>
          <w:szCs w:val="18"/>
          <w:i w:val="1"/>
          <w:iCs w:val="1"/>
          <w:color w:val="auto"/>
        </w:rPr>
        <w:t>i.e.</w:t>
      </w:r>
      <w:r>
        <w:rPr>
          <w:rFonts w:ascii="Arial" w:cs="Arial" w:eastAsia="Arial" w:hAnsi="Arial"/>
          <w:sz w:val="18"/>
          <w:szCs w:val="18"/>
          <w:color w:val="auto"/>
        </w:rPr>
        <w:t>,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common stock offered hereby, or issuable upon conversion, exchange or exercise of securities offered hereby, will, when issued, be, fully paid and non-assessable. We have been advised that the Class A common stock and Class A Special common stock are exempt from existing Pennsylvania personal property tax.</w:t>
      </w:r>
    </w:p>
    <w:p>
      <w:pPr>
        <w:spacing w:after="0" w:line="140"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The transfer agent and registrar for our Class A Special common stock and Class A common stock is Computershare, 250 Royall Street, Canton, Massachusetts 02021. Their telephone number is (888) 883-8903.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description of the material terms of a rights agreement with respect to a shareholder rights plan is qualified by reference to the terms of the rights agreement, which is included as an exhibit to the registration statement of which this prospectus is a part.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2.5 million shares of preferred stock have been reserved for issuance upon exercise of the Rights.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2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4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under “—’Flip In’ Feature” or “—’Flip Over’ Feature,” each Right will be exercisable to purchase for $125 one one-thousandth of a share of our Series A participating cumulative preferred stock.</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b w:val="1"/>
          <w:bCs w:val="1"/>
          <w:i w:val="1"/>
          <w:iCs w:val="1"/>
          <w:color w:val="auto"/>
        </w:rPr>
        <w:t xml:space="preserve">“Flip In” Feature. </w:t>
      </w:r>
      <w:r>
        <w:rPr>
          <w:rFonts w:ascii="Arial" w:cs="Arial" w:eastAsia="Arial" w:hAnsi="Arial"/>
          <w:sz w:val="18"/>
          <w:szCs w:val="18"/>
          <w:color w:val="auto"/>
        </w:rPr>
        <w:t>If any person becomes an Acquiring Person, each holder of a Right, except for the Acquiring Person or certain affiliated persons,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 purchase price of $125 was in effect on the date that the flip in feature of the Rights was exercised, any holder 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 Right, except for the person that has become an Acquiring Person or certain affiliated persons, could exercise his or her Right by paying to us $125 in order to receive shares of our Class A common stock having a value equal to $250.</w:t>
      </w:r>
    </w:p>
    <w:p>
      <w:pPr>
        <w:spacing w:after="0" w:line="132"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“Exchange” Feature. </w:t>
      </w:r>
      <w:r>
        <w:rPr>
          <w:rFonts w:ascii="Arial" w:cs="Arial" w:eastAsia="Arial" w:hAnsi="Arial"/>
          <w:sz w:val="16"/>
          <w:szCs w:val="16"/>
          <w:color w:val="auto"/>
        </w:rPr>
        <w:t>At any time after a person becomes an Acquiring Person (but before any person becomes the beneficial owner of our voting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16"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14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Anti-Takeover Effects. </w:t>
      </w:r>
      <w:r>
        <w:rPr>
          <w:rFonts w:ascii="Arial" w:cs="Arial" w:eastAsia="Arial" w:hAnsi="Arial"/>
          <w:sz w:val="16"/>
          <w:szCs w:val="16"/>
          <w:color w:val="auto"/>
        </w:rPr>
        <w:t>The Rights have certain anti-takeover effects. The Rights may cause substantial dilution to a person that attempts to acquire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was not taxable to stockholders or to us, stockholders or we may, depending upon the circumstances,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Series A Preferred Stock. </w:t>
      </w:r>
      <w:r>
        <w:rPr>
          <w:rFonts w:ascii="Arial" w:cs="Arial" w:eastAsia="Arial" w:hAnsi="Arial"/>
          <w:sz w:val="16"/>
          <w:szCs w:val="16"/>
          <w:color w:val="auto"/>
        </w:rPr>
        <w:t>In connection with the creation of the Rights, our Board authorized the issuance of shares of our preferred stock designated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22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Senior Vice President, General Counsel and Secretary of Comcast, and as to matters governed by New York and Delaware law, Davis Polk &amp; Wardwell, will pass upon the validity of the securities on our behalf and on behalf of the cable guarantors, although we may use other counsel, including our employees, to do so. Unless otherwise indicated in the accompanying prospectus supplement, Cahill Gordon &amp; Reindel </w:t>
      </w:r>
      <w:r>
        <w:rPr>
          <w:rFonts w:ascii="Arial" w:cs="Arial" w:eastAsia="Arial" w:hAnsi="Arial"/>
          <w:sz w:val="13"/>
          <w:szCs w:val="13"/>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The consolidated financial statements, and the related consolidated financial statement schedule, incorporated in this prospectus by reference from the Company’s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(which express an unqualified opinion on the consolidated financial statements and the consolidated financial statement schedule and include an explanatory paragraph concerning the adoption FASB Interpretation No. 48, </w:t>
      </w:r>
      <w:r>
        <w:rPr>
          <w:rFonts w:ascii="Arial" w:cs="Arial" w:eastAsia="Arial" w:hAnsi="Arial"/>
          <w:sz w:val="16"/>
          <w:szCs w:val="16"/>
          <w:i w:val="1"/>
          <w:iCs w:val="1"/>
          <w:color w:val="auto"/>
        </w:rPr>
        <w:t>Accounting for Uncertainty in Income Taxes – an Interpretation of FASB Statement No. 109,</w:t>
      </w:r>
      <w:r>
        <w:rPr>
          <w:rFonts w:ascii="Arial" w:cs="Arial" w:eastAsia="Arial" w:hAnsi="Arial"/>
          <w:sz w:val="16"/>
          <w:szCs w:val="16"/>
          <w:color w:val="auto"/>
        </w:rPr>
        <w:t xml:space="preserve"> effective January 1, 2007, of Statement of Financial Accounting Standards (“SFAS”) No. 159, </w:t>
      </w:r>
      <w:r>
        <w:rPr>
          <w:rFonts w:ascii="Arial" w:cs="Arial" w:eastAsia="Arial" w:hAnsi="Arial"/>
          <w:sz w:val="16"/>
          <w:szCs w:val="16"/>
          <w:i w:val="1"/>
          <w:iCs w:val="1"/>
          <w:color w:val="auto"/>
        </w:rPr>
        <w:t>The Fair Value Option for Financial Assets and Financial Liabilities including an amendment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FASB Statement No. 115, </w:t>
      </w:r>
      <w:r>
        <w:rPr>
          <w:rFonts w:ascii="Arial" w:cs="Arial" w:eastAsia="Arial" w:hAnsi="Arial"/>
          <w:sz w:val="16"/>
          <w:szCs w:val="16"/>
          <w:color w:val="auto"/>
        </w:rPr>
        <w:t>effective January 1, 2008, and of EITF Issue No 06-10,</w:t>
      </w:r>
      <w:r>
        <w:rPr>
          <w:rFonts w:ascii="Arial" w:cs="Arial" w:eastAsia="Arial" w:hAnsi="Arial"/>
          <w:sz w:val="16"/>
          <w:szCs w:val="16"/>
          <w:i w:val="1"/>
          <w:iCs w:val="1"/>
          <w:color w:val="auto"/>
        </w:rPr>
        <w:t xml:space="preserve"> Accounting for Collateral Assignment Spilt-Dollar Life Insurance Arrangements, </w:t>
      </w:r>
      <w:r>
        <w:rPr>
          <w:rFonts w:ascii="Arial" w:cs="Arial" w:eastAsia="Arial" w:hAnsi="Arial"/>
          <w:sz w:val="16"/>
          <w:szCs w:val="16"/>
          <w:color w:val="auto"/>
        </w:rPr>
        <w:t>effective January 1, 2008 and express an unqualified opinion on the effectiveness of internal control over financial reporting). Such consolidated</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statements and consolidated financial statement schedule have been so incorporated in reliance upon the reports of such firm given upon their authority as experts in accounting and auditing.</w:t>
      </w: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along with the cable guarantors,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220" w:firstLine="456"/>
        <w:spacing w:after="0" w:line="291" w:lineRule="auto"/>
        <w:rPr>
          <w:sz w:val="20"/>
          <w:szCs w:val="20"/>
          <w:color w:val="auto"/>
        </w:rPr>
      </w:pPr>
      <w:r>
        <w:rPr>
          <w:rFonts w:ascii="Arial" w:cs="Arial" w:eastAsia="Arial" w:hAnsi="Arial"/>
          <w:sz w:val="16"/>
          <w:szCs w:val="16"/>
          <w:color w:val="auto"/>
        </w:rPr>
        <w:t xml:space="preserve">We file annual, quarterly and special reports and other information with the SEC. Comcast Cable Communications Holdings,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 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in any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any prospectus supplement and our filings with the SEC is accurate only as of its date, regardless of the time of delivery of this prospectus and any prospectus supplement or of any sale of the securities.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2008, filed on February 20, 2009.</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2009 annual meeting of stockholders incorporated by reference in the Annual Report on Form 10-K for the year ended December 31, 2008.</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Current Report on Form 8-K filed on February 13, 2009.</w:t>
      </w:r>
    </w:p>
    <w:p>
      <w:pPr>
        <w:spacing w:after="0" w:line="9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the same may be amended from time to time.</w:t>
      </w:r>
    </w:p>
    <w:p>
      <w:pPr>
        <w:spacing w:after="0" w:line="132"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831850</wp:posOffset>
            </wp:positionV>
            <wp:extent cx="1397635" cy="3600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tabs>
          <w:tab w:leader="none" w:pos="160" w:val="left"/>
        </w:tabs>
        <w:rPr>
          <w:sz w:val="20"/>
          <w:szCs w:val="20"/>
          <w:color w:val="auto"/>
        </w:rPr>
      </w:pPr>
      <w:r>
        <w:rPr>
          <w:rFonts w:ascii="Arial" w:cs="Arial" w:eastAsia="Arial" w:hAnsi="Arial"/>
          <w:sz w:val="18"/>
          <w:szCs w:val="18"/>
          <w:b w:val="1"/>
          <w:bCs w:val="1"/>
          <w:color w:val="auto"/>
        </w:rPr>
        <w:t>£625,000,000</w:t>
      </w:r>
      <w:r>
        <w:rPr>
          <w:sz w:val="20"/>
          <w:szCs w:val="20"/>
          <w:color w:val="auto"/>
        </w:rPr>
        <w:tab/>
      </w:r>
      <w:r>
        <w:rPr>
          <w:rFonts w:ascii="Arial" w:cs="Arial" w:eastAsia="Arial" w:hAnsi="Arial"/>
          <w:sz w:val="15"/>
          <w:szCs w:val="15"/>
          <w:b w:val="1"/>
          <w:bCs w:val="1"/>
          <w:color w:val="auto"/>
        </w:rPr>
        <w:t>5.50% Notes due 2029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537845</wp:posOffset>
            </wp:positionV>
            <wp:extent cx="22383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2509520</wp:posOffset>
            </wp:positionH>
            <wp:positionV relativeFrom="paragraph">
              <wp:posOffset>66040</wp:posOffset>
            </wp:positionV>
            <wp:extent cx="22383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Joint Book-Running Managers</w:t>
      </w:r>
    </w:p>
    <w:p>
      <w:pPr>
        <w:spacing w:after="0" w:line="355" w:lineRule="exact"/>
        <w:rPr>
          <w:sz w:val="20"/>
          <w:szCs w:val="20"/>
          <w:color w:val="auto"/>
        </w:rPr>
      </w:pPr>
    </w:p>
    <w:p>
      <w:pPr>
        <w:spacing w:after="0"/>
        <w:tabs>
          <w:tab w:leader="none" w:pos="2620" w:val="left"/>
          <w:tab w:leader="none" w:pos="4800" w:val="left"/>
          <w:tab w:leader="none" w:pos="8800" w:val="left"/>
        </w:tabs>
        <w:rPr>
          <w:sz w:val="20"/>
          <w:szCs w:val="20"/>
          <w:color w:val="auto"/>
        </w:rPr>
      </w:pPr>
      <w:r>
        <w:rPr>
          <w:rFonts w:ascii="Arial" w:cs="Arial" w:eastAsia="Arial" w:hAnsi="Arial"/>
          <w:sz w:val="22"/>
          <w:szCs w:val="22"/>
          <w:b w:val="1"/>
          <w:bCs w:val="1"/>
          <w:color w:val="auto"/>
        </w:rPr>
        <w:t>Barclays Capital</w:t>
      </w:r>
      <w:r>
        <w:rPr>
          <w:sz w:val="20"/>
          <w:szCs w:val="20"/>
          <w:color w:val="auto"/>
        </w:rPr>
        <w:tab/>
      </w:r>
      <w:r>
        <w:rPr>
          <w:rFonts w:ascii="Arial" w:cs="Arial" w:eastAsia="Arial" w:hAnsi="Arial"/>
          <w:sz w:val="22"/>
          <w:szCs w:val="22"/>
          <w:b w:val="1"/>
          <w:bCs w:val="1"/>
          <w:color w:val="auto"/>
        </w:rPr>
        <w:t>Deutsche Bank</w:t>
      </w:r>
      <w:r>
        <w:rPr>
          <w:sz w:val="20"/>
          <w:szCs w:val="20"/>
          <w:color w:val="auto"/>
        </w:rPr>
        <w:tab/>
      </w:r>
      <w:r>
        <w:rPr>
          <w:rFonts w:ascii="Arial" w:cs="Arial" w:eastAsia="Arial" w:hAnsi="Arial"/>
          <w:sz w:val="22"/>
          <w:szCs w:val="22"/>
          <w:b w:val="1"/>
          <w:bCs w:val="1"/>
          <w:color w:val="auto"/>
        </w:rPr>
        <w:t>Goldman Sachs International</w:t>
      </w:r>
      <w:r>
        <w:rPr>
          <w:sz w:val="20"/>
          <w:szCs w:val="20"/>
          <w:color w:val="auto"/>
        </w:rPr>
        <w:tab/>
      </w:r>
      <w:r>
        <w:rPr>
          <w:rFonts w:ascii="Arial" w:cs="Arial" w:eastAsia="Arial" w:hAnsi="Arial"/>
          <w:sz w:val="19"/>
          <w:szCs w:val="19"/>
          <w:b w:val="1"/>
          <w:bCs w:val="1"/>
          <w:color w:val="auto"/>
        </w:rPr>
        <w:t>The Royal Bank of Scotland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294005</wp:posOffset>
            </wp:positionV>
            <wp:extent cx="15176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November 17,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45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A2A8D4"/>
    <w:multiLevelType w:val="hybridMultilevel"/>
    <w:lvl w:ilvl="0">
      <w:lvlJc w:val="left"/>
      <w:lvlText w:val="(%1)"/>
      <w:numFmt w:val="decimal"/>
      <w:start w:val="1"/>
    </w:lvl>
  </w:abstractNum>
  <w:abstractNum w:abstractNumId="1">
    <w:nsid w:val="8EDBDAB"/>
    <w:multiLevelType w:val="hybridMultilevel"/>
    <w:lvl w:ilvl="0">
      <w:lvlJc w:val="left"/>
      <w:lvlText w:val="•"/>
      <w:numFmt w:val="bullet"/>
      <w:start w:val="1"/>
    </w:lvl>
  </w:abstractNum>
  <w:abstractNum w:abstractNumId="2">
    <w:nsid w:val="79838CB2"/>
    <w:multiLevelType w:val="hybridMultilevel"/>
    <w:lvl w:ilvl="0">
      <w:lvlJc w:val="left"/>
      <w:lvlText w:val="(%1)"/>
      <w:numFmt w:val="decimal"/>
      <w:start w:val="1"/>
    </w:lvl>
  </w:abstractNum>
  <w:abstractNum w:abstractNumId="3">
    <w:nsid w:val="4353D0CD"/>
    <w:multiLevelType w:val="hybridMultilevel"/>
    <w:lvl w:ilvl="0">
      <w:lvlJc w:val="left"/>
      <w:lvlText w:val="•"/>
      <w:numFmt w:val="bullet"/>
      <w:start w:val="1"/>
    </w:lvl>
  </w:abstractNum>
  <w:abstractNum w:abstractNumId="4">
    <w:nsid w:val="B03E0C6"/>
    <w:multiLevelType w:val="hybridMultilevel"/>
    <w:lvl w:ilvl="0">
      <w:lvlJc w:val="left"/>
      <w:lvlText w:val="(%1)"/>
      <w:numFmt w:val="decimal"/>
      <w:start w:val="1"/>
    </w:lvl>
    <w:lvl w:ilvl="1">
      <w:lvlJc w:val="left"/>
      <w:lvlText w:val="(%2)"/>
      <w:numFmt w:val="lowerLetter"/>
      <w:start w:val="1"/>
    </w:lvl>
  </w:abstractNum>
  <w:abstractNum w:abstractNumId="5">
    <w:nsid w:val="189A769B"/>
    <w:multiLevelType w:val="hybridMultilevel"/>
    <w:lvl w:ilvl="0">
      <w:lvlJc w:val="left"/>
      <w:lvlText w:val="(%1)"/>
      <w:numFmt w:val="decimal"/>
      <w:start w:val="2"/>
    </w:lvl>
  </w:abstractNum>
  <w:abstractNum w:abstractNumId="6">
    <w:nsid w:val="54E49EB4"/>
    <w:multiLevelType w:val="hybridMultilevel"/>
    <w:lvl w:ilvl="0">
      <w:lvlJc w:val="left"/>
      <w:lvlText w:val="(%1)"/>
      <w:numFmt w:val="decimal"/>
      <w:start w:val="1"/>
    </w:lvl>
  </w:abstractNum>
  <w:abstractNum w:abstractNumId="7">
    <w:nsid w:val="71F32454"/>
    <w:multiLevelType w:val="hybridMultilevel"/>
    <w:lvl w:ilvl="0">
      <w:lvlJc w:val="left"/>
      <w:lvlText w:val="•"/>
      <w:numFmt w:val="bullet"/>
      <w:start w:val="1"/>
    </w:lvl>
  </w:abstractNum>
  <w:abstractNum w:abstractNumId="8">
    <w:nsid w:val="2CA88611"/>
    <w:multiLevelType w:val="hybridMultilevel"/>
    <w:lvl w:ilvl="0">
      <w:lvlJc w:val="left"/>
      <w:lvlText w:val="•"/>
      <w:numFmt w:val="bullet"/>
      <w:start w:val="1"/>
    </w:lvl>
  </w:abstractNum>
  <w:abstractNum w:abstractNumId="9">
    <w:nsid w:val="836C40E"/>
    <w:multiLevelType w:val="hybridMultilevel"/>
    <w:lvl w:ilvl="0">
      <w:lvlJc w:val="left"/>
      <w:lvlText w:val="•"/>
      <w:numFmt w:val="bullet"/>
      <w:start w:val="1"/>
    </w:lvl>
  </w:abstractNum>
  <w:abstractNum w:abstractNumId="10">
    <w:nsid w:val="2901D82"/>
    <w:multiLevelType w:val="hybridMultilevel"/>
    <w:lvl w:ilvl="0">
      <w:lvlJc w:val="left"/>
      <w:lvlText w:val="•"/>
      <w:numFmt w:val="bullet"/>
      <w:start w:val="1"/>
    </w:lvl>
  </w:abstractNum>
  <w:abstractNum w:abstractNumId="11">
    <w:nsid w:val="3A95F874"/>
    <w:multiLevelType w:val="hybridMultilevel"/>
    <w:lvl w:ilvl="0">
      <w:lvlJc w:val="left"/>
      <w:lvlText w:val="•"/>
      <w:numFmt w:val="bullet"/>
      <w:start w:val="1"/>
    </w:lvl>
  </w:abstractNum>
  <w:abstractNum w:abstractNumId="12">
    <w:nsid w:val="8138641"/>
    <w:multiLevelType w:val="hybridMultilevel"/>
    <w:lvl w:ilvl="0">
      <w:lvlJc w:val="left"/>
      <w:lvlText w:val="(%1)"/>
      <w:numFmt w:val="lowerRoman"/>
      <w:start w:val="1"/>
    </w:lvl>
  </w:abstractNum>
  <w:abstractNum w:abstractNumId="13">
    <w:nsid w:val="1E7FF521"/>
    <w:multiLevelType w:val="hybridMultilevel"/>
    <w:lvl w:ilvl="0">
      <w:lvlJc w:val="left"/>
      <w:lvlText w:val="(%1)"/>
      <w:numFmt w:val="lowerRoman"/>
      <w:start w:val="1"/>
    </w:lvl>
  </w:abstractNum>
  <w:abstractNum w:abstractNumId="14">
    <w:nsid w:val="7C3DBD3D"/>
    <w:multiLevelType w:val="hybridMultilevel"/>
    <w:lvl w:ilvl="0">
      <w:lvlJc w:val="left"/>
      <w:lvlText w:val="(%1)"/>
      <w:numFmt w:val="lowerLetter"/>
      <w:start w:val="1"/>
    </w:lvl>
  </w:abstractNum>
  <w:abstractNum w:abstractNumId="15">
    <w:nsid w:val="737B8DDC"/>
    <w:multiLevelType w:val="hybridMultilevel"/>
    <w:lvl w:ilvl="0">
      <w:lvlJc w:val="left"/>
      <w:lvlText w:val="•"/>
      <w:numFmt w:val="bullet"/>
      <w:start w:val="1"/>
    </w:lvl>
  </w:abstractNum>
  <w:abstractNum w:abstractNumId="16">
    <w:nsid w:val="6CEAF087"/>
    <w:multiLevelType w:val="hybridMultilevel"/>
    <w:lvl w:ilvl="0">
      <w:lvlJc w:val="left"/>
      <w:lvlText w:val="•"/>
      <w:numFmt w:val="bullet"/>
      <w:start w:val="1"/>
    </w:lvl>
  </w:abstractNum>
  <w:abstractNum w:abstractNumId="17">
    <w:nsid w:val="22221A70"/>
    <w:multiLevelType w:val="hybridMultilevel"/>
    <w:lvl w:ilvl="0">
      <w:lvlJc w:val="left"/>
      <w:lvlText w:val="(%1)"/>
      <w:numFmt w:val="decimal"/>
      <w:start w:val="1"/>
    </w:lvl>
  </w:abstractNum>
  <w:abstractNum w:abstractNumId="18">
    <w:nsid w:val="4516DDE9"/>
    <w:multiLevelType w:val="hybridMultilevel"/>
    <w:lvl w:ilvl="0">
      <w:lvlJc w:val="left"/>
      <w:lvlText w:val="(%1)"/>
      <w:numFmt w:val="lowerRoman"/>
      <w:start w:val="10"/>
    </w:lvl>
  </w:abstractNum>
  <w:abstractNum w:abstractNumId="19">
    <w:nsid w:val="3006C83E"/>
    <w:multiLevelType w:val="hybridMultilevel"/>
    <w:lvl w:ilvl="0">
      <w:lvlJc w:val="left"/>
      <w:lvlText w:val="(%1)"/>
      <w:numFmt w:val="lowerLetter"/>
      <w:start w:val="1"/>
    </w:lvl>
  </w:abstractNum>
  <w:abstractNum w:abstractNumId="20">
    <w:nsid w:val="614FD4A1"/>
    <w:multiLevelType w:val="hybridMultilevel"/>
    <w:lvl w:ilvl="0">
      <w:lvlJc w:val="left"/>
      <w:lvlText w:val="(%1)"/>
      <w:numFmt w:val="lowerLetter"/>
      <w:start w:val="23"/>
    </w:lvl>
  </w:abstractNum>
  <w:abstractNum w:abstractNumId="21">
    <w:nsid w:val="419AC241"/>
    <w:multiLevelType w:val="hybridMultilevel"/>
    <w:lvl w:ilvl="0">
      <w:lvlJc w:val="left"/>
      <w:lvlText w:val="•"/>
      <w:numFmt w:val="bullet"/>
      <w:start w:val="1"/>
    </w:lvl>
  </w:abstractNum>
  <w:abstractNum w:abstractNumId="22">
    <w:nsid w:val="5577F8E1"/>
    <w:multiLevelType w:val="hybridMultilevel"/>
    <w:lvl w:ilvl="0">
      <w:lvlJc w:val="left"/>
      <w:lvlText w:val="•"/>
      <w:numFmt w:val="bullet"/>
      <w:start w:val="1"/>
    </w:lvl>
  </w:abstractNum>
  <w:abstractNum w:abstractNumId="23">
    <w:nsid w:val="440BADFC"/>
    <w:multiLevelType w:val="hybridMultilevel"/>
    <w:lvl w:ilvl="0">
      <w:lvlJc w:val="left"/>
      <w:lvlText w:val="•"/>
      <w:numFmt w:val="bullet"/>
      <w:start w:val="1"/>
    </w:lvl>
  </w:abstractNum>
  <w:abstractNum w:abstractNumId="24">
    <w:nsid w:val="5072367"/>
    <w:multiLevelType w:val="hybridMultilevel"/>
    <w:lvl w:ilvl="0">
      <w:lvlJc w:val="left"/>
      <w:lvlText w:val="•"/>
      <w:numFmt w:val="bullet"/>
      <w:start w:val="1"/>
    </w:lvl>
  </w:abstractNum>
  <w:abstractNum w:abstractNumId="25">
    <w:nsid w:val="3804823E"/>
    <w:multiLevelType w:val="hybridMultilevel"/>
    <w:lvl w:ilvl="0">
      <w:lvlJc w:val="left"/>
      <w:lvlText w:val="•"/>
      <w:numFmt w:val="bullet"/>
      <w:start w:val="1"/>
    </w:lvl>
    <w:lvl w:ilvl="1">
      <w:lvlJc w:val="left"/>
      <w:lvlText w:val="•"/>
      <w:numFmt w:val="bullet"/>
      <w:start w:val="1"/>
    </w:lvl>
  </w:abstractNum>
  <w:abstractNum w:abstractNumId="26">
    <w:nsid w:val="77465F01"/>
    <w:multiLevelType w:val="hybridMultilevel"/>
    <w:lvl w:ilvl="0">
      <w:lvlJc w:val="left"/>
      <w:lvlText w:val="•"/>
      <w:numFmt w:val="bullet"/>
      <w:start w:val="1"/>
    </w:lvl>
  </w:abstractNum>
  <w:abstractNum w:abstractNumId="27">
    <w:nsid w:val="7724C67E"/>
    <w:multiLevelType w:val="hybridMultilevel"/>
    <w:lvl w:ilvl="0">
      <w:lvlJc w:val="left"/>
      <w:lvlText w:val="•"/>
      <w:numFmt w:val="bullet"/>
      <w:start w:val="1"/>
    </w:lvl>
    <w:lvl w:ilvl="1">
      <w:lvlJc w:val="left"/>
      <w:lvlText w:val="•"/>
      <w:numFmt w:val="bullet"/>
      <w:start w:val="1"/>
    </w:lvl>
  </w:abstractNum>
  <w:abstractNum w:abstractNumId="28">
    <w:nsid w:val="5C482A97"/>
    <w:multiLevelType w:val="hybridMultilevel"/>
    <w:lvl w:ilvl="0">
      <w:lvlJc w:val="left"/>
      <w:lvlText w:val="•"/>
      <w:numFmt w:val="bullet"/>
      <w:start w:val="1"/>
    </w:lvl>
  </w:abstractNum>
  <w:abstractNum w:abstractNumId="29">
    <w:nsid w:val="2463B9EA"/>
    <w:multiLevelType w:val="hybridMultilevel"/>
    <w:lvl w:ilvl="0">
      <w:lvlJc w:val="left"/>
      <w:lvlText w:val="•"/>
      <w:numFmt w:val="bullet"/>
      <w:start w:val="1"/>
    </w:lvl>
  </w:abstractNum>
  <w:abstractNum w:abstractNumId="30">
    <w:nsid w:val="5E884ADC"/>
    <w:multiLevelType w:val="hybridMultilevel"/>
    <w:lvl w:ilvl="0">
      <w:lvlJc w:val="left"/>
      <w:lvlText w:val="•"/>
      <w:numFmt w:val="bullet"/>
      <w:start w:val="1"/>
    </w:lvl>
  </w:abstractNum>
  <w:abstractNum w:abstractNumId="31">
    <w:nsid w:val="51EAD36B"/>
    <w:multiLevelType w:val="hybridMultilevel"/>
    <w:lvl w:ilvl="0">
      <w:lvlJc w:val="left"/>
      <w:lvlText w:val="•"/>
      <w:numFmt w:val="bullet"/>
      <w:start w:val="1"/>
    </w:lvl>
  </w:abstractNum>
  <w:abstractNum w:abstractNumId="32">
    <w:nsid w:val="2D517796"/>
    <w:multiLevelType w:val="hybridMultilevel"/>
    <w:lvl w:ilvl="0">
      <w:lvlJc w:val="left"/>
      <w:lvlText w:val="(%1)"/>
      <w:numFmt w:val="decimal"/>
      <w:start w:val="1"/>
    </w:lvl>
  </w:abstractNum>
  <w:abstractNum w:abstractNumId="33">
    <w:nsid w:val="580BD78F"/>
    <w:multiLevelType w:val="hybridMultilevel"/>
    <w:lvl w:ilvl="0">
      <w:lvlJc w:val="left"/>
      <w:lvlText w:val="•"/>
      <w:numFmt w:val="bullet"/>
      <w:start w:val="1"/>
    </w:lvl>
  </w:abstractNum>
  <w:abstractNum w:abstractNumId="34">
    <w:nsid w:val="153EA438"/>
    <w:multiLevelType w:val="hybridMultilevel"/>
    <w:lvl w:ilvl="0">
      <w:lvlJc w:val="left"/>
      <w:lvlText w:val="•"/>
      <w:numFmt w:val="bullet"/>
      <w:start w:val="1"/>
    </w:lvl>
  </w:abstractNum>
  <w:abstractNum w:abstractNumId="35">
    <w:nsid w:val="3855585C"/>
    <w:multiLevelType w:val="hybridMultilevel"/>
    <w:lvl w:ilvl="0">
      <w:lvlJc w:val="left"/>
      <w:lvlText w:val="•"/>
      <w:numFmt w:val="bullet"/>
      <w:start w:val="1"/>
    </w:lvl>
  </w:abstractNum>
  <w:abstractNum w:abstractNumId="36">
    <w:nsid w:val="70A64E2A"/>
    <w:multiLevelType w:val="hybridMultilevel"/>
    <w:lvl w:ilvl="0">
      <w:lvlJc w:val="left"/>
      <w:lvlText w:val="•"/>
      <w:numFmt w:val="bullet"/>
      <w:start w:val="1"/>
    </w:lvl>
    <w:lvl w:ilvl="1">
      <w:lvlJc w:val="left"/>
      <w:lvlText w:val="•"/>
      <w:numFmt w:val="bullet"/>
      <w:start w:val="1"/>
    </w:lvl>
  </w:abstractNum>
  <w:abstractNum w:abstractNumId="37">
    <w:nsid w:val="6A2342EC"/>
    <w:multiLevelType w:val="hybridMultilevel"/>
    <w:lvl w:ilvl="0">
      <w:lvlJc w:val="left"/>
      <w:lvlText w:val="•"/>
      <w:numFmt w:val="bullet"/>
      <w:start w:val="1"/>
    </w:lvl>
  </w:abstractNum>
  <w:abstractNum w:abstractNumId="38">
    <w:nsid w:val="2A487CB0"/>
    <w:multiLevelType w:val="hybridMultilevel"/>
    <w:lvl w:ilvl="0">
      <w:lvlJc w:val="left"/>
      <w:lvlText w:val="•"/>
      <w:numFmt w:val="bullet"/>
      <w:start w:val="1"/>
    </w:lvl>
  </w:abstractNum>
  <w:abstractNum w:abstractNumId="39">
    <w:nsid w:val="1D4ED43B"/>
    <w:multiLevelType w:val="hybridMultilevel"/>
    <w:lvl w:ilvl="0">
      <w:lvlJc w:val="left"/>
      <w:lvlText w:val="•"/>
      <w:numFmt w:val="bullet"/>
      <w:start w:val="1"/>
    </w:lvl>
  </w:abstractNum>
  <w:abstractNum w:abstractNumId="40">
    <w:nsid w:val="725A06F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1">
    <w:nsid w:val="2CD89A32"/>
    <w:multiLevelType w:val="hybridMultilevel"/>
    <w:lvl w:ilvl="0">
      <w:lvlJc w:val="left"/>
      <w:lvlText w:val="•"/>
      <w:numFmt w:val="bullet"/>
      <w:start w:val="1"/>
    </w:lvl>
  </w:abstractNum>
  <w:abstractNum w:abstractNumId="42">
    <w:nsid w:val="57E4CCAF"/>
    <w:multiLevelType w:val="hybridMultilevel"/>
    <w:lvl w:ilvl="0">
      <w:lvlJc w:val="left"/>
      <w:lvlText w:val="•"/>
      <w:numFmt w:val="bullet"/>
      <w:start w:val="1"/>
    </w:lvl>
  </w:abstractNum>
  <w:abstractNum w:abstractNumId="43">
    <w:nsid w:val="7A6D8D3C"/>
    <w:multiLevelType w:val="hybridMultilevel"/>
    <w:lvl w:ilvl="0">
      <w:lvlJc w:val="left"/>
      <w:lvlText w:val="•"/>
      <w:numFmt w:val="bullet"/>
      <w:start w:val="1"/>
    </w:lvl>
  </w:abstractNum>
  <w:abstractNum w:abstractNumId="44">
    <w:nsid w:val="4B588F54"/>
    <w:multiLevelType w:val="hybridMultilevel"/>
    <w:lvl w:ilvl="0">
      <w:lvlJc w:val="left"/>
      <w:lvlText w:val="•"/>
      <w:numFmt w:val="bullet"/>
      <w:start w:val="1"/>
    </w:lvl>
  </w:abstractNum>
  <w:abstractNum w:abstractNumId="45">
    <w:nsid w:val="542289EC"/>
    <w:multiLevelType w:val="hybridMultilevel"/>
    <w:lvl w:ilvl="0">
      <w:lvlJc w:val="left"/>
      <w:lvlText w:val="•"/>
      <w:numFmt w:val="bullet"/>
      <w:start w:val="1"/>
    </w:lvl>
  </w:abstractNum>
  <w:abstractNum w:abstractNumId="46">
    <w:nsid w:val="6DE91B1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2019-12-10T21:46:55Z</dcterms:created>
  <dcterms:modified xsi:type="dcterms:W3CDTF">2019-12-10T21:46:55Z</dcterms:modified>
</cp:coreProperties>
</file>