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6"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spacing w:after="0" w:line="23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-219710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120" w:type="dxa"/>
            <w:vAlign w:val="bottom"/>
          </w:tcPr>
          <w:p>
            <w:pPr>
              <w:jc w:val="center"/>
              <w:ind w:right="341"/>
              <w:spacing w:after="0"/>
              <w:rPr>
                <w:sz w:val="20"/>
                <w:szCs w:val="20"/>
                <w:color w:val="auto"/>
              </w:rPr>
            </w:pPr>
            <w:r>
              <w:rPr>
                <w:rFonts w:ascii="Arial" w:cs="Arial" w:eastAsia="Arial" w:hAnsi="Arial"/>
                <w:sz w:val="20"/>
                <w:szCs w:val="20"/>
                <w:b w:val="1"/>
                <w:bCs w:val="1"/>
                <w:color w:val="auto"/>
                <w:w w:val="96"/>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2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8"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2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5172075</wp:posOffset>
            </wp:positionH>
            <wp:positionV relativeFrom="paragraph">
              <wp:posOffset>-592455</wp:posOffset>
            </wp:positionV>
            <wp:extent cx="5651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57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-592455</wp:posOffset>
            </wp:positionV>
            <wp:extent cx="5651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579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15875</wp:posOffset>
            </wp:positionV>
            <wp:extent cx="7000875" cy="3888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0875" cy="388874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40" w:space="580"/>
            <w:col w:w="8360"/>
          </w:cols>
          <w:pgMar w:left="460" w:top="218"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Cavanagh Michael J</w:t>
        </w:r>
      </w:hyperlink>
    </w:p>
    <w:p>
      <w:pPr>
        <w:spacing w:after="0" w:line="285"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COMCAST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CMCSA</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0000FF"/>
        </w:rPr>
        <w:t>10/29/2021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7" w:right="780" w:firstLine="7"/>
        <w:spacing w:after="0" w:line="247" w:lineRule="auto"/>
        <w:tabs>
          <w:tab w:leader="none" w:pos="128"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21" w:lineRule="exact"/>
        <w:rPr>
          <w:sz w:val="24"/>
          <w:szCs w:val="24"/>
          <w:color w:val="auto"/>
        </w:rPr>
      </w:pPr>
    </w:p>
    <w:tbl>
      <w:tblPr>
        <w:tblLayout w:type="fixed"/>
        <w:tblInd w:w="193" w:type="dxa"/>
        <w:tblCellMar>
          <w:top w:w="0" w:type="dxa"/>
          <w:left w:w="0" w:type="dxa"/>
          <w:bottom w:w="0" w:type="dxa"/>
          <w:right w:w="0" w:type="dxa"/>
        </w:tblCellMar>
      </w:tblPr>
      <w:tr>
        <w:trPr>
          <w:trHeight w:val="146"/>
        </w:trPr>
        <w:tc>
          <w:tcPr>
            <w:tcW w:w="220" w:type="dxa"/>
            <w:vAlign w:val="bottom"/>
          </w:tcPr>
          <w:p>
            <w:pPr>
              <w:spacing w:after="0"/>
              <w:rPr>
                <w:sz w:val="12"/>
                <w:szCs w:val="12"/>
                <w:color w:val="auto"/>
              </w:rPr>
            </w:pPr>
          </w:p>
        </w:tc>
        <w:tc>
          <w:tcPr>
            <w:tcW w:w="1000" w:type="dxa"/>
            <w:vAlign w:val="bottom"/>
          </w:tcPr>
          <w:p>
            <w:pPr>
              <w:ind w:left="120"/>
              <w:spacing w:after="0"/>
              <w:rPr>
                <w:sz w:val="20"/>
                <w:szCs w:val="20"/>
                <w:color w:val="auto"/>
              </w:rPr>
            </w:pPr>
            <w:r>
              <w:rPr>
                <w:rFonts w:ascii="Arial" w:cs="Arial" w:eastAsia="Arial" w:hAnsi="Arial"/>
                <w:sz w:val="12"/>
                <w:szCs w:val="12"/>
                <w:color w:val="auto"/>
              </w:rPr>
              <w:t>Director</w:t>
            </w:r>
          </w:p>
        </w:tc>
        <w:tc>
          <w:tcPr>
            <w:tcW w:w="1460" w:type="dxa"/>
            <w:vAlign w:val="bottom"/>
          </w:tcPr>
          <w:p>
            <w:pPr>
              <w:ind w:left="7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71"/>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000" w:type="dxa"/>
            <w:vAlign w:val="bottom"/>
          </w:tcPr>
          <w:p>
            <w:pPr>
              <w:ind w:left="120"/>
              <w:spacing w:after="0"/>
              <w:rPr>
                <w:sz w:val="20"/>
                <w:szCs w:val="20"/>
                <w:color w:val="auto"/>
              </w:rPr>
            </w:pPr>
            <w:r>
              <w:rPr>
                <w:rFonts w:ascii="Arial" w:cs="Arial" w:eastAsia="Arial" w:hAnsi="Arial"/>
                <w:sz w:val="12"/>
                <w:szCs w:val="12"/>
                <w:color w:val="auto"/>
                <w:w w:val="99"/>
              </w:rPr>
              <w:t>Officer (give title</w:t>
            </w:r>
          </w:p>
        </w:tc>
        <w:tc>
          <w:tcPr>
            <w:tcW w:w="1460" w:type="dxa"/>
            <w:vAlign w:val="bottom"/>
          </w:tcPr>
          <w:p>
            <w:pPr>
              <w:ind w:left="70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95"/>
        </w:trPr>
        <w:tc>
          <w:tcPr>
            <w:tcW w:w="220" w:type="dxa"/>
            <w:vAlign w:val="bottom"/>
            <w:vMerge w:val="continue"/>
          </w:tcPr>
          <w:p>
            <w:pPr>
              <w:spacing w:after="0"/>
              <w:rPr>
                <w:sz w:val="8"/>
                <w:szCs w:val="8"/>
                <w:color w:val="auto"/>
              </w:rPr>
            </w:pPr>
          </w:p>
        </w:tc>
        <w:tc>
          <w:tcPr>
            <w:tcW w:w="100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1460" w:type="dxa"/>
            <w:vAlign w:val="bottom"/>
            <w:vMerge w:val="restart"/>
          </w:tcPr>
          <w:p>
            <w:pPr>
              <w:ind w:left="7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60" w:type="dxa"/>
            <w:vAlign w:val="bottom"/>
          </w:tcPr>
          <w:p>
            <w:pPr>
              <w:ind w:left="20"/>
              <w:spacing w:after="0"/>
              <w:rPr>
                <w:sz w:val="20"/>
                <w:szCs w:val="20"/>
                <w:color w:val="auto"/>
              </w:rPr>
            </w:pPr>
            <w:r>
              <w:rPr>
                <w:rFonts w:ascii="Arial" w:cs="Arial" w:eastAsia="Arial" w:hAnsi="Arial"/>
                <w:sz w:val="16"/>
                <w:szCs w:val="16"/>
                <w:color w:val="0000FF"/>
              </w:rPr>
              <w:t>CFO</w:t>
            </w:r>
          </w:p>
        </w:tc>
        <w:tc>
          <w:tcPr>
            <w:tcW w:w="0" w:type="dxa"/>
            <w:vAlign w:val="bottom"/>
          </w:tcPr>
          <w:p>
            <w:pPr>
              <w:spacing w:after="0"/>
              <w:rPr>
                <w:sz w:val="1"/>
                <w:szCs w:val="1"/>
                <w:color w:val="auto"/>
              </w:rPr>
            </w:pPr>
          </w:p>
        </w:tc>
      </w:tr>
    </w:tbl>
    <w:p>
      <w:pPr>
        <w:spacing w:after="0" w:line="304" w:lineRule="exact"/>
        <w:rPr>
          <w:sz w:val="24"/>
          <w:szCs w:val="24"/>
          <w:color w:val="auto"/>
        </w:rPr>
      </w:pPr>
    </w:p>
    <w:p>
      <w:pPr>
        <w:sectPr>
          <w:pgSz w:w="11900" w:h="16838" w:orient="portrait"/>
          <w:cols w:equalWidth="0" w:num="3">
            <w:col w:w="3180" w:space="720"/>
            <w:col w:w="3107" w:space="720"/>
            <w:col w:w="3353"/>
          </w:cols>
          <w:pgMar w:left="460" w:top="218" w:right="359" w:bottom="1440" w:gutter="0" w:footer="0" w:header="0"/>
          <w:type w:val="continuous"/>
        </w:sectPr>
      </w:pP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2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00" w:type="dxa"/>
            <w:vAlign w:val="bottom"/>
            <w:tcBorders>
              <w:top w:val="single" w:sz="8" w:color="2C2C2C"/>
            </w:tcBorders>
          </w:tcPr>
          <w:p>
            <w:pPr>
              <w:spacing w:after="0"/>
              <w:rPr>
                <w:sz w:val="14"/>
                <w:szCs w:val="14"/>
                <w:color w:val="auto"/>
              </w:rPr>
            </w:pPr>
          </w:p>
        </w:tc>
        <w:tc>
          <w:tcPr>
            <w:tcW w:w="3520" w:type="dxa"/>
            <w:vAlign w:val="bottom"/>
            <w:tcBorders>
              <w:top w:val="single" w:sz="8" w:color="2C2C2C"/>
            </w:tcBorders>
            <w:gridSpan w:val="8"/>
            <w:vMerge w:val="restart"/>
          </w:tcPr>
          <w:p>
            <w:pPr>
              <w:ind w:left="26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2320" w:type="dxa"/>
            <w:vAlign w:val="bottom"/>
            <w:gridSpan w:val="3"/>
            <w:vMerge w:val="restart"/>
          </w:tcPr>
          <w:p>
            <w:pPr>
              <w:spacing w:after="0"/>
              <w:rPr>
                <w:sz w:val="20"/>
                <w:szCs w:val="20"/>
                <w:color w:val="auto"/>
              </w:rPr>
            </w:pPr>
            <w:r>
              <w:rPr>
                <w:rFonts w:ascii="Arial" w:cs="Arial" w:eastAsia="Arial" w:hAnsi="Arial"/>
                <w:sz w:val="16"/>
                <w:szCs w:val="16"/>
                <w:color w:val="0000FF"/>
              </w:rPr>
              <w:t>PHILADELPHIA PA</w:t>
            </w:r>
          </w:p>
        </w:tc>
        <w:tc>
          <w:tcPr>
            <w:tcW w:w="1020" w:type="dxa"/>
            <w:vAlign w:val="bottom"/>
            <w:vMerge w:val="restart"/>
          </w:tcPr>
          <w:p>
            <w:pPr>
              <w:ind w:left="140"/>
              <w:spacing w:after="0"/>
              <w:rPr>
                <w:sz w:val="20"/>
                <w:szCs w:val="20"/>
                <w:color w:val="auto"/>
              </w:rPr>
            </w:pPr>
            <w:r>
              <w:rPr>
                <w:rFonts w:ascii="Arial" w:cs="Arial" w:eastAsia="Arial" w:hAnsi="Arial"/>
                <w:sz w:val="16"/>
                <w:szCs w:val="16"/>
                <w:color w:val="0000FF"/>
              </w:rPr>
              <w:t>19103</w:t>
            </w: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7"/>
            <w:vMerge w:val="continue"/>
          </w:tcPr>
          <w:p>
            <w:pPr>
              <w:spacing w:after="0"/>
              <w:rPr>
                <w:sz w:val="4"/>
                <w:szCs w:val="4"/>
                <w:color w:val="auto"/>
              </w:rPr>
            </w:pPr>
          </w:p>
        </w:tc>
        <w:tc>
          <w:tcPr>
            <w:tcW w:w="200" w:type="dxa"/>
            <w:vAlign w:val="bottom"/>
          </w:tcPr>
          <w:p>
            <w:pPr>
              <w:spacing w:after="0"/>
              <w:rPr>
                <w:sz w:val="4"/>
                <w:szCs w:val="4"/>
                <w:color w:val="auto"/>
              </w:rPr>
            </w:pPr>
          </w:p>
        </w:tc>
        <w:tc>
          <w:tcPr>
            <w:tcW w:w="3520" w:type="dxa"/>
            <w:vAlign w:val="bottom"/>
            <w:gridSpan w:val="8"/>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2320" w:type="dxa"/>
            <w:vAlign w:val="bottom"/>
            <w:gridSpan w:val="3"/>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000FF"/>
              </w:rPr>
              <w:t>X</w:t>
            </w:r>
          </w:p>
        </w:tc>
        <w:tc>
          <w:tcPr>
            <w:tcW w:w="20" w:type="dxa"/>
            <w:vAlign w:val="bottom"/>
          </w:tcPr>
          <w:p>
            <w:pPr>
              <w:spacing w:after="0"/>
              <w:rPr>
                <w:sz w:val="18"/>
                <w:szCs w:val="18"/>
                <w:color w:val="auto"/>
              </w:rPr>
            </w:pPr>
          </w:p>
        </w:tc>
        <w:tc>
          <w:tcPr>
            <w:tcW w:w="210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100" w:type="dxa"/>
            <w:vAlign w:val="bottom"/>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1760" w:type="dxa"/>
            <w:vAlign w:val="bottom"/>
            <w:gridSpan w:val="2"/>
            <w:vMerge w:val="restart"/>
          </w:tcPr>
          <w:p>
            <w:pPr>
              <w:ind w:left="660"/>
              <w:spacing w:after="0"/>
              <w:rPr>
                <w:sz w:val="20"/>
                <w:szCs w:val="20"/>
                <w:color w:val="auto"/>
              </w:rPr>
            </w:pPr>
            <w:r>
              <w:rPr>
                <w:rFonts w:ascii="Arial" w:cs="Arial" w:eastAsia="Arial" w:hAnsi="Arial"/>
                <w:sz w:val="12"/>
                <w:szCs w:val="12"/>
                <w:color w:val="auto"/>
              </w:rPr>
              <w:t>(State)</w:t>
            </w:r>
          </w:p>
        </w:tc>
        <w:tc>
          <w:tcPr>
            <w:tcW w:w="102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300" w:type="dxa"/>
            <w:vAlign w:val="bottom"/>
            <w:tcBorders>
              <w:bottom w:val="single" w:sz="8" w:color="2C2C2C"/>
            </w:tcBorders>
            <w:gridSpan w:val="10"/>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1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4"/>
          </w:tcPr>
          <w:p>
            <w:pPr>
              <w:ind w:left="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242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42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020" w:type="dxa"/>
            <w:vAlign w:val="bottom"/>
          </w:tcPr>
          <w:p>
            <w:pPr>
              <w:spacing w:after="0"/>
              <w:rPr>
                <w:sz w:val="13"/>
                <w:szCs w:val="13"/>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2. Transaction</w:t>
            </w:r>
          </w:p>
        </w:tc>
        <w:tc>
          <w:tcPr>
            <w:tcW w:w="22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4"/>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4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9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Execution Date,</w:t>
            </w:r>
          </w:p>
        </w:tc>
        <w:tc>
          <w:tcPr>
            <w:tcW w:w="2680" w:type="dxa"/>
            <w:vAlign w:val="bottom"/>
            <w:gridSpan w:val="5"/>
          </w:tcPr>
          <w:p>
            <w:pPr>
              <w:ind w:left="60"/>
              <w:spacing w:after="0" w:line="119" w:lineRule="exact"/>
              <w:rPr>
                <w:sz w:val="20"/>
                <w:szCs w:val="20"/>
                <w:color w:val="auto"/>
              </w:rPr>
            </w:pPr>
            <w:r>
              <w:rPr>
                <w:rFonts w:ascii="Arial" w:cs="Arial" w:eastAsia="Arial" w:hAnsi="Arial"/>
                <w:sz w:val="11"/>
                <w:szCs w:val="11"/>
                <w:b w:val="1"/>
                <w:bCs w:val="1"/>
                <w:color w:val="auto"/>
              </w:rPr>
              <w:t>Transaction  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12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Transaction(s)</w:t>
            </w: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gridSpan w:val="4"/>
            <w:vMerge w:val="restart"/>
          </w:tcPr>
          <w:p>
            <w:pPr>
              <w:ind w:left="2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w w:val="96"/>
              </w:rPr>
              <w:t>Amount</w:t>
            </w:r>
          </w:p>
        </w:tc>
        <w:tc>
          <w:tcPr>
            <w:tcW w:w="780" w:type="dxa"/>
            <w:vAlign w:val="bottom"/>
            <w:gridSpan w:val="2"/>
          </w:tcPr>
          <w:p>
            <w:pPr>
              <w:ind w:left="380"/>
              <w:spacing w:after="0" w:line="122"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5720" w:type="dxa"/>
            <w:vAlign w:val="bottom"/>
            <w:tcBorders>
              <w:bottom w:val="single" w:sz="8" w:color="2C2C2C"/>
            </w:tcBorders>
            <w:gridSpan w:val="1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40" w:type="dxa"/>
            <w:vAlign w:val="bottom"/>
            <w:gridSpan w:val="14"/>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00" w:type="dxa"/>
            <w:vAlign w:val="bottom"/>
            <w:gridSpan w:val="12"/>
          </w:tcPr>
          <w:p>
            <w:pPr>
              <w:ind w:left="9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2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9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derivative</w:t>
            </w:r>
          </w:p>
        </w:tc>
        <w:tc>
          <w:tcPr>
            <w:tcW w:w="6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80"/>
              <w:spacing w:after="0" w:line="122"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9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Derivative Security (Instr.</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20" w:type="dxa"/>
            <w:vAlign w:val="bottom"/>
            <w:tcBorders>
              <w:right w:val="single" w:sz="8" w:color="2C2C2C"/>
            </w:tcBorders>
            <w:gridSpan w:val="3"/>
          </w:tcPr>
          <w:p>
            <w:pPr>
              <w:ind w:left="8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3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Acquired (A) or</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3 and 4)</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Beneficially</w:t>
            </w:r>
          </w:p>
        </w:tc>
        <w:tc>
          <w:tcPr>
            <w:tcW w:w="5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720" w:type="dxa"/>
            <w:vAlign w:val="bottom"/>
            <w:tcBorders>
              <w:right w:val="single" w:sz="8" w:color="2C2C2C"/>
            </w:tcBorders>
            <w:gridSpan w:val="3"/>
          </w:tcPr>
          <w:p>
            <w:pPr>
              <w:ind w:left="8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Disposed of (D)</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Arial" w:cs="Arial" w:eastAsia="Arial" w:hAnsi="Arial"/>
                <w:sz w:val="11"/>
                <w:szCs w:val="11"/>
                <w:b w:val="1"/>
                <w:bCs w:val="1"/>
                <w:color w:val="auto"/>
              </w:rPr>
              <w:t>Owned</w:t>
            </w:r>
          </w:p>
        </w:tc>
        <w:tc>
          <w:tcPr>
            <w:tcW w:w="380" w:type="dxa"/>
            <w:vAlign w:val="bottom"/>
          </w:tcPr>
          <w:p>
            <w:pPr>
              <w:spacing w:after="0"/>
              <w:rPr>
                <w:sz w:val="10"/>
                <w:szCs w:val="10"/>
                <w:color w:val="auto"/>
              </w:rPr>
            </w:pPr>
          </w:p>
        </w:tc>
        <w:tc>
          <w:tcPr>
            <w:tcW w:w="6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8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4 and 5)</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Following</w:t>
            </w:r>
          </w:p>
        </w:tc>
        <w:tc>
          <w:tcPr>
            <w:tcW w:w="6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Arial" w:cs="Arial" w:eastAsia="Arial" w:hAnsi="Arial"/>
                <w:sz w:val="11"/>
                <w:szCs w:val="11"/>
                <w:b w:val="1"/>
                <w:bCs w:val="1"/>
                <w:color w:val="auto"/>
                <w:w w:val="96"/>
              </w:rPr>
              <w:t>(Instr. 4)</w:t>
            </w: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760" w:type="dxa"/>
            <w:vAlign w:val="bottom"/>
          </w:tcPr>
          <w:p>
            <w:pPr>
              <w:ind w:left="54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Phantom</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restart"/>
          </w:tcPr>
          <w:p>
            <w:pPr>
              <w:ind w:left="100"/>
              <w:spacing w:after="0"/>
              <w:rPr>
                <w:sz w:val="20"/>
                <w:szCs w:val="20"/>
                <w:color w:val="auto"/>
              </w:rPr>
            </w:pPr>
            <w:r>
              <w:rPr>
                <w:rFonts w:ascii="Arial" w:cs="Arial" w:eastAsia="Arial" w:hAnsi="Arial"/>
                <w:sz w:val="10"/>
                <w:szCs w:val="10"/>
                <w:color w:val="008000"/>
              </w:rPr>
              <w:t>(2)</w:t>
            </w:r>
          </w:p>
        </w:tc>
        <w:tc>
          <w:tcPr>
            <w:tcW w:w="660" w:type="dxa"/>
            <w:vAlign w:val="bottom"/>
            <w:vMerge w:val="restart"/>
          </w:tcPr>
          <w:p>
            <w:pPr>
              <w:ind w:left="220"/>
              <w:spacing w:after="0"/>
              <w:rPr>
                <w:sz w:val="20"/>
                <w:szCs w:val="20"/>
                <w:color w:val="auto"/>
              </w:rPr>
            </w:pPr>
            <w:r>
              <w:rPr>
                <w:rFonts w:ascii="Arial" w:cs="Arial" w:eastAsia="Arial" w:hAnsi="Arial"/>
                <w:sz w:val="10"/>
                <w:szCs w:val="10"/>
                <w:color w:val="008000"/>
              </w:rPr>
              <w:t>(2)</w:t>
            </w:r>
          </w:p>
        </w:tc>
        <w:tc>
          <w:tcPr>
            <w:tcW w:w="580" w:type="dxa"/>
            <w:vAlign w:val="bottom"/>
          </w:tcPr>
          <w:p>
            <w:pPr>
              <w:ind w:left="60"/>
              <w:spacing w:after="0"/>
              <w:rPr>
                <w:sz w:val="20"/>
                <w:szCs w:val="20"/>
                <w:color w:val="auto"/>
              </w:rPr>
            </w:pPr>
            <w:r>
              <w:rPr>
                <w:rFonts w:ascii="Arial" w:cs="Arial" w:eastAsia="Arial" w:hAnsi="Arial"/>
                <w:sz w:val="12"/>
                <w:szCs w:val="12"/>
                <w:color w:val="0000FF"/>
              </w:rPr>
              <w:t>Class A</w:t>
            </w:r>
          </w:p>
        </w:tc>
        <w:tc>
          <w:tcPr>
            <w:tcW w:w="8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2"/>
              </w:rPr>
              <w:t>199,697.852</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20" w:type="dxa"/>
            <w:vAlign w:val="bottom"/>
            <w:vMerge w:val="restart"/>
          </w:tcPr>
          <w:p>
            <w:pPr>
              <w:jc w:val="right"/>
              <w:ind w:right="184"/>
              <w:spacing w:after="0" w:line="134" w:lineRule="exact"/>
              <w:rPr>
                <w:sz w:val="20"/>
                <w:szCs w:val="20"/>
                <w:color w:val="auto"/>
              </w:rPr>
            </w:pPr>
            <w:r>
              <w:rPr>
                <w:rFonts w:ascii="Arial" w:cs="Arial" w:eastAsia="Arial" w:hAnsi="Arial"/>
                <w:sz w:val="12"/>
                <w:szCs w:val="12"/>
                <w:color w:val="0000FF"/>
              </w:rPr>
              <w:t>10/29/2021</w:t>
            </w:r>
          </w:p>
        </w:tc>
        <w:tc>
          <w:tcPr>
            <w:tcW w:w="1020" w:type="dxa"/>
            <w:vAlign w:val="bottom"/>
          </w:tcPr>
          <w:p>
            <w:pPr>
              <w:spacing w:after="0"/>
              <w:rPr>
                <w:sz w:val="5"/>
                <w:szCs w:val="5"/>
                <w:color w:val="auto"/>
              </w:rPr>
            </w:pPr>
          </w:p>
        </w:tc>
        <w:tc>
          <w:tcPr>
            <w:tcW w:w="800" w:type="dxa"/>
            <w:vAlign w:val="bottom"/>
            <w:gridSpan w:val="3"/>
            <w:vMerge w:val="restart"/>
          </w:tcPr>
          <w:p>
            <w:pPr>
              <w:ind w:left="180"/>
              <w:spacing w:after="0" w:line="134" w:lineRule="exact"/>
              <w:rPr>
                <w:sz w:val="20"/>
                <w:szCs w:val="20"/>
                <w:color w:val="auto"/>
              </w:rPr>
            </w:pPr>
            <w:r>
              <w:rPr>
                <w:rFonts w:ascii="Arial" w:cs="Arial" w:eastAsia="Arial" w:hAnsi="Arial"/>
                <w:sz w:val="12"/>
                <w:szCs w:val="12"/>
                <w:color w:val="0000FF"/>
              </w:rPr>
              <w:t>I</w:t>
            </w:r>
          </w:p>
        </w:tc>
        <w:tc>
          <w:tcPr>
            <w:tcW w:w="980" w:type="dxa"/>
            <w:vAlign w:val="bottom"/>
            <w:gridSpan w:val="2"/>
            <w:vMerge w:val="restart"/>
          </w:tcPr>
          <w:p>
            <w:pPr>
              <w:ind w:left="40"/>
              <w:spacing w:after="0" w:line="134" w:lineRule="exact"/>
              <w:rPr>
                <w:sz w:val="20"/>
                <w:szCs w:val="20"/>
                <w:color w:val="auto"/>
              </w:rPr>
            </w:pPr>
            <w:r>
              <w:rPr>
                <w:rFonts w:ascii="Arial" w:cs="Arial" w:eastAsia="Arial" w:hAnsi="Arial"/>
                <w:sz w:val="12"/>
                <w:szCs w:val="12"/>
                <w:color w:val="0000FF"/>
              </w:rPr>
              <w:t>199,697.852</w:t>
            </w:r>
          </w:p>
        </w:tc>
        <w:tc>
          <w:tcPr>
            <w:tcW w:w="2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restart"/>
          </w:tcPr>
          <w:p>
            <w:pPr>
              <w:ind w:left="20"/>
              <w:spacing w:after="0" w:line="134" w:lineRule="exact"/>
              <w:rPr>
                <w:sz w:val="20"/>
                <w:szCs w:val="20"/>
                <w:color w:val="auto"/>
              </w:rPr>
            </w:pPr>
            <w:r>
              <w:rPr>
                <w:rFonts w:ascii="Arial" w:cs="Arial" w:eastAsia="Arial" w:hAnsi="Arial"/>
                <w:sz w:val="12"/>
                <w:szCs w:val="12"/>
                <w:color w:val="0000FF"/>
              </w:rPr>
              <w:t>Common</w:t>
            </w:r>
          </w:p>
        </w:tc>
        <w:tc>
          <w:tcPr>
            <w:tcW w:w="860" w:type="dxa"/>
            <w:vAlign w:val="bottom"/>
            <w:gridSpan w:val="2"/>
            <w:vMerge w:val="continue"/>
          </w:tcPr>
          <w:p>
            <w:pPr>
              <w:spacing w:after="0"/>
              <w:rPr>
                <w:sz w:val="5"/>
                <w:szCs w:val="5"/>
                <w:color w:val="auto"/>
              </w:rPr>
            </w:pPr>
          </w:p>
        </w:tc>
        <w:tc>
          <w:tcPr>
            <w:tcW w:w="740" w:type="dxa"/>
            <w:vAlign w:val="bottom"/>
            <w:gridSpan w:val="2"/>
            <w:vMerge w:val="restart"/>
          </w:tcPr>
          <w:p>
            <w:pPr>
              <w:jc w:val="right"/>
              <w:ind w:right="164"/>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51.43</w:t>
            </w:r>
          </w:p>
        </w:tc>
        <w:tc>
          <w:tcPr>
            <w:tcW w:w="820" w:type="dxa"/>
            <w:vAlign w:val="bottom"/>
            <w:gridSpan w:val="2"/>
            <w:vMerge w:val="restart"/>
          </w:tcPr>
          <w:p>
            <w:pPr>
              <w:ind w:left="80"/>
              <w:spacing w:after="0" w:line="134" w:lineRule="exact"/>
              <w:rPr>
                <w:sz w:val="20"/>
                <w:szCs w:val="20"/>
                <w:color w:val="auto"/>
              </w:rPr>
            </w:pPr>
            <w:r>
              <w:rPr>
                <w:rFonts w:ascii="Arial" w:cs="Arial" w:eastAsia="Arial" w:hAnsi="Arial"/>
                <w:sz w:val="12"/>
                <w:szCs w:val="12"/>
                <w:color w:val="0000FF"/>
              </w:rPr>
              <w:t>199,697.852</w:t>
            </w:r>
          </w:p>
        </w:tc>
        <w:tc>
          <w:tcPr>
            <w:tcW w:w="560" w:type="dxa"/>
            <w:vAlign w:val="bottom"/>
            <w:vMerge w:val="restart"/>
          </w:tcPr>
          <w:p>
            <w:pPr>
              <w:ind w:left="300"/>
              <w:spacing w:after="0" w:line="134"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7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0000FF"/>
              </w:rPr>
              <w:t>Stock</w:t>
            </w: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-1513840</wp:posOffset>
            </wp:positionV>
            <wp:extent cx="27940" cy="1519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15195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4"/>
          <w:szCs w:val="24"/>
          <w:color w:val="auto"/>
        </w:rPr>
      </w:pPr>
    </w:p>
    <w:p>
      <w:pPr>
        <w:ind w:left="40" w:right="640" w:hanging="6"/>
        <w:spacing w:after="0" w:line="262" w:lineRule="auto"/>
        <w:tabs>
          <w:tab w:leader="none" w:pos="16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phantom stock represents the economic equivalent to one share of Class A common stock. Phantom shares have been deferred under our deferred compensation plans, will settle in cash and may be transferred into alternative investments under the terms of our deferred compensation plans.</w:t>
      </w:r>
    </w:p>
    <w:p>
      <w:pPr>
        <w:spacing w:after="0" w:line="15" w:lineRule="exact"/>
        <w:rPr>
          <w:rFonts w:ascii="Arial" w:cs="Arial" w:eastAsia="Arial" w:hAnsi="Arial"/>
          <w:sz w:val="12"/>
          <w:szCs w:val="12"/>
          <w:color w:val="008000"/>
        </w:rPr>
      </w:pPr>
    </w:p>
    <w:p>
      <w:pPr>
        <w:ind w:left="160" w:hanging="126"/>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has elected to notionally reinvest previously deferred compensation into another deferred compensation plan investment.</w:t>
      </w:r>
    </w:p>
    <w:p>
      <w:pPr>
        <w:ind w:left="6600"/>
        <w:spacing w:after="0" w:line="187" w:lineRule="auto"/>
        <w:rPr>
          <w:sz w:val="20"/>
          <w:szCs w:val="20"/>
          <w:color w:val="auto"/>
        </w:rPr>
      </w:pPr>
      <w:r>
        <w:rPr>
          <w:rFonts w:ascii="Arial" w:cs="Arial" w:eastAsia="Arial" w:hAnsi="Arial"/>
          <w:sz w:val="16"/>
          <w:szCs w:val="16"/>
          <w:color w:val="0000FF"/>
        </w:rPr>
        <w:t xml:space="preserve">Elizabeth Wideman, Attorney-in- </w:t>
      </w:r>
      <w:r>
        <w:rPr>
          <w:rFonts w:ascii="Arial" w:cs="Arial" w:eastAsia="Arial" w:hAnsi="Arial"/>
          <w:sz w:val="31"/>
          <w:szCs w:val="31"/>
          <w:color w:val="0000FF"/>
          <w:vertAlign w:val="subscript"/>
        </w:rPr>
        <w:t>11/02/2021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-25400</wp:posOffset>
            </wp:positionV>
            <wp:extent cx="13455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556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-19050</wp:posOffset>
            </wp:positionV>
            <wp:extent cx="1504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0495" cy="7620"/>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-80645</wp:posOffset>
            </wp:positionV>
            <wp:extent cx="4546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4660" cy="7620"/>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4"/>
          <w:szCs w:val="24"/>
          <w:color w:val="auto"/>
        </w:rPr>
      </w:pPr>
    </w:p>
    <w:p>
      <w:pPr>
        <w:jc w:val="both"/>
        <w:ind w:left="40" w:right="4000" w:hanging="6"/>
        <w:spacing w:after="0" w:line="316" w:lineRule="auto"/>
        <w:tabs>
          <w:tab w:leader="none" w:pos="169"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04481"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2021-11-02T15:36:51Z</dcterms:created>
  <dcterms:modified xsi:type="dcterms:W3CDTF">2021-11-02T15:36:51Z</dcterms:modified>
</cp:coreProperties>
</file>